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7A058" w14:textId="77777777" w:rsidR="008B375F" w:rsidRDefault="008B375F">
      <w:pPr>
        <w:spacing w:after="160" w:line="259" w:lineRule="auto"/>
        <w:rPr>
          <w:b/>
          <w:color w:val="2E74B5" w:themeColor="accent1" w:themeShade="BF"/>
          <w:sz w:val="44"/>
          <w:szCs w:val="44"/>
        </w:rPr>
      </w:pPr>
      <w:bookmarkStart w:id="0" w:name="_GoBack"/>
      <w:bookmarkEnd w:id="0"/>
      <w:r>
        <w:rPr>
          <w:b/>
          <w:color w:val="2E74B5" w:themeColor="accent1" w:themeShade="BF"/>
          <w:sz w:val="44"/>
          <w:szCs w:val="44"/>
        </w:rPr>
        <w:br w:type="page"/>
      </w:r>
    </w:p>
    <w:tbl>
      <w:tblPr>
        <w:tblW w:w="994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9719"/>
        <w:gridCol w:w="101"/>
        <w:gridCol w:w="120"/>
      </w:tblGrid>
      <w:tr w:rsidR="008B375F" w14:paraId="449C29F9" w14:textId="77777777" w:rsidTr="00696709">
        <w:trPr>
          <w:gridAfter w:val="2"/>
          <w:wAfter w:w="221" w:type="dxa"/>
        </w:trPr>
        <w:tc>
          <w:tcPr>
            <w:tcW w:w="9719" w:type="dxa"/>
            <w:tcBorders>
              <w:top w:val="nil"/>
              <w:left w:val="nil"/>
              <w:bottom w:val="nil"/>
              <w:right w:val="nil"/>
            </w:tcBorders>
            <w:shd w:val="clear" w:color="auto" w:fill="FFFFFF"/>
            <w:tcMar>
              <w:top w:w="50" w:type="dxa"/>
              <w:left w:w="50" w:type="dxa"/>
              <w:bottom w:w="50" w:type="dxa"/>
              <w:right w:w="50" w:type="dxa"/>
            </w:tcMar>
            <w:vAlign w:val="center"/>
          </w:tcPr>
          <w:p w14:paraId="658F46CE" w14:textId="77777777" w:rsidR="008B375F" w:rsidRDefault="008B375F" w:rsidP="00696709">
            <w:pPr>
              <w:rPr>
                <w:sz w:val="20"/>
                <w:szCs w:val="20"/>
              </w:rPr>
            </w:pPr>
            <w:r>
              <w:rPr>
                <w:sz w:val="20"/>
                <w:szCs w:val="20"/>
              </w:rPr>
              <w:lastRenderedPageBreak/>
              <w:t>Report No: ACS13610</w:t>
            </w:r>
          </w:p>
        </w:tc>
      </w:tr>
      <w:tr w:rsidR="008B375F" w14:paraId="2D29D6E6" w14:textId="77777777" w:rsidTr="00696709">
        <w:tc>
          <w:tcPr>
            <w:tcW w:w="9940" w:type="dxa"/>
            <w:gridSpan w:val="3"/>
            <w:tcBorders>
              <w:top w:val="nil"/>
              <w:left w:val="nil"/>
              <w:bottom w:val="nil"/>
              <w:right w:val="nil"/>
            </w:tcBorders>
            <w:shd w:val="clear" w:color="auto" w:fill="FFFFFF"/>
            <w:tcMar>
              <w:top w:w="50" w:type="dxa"/>
              <w:left w:w="50" w:type="dxa"/>
              <w:bottom w:w="50" w:type="dxa"/>
              <w:right w:w="50" w:type="dxa"/>
            </w:tcMar>
            <w:vAlign w:val="center"/>
          </w:tcPr>
          <w:p w14:paraId="360306D5" w14:textId="77777777" w:rsidR="008B375F" w:rsidRDefault="008B375F" w:rsidP="00696709">
            <w:pPr>
              <w:rPr>
                <w:rFonts w:ascii="Times" w:hAnsi="Times" w:cs="Times"/>
                <w:color w:val="FFFFFF"/>
                <w:sz w:val="10"/>
                <w:szCs w:val="10"/>
              </w:rPr>
            </w:pPr>
            <w:r>
              <w:rPr>
                <w:rFonts w:ascii="Times" w:hAnsi="Times" w:cs="Times"/>
                <w:color w:val="FFFFFF"/>
                <w:sz w:val="10"/>
                <w:szCs w:val="10"/>
              </w:rPr>
              <w:t>.</w:t>
            </w:r>
          </w:p>
        </w:tc>
      </w:tr>
      <w:tr w:rsidR="008B375F" w14:paraId="7F24812B" w14:textId="77777777" w:rsidTr="00696709">
        <w:trPr>
          <w:gridAfter w:val="2"/>
          <w:wAfter w:w="221" w:type="dxa"/>
        </w:trPr>
        <w:tc>
          <w:tcPr>
            <w:tcW w:w="9719" w:type="dxa"/>
            <w:tcBorders>
              <w:top w:val="nil"/>
              <w:left w:val="nil"/>
              <w:bottom w:val="nil"/>
              <w:right w:val="nil"/>
            </w:tcBorders>
            <w:shd w:val="clear" w:color="auto" w:fill="FFFFFF"/>
            <w:tcMar>
              <w:top w:w="50" w:type="dxa"/>
              <w:left w:w="50" w:type="dxa"/>
              <w:bottom w:w="50" w:type="dxa"/>
              <w:right w:w="50" w:type="dxa"/>
            </w:tcMar>
            <w:vAlign w:val="center"/>
          </w:tcPr>
          <w:p w14:paraId="3925EDE7" w14:textId="77777777" w:rsidR="008B375F" w:rsidRDefault="008B375F" w:rsidP="00696709">
            <w:pPr>
              <w:rPr>
                <w:sz w:val="48"/>
                <w:szCs w:val="48"/>
              </w:rPr>
            </w:pPr>
            <w:r>
              <w:rPr>
                <w:sz w:val="48"/>
                <w:szCs w:val="48"/>
              </w:rPr>
              <w:t>Republic of South Sudan</w:t>
            </w:r>
          </w:p>
        </w:tc>
      </w:tr>
      <w:tr w:rsidR="008B375F" w14:paraId="59F16616" w14:textId="77777777" w:rsidTr="00696709">
        <w:trPr>
          <w:gridAfter w:val="2"/>
          <w:wAfter w:w="221" w:type="dxa"/>
        </w:trPr>
        <w:tc>
          <w:tcPr>
            <w:tcW w:w="9719" w:type="dxa"/>
            <w:tcBorders>
              <w:top w:val="nil"/>
              <w:left w:val="nil"/>
              <w:bottom w:val="nil"/>
              <w:right w:val="nil"/>
            </w:tcBorders>
            <w:shd w:val="clear" w:color="auto" w:fill="FFFFFF"/>
            <w:tcMar>
              <w:top w:w="50" w:type="dxa"/>
              <w:left w:w="50" w:type="dxa"/>
              <w:bottom w:w="50" w:type="dxa"/>
              <w:right w:w="50" w:type="dxa"/>
            </w:tcMar>
            <w:vAlign w:val="center"/>
          </w:tcPr>
          <w:p w14:paraId="367C4F0D" w14:textId="77777777" w:rsidR="008B375F" w:rsidRDefault="008B375F" w:rsidP="00696709">
            <w:pPr>
              <w:rPr>
                <w:sz w:val="48"/>
                <w:szCs w:val="48"/>
              </w:rPr>
            </w:pPr>
            <w:r>
              <w:rPr>
                <w:sz w:val="48"/>
                <w:szCs w:val="48"/>
              </w:rPr>
              <w:t>SS-Governance Review for South Sudan</w:t>
            </w:r>
          </w:p>
        </w:tc>
      </w:tr>
      <w:tr w:rsidR="008B375F" w14:paraId="468A621C" w14:textId="77777777" w:rsidTr="00696709">
        <w:trPr>
          <w:gridAfter w:val="2"/>
          <w:wAfter w:w="221" w:type="dxa"/>
        </w:trPr>
        <w:tc>
          <w:tcPr>
            <w:tcW w:w="9719" w:type="dxa"/>
            <w:tcBorders>
              <w:top w:val="nil"/>
              <w:left w:val="nil"/>
              <w:bottom w:val="nil"/>
              <w:right w:val="nil"/>
            </w:tcBorders>
            <w:shd w:val="clear" w:color="auto" w:fill="FFFFFF"/>
            <w:tcMar>
              <w:top w:w="50" w:type="dxa"/>
              <w:left w:w="50" w:type="dxa"/>
              <w:bottom w:w="50" w:type="dxa"/>
              <w:right w:w="50" w:type="dxa"/>
            </w:tcMar>
            <w:vAlign w:val="center"/>
          </w:tcPr>
          <w:p w14:paraId="1CE634F5" w14:textId="77777777" w:rsidR="008B375F" w:rsidRDefault="008B375F" w:rsidP="008B375F">
            <w:pPr>
              <w:spacing w:after="0" w:line="240" w:lineRule="auto"/>
              <w:rPr>
                <w:sz w:val="34"/>
                <w:szCs w:val="34"/>
              </w:rPr>
            </w:pPr>
            <w:r w:rsidRPr="00795946">
              <w:rPr>
                <w:sz w:val="44"/>
                <w:szCs w:val="44"/>
              </w:rPr>
              <w:t>Improving Human Resource Management for Strengthened Service Delivery</w:t>
            </w:r>
          </w:p>
        </w:tc>
      </w:tr>
      <w:tr w:rsidR="008B375F" w14:paraId="253259CE" w14:textId="77777777" w:rsidTr="00696709">
        <w:tc>
          <w:tcPr>
            <w:tcW w:w="9940" w:type="dxa"/>
            <w:gridSpan w:val="3"/>
            <w:tcBorders>
              <w:top w:val="nil"/>
              <w:left w:val="nil"/>
              <w:bottom w:val="nil"/>
              <w:right w:val="nil"/>
            </w:tcBorders>
            <w:shd w:val="clear" w:color="auto" w:fill="FFFFFF"/>
            <w:tcMar>
              <w:top w:w="50" w:type="dxa"/>
              <w:left w:w="50" w:type="dxa"/>
              <w:bottom w:w="50" w:type="dxa"/>
              <w:right w:w="50" w:type="dxa"/>
            </w:tcMar>
            <w:vAlign w:val="center"/>
          </w:tcPr>
          <w:p w14:paraId="45E2B479" w14:textId="77777777" w:rsidR="008B375F" w:rsidRDefault="008B375F" w:rsidP="00696709">
            <w:pPr>
              <w:rPr>
                <w:rFonts w:ascii="Times" w:hAnsi="Times" w:cs="Times"/>
                <w:color w:val="FFFFFF"/>
                <w:sz w:val="60"/>
                <w:szCs w:val="60"/>
              </w:rPr>
            </w:pPr>
            <w:r>
              <w:rPr>
                <w:rFonts w:ascii="Times" w:hAnsi="Times" w:cs="Times"/>
                <w:color w:val="FFFFFF"/>
                <w:sz w:val="60"/>
                <w:szCs w:val="60"/>
              </w:rPr>
              <w:t>.</w:t>
            </w:r>
          </w:p>
        </w:tc>
      </w:tr>
      <w:tr w:rsidR="008B375F" w14:paraId="3A4E48CB" w14:textId="77777777" w:rsidTr="00696709">
        <w:trPr>
          <w:gridAfter w:val="2"/>
          <w:wAfter w:w="221" w:type="dxa"/>
        </w:trPr>
        <w:tc>
          <w:tcPr>
            <w:tcW w:w="9719" w:type="dxa"/>
            <w:tcBorders>
              <w:top w:val="nil"/>
              <w:left w:val="nil"/>
              <w:bottom w:val="nil"/>
              <w:right w:val="nil"/>
            </w:tcBorders>
            <w:shd w:val="clear" w:color="auto" w:fill="FFFFFF"/>
            <w:tcMar>
              <w:top w:w="50" w:type="dxa"/>
              <w:left w:w="50" w:type="dxa"/>
              <w:bottom w:w="50" w:type="dxa"/>
              <w:right w:w="50" w:type="dxa"/>
            </w:tcMar>
            <w:vAlign w:val="center"/>
          </w:tcPr>
          <w:p w14:paraId="17ABF121" w14:textId="6C80E7A2" w:rsidR="008B375F" w:rsidRDefault="008B375F" w:rsidP="00696709">
            <w:pPr>
              <w:rPr>
                <w:sz w:val="20"/>
                <w:szCs w:val="20"/>
              </w:rPr>
            </w:pPr>
            <w:r>
              <w:rPr>
                <w:sz w:val="20"/>
                <w:szCs w:val="20"/>
              </w:rPr>
              <w:t>2015</w:t>
            </w:r>
          </w:p>
        </w:tc>
      </w:tr>
      <w:tr w:rsidR="008B375F" w14:paraId="303C4ABA" w14:textId="77777777" w:rsidTr="00696709">
        <w:tc>
          <w:tcPr>
            <w:tcW w:w="9940" w:type="dxa"/>
            <w:gridSpan w:val="3"/>
            <w:tcBorders>
              <w:top w:val="nil"/>
              <w:left w:val="nil"/>
              <w:bottom w:val="nil"/>
              <w:right w:val="nil"/>
            </w:tcBorders>
            <w:shd w:val="clear" w:color="auto" w:fill="FFFFFF"/>
            <w:tcMar>
              <w:top w:w="50" w:type="dxa"/>
              <w:left w:w="50" w:type="dxa"/>
              <w:bottom w:w="50" w:type="dxa"/>
              <w:right w:w="50" w:type="dxa"/>
            </w:tcMar>
            <w:vAlign w:val="center"/>
          </w:tcPr>
          <w:p w14:paraId="684B6A5C" w14:textId="77777777" w:rsidR="008B375F" w:rsidRDefault="008B375F" w:rsidP="00696709">
            <w:pPr>
              <w:rPr>
                <w:rFonts w:ascii="Times" w:hAnsi="Times" w:cs="Times"/>
                <w:color w:val="FFFFFF"/>
                <w:sz w:val="60"/>
                <w:szCs w:val="60"/>
              </w:rPr>
            </w:pPr>
            <w:r>
              <w:rPr>
                <w:rFonts w:ascii="Times" w:hAnsi="Times" w:cs="Times"/>
                <w:color w:val="FFFFFF"/>
                <w:sz w:val="60"/>
                <w:szCs w:val="60"/>
              </w:rPr>
              <w:t>.</w:t>
            </w:r>
          </w:p>
        </w:tc>
      </w:tr>
      <w:tr w:rsidR="008B375F" w14:paraId="1A1416D0" w14:textId="77777777" w:rsidTr="00696709">
        <w:trPr>
          <w:gridAfter w:val="2"/>
          <w:wAfter w:w="221" w:type="dxa"/>
        </w:trPr>
        <w:tc>
          <w:tcPr>
            <w:tcW w:w="9719" w:type="dxa"/>
            <w:tcBorders>
              <w:top w:val="nil"/>
              <w:left w:val="nil"/>
              <w:bottom w:val="nil"/>
              <w:right w:val="nil"/>
            </w:tcBorders>
            <w:shd w:val="clear" w:color="auto" w:fill="FFFFFF"/>
            <w:tcMar>
              <w:top w:w="50" w:type="dxa"/>
              <w:left w:w="50" w:type="dxa"/>
              <w:bottom w:w="50" w:type="dxa"/>
              <w:right w:w="50" w:type="dxa"/>
            </w:tcMar>
            <w:vAlign w:val="center"/>
          </w:tcPr>
          <w:p w14:paraId="140B8C5A" w14:textId="77777777" w:rsidR="008B375F" w:rsidRDefault="008B375F" w:rsidP="00696709">
            <w:pPr>
              <w:rPr>
                <w:sz w:val="20"/>
                <w:szCs w:val="20"/>
              </w:rPr>
            </w:pPr>
            <w:r>
              <w:rPr>
                <w:sz w:val="20"/>
                <w:szCs w:val="20"/>
              </w:rPr>
              <w:t>Governance Global Practice (GG013)</w:t>
            </w:r>
          </w:p>
        </w:tc>
      </w:tr>
      <w:tr w:rsidR="008B375F" w14:paraId="387153E5" w14:textId="77777777" w:rsidTr="00696709">
        <w:trPr>
          <w:gridAfter w:val="2"/>
          <w:wAfter w:w="221" w:type="dxa"/>
        </w:trPr>
        <w:tc>
          <w:tcPr>
            <w:tcW w:w="9719" w:type="dxa"/>
            <w:tcBorders>
              <w:top w:val="nil"/>
              <w:left w:val="nil"/>
              <w:bottom w:val="nil"/>
              <w:right w:val="nil"/>
            </w:tcBorders>
            <w:shd w:val="clear" w:color="auto" w:fill="FFFFFF"/>
            <w:tcMar>
              <w:top w:w="50" w:type="dxa"/>
              <w:left w:w="50" w:type="dxa"/>
              <w:bottom w:w="50" w:type="dxa"/>
              <w:right w:w="50" w:type="dxa"/>
            </w:tcMar>
            <w:vAlign w:val="center"/>
          </w:tcPr>
          <w:p w14:paraId="0FBBF34C" w14:textId="77777777" w:rsidR="008B375F" w:rsidRDefault="008B375F" w:rsidP="00696709">
            <w:pPr>
              <w:rPr>
                <w:sz w:val="20"/>
                <w:szCs w:val="20"/>
              </w:rPr>
            </w:pPr>
            <w:r>
              <w:rPr>
                <w:sz w:val="20"/>
                <w:szCs w:val="20"/>
              </w:rPr>
              <w:t>AFRICA</w:t>
            </w:r>
          </w:p>
        </w:tc>
      </w:tr>
      <w:tr w:rsidR="008B375F" w14:paraId="644F6904" w14:textId="77777777" w:rsidTr="00696709">
        <w:tc>
          <w:tcPr>
            <w:tcW w:w="9940" w:type="dxa"/>
            <w:gridSpan w:val="3"/>
            <w:tcBorders>
              <w:top w:val="nil"/>
              <w:left w:val="nil"/>
              <w:bottom w:val="nil"/>
              <w:right w:val="nil"/>
            </w:tcBorders>
            <w:shd w:val="clear" w:color="auto" w:fill="FFFFFF"/>
            <w:tcMar>
              <w:top w:w="50" w:type="dxa"/>
              <w:left w:w="50" w:type="dxa"/>
              <w:bottom w:w="50" w:type="dxa"/>
              <w:right w:w="50" w:type="dxa"/>
            </w:tcMar>
            <w:vAlign w:val="center"/>
          </w:tcPr>
          <w:p w14:paraId="6EAC5540" w14:textId="77777777" w:rsidR="008B375F" w:rsidRDefault="008B375F" w:rsidP="00696709">
            <w:pPr>
              <w:rPr>
                <w:rFonts w:ascii="Times" w:hAnsi="Times" w:cs="Times"/>
                <w:color w:val="FFFFFF"/>
                <w:sz w:val="20"/>
                <w:szCs w:val="20"/>
              </w:rPr>
            </w:pPr>
            <w:r>
              <w:rPr>
                <w:rFonts w:ascii="Times" w:hAnsi="Times" w:cs="Times"/>
                <w:color w:val="FFFFFF"/>
                <w:sz w:val="20"/>
                <w:szCs w:val="20"/>
              </w:rPr>
              <w:t>.</w:t>
            </w:r>
          </w:p>
        </w:tc>
      </w:tr>
      <w:tr w:rsidR="008B375F" w14:paraId="2A0D6E59" w14:textId="77777777" w:rsidTr="00696709">
        <w:trPr>
          <w:gridAfter w:val="2"/>
          <w:wAfter w:w="221" w:type="dxa"/>
        </w:trPr>
        <w:tc>
          <w:tcPr>
            <w:tcW w:w="9719" w:type="dxa"/>
            <w:tcBorders>
              <w:top w:val="nil"/>
              <w:left w:val="nil"/>
              <w:bottom w:val="nil"/>
              <w:right w:val="nil"/>
            </w:tcBorders>
            <w:shd w:val="clear" w:color="auto" w:fill="FFFFFF"/>
            <w:tcMar>
              <w:top w:w="50" w:type="dxa"/>
              <w:left w:w="50" w:type="dxa"/>
              <w:bottom w:w="50" w:type="dxa"/>
              <w:right w:w="50" w:type="dxa"/>
            </w:tcMar>
            <w:vAlign w:val="center"/>
          </w:tcPr>
          <w:p w14:paraId="557CA687" w14:textId="77777777" w:rsidR="008B375F" w:rsidRDefault="008B375F" w:rsidP="00696709">
            <w:pPr>
              <w:spacing w:line="320" w:lineRule="atLeast"/>
              <w:rPr>
                <w:rFonts w:ascii="Times New Roman" w:hAnsi="Times New Roman" w:cs="Times New Roman"/>
              </w:rPr>
            </w:pPr>
            <w:r>
              <w:rPr>
                <w:rFonts w:ascii="Times New Roman" w:hAnsi="Times New Roman" w:cs="Times New Roman"/>
                <w:noProof/>
              </w:rPr>
              <w:drawing>
                <wp:inline distT="0" distB="0" distL="0" distR="0" wp14:anchorId="17C8A801" wp14:editId="07E1E49D">
                  <wp:extent cx="638175" cy="62865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 cy="628650"/>
                          </a:xfrm>
                          <a:prstGeom prst="rect">
                            <a:avLst/>
                          </a:prstGeom>
                          <a:noFill/>
                          <a:ln>
                            <a:noFill/>
                          </a:ln>
                        </pic:spPr>
                      </pic:pic>
                    </a:graphicData>
                  </a:graphic>
                </wp:inline>
              </w:drawing>
            </w:r>
          </w:p>
        </w:tc>
      </w:tr>
      <w:tr w:rsidR="008B375F" w:rsidRPr="00C21FBB" w14:paraId="550B5397" w14:textId="77777777" w:rsidTr="00696709">
        <w:tc>
          <w:tcPr>
            <w:tcW w:w="9940" w:type="dxa"/>
            <w:gridSpan w:val="3"/>
            <w:tcBorders>
              <w:top w:val="nil"/>
              <w:left w:val="nil"/>
              <w:bottom w:val="nil"/>
              <w:right w:val="nil"/>
            </w:tcBorders>
            <w:shd w:val="clear" w:color="auto" w:fill="FFFFFF"/>
            <w:tcMar>
              <w:top w:w="50" w:type="dxa"/>
              <w:left w:w="50" w:type="dxa"/>
              <w:bottom w:w="50" w:type="dxa"/>
              <w:right w:w="50" w:type="dxa"/>
            </w:tcMar>
            <w:vAlign w:val="center"/>
          </w:tcPr>
          <w:p w14:paraId="000C21FF" w14:textId="77777777" w:rsidR="008B375F" w:rsidRDefault="008B375F" w:rsidP="00696709">
            <w:pPr>
              <w:rPr>
                <w:rFonts w:ascii="Times" w:hAnsi="Times" w:cs="Times"/>
                <w:color w:val="FFFFFF"/>
                <w:sz w:val="40"/>
                <w:szCs w:val="40"/>
              </w:rPr>
            </w:pPr>
          </w:p>
          <w:p w14:paraId="604F15FC" w14:textId="77777777" w:rsidR="008B375F" w:rsidRPr="00C21FBB" w:rsidRDefault="008B375F" w:rsidP="00696709">
            <w:pPr>
              <w:rPr>
                <w:rFonts w:ascii="Times" w:hAnsi="Times" w:cs="Times"/>
                <w:color w:val="FFFFFF"/>
                <w:sz w:val="40"/>
                <w:szCs w:val="40"/>
              </w:rPr>
            </w:pPr>
          </w:p>
        </w:tc>
      </w:tr>
      <w:tr w:rsidR="008B375F" w14:paraId="4B6BAEA9" w14:textId="77777777" w:rsidTr="00696709">
        <w:tc>
          <w:tcPr>
            <w:tcW w:w="9940" w:type="dxa"/>
            <w:gridSpan w:val="3"/>
            <w:tcBorders>
              <w:top w:val="nil"/>
              <w:left w:val="nil"/>
              <w:bottom w:val="nil"/>
              <w:right w:val="nil"/>
            </w:tcBorders>
            <w:shd w:val="clear" w:color="auto" w:fill="FFFFFF"/>
            <w:tcMar>
              <w:top w:w="50" w:type="dxa"/>
              <w:left w:w="50" w:type="dxa"/>
              <w:bottom w:w="50" w:type="dxa"/>
              <w:right w:w="50" w:type="dxa"/>
            </w:tcMar>
            <w:vAlign w:val="center"/>
          </w:tcPr>
          <w:p w14:paraId="2E92A90A" w14:textId="77777777" w:rsidR="008B375F" w:rsidRDefault="008B375F" w:rsidP="00696709">
            <w:pPr>
              <w:rPr>
                <w:rFonts w:ascii="Times" w:hAnsi="Times" w:cs="Times"/>
                <w:color w:val="FFFFFF"/>
                <w:sz w:val="20"/>
                <w:szCs w:val="20"/>
              </w:rPr>
            </w:pPr>
            <w:r>
              <w:rPr>
                <w:rFonts w:ascii="Times" w:hAnsi="Times" w:cs="Times"/>
                <w:color w:val="FFFFFF"/>
                <w:sz w:val="20"/>
                <w:szCs w:val="20"/>
              </w:rPr>
              <w:t>.</w:t>
            </w:r>
          </w:p>
        </w:tc>
      </w:tr>
      <w:tr w:rsidR="008B375F" w14:paraId="6DEB6154" w14:textId="77777777" w:rsidTr="00696709">
        <w:trPr>
          <w:gridAfter w:val="1"/>
          <w:wAfter w:w="120" w:type="dxa"/>
        </w:trPr>
        <w:tc>
          <w:tcPr>
            <w:tcW w:w="9820" w:type="dxa"/>
            <w:gridSpan w:val="2"/>
            <w:tcBorders>
              <w:top w:val="nil"/>
              <w:left w:val="nil"/>
              <w:bottom w:val="nil"/>
              <w:right w:val="nil"/>
            </w:tcBorders>
            <w:shd w:val="clear" w:color="auto" w:fill="FFFFFF"/>
            <w:tcMar>
              <w:top w:w="50" w:type="dxa"/>
              <w:left w:w="50" w:type="dxa"/>
              <w:bottom w:w="50" w:type="dxa"/>
              <w:right w:w="50" w:type="dxa"/>
            </w:tcMar>
            <w:vAlign w:val="center"/>
          </w:tcPr>
          <w:p w14:paraId="7D1874EA" w14:textId="77777777" w:rsidR="008B375F" w:rsidRDefault="008B375F" w:rsidP="00696709">
            <w:pPr>
              <w:rPr>
                <w:b/>
                <w:bCs/>
                <w:color w:val="245086"/>
                <w:sz w:val="18"/>
                <w:szCs w:val="18"/>
              </w:rPr>
            </w:pPr>
          </w:p>
          <w:p w14:paraId="2E4A27F3" w14:textId="77777777" w:rsidR="008B375F" w:rsidRDefault="008B375F" w:rsidP="00696709">
            <w:pPr>
              <w:rPr>
                <w:color w:val="245086"/>
                <w:sz w:val="18"/>
                <w:szCs w:val="18"/>
              </w:rPr>
            </w:pPr>
            <w:r>
              <w:rPr>
                <w:b/>
                <w:bCs/>
                <w:color w:val="245086"/>
                <w:sz w:val="18"/>
                <w:szCs w:val="18"/>
              </w:rPr>
              <w:lastRenderedPageBreak/>
              <w:t>Standard Disclaimer:</w:t>
            </w:r>
          </w:p>
        </w:tc>
      </w:tr>
      <w:tr w:rsidR="008B375F" w14:paraId="2F7DD5B3" w14:textId="77777777" w:rsidTr="00696709">
        <w:tc>
          <w:tcPr>
            <w:tcW w:w="9940" w:type="dxa"/>
            <w:gridSpan w:val="3"/>
            <w:tcBorders>
              <w:top w:val="nil"/>
              <w:left w:val="nil"/>
              <w:bottom w:val="nil"/>
              <w:right w:val="nil"/>
            </w:tcBorders>
            <w:shd w:val="clear" w:color="auto" w:fill="FFFFFF"/>
            <w:tcMar>
              <w:top w:w="50" w:type="dxa"/>
              <w:left w:w="50" w:type="dxa"/>
              <w:bottom w:w="50" w:type="dxa"/>
              <w:right w:w="50" w:type="dxa"/>
            </w:tcMar>
            <w:vAlign w:val="center"/>
          </w:tcPr>
          <w:p w14:paraId="7A01BB5D" w14:textId="77777777" w:rsidR="008B375F" w:rsidRDefault="008B375F" w:rsidP="00696709">
            <w:pPr>
              <w:rPr>
                <w:rFonts w:ascii="Times" w:hAnsi="Times" w:cs="Times"/>
                <w:color w:val="FFFFFF"/>
                <w:sz w:val="20"/>
                <w:szCs w:val="20"/>
              </w:rPr>
            </w:pPr>
            <w:r>
              <w:rPr>
                <w:rFonts w:ascii="Times" w:hAnsi="Times" w:cs="Times"/>
                <w:color w:val="FFFFFF"/>
                <w:sz w:val="20"/>
                <w:szCs w:val="20"/>
              </w:rPr>
              <w:lastRenderedPageBreak/>
              <w:t>.</w:t>
            </w:r>
          </w:p>
        </w:tc>
      </w:tr>
      <w:tr w:rsidR="008B375F" w14:paraId="72F3FFF2" w14:textId="77777777" w:rsidTr="00696709">
        <w:trPr>
          <w:gridAfter w:val="1"/>
          <w:wAfter w:w="120" w:type="dxa"/>
        </w:trPr>
        <w:tc>
          <w:tcPr>
            <w:tcW w:w="9820" w:type="dxa"/>
            <w:gridSpan w:val="2"/>
            <w:tcBorders>
              <w:top w:val="nil"/>
              <w:left w:val="nil"/>
              <w:bottom w:val="nil"/>
              <w:right w:val="nil"/>
            </w:tcBorders>
            <w:shd w:val="clear" w:color="auto" w:fill="FFFFFF"/>
            <w:tcMar>
              <w:top w:w="50" w:type="dxa"/>
              <w:left w:w="50" w:type="dxa"/>
              <w:bottom w:w="50" w:type="dxa"/>
              <w:right w:w="50" w:type="dxa"/>
            </w:tcMar>
            <w:vAlign w:val="center"/>
          </w:tcPr>
          <w:p w14:paraId="097BF1B2" w14:textId="77777777" w:rsidR="008B375F" w:rsidRDefault="008B375F" w:rsidP="00696709">
            <w:pPr>
              <w:jc w:val="both"/>
              <w:rPr>
                <w:sz w:val="18"/>
                <w:szCs w:val="18"/>
              </w:rPr>
            </w:pPr>
            <w:r>
              <w:rPr>
                <w:sz w:val="18"/>
                <w:szCs w:val="18"/>
              </w:rPr>
              <w:t>This volume is a product of the staff of the International Bank for Reconstruction and Development/ The World Bank. The findings, interpretations, and conclusions expressed in this paper do not necessarily reflect the views of the Executive Directors of The World Bank or the governments they represent. The World Bank does not guarantee the accuracy of the data included in this work. The boundaries, colors, denominations, and other information shown on any map in this work do not imply any judgment on the part of The World Bank concerning the legal status of any territory or the endorsement or acceptance of such boundaries.</w:t>
            </w:r>
          </w:p>
        </w:tc>
      </w:tr>
      <w:tr w:rsidR="008B375F" w14:paraId="6E5324C5" w14:textId="77777777" w:rsidTr="00696709">
        <w:tc>
          <w:tcPr>
            <w:tcW w:w="9940" w:type="dxa"/>
            <w:gridSpan w:val="3"/>
            <w:tcBorders>
              <w:top w:val="nil"/>
              <w:left w:val="nil"/>
              <w:bottom w:val="nil"/>
              <w:right w:val="nil"/>
            </w:tcBorders>
            <w:shd w:val="clear" w:color="auto" w:fill="FFFFFF"/>
            <w:tcMar>
              <w:top w:w="50" w:type="dxa"/>
              <w:left w:w="50" w:type="dxa"/>
              <w:bottom w:w="50" w:type="dxa"/>
              <w:right w:w="50" w:type="dxa"/>
            </w:tcMar>
            <w:vAlign w:val="center"/>
          </w:tcPr>
          <w:p w14:paraId="15AECF4B" w14:textId="77777777" w:rsidR="008B375F" w:rsidRDefault="008B375F" w:rsidP="00696709">
            <w:pPr>
              <w:rPr>
                <w:rFonts w:ascii="Times" w:hAnsi="Times" w:cs="Times"/>
                <w:color w:val="FFFFFF"/>
                <w:sz w:val="20"/>
                <w:szCs w:val="20"/>
              </w:rPr>
            </w:pPr>
            <w:r>
              <w:rPr>
                <w:rFonts w:ascii="Times" w:hAnsi="Times" w:cs="Times"/>
                <w:color w:val="FFFFFF"/>
                <w:sz w:val="20"/>
                <w:szCs w:val="20"/>
              </w:rPr>
              <w:t>.</w:t>
            </w:r>
          </w:p>
        </w:tc>
      </w:tr>
      <w:tr w:rsidR="008B375F" w14:paraId="225BF899" w14:textId="77777777" w:rsidTr="00696709">
        <w:trPr>
          <w:gridAfter w:val="1"/>
          <w:wAfter w:w="120" w:type="dxa"/>
        </w:trPr>
        <w:tc>
          <w:tcPr>
            <w:tcW w:w="9820" w:type="dxa"/>
            <w:gridSpan w:val="2"/>
            <w:tcBorders>
              <w:top w:val="nil"/>
              <w:left w:val="nil"/>
              <w:bottom w:val="nil"/>
              <w:right w:val="nil"/>
            </w:tcBorders>
            <w:shd w:val="clear" w:color="auto" w:fill="FFFFFF"/>
            <w:tcMar>
              <w:top w:w="50" w:type="dxa"/>
              <w:left w:w="50" w:type="dxa"/>
              <w:bottom w:w="50" w:type="dxa"/>
              <w:right w:w="50" w:type="dxa"/>
            </w:tcMar>
            <w:vAlign w:val="center"/>
          </w:tcPr>
          <w:p w14:paraId="06B68012" w14:textId="77777777" w:rsidR="008B375F" w:rsidRDefault="008B375F" w:rsidP="00696709">
            <w:pPr>
              <w:ind w:left="-40" w:hanging="391"/>
              <w:rPr>
                <w:color w:val="245086"/>
                <w:sz w:val="18"/>
                <w:szCs w:val="18"/>
              </w:rPr>
            </w:pPr>
            <w:r>
              <w:rPr>
                <w:b/>
                <w:bCs/>
                <w:color w:val="245086"/>
                <w:sz w:val="18"/>
                <w:szCs w:val="18"/>
              </w:rPr>
              <w:t xml:space="preserve">          Copyright Statement:</w:t>
            </w:r>
          </w:p>
        </w:tc>
      </w:tr>
      <w:tr w:rsidR="008B375F" w14:paraId="2DFFAEE6" w14:textId="77777777" w:rsidTr="00696709">
        <w:tc>
          <w:tcPr>
            <w:tcW w:w="9940" w:type="dxa"/>
            <w:gridSpan w:val="3"/>
            <w:tcBorders>
              <w:top w:val="nil"/>
              <w:left w:val="nil"/>
              <w:bottom w:val="nil"/>
              <w:right w:val="nil"/>
            </w:tcBorders>
            <w:shd w:val="clear" w:color="auto" w:fill="FFFFFF"/>
            <w:tcMar>
              <w:top w:w="50" w:type="dxa"/>
              <w:left w:w="50" w:type="dxa"/>
              <w:bottom w:w="50" w:type="dxa"/>
              <w:right w:w="50" w:type="dxa"/>
            </w:tcMar>
            <w:vAlign w:val="center"/>
          </w:tcPr>
          <w:p w14:paraId="3D5CD90D" w14:textId="77777777" w:rsidR="008B375F" w:rsidRDefault="008B375F" w:rsidP="00696709">
            <w:pPr>
              <w:rPr>
                <w:rFonts w:ascii="Times" w:hAnsi="Times" w:cs="Times"/>
                <w:color w:val="FFFFFF"/>
                <w:sz w:val="20"/>
                <w:szCs w:val="20"/>
              </w:rPr>
            </w:pPr>
            <w:r>
              <w:rPr>
                <w:rFonts w:ascii="Times" w:hAnsi="Times" w:cs="Times"/>
                <w:color w:val="FFFFFF"/>
                <w:sz w:val="20"/>
                <w:szCs w:val="20"/>
              </w:rPr>
              <w:t>.</w:t>
            </w:r>
          </w:p>
        </w:tc>
      </w:tr>
      <w:tr w:rsidR="008B375F" w14:paraId="0BAA1A89" w14:textId="77777777" w:rsidTr="00696709">
        <w:trPr>
          <w:gridAfter w:val="1"/>
          <w:wAfter w:w="120" w:type="dxa"/>
        </w:trPr>
        <w:tc>
          <w:tcPr>
            <w:tcW w:w="9820" w:type="dxa"/>
            <w:gridSpan w:val="2"/>
            <w:tcBorders>
              <w:top w:val="nil"/>
              <w:left w:val="nil"/>
              <w:bottom w:val="nil"/>
              <w:right w:val="nil"/>
            </w:tcBorders>
            <w:shd w:val="clear" w:color="auto" w:fill="FFFFFF"/>
            <w:tcMar>
              <w:top w:w="50" w:type="dxa"/>
              <w:left w:w="50" w:type="dxa"/>
              <w:bottom w:w="50" w:type="dxa"/>
              <w:right w:w="50" w:type="dxa"/>
            </w:tcMar>
            <w:vAlign w:val="center"/>
          </w:tcPr>
          <w:p w14:paraId="44E58BF7" w14:textId="77777777" w:rsidR="008B375F" w:rsidRDefault="008B375F" w:rsidP="00696709">
            <w:pPr>
              <w:spacing w:line="240" w:lineRule="atLeast"/>
              <w:jc w:val="both"/>
              <w:rPr>
                <w:rFonts w:ascii="Times New Roman" w:hAnsi="Times New Roman" w:cs="Times New Roman"/>
                <w:sz w:val="18"/>
                <w:szCs w:val="18"/>
              </w:rPr>
            </w:pPr>
            <w:r>
              <w:rPr>
                <w:sz w:val="18"/>
                <w:szCs w:val="18"/>
              </w:rPr>
              <w:t>The material in this publication is copyrighted. Copying and/or transmitting portions or all of this work without permission may be a violation of applicable law. The International Bank for Reconstruction and Development/ The World Bank encourages dissemination of its work and will normally grant permission to reproduce portions of the work promptly.</w:t>
            </w:r>
          </w:p>
          <w:p w14:paraId="3537577A" w14:textId="77777777" w:rsidR="008B375F" w:rsidRDefault="008B375F" w:rsidP="00696709">
            <w:pPr>
              <w:spacing w:line="240" w:lineRule="atLeast"/>
              <w:jc w:val="both"/>
              <w:rPr>
                <w:rFonts w:ascii="Times New Roman" w:hAnsi="Times New Roman" w:cs="Times New Roman"/>
                <w:sz w:val="18"/>
                <w:szCs w:val="18"/>
              </w:rPr>
            </w:pPr>
          </w:p>
          <w:p w14:paraId="2723A782" w14:textId="77777777" w:rsidR="008B375F" w:rsidRDefault="008B375F" w:rsidP="00696709">
            <w:pPr>
              <w:spacing w:line="240" w:lineRule="atLeast"/>
              <w:jc w:val="both"/>
              <w:rPr>
                <w:rFonts w:ascii="Times New Roman" w:hAnsi="Times New Roman" w:cs="Times New Roman"/>
                <w:sz w:val="18"/>
                <w:szCs w:val="18"/>
              </w:rPr>
            </w:pPr>
            <w:r>
              <w:rPr>
                <w:sz w:val="18"/>
                <w:szCs w:val="18"/>
              </w:rPr>
              <w:t xml:space="preserve">For permission to photocopy or reprint any part of this work, please send a request with complete information to the Copyright Clearance Center, Inc., 222 Rosewood Drive, Danvers, MA 01923, USA, telephone 978-750-8400, fax 978-750-4470, </w:t>
            </w:r>
            <w:hyperlink r:id="rId12" w:history="1">
              <w:r>
                <w:rPr>
                  <w:color w:val="000099"/>
                  <w:sz w:val="18"/>
                  <w:szCs w:val="18"/>
                  <w:u w:val="single"/>
                </w:rPr>
                <w:t>http://www.copyright.com/.</w:t>
              </w:r>
            </w:hyperlink>
          </w:p>
          <w:p w14:paraId="1DDDE4F2" w14:textId="77777777" w:rsidR="008B375F" w:rsidRDefault="008B375F" w:rsidP="00696709">
            <w:pPr>
              <w:spacing w:line="240" w:lineRule="atLeast"/>
              <w:jc w:val="both"/>
              <w:rPr>
                <w:rFonts w:ascii="Times New Roman" w:hAnsi="Times New Roman" w:cs="Times New Roman"/>
                <w:sz w:val="18"/>
                <w:szCs w:val="18"/>
              </w:rPr>
            </w:pPr>
          </w:p>
          <w:p w14:paraId="64A4CCA9" w14:textId="77777777" w:rsidR="008B375F" w:rsidRDefault="008B375F" w:rsidP="00696709">
            <w:pPr>
              <w:spacing w:line="240" w:lineRule="atLeast"/>
              <w:jc w:val="both"/>
              <w:rPr>
                <w:rFonts w:ascii="Times New Roman" w:hAnsi="Times New Roman" w:cs="Times New Roman"/>
                <w:sz w:val="18"/>
                <w:szCs w:val="18"/>
              </w:rPr>
            </w:pPr>
            <w:r>
              <w:rPr>
                <w:sz w:val="18"/>
                <w:szCs w:val="18"/>
              </w:rPr>
              <w:t xml:space="preserve">All other queries on rights and licenses, including subsidiary rights, should be addressed to the Office of the Publisher, The World Bank, 1818 H Street NW, Washington, DC 20433, USA, fax 202-522-2422, e-mail </w:t>
            </w:r>
            <w:hyperlink r:id="rId13" w:history="1">
              <w:r>
                <w:rPr>
                  <w:color w:val="000099"/>
                  <w:sz w:val="18"/>
                  <w:szCs w:val="18"/>
                  <w:u w:val="single"/>
                </w:rPr>
                <w:t>pubrights@worldbank.org.</w:t>
              </w:r>
            </w:hyperlink>
          </w:p>
          <w:p w14:paraId="214C6ACE" w14:textId="77777777" w:rsidR="008B375F" w:rsidRDefault="008B375F" w:rsidP="00696709">
            <w:pPr>
              <w:spacing w:line="240" w:lineRule="atLeast"/>
              <w:jc w:val="both"/>
              <w:rPr>
                <w:rFonts w:ascii="Times New Roman" w:hAnsi="Times New Roman" w:cs="Times New Roman"/>
                <w:sz w:val="18"/>
                <w:szCs w:val="18"/>
              </w:rPr>
            </w:pPr>
          </w:p>
        </w:tc>
      </w:tr>
    </w:tbl>
    <w:p w14:paraId="0E3C540D" w14:textId="3B71257B" w:rsidR="008B375F" w:rsidRDefault="008B375F">
      <w:pPr>
        <w:spacing w:after="160" w:line="259" w:lineRule="auto"/>
        <w:rPr>
          <w:b/>
          <w:color w:val="2E74B5" w:themeColor="accent1" w:themeShade="BF"/>
          <w:sz w:val="44"/>
          <w:szCs w:val="44"/>
        </w:rPr>
      </w:pPr>
    </w:p>
    <w:p w14:paraId="437A604E" w14:textId="77777777" w:rsidR="008B375F" w:rsidRDefault="008B375F">
      <w:pPr>
        <w:spacing w:after="160" w:line="259" w:lineRule="auto"/>
        <w:rPr>
          <w:b/>
          <w:color w:val="2E74B5" w:themeColor="accent1" w:themeShade="BF"/>
          <w:sz w:val="44"/>
          <w:szCs w:val="44"/>
        </w:rPr>
      </w:pPr>
    </w:p>
    <w:p w14:paraId="48CD5FAF" w14:textId="77777777" w:rsidR="008B375F" w:rsidRDefault="008B375F">
      <w:pPr>
        <w:spacing w:after="160" w:line="259" w:lineRule="auto"/>
        <w:rPr>
          <w:b/>
          <w:color w:val="2E74B5" w:themeColor="accent1" w:themeShade="BF"/>
          <w:sz w:val="44"/>
          <w:szCs w:val="44"/>
        </w:rPr>
      </w:pPr>
    </w:p>
    <w:p w14:paraId="09DCA421" w14:textId="77777777" w:rsidR="008B375F" w:rsidRDefault="008B375F">
      <w:pPr>
        <w:spacing w:after="160" w:line="259" w:lineRule="auto"/>
        <w:rPr>
          <w:b/>
          <w:color w:val="2E74B5" w:themeColor="accent1" w:themeShade="BF"/>
          <w:sz w:val="44"/>
          <w:szCs w:val="44"/>
        </w:rPr>
      </w:pPr>
    </w:p>
    <w:p w14:paraId="70913A83" w14:textId="77777777" w:rsidR="008B375F" w:rsidRDefault="008B375F">
      <w:pPr>
        <w:spacing w:after="160" w:line="259" w:lineRule="auto"/>
        <w:rPr>
          <w:b/>
          <w:color w:val="2E74B5" w:themeColor="accent1" w:themeShade="BF"/>
          <w:sz w:val="44"/>
          <w:szCs w:val="44"/>
        </w:rPr>
      </w:pPr>
    </w:p>
    <w:p w14:paraId="0E7E9A18" w14:textId="77777777" w:rsidR="008B375F" w:rsidRDefault="008B375F">
      <w:pPr>
        <w:spacing w:after="160" w:line="259" w:lineRule="auto"/>
        <w:rPr>
          <w:b/>
          <w:color w:val="2E74B5" w:themeColor="accent1" w:themeShade="BF"/>
          <w:sz w:val="44"/>
          <w:szCs w:val="44"/>
        </w:rPr>
      </w:pPr>
    </w:p>
    <w:p w14:paraId="73CE1BEB" w14:textId="220E00AB" w:rsidR="00A56EDD" w:rsidRPr="002256BD" w:rsidRDefault="00A56EDD" w:rsidP="002256BD">
      <w:pPr>
        <w:jc w:val="center"/>
        <w:rPr>
          <w:b/>
          <w:color w:val="2E74B5" w:themeColor="accent1" w:themeShade="BF"/>
          <w:sz w:val="44"/>
          <w:szCs w:val="44"/>
        </w:rPr>
      </w:pPr>
      <w:r w:rsidRPr="002256BD">
        <w:rPr>
          <w:b/>
          <w:color w:val="2E74B5" w:themeColor="accent1" w:themeShade="BF"/>
          <w:sz w:val="44"/>
          <w:szCs w:val="44"/>
        </w:rPr>
        <w:lastRenderedPageBreak/>
        <w:t>South Sudan:</w:t>
      </w:r>
    </w:p>
    <w:p w14:paraId="4511F3FE" w14:textId="77777777" w:rsidR="00A56EDD" w:rsidRPr="002256BD" w:rsidRDefault="00A56EDD" w:rsidP="002256BD">
      <w:pPr>
        <w:jc w:val="center"/>
        <w:rPr>
          <w:b/>
          <w:color w:val="2E74B5" w:themeColor="accent1" w:themeShade="BF"/>
          <w:sz w:val="44"/>
          <w:szCs w:val="44"/>
        </w:rPr>
      </w:pPr>
      <w:r w:rsidRPr="002256BD">
        <w:rPr>
          <w:b/>
          <w:color w:val="2E74B5" w:themeColor="accent1" w:themeShade="BF"/>
          <w:sz w:val="44"/>
          <w:szCs w:val="44"/>
        </w:rPr>
        <w:t>Improving Human Resource Management for Strengthened Service Delivery</w:t>
      </w:r>
    </w:p>
    <w:p w14:paraId="5CCA2738" w14:textId="77777777" w:rsidR="00A56EDD" w:rsidRPr="00F35006" w:rsidRDefault="00A56EDD" w:rsidP="00A56EDD"/>
    <w:p w14:paraId="524F8847" w14:textId="77777777" w:rsidR="00A56EDD" w:rsidRPr="00B513F4" w:rsidRDefault="00A56EDD" w:rsidP="00A56EDD">
      <w:pPr>
        <w:jc w:val="center"/>
        <w:rPr>
          <w:rFonts w:ascii="Times New Roman" w:hAnsi="Times New Roman" w:cs="Times New Roman"/>
          <w:b/>
          <w:sz w:val="28"/>
          <w:szCs w:val="28"/>
        </w:rPr>
      </w:pPr>
      <w:r>
        <w:rPr>
          <w:noProof/>
        </w:rPr>
        <w:drawing>
          <wp:inline distT="0" distB="0" distL="0" distR="0" wp14:anchorId="7D2DC506" wp14:editId="5FEC6972">
            <wp:extent cx="5943600" cy="3646835"/>
            <wp:effectExtent l="0" t="0" r="0" b="0"/>
            <wp:docPr id="53" name="Picture 53" descr="C:\Users\wb263896\AppData\Local\Microsoft\Windows\Temporary Internet Files\Content.Word\picture on payro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b263896\AppData\Local\Microsoft\Windows\Temporary Internet Files\Content.Word\picture on payrol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646835"/>
                    </a:xfrm>
                    <a:prstGeom prst="rect">
                      <a:avLst/>
                    </a:prstGeom>
                    <a:noFill/>
                    <a:ln>
                      <a:noFill/>
                    </a:ln>
                  </pic:spPr>
                </pic:pic>
              </a:graphicData>
            </a:graphic>
          </wp:inline>
        </w:drawing>
      </w:r>
    </w:p>
    <w:p w14:paraId="502BEC13" w14:textId="77777777" w:rsidR="00A56EDD" w:rsidRDefault="00A56EDD" w:rsidP="00A56EDD">
      <w:pPr>
        <w:jc w:val="center"/>
        <w:rPr>
          <w:b/>
          <w:sz w:val="28"/>
        </w:rPr>
      </w:pPr>
    </w:p>
    <w:p w14:paraId="400C7E67" w14:textId="66674325" w:rsidR="00A56EDD" w:rsidRPr="00643798" w:rsidRDefault="00A56EDD" w:rsidP="00A56EDD">
      <w:pPr>
        <w:jc w:val="center"/>
        <w:rPr>
          <w:b/>
          <w:sz w:val="28"/>
        </w:rPr>
      </w:pPr>
      <w:r w:rsidRPr="007F783F">
        <w:rPr>
          <w:b/>
          <w:sz w:val="28"/>
        </w:rPr>
        <w:t>2015</w:t>
      </w:r>
    </w:p>
    <w:p w14:paraId="3A5A05AB" w14:textId="77777777" w:rsidR="00A56EDD" w:rsidRDefault="00A56EDD" w:rsidP="00A56EDD">
      <w:pPr>
        <w:jc w:val="center"/>
        <w:rPr>
          <w:rFonts w:ascii="Calibri" w:hAnsi="Calibri" w:cs="Calibri"/>
          <w:color w:val="000000"/>
          <w:sz w:val="32"/>
        </w:rPr>
      </w:pPr>
      <w:r w:rsidRPr="007F783F">
        <w:rPr>
          <w:rFonts w:ascii="Calibri" w:hAnsi="Calibri" w:cs="Calibri"/>
          <w:color w:val="000000"/>
          <w:sz w:val="32"/>
        </w:rPr>
        <w:t>Governance Global Practice</w:t>
      </w:r>
    </w:p>
    <w:p w14:paraId="2287DBD4" w14:textId="77777777" w:rsidR="00875DF8" w:rsidRDefault="00875DF8" w:rsidP="00A56EDD">
      <w:pPr>
        <w:jc w:val="center"/>
        <w:rPr>
          <w:rFonts w:ascii="Calibri" w:hAnsi="Calibri" w:cs="Calibri"/>
          <w:color w:val="000000"/>
          <w:sz w:val="32"/>
        </w:rPr>
      </w:pPr>
    </w:p>
    <w:p w14:paraId="51091162" w14:textId="77777777" w:rsidR="00875DF8" w:rsidRDefault="00875DF8" w:rsidP="00A56EDD">
      <w:pPr>
        <w:jc w:val="center"/>
        <w:rPr>
          <w:rFonts w:ascii="Calibri" w:hAnsi="Calibri" w:cs="Calibri"/>
          <w:color w:val="000000"/>
          <w:sz w:val="32"/>
        </w:rPr>
      </w:pPr>
    </w:p>
    <w:p w14:paraId="2A983934" w14:textId="77777777" w:rsidR="00A56EDD" w:rsidRDefault="00A56EDD" w:rsidP="00A56EDD">
      <w:r w:rsidRPr="00C548DA">
        <w:rPr>
          <w:noProof/>
        </w:rPr>
        <w:drawing>
          <wp:inline distT="0" distB="0" distL="0" distR="0" wp14:anchorId="0B961468" wp14:editId="17999307">
            <wp:extent cx="3067050" cy="600075"/>
            <wp:effectExtent l="0" t="0" r="0" b="9525"/>
            <wp:docPr id="47" name="Picture 47" descr="C:\Users\wb263896\WinRAR-HOLD\Rar$DI70.368\WBG_Horizontal-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b263896\WinRAR-HOLD\Rar$DI70.368\WBG_Horizontal-RG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67050" cy="600075"/>
                    </a:xfrm>
                    <a:prstGeom prst="rect">
                      <a:avLst/>
                    </a:prstGeom>
                    <a:noFill/>
                    <a:ln>
                      <a:noFill/>
                    </a:ln>
                  </pic:spPr>
                </pic:pic>
              </a:graphicData>
            </a:graphic>
          </wp:inline>
        </w:drawing>
      </w:r>
      <w:r w:rsidRPr="00C548DA">
        <w:rPr>
          <w:noProof/>
        </w:rPr>
        <w:t xml:space="preserve"> </w:t>
      </w:r>
    </w:p>
    <w:p w14:paraId="2CD74FB1" w14:textId="77777777" w:rsidR="00A56EDD" w:rsidRPr="00B513F4" w:rsidRDefault="00A56EDD" w:rsidP="00A56EDD">
      <w:pPr>
        <w:jc w:val="center"/>
        <w:sectPr w:rsidR="00A56EDD" w:rsidRPr="00B513F4" w:rsidSect="007857CB">
          <w:footerReference w:type="default" r:id="rId16"/>
          <w:pgSz w:w="12240" w:h="15840"/>
          <w:pgMar w:top="1440" w:right="1440" w:bottom="1440" w:left="1440" w:header="720" w:footer="720" w:gutter="0"/>
          <w:cols w:space="720"/>
          <w:titlePg/>
          <w:docGrid w:linePitch="360"/>
        </w:sectPr>
      </w:pPr>
    </w:p>
    <w:sdt>
      <w:sdtPr>
        <w:rPr>
          <w:rFonts w:asciiTheme="minorHAnsi" w:eastAsiaTheme="minorHAnsi" w:hAnsiTheme="minorHAnsi" w:cstheme="minorBidi"/>
          <w:b w:val="0"/>
          <w:bCs w:val="0"/>
          <w:color w:val="auto"/>
          <w:sz w:val="22"/>
          <w:szCs w:val="22"/>
          <w:lang w:eastAsia="en-US"/>
        </w:rPr>
        <w:id w:val="2084633937"/>
        <w:docPartObj>
          <w:docPartGallery w:val="Table of Contents"/>
          <w:docPartUnique/>
        </w:docPartObj>
      </w:sdtPr>
      <w:sdtEndPr>
        <w:rPr>
          <w:noProof/>
        </w:rPr>
      </w:sdtEndPr>
      <w:sdtContent>
        <w:p w14:paraId="5B18FDEF" w14:textId="77777777" w:rsidR="00A56EDD" w:rsidRPr="00B513F4" w:rsidRDefault="00A56EDD" w:rsidP="00A56EDD">
          <w:pPr>
            <w:pStyle w:val="TOCHeading"/>
          </w:pPr>
          <w:r w:rsidRPr="00B513F4">
            <w:t>Contents</w:t>
          </w:r>
        </w:p>
        <w:p w14:paraId="28F2F210" w14:textId="77777777" w:rsidR="00957C0E" w:rsidRDefault="00A56EDD">
          <w:pPr>
            <w:pStyle w:val="TOC1"/>
            <w:tabs>
              <w:tab w:val="right" w:leader="dot" w:pos="9350"/>
            </w:tabs>
            <w:rPr>
              <w:rFonts w:eastAsiaTheme="minorEastAsia"/>
              <w:noProof/>
            </w:rPr>
          </w:pPr>
          <w:r w:rsidRPr="00B513F4">
            <w:fldChar w:fldCharType="begin"/>
          </w:r>
          <w:r w:rsidRPr="00B513F4">
            <w:instrText xml:space="preserve"> TOC \o "1-4" \h \z \u </w:instrText>
          </w:r>
          <w:r w:rsidRPr="00B513F4">
            <w:fldChar w:fldCharType="separate"/>
          </w:r>
          <w:hyperlink w:anchor="_Toc447892385" w:history="1">
            <w:r w:rsidR="00957C0E" w:rsidRPr="002B7646">
              <w:rPr>
                <w:rStyle w:val="Hyperlink"/>
                <w:noProof/>
              </w:rPr>
              <w:t>Executive Summary</w:t>
            </w:r>
            <w:r w:rsidR="00957C0E">
              <w:rPr>
                <w:noProof/>
                <w:webHidden/>
              </w:rPr>
              <w:tab/>
            </w:r>
            <w:r w:rsidR="00957C0E">
              <w:rPr>
                <w:noProof/>
                <w:webHidden/>
              </w:rPr>
              <w:fldChar w:fldCharType="begin"/>
            </w:r>
            <w:r w:rsidR="00957C0E">
              <w:rPr>
                <w:noProof/>
                <w:webHidden/>
              </w:rPr>
              <w:instrText xml:space="preserve"> PAGEREF _Toc447892385 \h </w:instrText>
            </w:r>
            <w:r w:rsidR="00957C0E">
              <w:rPr>
                <w:noProof/>
                <w:webHidden/>
              </w:rPr>
            </w:r>
            <w:r w:rsidR="00957C0E">
              <w:rPr>
                <w:noProof/>
                <w:webHidden/>
              </w:rPr>
              <w:fldChar w:fldCharType="separate"/>
            </w:r>
            <w:r w:rsidR="00957C0E">
              <w:rPr>
                <w:noProof/>
                <w:webHidden/>
              </w:rPr>
              <w:t>1</w:t>
            </w:r>
            <w:r w:rsidR="00957C0E">
              <w:rPr>
                <w:noProof/>
                <w:webHidden/>
              </w:rPr>
              <w:fldChar w:fldCharType="end"/>
            </w:r>
          </w:hyperlink>
        </w:p>
        <w:p w14:paraId="0B3D059D" w14:textId="77777777" w:rsidR="00957C0E" w:rsidRDefault="009B55BE">
          <w:pPr>
            <w:pStyle w:val="TOC2"/>
            <w:tabs>
              <w:tab w:val="left" w:pos="660"/>
              <w:tab w:val="right" w:leader="dot" w:pos="9350"/>
            </w:tabs>
            <w:rPr>
              <w:rFonts w:eastAsiaTheme="minorEastAsia"/>
              <w:noProof/>
            </w:rPr>
          </w:pPr>
          <w:hyperlink w:anchor="_Toc447892386" w:history="1">
            <w:r w:rsidR="00957C0E" w:rsidRPr="002B7646">
              <w:rPr>
                <w:rStyle w:val="Hyperlink"/>
                <w:noProof/>
              </w:rPr>
              <w:t>1.</w:t>
            </w:r>
            <w:r w:rsidR="00957C0E">
              <w:rPr>
                <w:rFonts w:eastAsiaTheme="minorEastAsia"/>
                <w:noProof/>
              </w:rPr>
              <w:tab/>
            </w:r>
            <w:r w:rsidR="00957C0E" w:rsidRPr="002B7646">
              <w:rPr>
                <w:rStyle w:val="Hyperlink"/>
                <w:noProof/>
              </w:rPr>
              <w:t>Motivation, Scope, and Limitations of the Note</w:t>
            </w:r>
            <w:r w:rsidR="00957C0E">
              <w:rPr>
                <w:noProof/>
                <w:webHidden/>
              </w:rPr>
              <w:tab/>
            </w:r>
            <w:r w:rsidR="00957C0E">
              <w:rPr>
                <w:noProof/>
                <w:webHidden/>
              </w:rPr>
              <w:fldChar w:fldCharType="begin"/>
            </w:r>
            <w:r w:rsidR="00957C0E">
              <w:rPr>
                <w:noProof/>
                <w:webHidden/>
              </w:rPr>
              <w:instrText xml:space="preserve"> PAGEREF _Toc447892386 \h </w:instrText>
            </w:r>
            <w:r w:rsidR="00957C0E">
              <w:rPr>
                <w:noProof/>
                <w:webHidden/>
              </w:rPr>
            </w:r>
            <w:r w:rsidR="00957C0E">
              <w:rPr>
                <w:noProof/>
                <w:webHidden/>
              </w:rPr>
              <w:fldChar w:fldCharType="separate"/>
            </w:r>
            <w:r w:rsidR="00957C0E">
              <w:rPr>
                <w:noProof/>
                <w:webHidden/>
              </w:rPr>
              <w:t>7</w:t>
            </w:r>
            <w:r w:rsidR="00957C0E">
              <w:rPr>
                <w:noProof/>
                <w:webHidden/>
              </w:rPr>
              <w:fldChar w:fldCharType="end"/>
            </w:r>
          </w:hyperlink>
        </w:p>
        <w:p w14:paraId="3F0D1B8C" w14:textId="77777777" w:rsidR="00957C0E" w:rsidRDefault="009B55BE">
          <w:pPr>
            <w:pStyle w:val="TOC3"/>
            <w:tabs>
              <w:tab w:val="right" w:leader="dot" w:pos="9350"/>
            </w:tabs>
            <w:rPr>
              <w:rFonts w:eastAsiaTheme="minorEastAsia"/>
              <w:noProof/>
            </w:rPr>
          </w:pPr>
          <w:hyperlink w:anchor="_Toc447892387" w:history="1">
            <w:r w:rsidR="00957C0E" w:rsidRPr="002B7646">
              <w:rPr>
                <w:rStyle w:val="Hyperlink"/>
                <w:noProof/>
              </w:rPr>
              <w:t>1.1 Conceptual underpinnings</w:t>
            </w:r>
            <w:r w:rsidR="00957C0E">
              <w:rPr>
                <w:noProof/>
                <w:webHidden/>
              </w:rPr>
              <w:tab/>
            </w:r>
            <w:r w:rsidR="00957C0E">
              <w:rPr>
                <w:noProof/>
                <w:webHidden/>
              </w:rPr>
              <w:fldChar w:fldCharType="begin"/>
            </w:r>
            <w:r w:rsidR="00957C0E">
              <w:rPr>
                <w:noProof/>
                <w:webHidden/>
              </w:rPr>
              <w:instrText xml:space="preserve"> PAGEREF _Toc447892387 \h </w:instrText>
            </w:r>
            <w:r w:rsidR="00957C0E">
              <w:rPr>
                <w:noProof/>
                <w:webHidden/>
              </w:rPr>
            </w:r>
            <w:r w:rsidR="00957C0E">
              <w:rPr>
                <w:noProof/>
                <w:webHidden/>
              </w:rPr>
              <w:fldChar w:fldCharType="separate"/>
            </w:r>
            <w:r w:rsidR="00957C0E">
              <w:rPr>
                <w:noProof/>
                <w:webHidden/>
              </w:rPr>
              <w:t>7</w:t>
            </w:r>
            <w:r w:rsidR="00957C0E">
              <w:rPr>
                <w:noProof/>
                <w:webHidden/>
              </w:rPr>
              <w:fldChar w:fldCharType="end"/>
            </w:r>
          </w:hyperlink>
        </w:p>
        <w:p w14:paraId="74E69695" w14:textId="77777777" w:rsidR="00957C0E" w:rsidRDefault="009B55BE">
          <w:pPr>
            <w:pStyle w:val="TOC2"/>
            <w:tabs>
              <w:tab w:val="left" w:pos="660"/>
              <w:tab w:val="right" w:leader="dot" w:pos="9350"/>
            </w:tabs>
            <w:rPr>
              <w:rFonts w:eastAsiaTheme="minorEastAsia"/>
              <w:noProof/>
            </w:rPr>
          </w:pPr>
          <w:hyperlink w:anchor="_Toc447892388" w:history="1">
            <w:r w:rsidR="00957C0E" w:rsidRPr="002B7646">
              <w:rPr>
                <w:rStyle w:val="Hyperlink"/>
                <w:noProof/>
              </w:rPr>
              <w:t>2.</w:t>
            </w:r>
            <w:r w:rsidR="00957C0E">
              <w:rPr>
                <w:rFonts w:eastAsiaTheme="minorEastAsia"/>
                <w:noProof/>
              </w:rPr>
              <w:tab/>
            </w:r>
            <w:r w:rsidR="00957C0E" w:rsidRPr="002B7646">
              <w:rPr>
                <w:rStyle w:val="Hyperlink"/>
                <w:noProof/>
              </w:rPr>
              <w:t>The Country Context and Dynamics</w:t>
            </w:r>
            <w:r w:rsidR="00957C0E">
              <w:rPr>
                <w:noProof/>
                <w:webHidden/>
              </w:rPr>
              <w:tab/>
            </w:r>
            <w:r w:rsidR="00957C0E">
              <w:rPr>
                <w:noProof/>
                <w:webHidden/>
              </w:rPr>
              <w:fldChar w:fldCharType="begin"/>
            </w:r>
            <w:r w:rsidR="00957C0E">
              <w:rPr>
                <w:noProof/>
                <w:webHidden/>
              </w:rPr>
              <w:instrText xml:space="preserve"> PAGEREF _Toc447892388 \h </w:instrText>
            </w:r>
            <w:r w:rsidR="00957C0E">
              <w:rPr>
                <w:noProof/>
                <w:webHidden/>
              </w:rPr>
            </w:r>
            <w:r w:rsidR="00957C0E">
              <w:rPr>
                <w:noProof/>
                <w:webHidden/>
              </w:rPr>
              <w:fldChar w:fldCharType="separate"/>
            </w:r>
            <w:r w:rsidR="00957C0E">
              <w:rPr>
                <w:noProof/>
                <w:webHidden/>
              </w:rPr>
              <w:t>10</w:t>
            </w:r>
            <w:r w:rsidR="00957C0E">
              <w:rPr>
                <w:noProof/>
                <w:webHidden/>
              </w:rPr>
              <w:fldChar w:fldCharType="end"/>
            </w:r>
          </w:hyperlink>
        </w:p>
        <w:p w14:paraId="4D2BD255" w14:textId="77777777" w:rsidR="00957C0E" w:rsidRDefault="009B55BE">
          <w:pPr>
            <w:pStyle w:val="TOC3"/>
            <w:tabs>
              <w:tab w:val="right" w:leader="dot" w:pos="9350"/>
            </w:tabs>
            <w:rPr>
              <w:rFonts w:eastAsiaTheme="minorEastAsia"/>
              <w:noProof/>
            </w:rPr>
          </w:pPr>
          <w:hyperlink w:anchor="_Toc447892389" w:history="1">
            <w:r w:rsidR="00957C0E" w:rsidRPr="002B7646">
              <w:rPr>
                <w:rStyle w:val="Hyperlink"/>
                <w:noProof/>
              </w:rPr>
              <w:t>2.1 Challenge of state-building</w:t>
            </w:r>
            <w:r w:rsidR="00957C0E">
              <w:rPr>
                <w:noProof/>
                <w:webHidden/>
              </w:rPr>
              <w:tab/>
            </w:r>
            <w:r w:rsidR="00957C0E">
              <w:rPr>
                <w:noProof/>
                <w:webHidden/>
              </w:rPr>
              <w:fldChar w:fldCharType="begin"/>
            </w:r>
            <w:r w:rsidR="00957C0E">
              <w:rPr>
                <w:noProof/>
                <w:webHidden/>
              </w:rPr>
              <w:instrText xml:space="preserve"> PAGEREF _Toc447892389 \h </w:instrText>
            </w:r>
            <w:r w:rsidR="00957C0E">
              <w:rPr>
                <w:noProof/>
                <w:webHidden/>
              </w:rPr>
            </w:r>
            <w:r w:rsidR="00957C0E">
              <w:rPr>
                <w:noProof/>
                <w:webHidden/>
              </w:rPr>
              <w:fldChar w:fldCharType="separate"/>
            </w:r>
            <w:r w:rsidR="00957C0E">
              <w:rPr>
                <w:noProof/>
                <w:webHidden/>
              </w:rPr>
              <w:t>10</w:t>
            </w:r>
            <w:r w:rsidR="00957C0E">
              <w:rPr>
                <w:noProof/>
                <w:webHidden/>
              </w:rPr>
              <w:fldChar w:fldCharType="end"/>
            </w:r>
          </w:hyperlink>
        </w:p>
        <w:p w14:paraId="2530D8A1" w14:textId="77777777" w:rsidR="00957C0E" w:rsidRDefault="009B55BE">
          <w:pPr>
            <w:pStyle w:val="TOC3"/>
            <w:tabs>
              <w:tab w:val="right" w:leader="dot" w:pos="9350"/>
            </w:tabs>
            <w:rPr>
              <w:rFonts w:eastAsiaTheme="minorEastAsia"/>
              <w:noProof/>
            </w:rPr>
          </w:pPr>
          <w:hyperlink w:anchor="_Toc447892390" w:history="1">
            <w:r w:rsidR="00957C0E" w:rsidRPr="002B7646">
              <w:rPr>
                <w:rStyle w:val="Hyperlink"/>
                <w:noProof/>
              </w:rPr>
              <w:t>2.2 Overall government effectiveness and governance challenges</w:t>
            </w:r>
            <w:r w:rsidR="00957C0E">
              <w:rPr>
                <w:noProof/>
                <w:webHidden/>
              </w:rPr>
              <w:tab/>
            </w:r>
            <w:r w:rsidR="00957C0E">
              <w:rPr>
                <w:noProof/>
                <w:webHidden/>
              </w:rPr>
              <w:fldChar w:fldCharType="begin"/>
            </w:r>
            <w:r w:rsidR="00957C0E">
              <w:rPr>
                <w:noProof/>
                <w:webHidden/>
              </w:rPr>
              <w:instrText xml:space="preserve"> PAGEREF _Toc447892390 \h </w:instrText>
            </w:r>
            <w:r w:rsidR="00957C0E">
              <w:rPr>
                <w:noProof/>
                <w:webHidden/>
              </w:rPr>
            </w:r>
            <w:r w:rsidR="00957C0E">
              <w:rPr>
                <w:noProof/>
                <w:webHidden/>
              </w:rPr>
              <w:fldChar w:fldCharType="separate"/>
            </w:r>
            <w:r w:rsidR="00957C0E">
              <w:rPr>
                <w:noProof/>
                <w:webHidden/>
              </w:rPr>
              <w:t>13</w:t>
            </w:r>
            <w:r w:rsidR="00957C0E">
              <w:rPr>
                <w:noProof/>
                <w:webHidden/>
              </w:rPr>
              <w:fldChar w:fldCharType="end"/>
            </w:r>
          </w:hyperlink>
        </w:p>
        <w:p w14:paraId="5DF3527B" w14:textId="77777777" w:rsidR="00957C0E" w:rsidRDefault="009B55BE">
          <w:pPr>
            <w:pStyle w:val="TOC2"/>
            <w:tabs>
              <w:tab w:val="left" w:pos="660"/>
              <w:tab w:val="right" w:leader="dot" w:pos="9350"/>
            </w:tabs>
            <w:rPr>
              <w:rFonts w:eastAsiaTheme="minorEastAsia"/>
              <w:noProof/>
            </w:rPr>
          </w:pPr>
          <w:hyperlink w:anchor="_Toc447892391" w:history="1">
            <w:r w:rsidR="00957C0E" w:rsidRPr="002B7646">
              <w:rPr>
                <w:rStyle w:val="Hyperlink"/>
                <w:noProof/>
              </w:rPr>
              <w:t>3.</w:t>
            </w:r>
            <w:r w:rsidR="00957C0E">
              <w:rPr>
                <w:rFonts w:eastAsiaTheme="minorEastAsia"/>
                <w:noProof/>
              </w:rPr>
              <w:tab/>
            </w:r>
            <w:r w:rsidR="00957C0E" w:rsidRPr="002B7646">
              <w:rPr>
                <w:rStyle w:val="Hyperlink"/>
                <w:noProof/>
              </w:rPr>
              <w:t>Three Problems: A High Wage Bill, Eroding Pay Levels, and Limited Qualifications</w:t>
            </w:r>
            <w:r w:rsidR="00957C0E">
              <w:rPr>
                <w:noProof/>
                <w:webHidden/>
              </w:rPr>
              <w:tab/>
            </w:r>
            <w:r w:rsidR="00957C0E">
              <w:rPr>
                <w:noProof/>
                <w:webHidden/>
              </w:rPr>
              <w:fldChar w:fldCharType="begin"/>
            </w:r>
            <w:r w:rsidR="00957C0E">
              <w:rPr>
                <w:noProof/>
                <w:webHidden/>
              </w:rPr>
              <w:instrText xml:space="preserve"> PAGEREF _Toc447892391 \h </w:instrText>
            </w:r>
            <w:r w:rsidR="00957C0E">
              <w:rPr>
                <w:noProof/>
                <w:webHidden/>
              </w:rPr>
            </w:r>
            <w:r w:rsidR="00957C0E">
              <w:rPr>
                <w:noProof/>
                <w:webHidden/>
              </w:rPr>
              <w:fldChar w:fldCharType="separate"/>
            </w:r>
            <w:r w:rsidR="00957C0E">
              <w:rPr>
                <w:noProof/>
                <w:webHidden/>
              </w:rPr>
              <w:t>18</w:t>
            </w:r>
            <w:r w:rsidR="00957C0E">
              <w:rPr>
                <w:noProof/>
                <w:webHidden/>
              </w:rPr>
              <w:fldChar w:fldCharType="end"/>
            </w:r>
          </w:hyperlink>
        </w:p>
        <w:p w14:paraId="5AB02926" w14:textId="77777777" w:rsidR="00957C0E" w:rsidRDefault="009B55BE">
          <w:pPr>
            <w:pStyle w:val="TOC3"/>
            <w:tabs>
              <w:tab w:val="right" w:leader="dot" w:pos="9350"/>
            </w:tabs>
            <w:rPr>
              <w:rFonts w:eastAsiaTheme="minorEastAsia"/>
              <w:noProof/>
            </w:rPr>
          </w:pPr>
          <w:hyperlink w:anchor="_Toc447892392" w:history="1">
            <w:r w:rsidR="00957C0E" w:rsidRPr="002B7646">
              <w:rPr>
                <w:rStyle w:val="Hyperlink"/>
                <w:noProof/>
              </w:rPr>
              <w:t>3.1 Fiscal cost: wage bill trends in South Sudan</w:t>
            </w:r>
            <w:r w:rsidR="00957C0E">
              <w:rPr>
                <w:noProof/>
                <w:webHidden/>
              </w:rPr>
              <w:tab/>
            </w:r>
            <w:r w:rsidR="00957C0E">
              <w:rPr>
                <w:noProof/>
                <w:webHidden/>
              </w:rPr>
              <w:fldChar w:fldCharType="begin"/>
            </w:r>
            <w:r w:rsidR="00957C0E">
              <w:rPr>
                <w:noProof/>
                <w:webHidden/>
              </w:rPr>
              <w:instrText xml:space="preserve"> PAGEREF _Toc447892392 \h </w:instrText>
            </w:r>
            <w:r w:rsidR="00957C0E">
              <w:rPr>
                <w:noProof/>
                <w:webHidden/>
              </w:rPr>
            </w:r>
            <w:r w:rsidR="00957C0E">
              <w:rPr>
                <w:noProof/>
                <w:webHidden/>
              </w:rPr>
              <w:fldChar w:fldCharType="separate"/>
            </w:r>
            <w:r w:rsidR="00957C0E">
              <w:rPr>
                <w:noProof/>
                <w:webHidden/>
              </w:rPr>
              <w:t>18</w:t>
            </w:r>
            <w:r w:rsidR="00957C0E">
              <w:rPr>
                <w:noProof/>
                <w:webHidden/>
              </w:rPr>
              <w:fldChar w:fldCharType="end"/>
            </w:r>
          </w:hyperlink>
        </w:p>
        <w:p w14:paraId="3327894C" w14:textId="77777777" w:rsidR="00957C0E" w:rsidRDefault="009B55BE">
          <w:pPr>
            <w:pStyle w:val="TOC3"/>
            <w:tabs>
              <w:tab w:val="right" w:leader="dot" w:pos="9350"/>
            </w:tabs>
            <w:rPr>
              <w:rFonts w:eastAsiaTheme="minorEastAsia"/>
              <w:noProof/>
            </w:rPr>
          </w:pPr>
          <w:hyperlink w:anchor="_Toc447892393" w:history="1">
            <w:r w:rsidR="00957C0E" w:rsidRPr="002B7646">
              <w:rPr>
                <w:rStyle w:val="Hyperlink"/>
                <w:noProof/>
              </w:rPr>
              <w:t>3.2 Trends in public service pay</w:t>
            </w:r>
            <w:r w:rsidR="00957C0E">
              <w:rPr>
                <w:noProof/>
                <w:webHidden/>
              </w:rPr>
              <w:tab/>
            </w:r>
            <w:r w:rsidR="00957C0E">
              <w:rPr>
                <w:noProof/>
                <w:webHidden/>
              </w:rPr>
              <w:fldChar w:fldCharType="begin"/>
            </w:r>
            <w:r w:rsidR="00957C0E">
              <w:rPr>
                <w:noProof/>
                <w:webHidden/>
              </w:rPr>
              <w:instrText xml:space="preserve"> PAGEREF _Toc447892393 \h </w:instrText>
            </w:r>
            <w:r w:rsidR="00957C0E">
              <w:rPr>
                <w:noProof/>
                <w:webHidden/>
              </w:rPr>
            </w:r>
            <w:r w:rsidR="00957C0E">
              <w:rPr>
                <w:noProof/>
                <w:webHidden/>
              </w:rPr>
              <w:fldChar w:fldCharType="separate"/>
            </w:r>
            <w:r w:rsidR="00957C0E">
              <w:rPr>
                <w:noProof/>
                <w:webHidden/>
              </w:rPr>
              <w:t>21</w:t>
            </w:r>
            <w:r w:rsidR="00957C0E">
              <w:rPr>
                <w:noProof/>
                <w:webHidden/>
              </w:rPr>
              <w:fldChar w:fldCharType="end"/>
            </w:r>
          </w:hyperlink>
        </w:p>
        <w:p w14:paraId="0ECAF112" w14:textId="77777777" w:rsidR="00957C0E" w:rsidRDefault="009B55BE">
          <w:pPr>
            <w:pStyle w:val="TOC3"/>
            <w:tabs>
              <w:tab w:val="right" w:leader="dot" w:pos="9350"/>
            </w:tabs>
            <w:rPr>
              <w:rFonts w:eastAsiaTheme="minorEastAsia"/>
              <w:noProof/>
            </w:rPr>
          </w:pPr>
          <w:hyperlink w:anchor="_Toc447892394" w:history="1">
            <w:r w:rsidR="00957C0E" w:rsidRPr="002B7646">
              <w:rPr>
                <w:rStyle w:val="Hyperlink"/>
                <w:noProof/>
              </w:rPr>
              <w:t>3.3 Data on the qualifications of staff</w:t>
            </w:r>
            <w:r w:rsidR="00957C0E">
              <w:rPr>
                <w:noProof/>
                <w:webHidden/>
              </w:rPr>
              <w:tab/>
            </w:r>
            <w:r w:rsidR="00957C0E">
              <w:rPr>
                <w:noProof/>
                <w:webHidden/>
              </w:rPr>
              <w:fldChar w:fldCharType="begin"/>
            </w:r>
            <w:r w:rsidR="00957C0E">
              <w:rPr>
                <w:noProof/>
                <w:webHidden/>
              </w:rPr>
              <w:instrText xml:space="preserve"> PAGEREF _Toc447892394 \h </w:instrText>
            </w:r>
            <w:r w:rsidR="00957C0E">
              <w:rPr>
                <w:noProof/>
                <w:webHidden/>
              </w:rPr>
            </w:r>
            <w:r w:rsidR="00957C0E">
              <w:rPr>
                <w:noProof/>
                <w:webHidden/>
              </w:rPr>
              <w:fldChar w:fldCharType="separate"/>
            </w:r>
            <w:r w:rsidR="00957C0E">
              <w:rPr>
                <w:noProof/>
                <w:webHidden/>
              </w:rPr>
              <w:t>25</w:t>
            </w:r>
            <w:r w:rsidR="00957C0E">
              <w:rPr>
                <w:noProof/>
                <w:webHidden/>
              </w:rPr>
              <w:fldChar w:fldCharType="end"/>
            </w:r>
          </w:hyperlink>
        </w:p>
        <w:p w14:paraId="1A8EE575" w14:textId="77777777" w:rsidR="00957C0E" w:rsidRDefault="009B55BE">
          <w:pPr>
            <w:pStyle w:val="TOC2"/>
            <w:tabs>
              <w:tab w:val="left" w:pos="660"/>
              <w:tab w:val="right" w:leader="dot" w:pos="9350"/>
            </w:tabs>
            <w:rPr>
              <w:rFonts w:eastAsiaTheme="minorEastAsia"/>
              <w:noProof/>
            </w:rPr>
          </w:pPr>
          <w:hyperlink w:anchor="_Toc447892395" w:history="1">
            <w:r w:rsidR="00957C0E" w:rsidRPr="002B7646">
              <w:rPr>
                <w:rStyle w:val="Hyperlink"/>
                <w:noProof/>
              </w:rPr>
              <w:t>4.</w:t>
            </w:r>
            <w:r w:rsidR="00957C0E">
              <w:rPr>
                <w:rFonts w:eastAsiaTheme="minorEastAsia"/>
                <w:noProof/>
              </w:rPr>
              <w:tab/>
            </w:r>
            <w:r w:rsidR="00957C0E" w:rsidRPr="002B7646">
              <w:rPr>
                <w:rStyle w:val="Hyperlink"/>
                <w:noProof/>
              </w:rPr>
              <w:t>The ‘Downstream’ Situation of Service Delivery</w:t>
            </w:r>
            <w:r w:rsidR="00957C0E">
              <w:rPr>
                <w:noProof/>
                <w:webHidden/>
              </w:rPr>
              <w:tab/>
            </w:r>
            <w:r w:rsidR="00957C0E">
              <w:rPr>
                <w:noProof/>
                <w:webHidden/>
              </w:rPr>
              <w:fldChar w:fldCharType="begin"/>
            </w:r>
            <w:r w:rsidR="00957C0E">
              <w:rPr>
                <w:noProof/>
                <w:webHidden/>
              </w:rPr>
              <w:instrText xml:space="preserve"> PAGEREF _Toc447892395 \h </w:instrText>
            </w:r>
            <w:r w:rsidR="00957C0E">
              <w:rPr>
                <w:noProof/>
                <w:webHidden/>
              </w:rPr>
            </w:r>
            <w:r w:rsidR="00957C0E">
              <w:rPr>
                <w:noProof/>
                <w:webHidden/>
              </w:rPr>
              <w:fldChar w:fldCharType="separate"/>
            </w:r>
            <w:r w:rsidR="00957C0E">
              <w:rPr>
                <w:noProof/>
                <w:webHidden/>
              </w:rPr>
              <w:t>28</w:t>
            </w:r>
            <w:r w:rsidR="00957C0E">
              <w:rPr>
                <w:noProof/>
                <w:webHidden/>
              </w:rPr>
              <w:fldChar w:fldCharType="end"/>
            </w:r>
          </w:hyperlink>
        </w:p>
        <w:p w14:paraId="77056988" w14:textId="77777777" w:rsidR="00957C0E" w:rsidRDefault="009B55BE">
          <w:pPr>
            <w:pStyle w:val="TOC3"/>
            <w:tabs>
              <w:tab w:val="right" w:leader="dot" w:pos="9350"/>
            </w:tabs>
            <w:rPr>
              <w:rFonts w:eastAsiaTheme="minorEastAsia"/>
              <w:noProof/>
            </w:rPr>
          </w:pPr>
          <w:hyperlink w:anchor="_Toc447892396" w:history="1">
            <w:r w:rsidR="00957C0E" w:rsidRPr="002B7646">
              <w:rPr>
                <w:rStyle w:val="Hyperlink"/>
                <w:noProof/>
              </w:rPr>
              <w:t>4.1 The status of service delivery provision and allocation of staff</w:t>
            </w:r>
            <w:r w:rsidR="00957C0E">
              <w:rPr>
                <w:noProof/>
                <w:webHidden/>
              </w:rPr>
              <w:tab/>
            </w:r>
            <w:r w:rsidR="00957C0E">
              <w:rPr>
                <w:noProof/>
                <w:webHidden/>
              </w:rPr>
              <w:fldChar w:fldCharType="begin"/>
            </w:r>
            <w:r w:rsidR="00957C0E">
              <w:rPr>
                <w:noProof/>
                <w:webHidden/>
              </w:rPr>
              <w:instrText xml:space="preserve"> PAGEREF _Toc447892396 \h </w:instrText>
            </w:r>
            <w:r w:rsidR="00957C0E">
              <w:rPr>
                <w:noProof/>
                <w:webHidden/>
              </w:rPr>
            </w:r>
            <w:r w:rsidR="00957C0E">
              <w:rPr>
                <w:noProof/>
                <w:webHidden/>
              </w:rPr>
              <w:fldChar w:fldCharType="separate"/>
            </w:r>
            <w:r w:rsidR="00957C0E">
              <w:rPr>
                <w:noProof/>
                <w:webHidden/>
              </w:rPr>
              <w:t>28</w:t>
            </w:r>
            <w:r w:rsidR="00957C0E">
              <w:rPr>
                <w:noProof/>
                <w:webHidden/>
              </w:rPr>
              <w:fldChar w:fldCharType="end"/>
            </w:r>
          </w:hyperlink>
        </w:p>
        <w:p w14:paraId="25AE70CE" w14:textId="77777777" w:rsidR="00957C0E" w:rsidRDefault="009B55BE">
          <w:pPr>
            <w:pStyle w:val="TOC3"/>
            <w:tabs>
              <w:tab w:val="right" w:leader="dot" w:pos="9350"/>
            </w:tabs>
            <w:rPr>
              <w:rFonts w:eastAsiaTheme="minorEastAsia"/>
              <w:noProof/>
            </w:rPr>
          </w:pPr>
          <w:hyperlink w:anchor="_Toc447892397" w:history="1">
            <w:r w:rsidR="00957C0E" w:rsidRPr="002B7646">
              <w:rPr>
                <w:rStyle w:val="Hyperlink"/>
                <w:noProof/>
              </w:rPr>
              <w:t>4.2 The development of nonpublic service delivery</w:t>
            </w:r>
            <w:r w:rsidR="00957C0E">
              <w:rPr>
                <w:noProof/>
                <w:webHidden/>
              </w:rPr>
              <w:tab/>
            </w:r>
            <w:r w:rsidR="00957C0E">
              <w:rPr>
                <w:noProof/>
                <w:webHidden/>
              </w:rPr>
              <w:fldChar w:fldCharType="begin"/>
            </w:r>
            <w:r w:rsidR="00957C0E">
              <w:rPr>
                <w:noProof/>
                <w:webHidden/>
              </w:rPr>
              <w:instrText xml:space="preserve"> PAGEREF _Toc447892397 \h </w:instrText>
            </w:r>
            <w:r w:rsidR="00957C0E">
              <w:rPr>
                <w:noProof/>
                <w:webHidden/>
              </w:rPr>
            </w:r>
            <w:r w:rsidR="00957C0E">
              <w:rPr>
                <w:noProof/>
                <w:webHidden/>
              </w:rPr>
              <w:fldChar w:fldCharType="separate"/>
            </w:r>
            <w:r w:rsidR="00957C0E">
              <w:rPr>
                <w:noProof/>
                <w:webHidden/>
              </w:rPr>
              <w:t>34</w:t>
            </w:r>
            <w:r w:rsidR="00957C0E">
              <w:rPr>
                <w:noProof/>
                <w:webHidden/>
              </w:rPr>
              <w:fldChar w:fldCharType="end"/>
            </w:r>
          </w:hyperlink>
        </w:p>
        <w:p w14:paraId="302A65FB" w14:textId="77777777" w:rsidR="00957C0E" w:rsidRDefault="009B55BE">
          <w:pPr>
            <w:pStyle w:val="TOC2"/>
            <w:tabs>
              <w:tab w:val="left" w:pos="660"/>
              <w:tab w:val="right" w:leader="dot" w:pos="9350"/>
            </w:tabs>
            <w:rPr>
              <w:rFonts w:eastAsiaTheme="minorEastAsia"/>
              <w:noProof/>
            </w:rPr>
          </w:pPr>
          <w:hyperlink w:anchor="_Toc447892398" w:history="1">
            <w:r w:rsidR="00957C0E" w:rsidRPr="002B7646">
              <w:rPr>
                <w:rStyle w:val="Hyperlink"/>
                <w:noProof/>
              </w:rPr>
              <w:t>5.</w:t>
            </w:r>
            <w:r w:rsidR="00957C0E">
              <w:rPr>
                <w:rFonts w:eastAsiaTheme="minorEastAsia"/>
                <w:noProof/>
              </w:rPr>
              <w:tab/>
            </w:r>
            <w:r w:rsidR="00957C0E" w:rsidRPr="002B7646">
              <w:rPr>
                <w:rStyle w:val="Hyperlink"/>
                <w:noProof/>
              </w:rPr>
              <w:t>Origins, Evolution, and Reform Efforts of the Public Service in South Sudan</w:t>
            </w:r>
            <w:r w:rsidR="00957C0E">
              <w:rPr>
                <w:noProof/>
                <w:webHidden/>
              </w:rPr>
              <w:tab/>
            </w:r>
            <w:r w:rsidR="00957C0E">
              <w:rPr>
                <w:noProof/>
                <w:webHidden/>
              </w:rPr>
              <w:fldChar w:fldCharType="begin"/>
            </w:r>
            <w:r w:rsidR="00957C0E">
              <w:rPr>
                <w:noProof/>
                <w:webHidden/>
              </w:rPr>
              <w:instrText xml:space="preserve"> PAGEREF _Toc447892398 \h </w:instrText>
            </w:r>
            <w:r w:rsidR="00957C0E">
              <w:rPr>
                <w:noProof/>
                <w:webHidden/>
              </w:rPr>
            </w:r>
            <w:r w:rsidR="00957C0E">
              <w:rPr>
                <w:noProof/>
                <w:webHidden/>
              </w:rPr>
              <w:fldChar w:fldCharType="separate"/>
            </w:r>
            <w:r w:rsidR="00957C0E">
              <w:rPr>
                <w:noProof/>
                <w:webHidden/>
              </w:rPr>
              <w:t>37</w:t>
            </w:r>
            <w:r w:rsidR="00957C0E">
              <w:rPr>
                <w:noProof/>
                <w:webHidden/>
              </w:rPr>
              <w:fldChar w:fldCharType="end"/>
            </w:r>
          </w:hyperlink>
        </w:p>
        <w:p w14:paraId="65970B2C" w14:textId="77777777" w:rsidR="00957C0E" w:rsidRDefault="009B55BE">
          <w:pPr>
            <w:pStyle w:val="TOC3"/>
            <w:tabs>
              <w:tab w:val="right" w:leader="dot" w:pos="9350"/>
            </w:tabs>
            <w:rPr>
              <w:rFonts w:eastAsiaTheme="minorEastAsia"/>
              <w:noProof/>
            </w:rPr>
          </w:pPr>
          <w:hyperlink w:anchor="_Toc447892399" w:history="1">
            <w:r w:rsidR="00957C0E" w:rsidRPr="002B7646">
              <w:rPr>
                <w:rStyle w:val="Hyperlink"/>
                <w:noProof/>
              </w:rPr>
              <w:t>5.1 Historical legacies and structural conditions</w:t>
            </w:r>
            <w:r w:rsidR="00957C0E">
              <w:rPr>
                <w:noProof/>
                <w:webHidden/>
              </w:rPr>
              <w:tab/>
            </w:r>
            <w:r w:rsidR="00957C0E">
              <w:rPr>
                <w:noProof/>
                <w:webHidden/>
              </w:rPr>
              <w:fldChar w:fldCharType="begin"/>
            </w:r>
            <w:r w:rsidR="00957C0E">
              <w:rPr>
                <w:noProof/>
                <w:webHidden/>
              </w:rPr>
              <w:instrText xml:space="preserve"> PAGEREF _Toc447892399 \h </w:instrText>
            </w:r>
            <w:r w:rsidR="00957C0E">
              <w:rPr>
                <w:noProof/>
                <w:webHidden/>
              </w:rPr>
            </w:r>
            <w:r w:rsidR="00957C0E">
              <w:rPr>
                <w:noProof/>
                <w:webHidden/>
              </w:rPr>
              <w:fldChar w:fldCharType="separate"/>
            </w:r>
            <w:r w:rsidR="00957C0E">
              <w:rPr>
                <w:noProof/>
                <w:webHidden/>
              </w:rPr>
              <w:t>37</w:t>
            </w:r>
            <w:r w:rsidR="00957C0E">
              <w:rPr>
                <w:noProof/>
                <w:webHidden/>
              </w:rPr>
              <w:fldChar w:fldCharType="end"/>
            </w:r>
          </w:hyperlink>
        </w:p>
        <w:p w14:paraId="6E9491A4" w14:textId="77777777" w:rsidR="00957C0E" w:rsidRDefault="009B55BE">
          <w:pPr>
            <w:pStyle w:val="TOC3"/>
            <w:tabs>
              <w:tab w:val="right" w:leader="dot" w:pos="9350"/>
            </w:tabs>
            <w:rPr>
              <w:rFonts w:eastAsiaTheme="minorEastAsia"/>
              <w:noProof/>
            </w:rPr>
          </w:pPr>
          <w:hyperlink w:anchor="_Toc447892400" w:history="1">
            <w:r w:rsidR="00957C0E" w:rsidRPr="002B7646">
              <w:rPr>
                <w:rStyle w:val="Hyperlink"/>
                <w:noProof/>
              </w:rPr>
              <w:t>5.2 The evolution of the public service 2004–2013</w:t>
            </w:r>
            <w:r w:rsidR="00957C0E">
              <w:rPr>
                <w:noProof/>
                <w:webHidden/>
              </w:rPr>
              <w:tab/>
            </w:r>
            <w:r w:rsidR="00957C0E">
              <w:rPr>
                <w:noProof/>
                <w:webHidden/>
              </w:rPr>
              <w:fldChar w:fldCharType="begin"/>
            </w:r>
            <w:r w:rsidR="00957C0E">
              <w:rPr>
                <w:noProof/>
                <w:webHidden/>
              </w:rPr>
              <w:instrText xml:space="preserve"> PAGEREF _Toc447892400 \h </w:instrText>
            </w:r>
            <w:r w:rsidR="00957C0E">
              <w:rPr>
                <w:noProof/>
                <w:webHidden/>
              </w:rPr>
            </w:r>
            <w:r w:rsidR="00957C0E">
              <w:rPr>
                <w:noProof/>
                <w:webHidden/>
              </w:rPr>
              <w:fldChar w:fldCharType="separate"/>
            </w:r>
            <w:r w:rsidR="00957C0E">
              <w:rPr>
                <w:noProof/>
                <w:webHidden/>
              </w:rPr>
              <w:t>41</w:t>
            </w:r>
            <w:r w:rsidR="00957C0E">
              <w:rPr>
                <w:noProof/>
                <w:webHidden/>
              </w:rPr>
              <w:fldChar w:fldCharType="end"/>
            </w:r>
          </w:hyperlink>
        </w:p>
        <w:p w14:paraId="54A427AE" w14:textId="77777777" w:rsidR="00957C0E" w:rsidRDefault="009B55BE">
          <w:pPr>
            <w:pStyle w:val="TOC3"/>
            <w:tabs>
              <w:tab w:val="right" w:leader="dot" w:pos="9350"/>
            </w:tabs>
            <w:rPr>
              <w:rFonts w:eastAsiaTheme="minorEastAsia"/>
              <w:noProof/>
            </w:rPr>
          </w:pPr>
          <w:hyperlink w:anchor="_Toc447892401" w:history="1">
            <w:r w:rsidR="00957C0E" w:rsidRPr="002B7646">
              <w:rPr>
                <w:rStyle w:val="Hyperlink"/>
                <w:noProof/>
              </w:rPr>
              <w:t>5.3 Links between public service and challenge of DDR in South Sudan</w:t>
            </w:r>
            <w:r w:rsidR="00957C0E">
              <w:rPr>
                <w:noProof/>
                <w:webHidden/>
              </w:rPr>
              <w:tab/>
            </w:r>
            <w:r w:rsidR="00957C0E">
              <w:rPr>
                <w:noProof/>
                <w:webHidden/>
              </w:rPr>
              <w:fldChar w:fldCharType="begin"/>
            </w:r>
            <w:r w:rsidR="00957C0E">
              <w:rPr>
                <w:noProof/>
                <w:webHidden/>
              </w:rPr>
              <w:instrText xml:space="preserve"> PAGEREF _Toc447892401 \h </w:instrText>
            </w:r>
            <w:r w:rsidR="00957C0E">
              <w:rPr>
                <w:noProof/>
                <w:webHidden/>
              </w:rPr>
            </w:r>
            <w:r w:rsidR="00957C0E">
              <w:rPr>
                <w:noProof/>
                <w:webHidden/>
              </w:rPr>
              <w:fldChar w:fldCharType="separate"/>
            </w:r>
            <w:r w:rsidR="00957C0E">
              <w:rPr>
                <w:noProof/>
                <w:webHidden/>
              </w:rPr>
              <w:t>46</w:t>
            </w:r>
            <w:r w:rsidR="00957C0E">
              <w:rPr>
                <w:noProof/>
                <w:webHidden/>
              </w:rPr>
              <w:fldChar w:fldCharType="end"/>
            </w:r>
          </w:hyperlink>
        </w:p>
        <w:p w14:paraId="389315A7" w14:textId="77777777" w:rsidR="00957C0E" w:rsidRDefault="009B55BE">
          <w:pPr>
            <w:pStyle w:val="TOC3"/>
            <w:tabs>
              <w:tab w:val="right" w:leader="dot" w:pos="9350"/>
            </w:tabs>
            <w:rPr>
              <w:rFonts w:eastAsiaTheme="minorEastAsia"/>
              <w:noProof/>
            </w:rPr>
          </w:pPr>
          <w:hyperlink w:anchor="_Toc447892402" w:history="1">
            <w:r w:rsidR="00957C0E" w:rsidRPr="002B7646">
              <w:rPr>
                <w:rStyle w:val="Hyperlink"/>
                <w:noProof/>
              </w:rPr>
              <w:t>5.4 Reform efforts from 2007 to 2012</w:t>
            </w:r>
            <w:r w:rsidR="00957C0E">
              <w:rPr>
                <w:noProof/>
                <w:webHidden/>
              </w:rPr>
              <w:tab/>
            </w:r>
            <w:r w:rsidR="00957C0E">
              <w:rPr>
                <w:noProof/>
                <w:webHidden/>
              </w:rPr>
              <w:fldChar w:fldCharType="begin"/>
            </w:r>
            <w:r w:rsidR="00957C0E">
              <w:rPr>
                <w:noProof/>
                <w:webHidden/>
              </w:rPr>
              <w:instrText xml:space="preserve"> PAGEREF _Toc447892402 \h </w:instrText>
            </w:r>
            <w:r w:rsidR="00957C0E">
              <w:rPr>
                <w:noProof/>
                <w:webHidden/>
              </w:rPr>
            </w:r>
            <w:r w:rsidR="00957C0E">
              <w:rPr>
                <w:noProof/>
                <w:webHidden/>
              </w:rPr>
              <w:fldChar w:fldCharType="separate"/>
            </w:r>
            <w:r w:rsidR="00957C0E">
              <w:rPr>
                <w:noProof/>
                <w:webHidden/>
              </w:rPr>
              <w:t>47</w:t>
            </w:r>
            <w:r w:rsidR="00957C0E">
              <w:rPr>
                <w:noProof/>
                <w:webHidden/>
              </w:rPr>
              <w:fldChar w:fldCharType="end"/>
            </w:r>
          </w:hyperlink>
        </w:p>
        <w:p w14:paraId="7DB28088" w14:textId="77777777" w:rsidR="00957C0E" w:rsidRDefault="009B55BE">
          <w:pPr>
            <w:pStyle w:val="TOC3"/>
            <w:tabs>
              <w:tab w:val="right" w:leader="dot" w:pos="9350"/>
            </w:tabs>
            <w:rPr>
              <w:rFonts w:eastAsiaTheme="minorEastAsia"/>
              <w:noProof/>
            </w:rPr>
          </w:pPr>
          <w:hyperlink w:anchor="_Toc447892403" w:history="1">
            <w:r w:rsidR="00957C0E" w:rsidRPr="002B7646">
              <w:rPr>
                <w:rStyle w:val="Hyperlink"/>
                <w:noProof/>
              </w:rPr>
              <w:t>5.5 Progress made on institutional development and legal provisions</w:t>
            </w:r>
            <w:r w:rsidR="00957C0E">
              <w:rPr>
                <w:noProof/>
                <w:webHidden/>
              </w:rPr>
              <w:tab/>
            </w:r>
            <w:r w:rsidR="00957C0E">
              <w:rPr>
                <w:noProof/>
                <w:webHidden/>
              </w:rPr>
              <w:fldChar w:fldCharType="begin"/>
            </w:r>
            <w:r w:rsidR="00957C0E">
              <w:rPr>
                <w:noProof/>
                <w:webHidden/>
              </w:rPr>
              <w:instrText xml:space="preserve"> PAGEREF _Toc447892403 \h </w:instrText>
            </w:r>
            <w:r w:rsidR="00957C0E">
              <w:rPr>
                <w:noProof/>
                <w:webHidden/>
              </w:rPr>
            </w:r>
            <w:r w:rsidR="00957C0E">
              <w:rPr>
                <w:noProof/>
                <w:webHidden/>
              </w:rPr>
              <w:fldChar w:fldCharType="separate"/>
            </w:r>
            <w:r w:rsidR="00957C0E">
              <w:rPr>
                <w:noProof/>
                <w:webHidden/>
              </w:rPr>
              <w:t>54</w:t>
            </w:r>
            <w:r w:rsidR="00957C0E">
              <w:rPr>
                <w:noProof/>
                <w:webHidden/>
              </w:rPr>
              <w:fldChar w:fldCharType="end"/>
            </w:r>
          </w:hyperlink>
        </w:p>
        <w:p w14:paraId="43F9CB94" w14:textId="77777777" w:rsidR="00957C0E" w:rsidRDefault="009B55BE">
          <w:pPr>
            <w:pStyle w:val="TOC3"/>
            <w:tabs>
              <w:tab w:val="right" w:leader="dot" w:pos="9350"/>
            </w:tabs>
            <w:rPr>
              <w:rFonts w:eastAsiaTheme="minorEastAsia"/>
              <w:noProof/>
            </w:rPr>
          </w:pPr>
          <w:hyperlink w:anchor="_Toc447892404" w:history="1">
            <w:r w:rsidR="00957C0E" w:rsidRPr="002B7646">
              <w:rPr>
                <w:rStyle w:val="Hyperlink"/>
                <w:noProof/>
              </w:rPr>
              <w:t>5.6 Donor support for civil service capacity building and reforms</w:t>
            </w:r>
            <w:r w:rsidR="00957C0E">
              <w:rPr>
                <w:noProof/>
                <w:webHidden/>
              </w:rPr>
              <w:tab/>
            </w:r>
            <w:r w:rsidR="00957C0E">
              <w:rPr>
                <w:noProof/>
                <w:webHidden/>
              </w:rPr>
              <w:fldChar w:fldCharType="begin"/>
            </w:r>
            <w:r w:rsidR="00957C0E">
              <w:rPr>
                <w:noProof/>
                <w:webHidden/>
              </w:rPr>
              <w:instrText xml:space="preserve"> PAGEREF _Toc447892404 \h </w:instrText>
            </w:r>
            <w:r w:rsidR="00957C0E">
              <w:rPr>
                <w:noProof/>
                <w:webHidden/>
              </w:rPr>
            </w:r>
            <w:r w:rsidR="00957C0E">
              <w:rPr>
                <w:noProof/>
                <w:webHidden/>
              </w:rPr>
              <w:fldChar w:fldCharType="separate"/>
            </w:r>
            <w:r w:rsidR="00957C0E">
              <w:rPr>
                <w:noProof/>
                <w:webHidden/>
              </w:rPr>
              <w:t>57</w:t>
            </w:r>
            <w:r w:rsidR="00957C0E">
              <w:rPr>
                <w:noProof/>
                <w:webHidden/>
              </w:rPr>
              <w:fldChar w:fldCharType="end"/>
            </w:r>
          </w:hyperlink>
        </w:p>
        <w:p w14:paraId="6103D570" w14:textId="77777777" w:rsidR="00957C0E" w:rsidRDefault="009B55BE">
          <w:pPr>
            <w:pStyle w:val="TOC3"/>
            <w:tabs>
              <w:tab w:val="right" w:leader="dot" w:pos="9350"/>
            </w:tabs>
            <w:rPr>
              <w:rFonts w:eastAsiaTheme="minorEastAsia"/>
              <w:noProof/>
            </w:rPr>
          </w:pPr>
          <w:hyperlink w:anchor="_Toc447892405" w:history="1">
            <w:r w:rsidR="00957C0E" w:rsidRPr="002B7646">
              <w:rPr>
                <w:rStyle w:val="Hyperlink"/>
                <w:noProof/>
              </w:rPr>
              <w:t>5.7 Austerity and renewed conflict – 2012 to 2015</w:t>
            </w:r>
            <w:r w:rsidR="00957C0E">
              <w:rPr>
                <w:noProof/>
                <w:webHidden/>
              </w:rPr>
              <w:tab/>
            </w:r>
            <w:r w:rsidR="00957C0E">
              <w:rPr>
                <w:noProof/>
                <w:webHidden/>
              </w:rPr>
              <w:fldChar w:fldCharType="begin"/>
            </w:r>
            <w:r w:rsidR="00957C0E">
              <w:rPr>
                <w:noProof/>
                <w:webHidden/>
              </w:rPr>
              <w:instrText xml:space="preserve"> PAGEREF _Toc447892405 \h </w:instrText>
            </w:r>
            <w:r w:rsidR="00957C0E">
              <w:rPr>
                <w:noProof/>
                <w:webHidden/>
              </w:rPr>
            </w:r>
            <w:r w:rsidR="00957C0E">
              <w:rPr>
                <w:noProof/>
                <w:webHidden/>
              </w:rPr>
              <w:fldChar w:fldCharType="separate"/>
            </w:r>
            <w:r w:rsidR="00957C0E">
              <w:rPr>
                <w:noProof/>
                <w:webHidden/>
              </w:rPr>
              <w:t>64</w:t>
            </w:r>
            <w:r w:rsidR="00957C0E">
              <w:rPr>
                <w:noProof/>
                <w:webHidden/>
              </w:rPr>
              <w:fldChar w:fldCharType="end"/>
            </w:r>
          </w:hyperlink>
        </w:p>
        <w:p w14:paraId="6B20205F" w14:textId="77777777" w:rsidR="00957C0E" w:rsidRDefault="009B55BE">
          <w:pPr>
            <w:pStyle w:val="TOC2"/>
            <w:tabs>
              <w:tab w:val="left" w:pos="660"/>
              <w:tab w:val="right" w:leader="dot" w:pos="9350"/>
            </w:tabs>
            <w:rPr>
              <w:rFonts w:eastAsiaTheme="minorEastAsia"/>
              <w:noProof/>
            </w:rPr>
          </w:pPr>
          <w:hyperlink w:anchor="_Toc447892406" w:history="1">
            <w:r w:rsidR="00957C0E" w:rsidRPr="002B7646">
              <w:rPr>
                <w:rStyle w:val="Hyperlink"/>
                <w:noProof/>
              </w:rPr>
              <w:t>6.</w:t>
            </w:r>
            <w:r w:rsidR="00957C0E">
              <w:rPr>
                <w:rFonts w:eastAsiaTheme="minorEastAsia"/>
                <w:noProof/>
              </w:rPr>
              <w:tab/>
            </w:r>
            <w:r w:rsidR="00957C0E" w:rsidRPr="002B7646">
              <w:rPr>
                <w:rStyle w:val="Hyperlink"/>
                <w:noProof/>
              </w:rPr>
              <w:t>Experience of Other Countries</w:t>
            </w:r>
            <w:r w:rsidR="00957C0E">
              <w:rPr>
                <w:noProof/>
                <w:webHidden/>
              </w:rPr>
              <w:tab/>
            </w:r>
            <w:r w:rsidR="00957C0E">
              <w:rPr>
                <w:noProof/>
                <w:webHidden/>
              </w:rPr>
              <w:fldChar w:fldCharType="begin"/>
            </w:r>
            <w:r w:rsidR="00957C0E">
              <w:rPr>
                <w:noProof/>
                <w:webHidden/>
              </w:rPr>
              <w:instrText xml:space="preserve"> PAGEREF _Toc447892406 \h </w:instrText>
            </w:r>
            <w:r w:rsidR="00957C0E">
              <w:rPr>
                <w:noProof/>
                <w:webHidden/>
              </w:rPr>
            </w:r>
            <w:r w:rsidR="00957C0E">
              <w:rPr>
                <w:noProof/>
                <w:webHidden/>
              </w:rPr>
              <w:fldChar w:fldCharType="separate"/>
            </w:r>
            <w:r w:rsidR="00957C0E">
              <w:rPr>
                <w:noProof/>
                <w:webHidden/>
              </w:rPr>
              <w:t>66</w:t>
            </w:r>
            <w:r w:rsidR="00957C0E">
              <w:rPr>
                <w:noProof/>
                <w:webHidden/>
              </w:rPr>
              <w:fldChar w:fldCharType="end"/>
            </w:r>
          </w:hyperlink>
        </w:p>
        <w:p w14:paraId="4A86D1ED" w14:textId="77777777" w:rsidR="00957C0E" w:rsidRDefault="009B55BE">
          <w:pPr>
            <w:pStyle w:val="TOC2"/>
            <w:tabs>
              <w:tab w:val="left" w:pos="660"/>
              <w:tab w:val="right" w:leader="dot" w:pos="9350"/>
            </w:tabs>
            <w:rPr>
              <w:rFonts w:eastAsiaTheme="minorEastAsia"/>
              <w:noProof/>
            </w:rPr>
          </w:pPr>
          <w:hyperlink w:anchor="_Toc447892407" w:history="1">
            <w:r w:rsidR="00957C0E" w:rsidRPr="002B7646">
              <w:rPr>
                <w:rStyle w:val="Hyperlink"/>
                <w:noProof/>
              </w:rPr>
              <w:t>7.</w:t>
            </w:r>
            <w:r w:rsidR="00957C0E">
              <w:rPr>
                <w:rFonts w:eastAsiaTheme="minorEastAsia"/>
                <w:noProof/>
              </w:rPr>
              <w:tab/>
            </w:r>
            <w:r w:rsidR="00957C0E" w:rsidRPr="002B7646">
              <w:rPr>
                <w:rStyle w:val="Hyperlink"/>
                <w:noProof/>
              </w:rPr>
              <w:t>Summary of Key Issues and Suggested Steps Going Forward</w:t>
            </w:r>
            <w:r w:rsidR="00957C0E">
              <w:rPr>
                <w:noProof/>
                <w:webHidden/>
              </w:rPr>
              <w:tab/>
            </w:r>
            <w:r w:rsidR="00957C0E">
              <w:rPr>
                <w:noProof/>
                <w:webHidden/>
              </w:rPr>
              <w:fldChar w:fldCharType="begin"/>
            </w:r>
            <w:r w:rsidR="00957C0E">
              <w:rPr>
                <w:noProof/>
                <w:webHidden/>
              </w:rPr>
              <w:instrText xml:space="preserve"> PAGEREF _Toc447892407 \h </w:instrText>
            </w:r>
            <w:r w:rsidR="00957C0E">
              <w:rPr>
                <w:noProof/>
                <w:webHidden/>
              </w:rPr>
            </w:r>
            <w:r w:rsidR="00957C0E">
              <w:rPr>
                <w:noProof/>
                <w:webHidden/>
              </w:rPr>
              <w:fldChar w:fldCharType="separate"/>
            </w:r>
            <w:r w:rsidR="00957C0E">
              <w:rPr>
                <w:noProof/>
                <w:webHidden/>
              </w:rPr>
              <w:t>69</w:t>
            </w:r>
            <w:r w:rsidR="00957C0E">
              <w:rPr>
                <w:noProof/>
                <w:webHidden/>
              </w:rPr>
              <w:fldChar w:fldCharType="end"/>
            </w:r>
          </w:hyperlink>
        </w:p>
        <w:p w14:paraId="31303CDA" w14:textId="77777777" w:rsidR="00957C0E" w:rsidRDefault="009B55BE">
          <w:pPr>
            <w:pStyle w:val="TOC2"/>
            <w:tabs>
              <w:tab w:val="right" w:leader="dot" w:pos="9350"/>
            </w:tabs>
            <w:rPr>
              <w:rFonts w:eastAsiaTheme="minorEastAsia"/>
              <w:noProof/>
            </w:rPr>
          </w:pPr>
          <w:hyperlink w:anchor="_Toc447892408" w:history="1">
            <w:r w:rsidR="00957C0E" w:rsidRPr="002B7646">
              <w:rPr>
                <w:rStyle w:val="Hyperlink"/>
                <w:noProof/>
              </w:rPr>
              <w:t>Annex 1: Overview of Public Sector Evolution in South Sudan, 2004–2015</w:t>
            </w:r>
            <w:r w:rsidR="00957C0E">
              <w:rPr>
                <w:noProof/>
                <w:webHidden/>
              </w:rPr>
              <w:tab/>
            </w:r>
            <w:r w:rsidR="00957C0E">
              <w:rPr>
                <w:noProof/>
                <w:webHidden/>
              </w:rPr>
              <w:fldChar w:fldCharType="begin"/>
            </w:r>
            <w:r w:rsidR="00957C0E">
              <w:rPr>
                <w:noProof/>
                <w:webHidden/>
              </w:rPr>
              <w:instrText xml:space="preserve"> PAGEREF _Toc447892408 \h </w:instrText>
            </w:r>
            <w:r w:rsidR="00957C0E">
              <w:rPr>
                <w:noProof/>
                <w:webHidden/>
              </w:rPr>
            </w:r>
            <w:r w:rsidR="00957C0E">
              <w:rPr>
                <w:noProof/>
                <w:webHidden/>
              </w:rPr>
              <w:fldChar w:fldCharType="separate"/>
            </w:r>
            <w:r w:rsidR="00957C0E">
              <w:rPr>
                <w:noProof/>
                <w:webHidden/>
              </w:rPr>
              <w:t>83</w:t>
            </w:r>
            <w:r w:rsidR="00957C0E">
              <w:rPr>
                <w:noProof/>
                <w:webHidden/>
              </w:rPr>
              <w:fldChar w:fldCharType="end"/>
            </w:r>
          </w:hyperlink>
        </w:p>
        <w:p w14:paraId="229B432D" w14:textId="77777777" w:rsidR="00957C0E" w:rsidRDefault="009B55BE">
          <w:pPr>
            <w:pStyle w:val="TOC2"/>
            <w:tabs>
              <w:tab w:val="right" w:leader="dot" w:pos="9350"/>
            </w:tabs>
            <w:rPr>
              <w:rFonts w:eastAsiaTheme="minorEastAsia"/>
              <w:noProof/>
            </w:rPr>
          </w:pPr>
          <w:hyperlink w:anchor="_Toc447892409" w:history="1">
            <w:r w:rsidR="00957C0E" w:rsidRPr="002B7646">
              <w:rPr>
                <w:rStyle w:val="Hyperlink"/>
                <w:noProof/>
              </w:rPr>
              <w:t>Annex 2: Domains of the State and External Interventions</w:t>
            </w:r>
            <w:r w:rsidR="00957C0E">
              <w:rPr>
                <w:noProof/>
                <w:webHidden/>
              </w:rPr>
              <w:tab/>
            </w:r>
            <w:r w:rsidR="00957C0E">
              <w:rPr>
                <w:noProof/>
                <w:webHidden/>
              </w:rPr>
              <w:fldChar w:fldCharType="begin"/>
            </w:r>
            <w:r w:rsidR="00957C0E">
              <w:rPr>
                <w:noProof/>
                <w:webHidden/>
              </w:rPr>
              <w:instrText xml:space="preserve"> PAGEREF _Toc447892409 \h </w:instrText>
            </w:r>
            <w:r w:rsidR="00957C0E">
              <w:rPr>
                <w:noProof/>
                <w:webHidden/>
              </w:rPr>
            </w:r>
            <w:r w:rsidR="00957C0E">
              <w:rPr>
                <w:noProof/>
                <w:webHidden/>
              </w:rPr>
              <w:fldChar w:fldCharType="separate"/>
            </w:r>
            <w:r w:rsidR="00957C0E">
              <w:rPr>
                <w:noProof/>
                <w:webHidden/>
              </w:rPr>
              <w:t>85</w:t>
            </w:r>
            <w:r w:rsidR="00957C0E">
              <w:rPr>
                <w:noProof/>
                <w:webHidden/>
              </w:rPr>
              <w:fldChar w:fldCharType="end"/>
            </w:r>
          </w:hyperlink>
        </w:p>
        <w:p w14:paraId="396CCFDE" w14:textId="77777777" w:rsidR="00957C0E" w:rsidRDefault="009B55BE">
          <w:pPr>
            <w:pStyle w:val="TOC2"/>
            <w:tabs>
              <w:tab w:val="right" w:leader="dot" w:pos="9350"/>
            </w:tabs>
            <w:rPr>
              <w:rFonts w:eastAsiaTheme="minorEastAsia"/>
              <w:noProof/>
            </w:rPr>
          </w:pPr>
          <w:hyperlink w:anchor="_Toc447892410" w:history="1">
            <w:r w:rsidR="00957C0E" w:rsidRPr="002B7646">
              <w:rPr>
                <w:rStyle w:val="Hyperlink"/>
                <w:noProof/>
              </w:rPr>
              <w:t>Annex 3: Postconflict Trajectories</w:t>
            </w:r>
            <w:r w:rsidR="00957C0E">
              <w:rPr>
                <w:noProof/>
                <w:webHidden/>
              </w:rPr>
              <w:tab/>
            </w:r>
            <w:r w:rsidR="00957C0E">
              <w:rPr>
                <w:noProof/>
                <w:webHidden/>
              </w:rPr>
              <w:fldChar w:fldCharType="begin"/>
            </w:r>
            <w:r w:rsidR="00957C0E">
              <w:rPr>
                <w:noProof/>
                <w:webHidden/>
              </w:rPr>
              <w:instrText xml:space="preserve"> PAGEREF _Toc447892410 \h </w:instrText>
            </w:r>
            <w:r w:rsidR="00957C0E">
              <w:rPr>
                <w:noProof/>
                <w:webHidden/>
              </w:rPr>
            </w:r>
            <w:r w:rsidR="00957C0E">
              <w:rPr>
                <w:noProof/>
                <w:webHidden/>
              </w:rPr>
              <w:fldChar w:fldCharType="separate"/>
            </w:r>
            <w:r w:rsidR="00957C0E">
              <w:rPr>
                <w:noProof/>
                <w:webHidden/>
              </w:rPr>
              <w:t>86</w:t>
            </w:r>
            <w:r w:rsidR="00957C0E">
              <w:rPr>
                <w:noProof/>
                <w:webHidden/>
              </w:rPr>
              <w:fldChar w:fldCharType="end"/>
            </w:r>
          </w:hyperlink>
        </w:p>
        <w:p w14:paraId="1E6F4C2C" w14:textId="77777777" w:rsidR="00957C0E" w:rsidRDefault="009B55BE">
          <w:pPr>
            <w:pStyle w:val="TOC2"/>
            <w:tabs>
              <w:tab w:val="right" w:leader="dot" w:pos="9350"/>
            </w:tabs>
            <w:rPr>
              <w:rFonts w:eastAsiaTheme="minorEastAsia"/>
              <w:noProof/>
            </w:rPr>
          </w:pPr>
          <w:hyperlink w:anchor="_Toc447892411" w:history="1">
            <w:r w:rsidR="00957C0E" w:rsidRPr="002B7646">
              <w:rPr>
                <w:rStyle w:val="Hyperlink"/>
                <w:noProof/>
              </w:rPr>
              <w:t>Annex 4: Summary of Recommendations from the 2004–05 Joint Assessment Mission for Institutional Development/Public Service and Governance</w:t>
            </w:r>
            <w:r w:rsidR="00957C0E">
              <w:rPr>
                <w:noProof/>
                <w:webHidden/>
              </w:rPr>
              <w:tab/>
            </w:r>
            <w:r w:rsidR="00957C0E">
              <w:rPr>
                <w:noProof/>
                <w:webHidden/>
              </w:rPr>
              <w:fldChar w:fldCharType="begin"/>
            </w:r>
            <w:r w:rsidR="00957C0E">
              <w:rPr>
                <w:noProof/>
                <w:webHidden/>
              </w:rPr>
              <w:instrText xml:space="preserve"> PAGEREF _Toc447892411 \h </w:instrText>
            </w:r>
            <w:r w:rsidR="00957C0E">
              <w:rPr>
                <w:noProof/>
                <w:webHidden/>
              </w:rPr>
            </w:r>
            <w:r w:rsidR="00957C0E">
              <w:rPr>
                <w:noProof/>
                <w:webHidden/>
              </w:rPr>
              <w:fldChar w:fldCharType="separate"/>
            </w:r>
            <w:r w:rsidR="00957C0E">
              <w:rPr>
                <w:noProof/>
                <w:webHidden/>
              </w:rPr>
              <w:t>87</w:t>
            </w:r>
            <w:r w:rsidR="00957C0E">
              <w:rPr>
                <w:noProof/>
                <w:webHidden/>
              </w:rPr>
              <w:fldChar w:fldCharType="end"/>
            </w:r>
          </w:hyperlink>
        </w:p>
        <w:p w14:paraId="2EC9E344" w14:textId="77777777" w:rsidR="00957C0E" w:rsidRDefault="009B55BE">
          <w:pPr>
            <w:pStyle w:val="TOC2"/>
            <w:tabs>
              <w:tab w:val="right" w:leader="dot" w:pos="9350"/>
            </w:tabs>
            <w:rPr>
              <w:rFonts w:eastAsiaTheme="minorEastAsia"/>
              <w:noProof/>
            </w:rPr>
          </w:pPr>
          <w:hyperlink w:anchor="_Toc447892412" w:history="1">
            <w:r w:rsidR="00957C0E" w:rsidRPr="002B7646">
              <w:rPr>
                <w:rStyle w:val="Hyperlink"/>
                <w:noProof/>
              </w:rPr>
              <w:t>References</w:t>
            </w:r>
            <w:r w:rsidR="00957C0E">
              <w:rPr>
                <w:noProof/>
                <w:webHidden/>
              </w:rPr>
              <w:tab/>
            </w:r>
            <w:r w:rsidR="00957C0E">
              <w:rPr>
                <w:noProof/>
                <w:webHidden/>
              </w:rPr>
              <w:fldChar w:fldCharType="begin"/>
            </w:r>
            <w:r w:rsidR="00957C0E">
              <w:rPr>
                <w:noProof/>
                <w:webHidden/>
              </w:rPr>
              <w:instrText xml:space="preserve"> PAGEREF _Toc447892412 \h </w:instrText>
            </w:r>
            <w:r w:rsidR="00957C0E">
              <w:rPr>
                <w:noProof/>
                <w:webHidden/>
              </w:rPr>
            </w:r>
            <w:r w:rsidR="00957C0E">
              <w:rPr>
                <w:noProof/>
                <w:webHidden/>
              </w:rPr>
              <w:fldChar w:fldCharType="separate"/>
            </w:r>
            <w:r w:rsidR="00957C0E">
              <w:rPr>
                <w:noProof/>
                <w:webHidden/>
              </w:rPr>
              <w:t>91</w:t>
            </w:r>
            <w:r w:rsidR="00957C0E">
              <w:rPr>
                <w:noProof/>
                <w:webHidden/>
              </w:rPr>
              <w:fldChar w:fldCharType="end"/>
            </w:r>
          </w:hyperlink>
        </w:p>
        <w:p w14:paraId="5A03FD68" w14:textId="77777777" w:rsidR="00A56EDD" w:rsidRPr="00B513F4" w:rsidRDefault="00A56EDD" w:rsidP="00A56EDD">
          <w:r w:rsidRPr="00B513F4">
            <w:fldChar w:fldCharType="end"/>
          </w:r>
        </w:p>
      </w:sdtContent>
    </w:sdt>
    <w:p w14:paraId="1422953A" w14:textId="0DC37DE8" w:rsidR="00D56EAC" w:rsidRPr="00D56EAC" w:rsidRDefault="003B040A" w:rsidP="00D56EAC">
      <w:pPr>
        <w:pStyle w:val="TOCHeading"/>
      </w:pPr>
      <w:r w:rsidRPr="00D8063A">
        <w:lastRenderedPageBreak/>
        <w:t>Acronyms</w:t>
      </w:r>
    </w:p>
    <w:tbl>
      <w:tblPr>
        <w:tblStyle w:val="TableGrid"/>
        <w:tblW w:w="0" w:type="auto"/>
        <w:tblLook w:val="04A0" w:firstRow="1" w:lastRow="0" w:firstColumn="1" w:lastColumn="0" w:noHBand="0" w:noVBand="1"/>
      </w:tblPr>
      <w:tblGrid>
        <w:gridCol w:w="1435"/>
        <w:gridCol w:w="7915"/>
      </w:tblGrid>
      <w:tr w:rsidR="003B040A" w14:paraId="703A1BC9" w14:textId="77777777" w:rsidTr="003B040A">
        <w:tc>
          <w:tcPr>
            <w:tcW w:w="1435" w:type="dxa"/>
          </w:tcPr>
          <w:p w14:paraId="0FF5F362" w14:textId="41355529" w:rsidR="003B040A" w:rsidRDefault="00CA58C2" w:rsidP="003B040A">
            <w:pPr>
              <w:spacing w:after="0" w:line="240" w:lineRule="auto"/>
            </w:pPr>
            <w:r>
              <w:t>ASI</w:t>
            </w:r>
          </w:p>
        </w:tc>
        <w:tc>
          <w:tcPr>
            <w:tcW w:w="7915" w:type="dxa"/>
          </w:tcPr>
          <w:p w14:paraId="6986B77D" w14:textId="3610E31B" w:rsidR="003B040A" w:rsidRDefault="00CA58C2" w:rsidP="003B040A">
            <w:pPr>
              <w:spacing w:after="0" w:line="240" w:lineRule="auto"/>
            </w:pPr>
            <w:r>
              <w:t>Adam Smith International</w:t>
            </w:r>
          </w:p>
        </w:tc>
      </w:tr>
      <w:tr w:rsidR="00721452" w14:paraId="2D91C17E" w14:textId="77777777" w:rsidTr="003B040A">
        <w:tc>
          <w:tcPr>
            <w:tcW w:w="1435" w:type="dxa"/>
          </w:tcPr>
          <w:p w14:paraId="0E511BE3" w14:textId="0AABCF9F" w:rsidR="00721452" w:rsidRDefault="00721452" w:rsidP="003B040A">
            <w:pPr>
              <w:spacing w:after="0" w:line="240" w:lineRule="auto"/>
            </w:pPr>
            <w:r>
              <w:t>CANS</w:t>
            </w:r>
          </w:p>
        </w:tc>
        <w:tc>
          <w:tcPr>
            <w:tcW w:w="7915" w:type="dxa"/>
          </w:tcPr>
          <w:p w14:paraId="58A78477" w14:textId="4BB8C6B4" w:rsidR="00721452" w:rsidRDefault="00721452" w:rsidP="003B040A">
            <w:pPr>
              <w:spacing w:after="0" w:line="240" w:lineRule="auto"/>
            </w:pPr>
            <w:r>
              <w:t>Civil Authority of New Sudan</w:t>
            </w:r>
          </w:p>
        </w:tc>
      </w:tr>
      <w:tr w:rsidR="00172ECF" w14:paraId="7B0C2286" w14:textId="77777777" w:rsidTr="003B040A">
        <w:tc>
          <w:tcPr>
            <w:tcW w:w="1435" w:type="dxa"/>
          </w:tcPr>
          <w:p w14:paraId="59DC1ABA" w14:textId="1B9569A4" w:rsidR="00172ECF" w:rsidRDefault="00172ECF" w:rsidP="003B040A">
            <w:pPr>
              <w:spacing w:after="0" w:line="240" w:lineRule="auto"/>
            </w:pPr>
            <w:r>
              <w:t>CBS</w:t>
            </w:r>
          </w:p>
        </w:tc>
        <w:tc>
          <w:tcPr>
            <w:tcW w:w="7915" w:type="dxa"/>
          </w:tcPr>
          <w:p w14:paraId="6BFA43E9" w14:textId="4E026EE7" w:rsidR="00172ECF" w:rsidRDefault="00172ECF" w:rsidP="003B040A">
            <w:pPr>
              <w:spacing w:after="0" w:line="240" w:lineRule="auto"/>
            </w:pPr>
            <w:r>
              <w:t>Central Bureau of Statistics</w:t>
            </w:r>
          </w:p>
        </w:tc>
      </w:tr>
      <w:tr w:rsidR="006744BA" w14:paraId="28BAEC66" w14:textId="77777777" w:rsidTr="003B040A">
        <w:tc>
          <w:tcPr>
            <w:tcW w:w="1435" w:type="dxa"/>
          </w:tcPr>
          <w:p w14:paraId="642BFBDB" w14:textId="260BBDA1" w:rsidR="006744BA" w:rsidRDefault="006744BA" w:rsidP="003B040A">
            <w:pPr>
              <w:spacing w:after="0" w:line="240" w:lineRule="auto"/>
            </w:pPr>
            <w:r>
              <w:t>CBTF</w:t>
            </w:r>
          </w:p>
        </w:tc>
        <w:tc>
          <w:tcPr>
            <w:tcW w:w="7915" w:type="dxa"/>
          </w:tcPr>
          <w:p w14:paraId="0669ED22" w14:textId="3EDDE2D2" w:rsidR="006744BA" w:rsidRDefault="006744BA" w:rsidP="003B040A">
            <w:pPr>
              <w:spacing w:after="0" w:line="240" w:lineRule="auto"/>
            </w:pPr>
            <w:r>
              <w:t>Capacity Building Trust Fund</w:t>
            </w:r>
          </w:p>
        </w:tc>
      </w:tr>
      <w:tr w:rsidR="00721452" w14:paraId="6C57C48D" w14:textId="77777777" w:rsidTr="003B040A">
        <w:tc>
          <w:tcPr>
            <w:tcW w:w="1435" w:type="dxa"/>
          </w:tcPr>
          <w:p w14:paraId="3B5B40C2" w14:textId="53095414" w:rsidR="00721452" w:rsidRDefault="00172ECF" w:rsidP="003B040A">
            <w:pPr>
              <w:spacing w:after="0" w:line="240" w:lineRule="auto"/>
            </w:pPr>
            <w:r>
              <w:t>CCSS</w:t>
            </w:r>
          </w:p>
        </w:tc>
        <w:tc>
          <w:tcPr>
            <w:tcW w:w="7915" w:type="dxa"/>
          </w:tcPr>
          <w:p w14:paraId="36D03396" w14:textId="66A49587" w:rsidR="00721452" w:rsidRDefault="00721452" w:rsidP="003B040A">
            <w:pPr>
              <w:spacing w:after="0" w:line="240" w:lineRule="auto"/>
            </w:pPr>
            <w:r>
              <w:t>Coordinating Council for Southern</w:t>
            </w:r>
            <w:r w:rsidR="00172ECF">
              <w:t xml:space="preserve"> States</w:t>
            </w:r>
          </w:p>
        </w:tc>
      </w:tr>
      <w:tr w:rsidR="00460897" w14:paraId="3E25BB78" w14:textId="77777777" w:rsidTr="003B040A">
        <w:tc>
          <w:tcPr>
            <w:tcW w:w="1435" w:type="dxa"/>
          </w:tcPr>
          <w:p w14:paraId="2FECD7DF" w14:textId="4895D152" w:rsidR="00460897" w:rsidRDefault="00460897" w:rsidP="003B040A">
            <w:pPr>
              <w:spacing w:after="0" w:line="240" w:lineRule="auto"/>
            </w:pPr>
            <w:r>
              <w:t>CPA</w:t>
            </w:r>
          </w:p>
        </w:tc>
        <w:tc>
          <w:tcPr>
            <w:tcW w:w="7915" w:type="dxa"/>
          </w:tcPr>
          <w:p w14:paraId="2C226266" w14:textId="368C11C1" w:rsidR="00460897" w:rsidRDefault="00460897" w:rsidP="003B040A">
            <w:pPr>
              <w:spacing w:after="0" w:line="240" w:lineRule="auto"/>
            </w:pPr>
            <w:r>
              <w:t>Comprehensive Peace Agreement</w:t>
            </w:r>
          </w:p>
        </w:tc>
      </w:tr>
      <w:tr w:rsidR="00026CBE" w14:paraId="36DC247D" w14:textId="77777777" w:rsidTr="003B040A">
        <w:tc>
          <w:tcPr>
            <w:tcW w:w="1435" w:type="dxa"/>
          </w:tcPr>
          <w:p w14:paraId="1D85EA7B" w14:textId="1AC0B1EF" w:rsidR="00026CBE" w:rsidRDefault="00026CBE" w:rsidP="003B040A">
            <w:pPr>
              <w:spacing w:after="0" w:line="240" w:lineRule="auto"/>
            </w:pPr>
            <w:r>
              <w:t>CPIA</w:t>
            </w:r>
          </w:p>
        </w:tc>
        <w:tc>
          <w:tcPr>
            <w:tcW w:w="7915" w:type="dxa"/>
          </w:tcPr>
          <w:p w14:paraId="358127AF" w14:textId="3670A6ED" w:rsidR="00026CBE" w:rsidRDefault="00026CBE" w:rsidP="003B040A">
            <w:pPr>
              <w:spacing w:after="0" w:line="240" w:lineRule="auto"/>
            </w:pPr>
            <w:r>
              <w:t>Country Policy and Institutional Assessment</w:t>
            </w:r>
          </w:p>
        </w:tc>
      </w:tr>
      <w:tr w:rsidR="003B040A" w14:paraId="44A9CC14" w14:textId="77777777" w:rsidTr="003B040A">
        <w:tc>
          <w:tcPr>
            <w:tcW w:w="1435" w:type="dxa"/>
          </w:tcPr>
          <w:p w14:paraId="0048E503" w14:textId="3A1CBEE3" w:rsidR="003B040A" w:rsidRDefault="00EB4FD3" w:rsidP="003B040A">
            <w:pPr>
              <w:spacing w:after="0" w:line="240" w:lineRule="auto"/>
            </w:pPr>
            <w:r>
              <w:t>CSC</w:t>
            </w:r>
          </w:p>
        </w:tc>
        <w:tc>
          <w:tcPr>
            <w:tcW w:w="7915" w:type="dxa"/>
          </w:tcPr>
          <w:p w14:paraId="0786424A" w14:textId="7BD3F010" w:rsidR="003B040A" w:rsidRDefault="00EB4FD3" w:rsidP="003B040A">
            <w:pPr>
              <w:spacing w:after="0" w:line="240" w:lineRule="auto"/>
            </w:pPr>
            <w:r>
              <w:t>Civil Service Commission</w:t>
            </w:r>
          </w:p>
        </w:tc>
      </w:tr>
      <w:tr w:rsidR="003B040A" w14:paraId="7173C019" w14:textId="77777777" w:rsidTr="003B040A">
        <w:tc>
          <w:tcPr>
            <w:tcW w:w="1435" w:type="dxa"/>
          </w:tcPr>
          <w:p w14:paraId="4106F026" w14:textId="051EF8DD" w:rsidR="003B040A" w:rsidRDefault="00DB56B5" w:rsidP="003B040A">
            <w:pPr>
              <w:spacing w:after="0" w:line="240" w:lineRule="auto"/>
            </w:pPr>
            <w:r>
              <w:t>DDR</w:t>
            </w:r>
          </w:p>
        </w:tc>
        <w:tc>
          <w:tcPr>
            <w:tcW w:w="7915" w:type="dxa"/>
          </w:tcPr>
          <w:p w14:paraId="4237CB01" w14:textId="331545D0" w:rsidR="003B040A" w:rsidRDefault="00DB56B5" w:rsidP="003B040A">
            <w:pPr>
              <w:spacing w:after="0" w:line="240" w:lineRule="auto"/>
            </w:pPr>
            <w:r w:rsidRPr="00B513F4">
              <w:t>Disarmament, Demobilization</w:t>
            </w:r>
            <w:r>
              <w:t>,</w:t>
            </w:r>
            <w:r w:rsidRPr="00B513F4">
              <w:t xml:space="preserve"> and Reintegration</w:t>
            </w:r>
          </w:p>
        </w:tc>
      </w:tr>
      <w:tr w:rsidR="003B040A" w14:paraId="2A4619CB" w14:textId="77777777" w:rsidTr="003B040A">
        <w:tc>
          <w:tcPr>
            <w:tcW w:w="1435" w:type="dxa"/>
          </w:tcPr>
          <w:p w14:paraId="009D7E04" w14:textId="251412BE" w:rsidR="003B040A" w:rsidRDefault="009C1B3B" w:rsidP="0016365A">
            <w:pPr>
              <w:spacing w:after="0" w:line="240" w:lineRule="auto"/>
            </w:pPr>
            <w:r>
              <w:t>DFID</w:t>
            </w:r>
          </w:p>
        </w:tc>
        <w:tc>
          <w:tcPr>
            <w:tcW w:w="7915" w:type="dxa"/>
          </w:tcPr>
          <w:p w14:paraId="34F8078A" w14:textId="0E0A134B" w:rsidR="003B040A" w:rsidRDefault="009C1B3B" w:rsidP="003B040A">
            <w:pPr>
              <w:spacing w:after="0" w:line="240" w:lineRule="auto"/>
            </w:pPr>
            <w:r>
              <w:t>U.K. Department for International Development</w:t>
            </w:r>
          </w:p>
        </w:tc>
      </w:tr>
      <w:tr w:rsidR="00804277" w14:paraId="37F1B104" w14:textId="77777777" w:rsidTr="003B040A">
        <w:tc>
          <w:tcPr>
            <w:tcW w:w="1435" w:type="dxa"/>
          </w:tcPr>
          <w:p w14:paraId="344D5F7E" w14:textId="58333DCA" w:rsidR="00804277" w:rsidRDefault="00804277" w:rsidP="003B040A">
            <w:pPr>
              <w:spacing w:after="0" w:line="240" w:lineRule="auto"/>
            </w:pPr>
            <w:r>
              <w:t>EMIS</w:t>
            </w:r>
          </w:p>
        </w:tc>
        <w:tc>
          <w:tcPr>
            <w:tcW w:w="7915" w:type="dxa"/>
          </w:tcPr>
          <w:p w14:paraId="17552178" w14:textId="4E20B7AD" w:rsidR="00804277" w:rsidRDefault="00804277" w:rsidP="003B040A">
            <w:pPr>
              <w:spacing w:after="0" w:line="240" w:lineRule="auto"/>
            </w:pPr>
            <w:r>
              <w:t>Education Management Information System</w:t>
            </w:r>
          </w:p>
        </w:tc>
      </w:tr>
      <w:tr w:rsidR="00531C55" w14:paraId="4127F932" w14:textId="77777777" w:rsidTr="003B040A">
        <w:tc>
          <w:tcPr>
            <w:tcW w:w="1435" w:type="dxa"/>
          </w:tcPr>
          <w:p w14:paraId="268E7C57" w14:textId="358FDCBD" w:rsidR="00531C55" w:rsidRDefault="00531C55" w:rsidP="003B040A">
            <w:pPr>
              <w:spacing w:after="0" w:line="240" w:lineRule="auto"/>
            </w:pPr>
            <w:r>
              <w:t>FBO</w:t>
            </w:r>
          </w:p>
        </w:tc>
        <w:tc>
          <w:tcPr>
            <w:tcW w:w="7915" w:type="dxa"/>
          </w:tcPr>
          <w:p w14:paraId="4344CAE1" w14:textId="6B1415E0" w:rsidR="00531C55" w:rsidRDefault="00531C55" w:rsidP="003B040A">
            <w:pPr>
              <w:spacing w:after="0" w:line="240" w:lineRule="auto"/>
            </w:pPr>
            <w:r>
              <w:t>Faith-based Organization</w:t>
            </w:r>
          </w:p>
        </w:tc>
      </w:tr>
      <w:tr w:rsidR="00AF6CC6" w14:paraId="333BCE8C" w14:textId="77777777" w:rsidTr="003B040A">
        <w:tc>
          <w:tcPr>
            <w:tcW w:w="1435" w:type="dxa"/>
          </w:tcPr>
          <w:p w14:paraId="0235397E" w14:textId="186F9B31" w:rsidR="00AF6CC6" w:rsidRDefault="00AF6CC6" w:rsidP="003B040A">
            <w:pPr>
              <w:spacing w:after="0" w:line="240" w:lineRule="auto"/>
            </w:pPr>
            <w:r>
              <w:t>GDP</w:t>
            </w:r>
          </w:p>
        </w:tc>
        <w:tc>
          <w:tcPr>
            <w:tcW w:w="7915" w:type="dxa"/>
          </w:tcPr>
          <w:p w14:paraId="4EEB4827" w14:textId="0CA16179" w:rsidR="00AF6CC6" w:rsidRDefault="00AF6CC6" w:rsidP="003B040A">
            <w:pPr>
              <w:spacing w:after="0" w:line="240" w:lineRule="auto"/>
            </w:pPr>
            <w:r>
              <w:t>Gross Domestic Product</w:t>
            </w:r>
          </w:p>
        </w:tc>
      </w:tr>
      <w:tr w:rsidR="00BB24E5" w14:paraId="75258A50" w14:textId="77777777" w:rsidTr="003B040A">
        <w:tc>
          <w:tcPr>
            <w:tcW w:w="1435" w:type="dxa"/>
          </w:tcPr>
          <w:p w14:paraId="379E44EF" w14:textId="3C382256" w:rsidR="00BB24E5" w:rsidRDefault="00BB24E5" w:rsidP="003B040A">
            <w:pPr>
              <w:spacing w:after="0" w:line="240" w:lineRule="auto"/>
            </w:pPr>
            <w:r>
              <w:t>GOSS</w:t>
            </w:r>
          </w:p>
        </w:tc>
        <w:tc>
          <w:tcPr>
            <w:tcW w:w="7915" w:type="dxa"/>
          </w:tcPr>
          <w:p w14:paraId="4DC762C9" w14:textId="508A2012" w:rsidR="00BB24E5" w:rsidRDefault="00BB24E5" w:rsidP="003B040A">
            <w:pPr>
              <w:spacing w:after="0" w:line="240" w:lineRule="auto"/>
            </w:pPr>
            <w:r>
              <w:t>Government of South Sudan</w:t>
            </w:r>
          </w:p>
        </w:tc>
      </w:tr>
      <w:tr w:rsidR="003B040A" w14:paraId="02F22319" w14:textId="77777777" w:rsidTr="003B040A">
        <w:tc>
          <w:tcPr>
            <w:tcW w:w="1435" w:type="dxa"/>
          </w:tcPr>
          <w:p w14:paraId="5E584BDC" w14:textId="0EED90EF" w:rsidR="003B040A" w:rsidRDefault="00961F5B" w:rsidP="003B040A">
            <w:pPr>
              <w:spacing w:after="0" w:line="240" w:lineRule="auto"/>
            </w:pPr>
            <w:r>
              <w:t>HRM</w:t>
            </w:r>
          </w:p>
        </w:tc>
        <w:tc>
          <w:tcPr>
            <w:tcW w:w="7915" w:type="dxa"/>
          </w:tcPr>
          <w:p w14:paraId="7C632793" w14:textId="4ADDEA54" w:rsidR="003B040A" w:rsidRDefault="00961F5B" w:rsidP="003B040A">
            <w:pPr>
              <w:spacing w:after="0" w:line="240" w:lineRule="auto"/>
            </w:pPr>
            <w:r>
              <w:t>Human Resource Management</w:t>
            </w:r>
          </w:p>
        </w:tc>
      </w:tr>
      <w:tr w:rsidR="00591FB0" w14:paraId="21A95688" w14:textId="77777777" w:rsidTr="003B040A">
        <w:tc>
          <w:tcPr>
            <w:tcW w:w="1435" w:type="dxa"/>
          </w:tcPr>
          <w:p w14:paraId="462650D3" w14:textId="786975A5" w:rsidR="00591FB0" w:rsidRDefault="00591FB0" w:rsidP="003B040A">
            <w:pPr>
              <w:spacing w:after="0" w:line="240" w:lineRule="auto"/>
            </w:pPr>
            <w:r>
              <w:t>HRMIS</w:t>
            </w:r>
          </w:p>
        </w:tc>
        <w:tc>
          <w:tcPr>
            <w:tcW w:w="7915" w:type="dxa"/>
          </w:tcPr>
          <w:p w14:paraId="46F78B57" w14:textId="42F567BD" w:rsidR="00591FB0" w:rsidRDefault="00591FB0" w:rsidP="003B040A">
            <w:pPr>
              <w:spacing w:after="0" w:line="240" w:lineRule="auto"/>
            </w:pPr>
            <w:r>
              <w:t>Human Resource Management Information System</w:t>
            </w:r>
          </w:p>
        </w:tc>
      </w:tr>
      <w:tr w:rsidR="000754F1" w14:paraId="472BA907" w14:textId="77777777" w:rsidTr="003B040A">
        <w:tc>
          <w:tcPr>
            <w:tcW w:w="1435" w:type="dxa"/>
          </w:tcPr>
          <w:p w14:paraId="216AD398" w14:textId="3480D2F4" w:rsidR="000754F1" w:rsidRDefault="000754F1" w:rsidP="003B040A">
            <w:pPr>
              <w:spacing w:after="0" w:line="240" w:lineRule="auto"/>
            </w:pPr>
            <w:r>
              <w:t>IGAD</w:t>
            </w:r>
          </w:p>
        </w:tc>
        <w:tc>
          <w:tcPr>
            <w:tcW w:w="7915" w:type="dxa"/>
          </w:tcPr>
          <w:p w14:paraId="1A443ED8" w14:textId="71005319" w:rsidR="000754F1" w:rsidRDefault="000754F1" w:rsidP="003B040A">
            <w:pPr>
              <w:spacing w:after="0" w:line="240" w:lineRule="auto"/>
            </w:pPr>
            <w:r>
              <w:t>Intergovernmental Authority on Development</w:t>
            </w:r>
          </w:p>
        </w:tc>
      </w:tr>
      <w:tr w:rsidR="00A9172A" w14:paraId="7F09EAD8" w14:textId="77777777" w:rsidTr="003B040A">
        <w:tc>
          <w:tcPr>
            <w:tcW w:w="1435" w:type="dxa"/>
          </w:tcPr>
          <w:p w14:paraId="1C6C1876" w14:textId="3A8354AF" w:rsidR="00A9172A" w:rsidRDefault="00A9172A" w:rsidP="003B040A">
            <w:pPr>
              <w:spacing w:after="0" w:line="240" w:lineRule="auto"/>
            </w:pPr>
            <w:r>
              <w:t>IMF</w:t>
            </w:r>
          </w:p>
        </w:tc>
        <w:tc>
          <w:tcPr>
            <w:tcW w:w="7915" w:type="dxa"/>
          </w:tcPr>
          <w:p w14:paraId="79F31F6F" w14:textId="5B548CEC" w:rsidR="00A9172A" w:rsidRDefault="00A9172A" w:rsidP="003B040A">
            <w:pPr>
              <w:spacing w:after="0" w:line="240" w:lineRule="auto"/>
            </w:pPr>
            <w:r>
              <w:t>International Monetary Fund</w:t>
            </w:r>
          </w:p>
        </w:tc>
      </w:tr>
      <w:tr w:rsidR="00CC4BA3" w14:paraId="5B6D8318" w14:textId="77777777" w:rsidTr="003B040A">
        <w:tc>
          <w:tcPr>
            <w:tcW w:w="1435" w:type="dxa"/>
          </w:tcPr>
          <w:p w14:paraId="03AFF609" w14:textId="134B1566" w:rsidR="00CC4BA3" w:rsidRDefault="00CC4BA3" w:rsidP="003B040A">
            <w:pPr>
              <w:spacing w:after="0" w:line="240" w:lineRule="auto"/>
            </w:pPr>
            <w:r>
              <w:t>JAM</w:t>
            </w:r>
          </w:p>
        </w:tc>
        <w:tc>
          <w:tcPr>
            <w:tcW w:w="7915" w:type="dxa"/>
          </w:tcPr>
          <w:p w14:paraId="107E6175" w14:textId="4280B030" w:rsidR="00CC4BA3" w:rsidRDefault="00CC4BA3" w:rsidP="003B040A">
            <w:pPr>
              <w:spacing w:after="0" w:line="240" w:lineRule="auto"/>
            </w:pPr>
            <w:r>
              <w:t>Joint Assessment Mission</w:t>
            </w:r>
          </w:p>
        </w:tc>
      </w:tr>
      <w:tr w:rsidR="00FD1D4C" w14:paraId="47AC2532" w14:textId="77777777" w:rsidTr="003B040A">
        <w:tc>
          <w:tcPr>
            <w:tcW w:w="1435" w:type="dxa"/>
          </w:tcPr>
          <w:p w14:paraId="70F7DFD8" w14:textId="321BBC44" w:rsidR="00FD1D4C" w:rsidRDefault="00FD1D4C" w:rsidP="003B040A">
            <w:pPr>
              <w:spacing w:after="0" w:line="240" w:lineRule="auto"/>
            </w:pPr>
            <w:r>
              <w:t>MDAs</w:t>
            </w:r>
          </w:p>
        </w:tc>
        <w:tc>
          <w:tcPr>
            <w:tcW w:w="7915" w:type="dxa"/>
          </w:tcPr>
          <w:p w14:paraId="70535336" w14:textId="6D125305" w:rsidR="00FD1D4C" w:rsidRDefault="00FD1D4C" w:rsidP="003B040A">
            <w:pPr>
              <w:spacing w:after="0" w:line="240" w:lineRule="auto"/>
            </w:pPr>
            <w:r>
              <w:t>Ministries, Departments and Agencies</w:t>
            </w:r>
          </w:p>
        </w:tc>
      </w:tr>
      <w:tr w:rsidR="00CA58C2" w14:paraId="090B0A7F" w14:textId="77777777" w:rsidTr="003B040A">
        <w:tc>
          <w:tcPr>
            <w:tcW w:w="1435" w:type="dxa"/>
          </w:tcPr>
          <w:p w14:paraId="1CFE9525" w14:textId="7618A98E" w:rsidR="00CA58C2" w:rsidRDefault="00CA58C2" w:rsidP="003B040A">
            <w:pPr>
              <w:spacing w:after="0" w:line="240" w:lineRule="auto"/>
            </w:pPr>
            <w:r>
              <w:t>MDG</w:t>
            </w:r>
          </w:p>
        </w:tc>
        <w:tc>
          <w:tcPr>
            <w:tcW w:w="7915" w:type="dxa"/>
          </w:tcPr>
          <w:p w14:paraId="6DAC60D0" w14:textId="1780BF3D" w:rsidR="00CA58C2" w:rsidRDefault="00CA58C2" w:rsidP="003B040A">
            <w:pPr>
              <w:spacing w:after="0" w:line="240" w:lineRule="auto"/>
            </w:pPr>
            <w:r>
              <w:t>Millennium Development Goal</w:t>
            </w:r>
          </w:p>
        </w:tc>
      </w:tr>
      <w:tr w:rsidR="007039B3" w14:paraId="77F524F2" w14:textId="77777777" w:rsidTr="003B040A">
        <w:tc>
          <w:tcPr>
            <w:tcW w:w="1435" w:type="dxa"/>
          </w:tcPr>
          <w:p w14:paraId="25F9C5B0" w14:textId="12973D72" w:rsidR="007039B3" w:rsidRDefault="007039B3" w:rsidP="003B040A">
            <w:pPr>
              <w:spacing w:after="0" w:line="240" w:lineRule="auto"/>
            </w:pPr>
            <w:r>
              <w:t>MDTF</w:t>
            </w:r>
          </w:p>
        </w:tc>
        <w:tc>
          <w:tcPr>
            <w:tcW w:w="7915" w:type="dxa"/>
          </w:tcPr>
          <w:p w14:paraId="7A21A649" w14:textId="50DA45E4" w:rsidR="007039B3" w:rsidRDefault="007039B3" w:rsidP="007039B3">
            <w:pPr>
              <w:spacing w:after="0" w:line="240" w:lineRule="auto"/>
            </w:pPr>
            <w:r>
              <w:t>Multi-Donor Trust Fund</w:t>
            </w:r>
          </w:p>
        </w:tc>
      </w:tr>
      <w:tr w:rsidR="00F06B56" w14:paraId="1CB87D2E" w14:textId="77777777" w:rsidTr="003B040A">
        <w:tc>
          <w:tcPr>
            <w:tcW w:w="1435" w:type="dxa"/>
          </w:tcPr>
          <w:p w14:paraId="2B313C7B" w14:textId="6CA7090D" w:rsidR="00F06B56" w:rsidRDefault="00F06B56" w:rsidP="003B040A">
            <w:pPr>
              <w:spacing w:after="0" w:line="240" w:lineRule="auto"/>
            </w:pPr>
            <w:r>
              <w:t>MOFEP</w:t>
            </w:r>
          </w:p>
        </w:tc>
        <w:tc>
          <w:tcPr>
            <w:tcW w:w="7915" w:type="dxa"/>
          </w:tcPr>
          <w:p w14:paraId="1AE9F714" w14:textId="2AA4AFB6" w:rsidR="00F06B56" w:rsidRDefault="00F06B56" w:rsidP="003B040A">
            <w:pPr>
              <w:spacing w:after="0" w:line="240" w:lineRule="auto"/>
            </w:pPr>
            <w:r>
              <w:t>Ministry of Finance and Economic Planning</w:t>
            </w:r>
          </w:p>
        </w:tc>
      </w:tr>
      <w:tr w:rsidR="005747EB" w14:paraId="78A772C6" w14:textId="77777777" w:rsidTr="003B040A">
        <w:tc>
          <w:tcPr>
            <w:tcW w:w="1435" w:type="dxa"/>
          </w:tcPr>
          <w:p w14:paraId="00414A9E" w14:textId="4AEAFF81" w:rsidR="005747EB" w:rsidRDefault="005747EB" w:rsidP="003B040A">
            <w:pPr>
              <w:spacing w:after="0" w:line="240" w:lineRule="auto"/>
            </w:pPr>
            <w:r>
              <w:t>MOH</w:t>
            </w:r>
          </w:p>
        </w:tc>
        <w:tc>
          <w:tcPr>
            <w:tcW w:w="7915" w:type="dxa"/>
          </w:tcPr>
          <w:p w14:paraId="63D83649" w14:textId="0872D5B8" w:rsidR="005747EB" w:rsidRDefault="005747EB" w:rsidP="003B040A">
            <w:pPr>
              <w:spacing w:after="0" w:line="240" w:lineRule="auto"/>
            </w:pPr>
            <w:r>
              <w:t>Ministry of Health</w:t>
            </w:r>
          </w:p>
        </w:tc>
      </w:tr>
      <w:tr w:rsidR="00F06B56" w14:paraId="4CBACF90" w14:textId="77777777" w:rsidTr="003B040A">
        <w:tc>
          <w:tcPr>
            <w:tcW w:w="1435" w:type="dxa"/>
          </w:tcPr>
          <w:p w14:paraId="033D86B4" w14:textId="5B130CE0" w:rsidR="00F06B56" w:rsidRDefault="000754F1" w:rsidP="003B040A">
            <w:pPr>
              <w:spacing w:after="0" w:line="240" w:lineRule="auto"/>
            </w:pPr>
            <w:r>
              <w:t>MOLPSHRD</w:t>
            </w:r>
          </w:p>
        </w:tc>
        <w:tc>
          <w:tcPr>
            <w:tcW w:w="7915" w:type="dxa"/>
          </w:tcPr>
          <w:p w14:paraId="6A6556AB" w14:textId="30E05EE1" w:rsidR="00F06B56" w:rsidRDefault="00F06B56" w:rsidP="003B040A">
            <w:pPr>
              <w:spacing w:after="0" w:line="240" w:lineRule="auto"/>
            </w:pPr>
            <w:r>
              <w:t>Ministry of Labor, Public Service and Human Resource Development</w:t>
            </w:r>
          </w:p>
        </w:tc>
      </w:tr>
      <w:tr w:rsidR="00B51E20" w14:paraId="218755F6" w14:textId="77777777" w:rsidTr="003B040A">
        <w:tc>
          <w:tcPr>
            <w:tcW w:w="1435" w:type="dxa"/>
          </w:tcPr>
          <w:p w14:paraId="0AC8C23E" w14:textId="5FF97942" w:rsidR="00B51E20" w:rsidRDefault="00B51E20" w:rsidP="003B040A">
            <w:pPr>
              <w:spacing w:after="0" w:line="240" w:lineRule="auto"/>
            </w:pPr>
            <w:r>
              <w:t>NGO</w:t>
            </w:r>
          </w:p>
        </w:tc>
        <w:tc>
          <w:tcPr>
            <w:tcW w:w="7915" w:type="dxa"/>
          </w:tcPr>
          <w:p w14:paraId="52D070E1" w14:textId="00ADD057" w:rsidR="00B51E20" w:rsidRDefault="00B51E20" w:rsidP="003B040A">
            <w:pPr>
              <w:spacing w:after="0" w:line="240" w:lineRule="auto"/>
            </w:pPr>
            <w:r>
              <w:t>Nongovernmental Organization</w:t>
            </w:r>
          </w:p>
        </w:tc>
      </w:tr>
      <w:tr w:rsidR="00277B0A" w14:paraId="1268660A" w14:textId="77777777" w:rsidTr="003B040A">
        <w:tc>
          <w:tcPr>
            <w:tcW w:w="1435" w:type="dxa"/>
          </w:tcPr>
          <w:p w14:paraId="22032774" w14:textId="3446FAC2" w:rsidR="00277B0A" w:rsidRDefault="00277B0A" w:rsidP="003B040A">
            <w:pPr>
              <w:spacing w:after="0" w:line="240" w:lineRule="auto"/>
            </w:pPr>
            <w:r>
              <w:t>NSCSE</w:t>
            </w:r>
          </w:p>
        </w:tc>
        <w:tc>
          <w:tcPr>
            <w:tcW w:w="7915" w:type="dxa"/>
          </w:tcPr>
          <w:p w14:paraId="6E0D61A8" w14:textId="5252244A" w:rsidR="00277B0A" w:rsidRDefault="00277B0A" w:rsidP="003B040A">
            <w:pPr>
              <w:spacing w:after="0" w:line="240" w:lineRule="auto"/>
            </w:pPr>
            <w:r w:rsidRPr="00277B0A">
              <w:t>New Sudan Centre for Statistics and Evaluation</w:t>
            </w:r>
          </w:p>
        </w:tc>
      </w:tr>
      <w:tr w:rsidR="0040738A" w14:paraId="7B090247" w14:textId="77777777" w:rsidTr="003B040A">
        <w:tc>
          <w:tcPr>
            <w:tcW w:w="1435" w:type="dxa"/>
          </w:tcPr>
          <w:p w14:paraId="74A66DAB" w14:textId="23A94F89" w:rsidR="0040738A" w:rsidRDefault="0040738A" w:rsidP="003B040A">
            <w:pPr>
              <w:spacing w:after="0" w:line="240" w:lineRule="auto"/>
            </w:pPr>
            <w:r>
              <w:t>PFM</w:t>
            </w:r>
          </w:p>
        </w:tc>
        <w:tc>
          <w:tcPr>
            <w:tcW w:w="7915" w:type="dxa"/>
          </w:tcPr>
          <w:p w14:paraId="2FCA32BB" w14:textId="315D0A6B" w:rsidR="0040738A" w:rsidRDefault="0040738A" w:rsidP="003B040A">
            <w:pPr>
              <w:spacing w:after="0" w:line="240" w:lineRule="auto"/>
            </w:pPr>
            <w:r>
              <w:t>Public Financial Management</w:t>
            </w:r>
          </w:p>
        </w:tc>
      </w:tr>
      <w:tr w:rsidR="00822F16" w14:paraId="600A687B" w14:textId="77777777" w:rsidTr="003B040A">
        <w:tc>
          <w:tcPr>
            <w:tcW w:w="1435" w:type="dxa"/>
          </w:tcPr>
          <w:p w14:paraId="1588A055" w14:textId="0A57147F" w:rsidR="00822F16" w:rsidRDefault="00822F16" w:rsidP="003B040A">
            <w:pPr>
              <w:spacing w:after="0" w:line="240" w:lineRule="auto"/>
            </w:pPr>
            <w:r>
              <w:t>SPLA</w:t>
            </w:r>
          </w:p>
        </w:tc>
        <w:tc>
          <w:tcPr>
            <w:tcW w:w="7915" w:type="dxa"/>
          </w:tcPr>
          <w:p w14:paraId="357B8E2F" w14:textId="5C1B4CA7" w:rsidR="00822F16" w:rsidRDefault="00822F16" w:rsidP="003B040A">
            <w:pPr>
              <w:spacing w:after="0" w:line="240" w:lineRule="auto"/>
            </w:pPr>
            <w:r>
              <w:t>Sudan People’s Liberation Army</w:t>
            </w:r>
          </w:p>
        </w:tc>
      </w:tr>
      <w:tr w:rsidR="00591FB0" w14:paraId="73F99919" w14:textId="77777777" w:rsidTr="003B040A">
        <w:tc>
          <w:tcPr>
            <w:tcW w:w="1435" w:type="dxa"/>
          </w:tcPr>
          <w:p w14:paraId="29015971" w14:textId="4AEA855A" w:rsidR="00591FB0" w:rsidRDefault="00591FB0" w:rsidP="003B040A">
            <w:pPr>
              <w:spacing w:after="0" w:line="240" w:lineRule="auto"/>
            </w:pPr>
            <w:r>
              <w:t>SSEPS</w:t>
            </w:r>
          </w:p>
        </w:tc>
        <w:tc>
          <w:tcPr>
            <w:tcW w:w="7915" w:type="dxa"/>
          </w:tcPr>
          <w:p w14:paraId="33D0FFFF" w14:textId="220A9D32" w:rsidR="00591FB0" w:rsidRDefault="00591FB0" w:rsidP="003B040A">
            <w:pPr>
              <w:spacing w:after="0" w:line="240" w:lineRule="auto"/>
            </w:pPr>
            <w:r>
              <w:t>South Sudan Electronic Payroll System</w:t>
            </w:r>
          </w:p>
        </w:tc>
      </w:tr>
      <w:tr w:rsidR="003B040A" w14:paraId="6B7D8DA8" w14:textId="77777777" w:rsidTr="003B040A">
        <w:tc>
          <w:tcPr>
            <w:tcW w:w="1435" w:type="dxa"/>
          </w:tcPr>
          <w:p w14:paraId="1E3930C1" w14:textId="2307941F" w:rsidR="003B040A" w:rsidRDefault="009C1B3B" w:rsidP="003B040A">
            <w:pPr>
              <w:spacing w:after="0" w:line="240" w:lineRule="auto"/>
            </w:pPr>
            <w:r>
              <w:t>UNDP</w:t>
            </w:r>
          </w:p>
        </w:tc>
        <w:tc>
          <w:tcPr>
            <w:tcW w:w="7915" w:type="dxa"/>
          </w:tcPr>
          <w:p w14:paraId="13101836" w14:textId="0E1FB9F3" w:rsidR="003B040A" w:rsidRDefault="009C1B3B" w:rsidP="003B040A">
            <w:pPr>
              <w:spacing w:after="0" w:line="240" w:lineRule="auto"/>
            </w:pPr>
            <w:r>
              <w:t>United Nations Development Programme</w:t>
            </w:r>
          </w:p>
        </w:tc>
      </w:tr>
      <w:tr w:rsidR="003B040A" w14:paraId="7BDE9787" w14:textId="77777777" w:rsidTr="003B040A">
        <w:tc>
          <w:tcPr>
            <w:tcW w:w="1435" w:type="dxa"/>
          </w:tcPr>
          <w:p w14:paraId="4AB04F28" w14:textId="74CA401A" w:rsidR="003B040A" w:rsidRDefault="009C1B3B" w:rsidP="003B040A">
            <w:pPr>
              <w:spacing w:after="0" w:line="240" w:lineRule="auto"/>
            </w:pPr>
            <w:r>
              <w:t>USAID</w:t>
            </w:r>
          </w:p>
        </w:tc>
        <w:tc>
          <w:tcPr>
            <w:tcW w:w="7915" w:type="dxa"/>
          </w:tcPr>
          <w:p w14:paraId="68D98560" w14:textId="722D5838" w:rsidR="003B040A" w:rsidRDefault="009C1B3B" w:rsidP="003B040A">
            <w:pPr>
              <w:spacing w:after="0" w:line="240" w:lineRule="auto"/>
            </w:pPr>
            <w:r>
              <w:t>U.S. Agency for International Development</w:t>
            </w:r>
          </w:p>
        </w:tc>
      </w:tr>
      <w:tr w:rsidR="003B040A" w14:paraId="3221E29C" w14:textId="77777777" w:rsidTr="003B040A">
        <w:tc>
          <w:tcPr>
            <w:tcW w:w="1435" w:type="dxa"/>
          </w:tcPr>
          <w:p w14:paraId="25680636" w14:textId="2A85E1C6" w:rsidR="003B040A" w:rsidRDefault="007135B5" w:rsidP="003B040A">
            <w:pPr>
              <w:spacing w:after="0" w:line="240" w:lineRule="auto"/>
            </w:pPr>
            <w:r>
              <w:t>WDR</w:t>
            </w:r>
          </w:p>
        </w:tc>
        <w:tc>
          <w:tcPr>
            <w:tcW w:w="7915" w:type="dxa"/>
          </w:tcPr>
          <w:p w14:paraId="22C31C50" w14:textId="6D3329AA" w:rsidR="003B040A" w:rsidRDefault="007135B5" w:rsidP="003B040A">
            <w:pPr>
              <w:spacing w:after="0" w:line="240" w:lineRule="auto"/>
            </w:pPr>
            <w:r>
              <w:t>World Development Report</w:t>
            </w:r>
          </w:p>
        </w:tc>
      </w:tr>
      <w:tr w:rsidR="00A578D8" w14:paraId="1E4F8DDE" w14:textId="77777777" w:rsidTr="003B040A">
        <w:tc>
          <w:tcPr>
            <w:tcW w:w="1435" w:type="dxa"/>
          </w:tcPr>
          <w:p w14:paraId="3259CFF5" w14:textId="0B708447" w:rsidR="00A578D8" w:rsidRDefault="00A578D8" w:rsidP="003B040A">
            <w:pPr>
              <w:spacing w:after="0" w:line="240" w:lineRule="auto"/>
            </w:pPr>
            <w:r>
              <w:t>WGI</w:t>
            </w:r>
          </w:p>
        </w:tc>
        <w:tc>
          <w:tcPr>
            <w:tcW w:w="7915" w:type="dxa"/>
          </w:tcPr>
          <w:p w14:paraId="3A8BBFF3" w14:textId="6D024727" w:rsidR="00A578D8" w:rsidRDefault="00A578D8" w:rsidP="003B040A">
            <w:pPr>
              <w:spacing w:after="0" w:line="240" w:lineRule="auto"/>
            </w:pPr>
            <w:r w:rsidRPr="00B513F4">
              <w:t>Worldwide Governance Indicators</w:t>
            </w:r>
          </w:p>
        </w:tc>
      </w:tr>
    </w:tbl>
    <w:p w14:paraId="3C15559D" w14:textId="77777777" w:rsidR="00080F11" w:rsidRDefault="00080F11" w:rsidP="003B040A">
      <w:pPr>
        <w:sectPr w:rsidR="00080F11">
          <w:pgSz w:w="12240" w:h="15840"/>
          <w:pgMar w:top="1440" w:right="1440" w:bottom="1440" w:left="1440" w:header="720" w:footer="720" w:gutter="0"/>
          <w:cols w:space="720"/>
          <w:docGrid w:linePitch="360"/>
        </w:sectPr>
      </w:pPr>
    </w:p>
    <w:p w14:paraId="39AD22CD" w14:textId="2E4CE9C9" w:rsidR="00D56EAC" w:rsidRDefault="00D56EAC" w:rsidP="00380777">
      <w:pPr>
        <w:spacing w:after="0" w:line="240" w:lineRule="auto"/>
        <w:jc w:val="both"/>
        <w:rPr>
          <w:sz w:val="24"/>
        </w:rPr>
      </w:pPr>
      <w:bookmarkStart w:id="1" w:name="_Toc447892385"/>
      <w:r w:rsidRPr="00D56EAC">
        <w:rPr>
          <w:sz w:val="24"/>
        </w:rPr>
        <w:lastRenderedPageBreak/>
        <w:t xml:space="preserve">This </w:t>
      </w:r>
      <w:r>
        <w:rPr>
          <w:sz w:val="24"/>
        </w:rPr>
        <w:t>report was prepared as one of two outputs under the 2015 South Sudan Governance Review (</w:t>
      </w:r>
      <w:r w:rsidRPr="00D56EAC">
        <w:rPr>
          <w:sz w:val="24"/>
        </w:rPr>
        <w:t>P148524</w:t>
      </w:r>
      <w:r>
        <w:rPr>
          <w:sz w:val="24"/>
        </w:rPr>
        <w:t>). The team working on this report was led by Verena Fritz (Sr Public Sector Specialist) and included Museme Munira Issa (Public Sector Specialist), and Rachel Ort (Consultant).</w:t>
      </w:r>
      <w:r w:rsidR="00741D34">
        <w:rPr>
          <w:sz w:val="24"/>
        </w:rPr>
        <w:t xml:space="preserve"> Excellent administrative support was provided</w:t>
      </w:r>
      <w:r>
        <w:rPr>
          <w:sz w:val="24"/>
        </w:rPr>
        <w:t xml:space="preserve"> </w:t>
      </w:r>
      <w:r w:rsidR="00741D34">
        <w:rPr>
          <w:sz w:val="24"/>
        </w:rPr>
        <w:t xml:space="preserve">by Dorothy Akikoli (Program Assistant). </w:t>
      </w:r>
      <w:r>
        <w:rPr>
          <w:sz w:val="24"/>
        </w:rPr>
        <w:t>Background notes were developed under the leadership of Sanjeev Ahluwalia (Sr Public Sector Specialist)</w:t>
      </w:r>
      <w:r w:rsidR="00380777">
        <w:rPr>
          <w:sz w:val="24"/>
        </w:rPr>
        <w:t>, with inputs from Jana Orac (Consultant)</w:t>
      </w:r>
      <w:r>
        <w:rPr>
          <w:sz w:val="24"/>
        </w:rPr>
        <w:t xml:space="preserve">. </w:t>
      </w:r>
    </w:p>
    <w:p w14:paraId="1B754775" w14:textId="77777777" w:rsidR="00380777" w:rsidRDefault="00380777" w:rsidP="00380777">
      <w:pPr>
        <w:spacing w:after="0" w:line="240" w:lineRule="auto"/>
        <w:jc w:val="both"/>
        <w:rPr>
          <w:sz w:val="24"/>
        </w:rPr>
      </w:pPr>
    </w:p>
    <w:p w14:paraId="1C24613D" w14:textId="03B99AA5" w:rsidR="00D56EAC" w:rsidRDefault="00D56EAC" w:rsidP="00380777">
      <w:pPr>
        <w:spacing w:after="0" w:line="240" w:lineRule="auto"/>
        <w:jc w:val="both"/>
        <w:rPr>
          <w:sz w:val="24"/>
        </w:rPr>
      </w:pPr>
      <w:r>
        <w:rPr>
          <w:sz w:val="24"/>
        </w:rPr>
        <w:t>The team would like to thank the peer reviewers, Jurgen Blum (Sr Public Sector Specialist) and Phil Keefer (Principle Economic Adviser, IADB)</w:t>
      </w:r>
      <w:r w:rsidR="00380777">
        <w:rPr>
          <w:sz w:val="24"/>
        </w:rPr>
        <w:t>, as well as Peter Lilford (Consultant) and others from the Budget Strengthening Initiative team working on South Sudan, who provided generous comments and ideas. Management g</w:t>
      </w:r>
      <w:r>
        <w:rPr>
          <w:sz w:val="24"/>
        </w:rPr>
        <w:t xml:space="preserve">uidance was provided by Bella Bird (Country Director), Preeti Arora (Country Program Coordinator), </w:t>
      </w:r>
      <w:r w:rsidR="00AA03CD">
        <w:rPr>
          <w:sz w:val="24"/>
        </w:rPr>
        <w:t xml:space="preserve">Nicola Pontara (Country Manager), </w:t>
      </w:r>
      <w:r>
        <w:rPr>
          <w:sz w:val="24"/>
        </w:rPr>
        <w:t>Pablo Fajnzylber (Practice Manager), George Larbi (Practice Manager), and Guenter</w:t>
      </w:r>
      <w:r w:rsidR="00380777">
        <w:rPr>
          <w:sz w:val="24"/>
        </w:rPr>
        <w:t xml:space="preserve"> Heidenhof (Practice Manager).</w:t>
      </w:r>
    </w:p>
    <w:p w14:paraId="7D431B95" w14:textId="77777777" w:rsidR="00380777" w:rsidRDefault="00380777" w:rsidP="00380777">
      <w:pPr>
        <w:spacing w:after="0" w:line="240" w:lineRule="auto"/>
        <w:jc w:val="both"/>
        <w:rPr>
          <w:sz w:val="24"/>
        </w:rPr>
      </w:pPr>
    </w:p>
    <w:p w14:paraId="1286194B" w14:textId="205FEFCC" w:rsidR="00380777" w:rsidRDefault="00380777" w:rsidP="00380777">
      <w:pPr>
        <w:spacing w:after="0" w:line="240" w:lineRule="auto"/>
        <w:jc w:val="both"/>
        <w:rPr>
          <w:sz w:val="24"/>
        </w:rPr>
      </w:pPr>
      <w:r>
        <w:rPr>
          <w:sz w:val="24"/>
        </w:rPr>
        <w:t xml:space="preserve">The team wishes to thank the leadership and staff of the Ministry of Labor, Public Service and Human Resource Development in South Sudan for supporting the development and finalization of this report, in particular Mrs. Sunday Jaden, Director General for Administration and Finance and Mrs. Therezine Filbert, Director for Human Resource Development. The team is also grateful to the Ebony Center, and its head, Dr. Lual Deng, for hosting a Development Partnership Forum discussion of the draft report in </w:t>
      </w:r>
      <w:r w:rsidR="00DD0EBF">
        <w:rPr>
          <w:sz w:val="24"/>
        </w:rPr>
        <w:t xml:space="preserve">May 2014, and to the participants of this discussion, as well as to all interlocutors who provided their time and insights which have enabled the development of this report. </w:t>
      </w:r>
    </w:p>
    <w:p w14:paraId="026E523C" w14:textId="77777777" w:rsidR="00AA03CD" w:rsidRDefault="00AA03CD" w:rsidP="00380777">
      <w:pPr>
        <w:spacing w:after="0" w:line="240" w:lineRule="auto"/>
        <w:jc w:val="both"/>
        <w:rPr>
          <w:sz w:val="24"/>
        </w:rPr>
      </w:pPr>
    </w:p>
    <w:p w14:paraId="5D55744E" w14:textId="019AA403" w:rsidR="00AA03CD" w:rsidRPr="00D56EAC" w:rsidRDefault="00AA03CD" w:rsidP="00380777">
      <w:pPr>
        <w:spacing w:after="0" w:line="240" w:lineRule="auto"/>
        <w:jc w:val="both"/>
        <w:rPr>
          <w:sz w:val="24"/>
        </w:rPr>
      </w:pPr>
      <w:r>
        <w:rPr>
          <w:sz w:val="24"/>
        </w:rPr>
        <w:t xml:space="preserve">The report is based on information available at the time it was completed in June 2015. </w:t>
      </w:r>
    </w:p>
    <w:p w14:paraId="047C2A17" w14:textId="77777777" w:rsidR="00D56EAC" w:rsidRDefault="00D56EAC" w:rsidP="00D56EAC">
      <w:pPr>
        <w:spacing w:after="0" w:line="240" w:lineRule="auto"/>
      </w:pPr>
    </w:p>
    <w:p w14:paraId="2A676AD4" w14:textId="77777777" w:rsidR="00D56EAC" w:rsidRDefault="00D56EAC" w:rsidP="00D56EAC">
      <w:pPr>
        <w:spacing w:after="0" w:line="240" w:lineRule="auto"/>
      </w:pPr>
    </w:p>
    <w:p w14:paraId="1C437104" w14:textId="77777777" w:rsidR="00D56EAC" w:rsidRDefault="00D56EAC" w:rsidP="00D56EAC"/>
    <w:p w14:paraId="62535B93" w14:textId="77777777" w:rsidR="00D56EAC" w:rsidRPr="00D56EAC" w:rsidRDefault="00D56EAC" w:rsidP="00D56EAC">
      <w:pPr>
        <w:sectPr w:rsidR="00D56EAC" w:rsidRPr="00D56EAC" w:rsidSect="00080F11">
          <w:footerReference w:type="default" r:id="rId17"/>
          <w:pgSz w:w="12240" w:h="15840"/>
          <w:pgMar w:top="1440" w:right="1440" w:bottom="1440" w:left="1440" w:header="720" w:footer="720" w:gutter="0"/>
          <w:pgNumType w:start="1"/>
          <w:cols w:space="720"/>
          <w:docGrid w:linePitch="360"/>
        </w:sectPr>
      </w:pPr>
    </w:p>
    <w:p w14:paraId="661D6116" w14:textId="5579B8A3" w:rsidR="00A56EDD" w:rsidRPr="00B513F4" w:rsidRDefault="00A56EDD" w:rsidP="00A56EDD">
      <w:pPr>
        <w:pStyle w:val="Heading1"/>
      </w:pPr>
      <w:r w:rsidRPr="00B513F4">
        <w:lastRenderedPageBreak/>
        <w:t>Executive Summary</w:t>
      </w:r>
      <w:bookmarkEnd w:id="1"/>
    </w:p>
    <w:p w14:paraId="10226ED3" w14:textId="54662B46" w:rsidR="00A56EDD" w:rsidRPr="00B513F4" w:rsidRDefault="00A56EDD" w:rsidP="00A56EDD">
      <w:pPr>
        <w:jc w:val="both"/>
      </w:pPr>
      <w:r w:rsidRPr="00B513F4">
        <w:rPr>
          <w:b/>
        </w:rPr>
        <w:t>This note focuses on the development of a civilian public service in South Sudan</w:t>
      </w:r>
      <w:r w:rsidRPr="0062335C">
        <w:rPr>
          <w:b/>
        </w:rPr>
        <w:t>.</w:t>
      </w:r>
      <w:r w:rsidRPr="00B513F4">
        <w:t xml:space="preserve"> At the outset, it highlights the key problems that have motivated the need for more detailed analysis: a </w:t>
      </w:r>
      <w:r w:rsidRPr="00A92E6D">
        <w:t>large</w:t>
      </w:r>
      <w:r w:rsidRPr="00B513F4">
        <w:t xml:space="preserve"> public wage bill</w:t>
      </w:r>
      <w:r w:rsidR="0062335C">
        <w:t>,</w:t>
      </w:r>
      <w:r w:rsidRPr="00B513F4">
        <w:t xml:space="preserve"> low government effectiveness</w:t>
      </w:r>
      <w:r w:rsidR="0062335C">
        <w:t>,</w:t>
      </w:r>
      <w:r w:rsidRPr="00B513F4">
        <w:t xml:space="preserve"> and limited service delivery. Low qualifications on the one hand and a declining purchasing power of </w:t>
      </w:r>
      <w:r w:rsidR="0062335C">
        <w:t xml:space="preserve">the </w:t>
      </w:r>
      <w:r w:rsidRPr="00B513F4">
        <w:t xml:space="preserve">public sector </w:t>
      </w:r>
      <w:r w:rsidRPr="00072690">
        <w:t>pay</w:t>
      </w:r>
      <w:r w:rsidRPr="00B513F4">
        <w:t xml:space="preserve"> on the other are related challenges. </w:t>
      </w:r>
    </w:p>
    <w:p w14:paraId="1402425D" w14:textId="067FA5D9" w:rsidR="00A56EDD" w:rsidRPr="00B513F4" w:rsidRDefault="00A56EDD" w:rsidP="00A56EDD">
      <w:pPr>
        <w:jc w:val="both"/>
      </w:pPr>
      <w:r w:rsidRPr="00B513F4">
        <w:rPr>
          <w:b/>
        </w:rPr>
        <w:t>The conceptual chapter provides a framework for considering the issues, their root causes, and possible ways forward.</w:t>
      </w:r>
      <w:r w:rsidRPr="00B513F4">
        <w:t xml:space="preserve"> It points out that a key risk for fragile and conflict</w:t>
      </w:r>
      <w:r w:rsidR="0062335C">
        <w:t>-</w:t>
      </w:r>
      <w:r w:rsidRPr="00B513F4">
        <w:t>affected states is remain</w:t>
      </w:r>
      <w:r w:rsidR="0062335C">
        <w:t>ing</w:t>
      </w:r>
      <w:r w:rsidRPr="00B513F4">
        <w:t xml:space="preserve"> ‘trapped’ in a low</w:t>
      </w:r>
      <w:r w:rsidR="0062335C">
        <w:t>-</w:t>
      </w:r>
      <w:r w:rsidRPr="00B513F4">
        <w:t xml:space="preserve">level equilibrium, unable to converge on greater state capabilities and resilience. That said, a number of recent postconflict countries have managed to make continued incremental progress. Even in successful cases, however, reaching greater levels of public sector capabilities typically takes one to four decades. </w:t>
      </w:r>
    </w:p>
    <w:p w14:paraId="35B8959F" w14:textId="4C733B78" w:rsidR="00A56EDD" w:rsidRPr="00B513F4" w:rsidRDefault="00A56EDD" w:rsidP="00A56EDD">
      <w:pPr>
        <w:jc w:val="both"/>
      </w:pPr>
      <w:r w:rsidRPr="00B513F4">
        <w:rPr>
          <w:b/>
        </w:rPr>
        <w:t>Section 2 sets out a brief summary of wider country dynamics that shape the environment for public sector reforms in South Sudan</w:t>
      </w:r>
      <w:r w:rsidRPr="00875DF8">
        <w:rPr>
          <w:b/>
        </w:rPr>
        <w:t>.</w:t>
      </w:r>
      <w:r w:rsidRPr="00B513F4">
        <w:t xml:space="preserve"> The prospects for </w:t>
      </w:r>
      <w:r w:rsidRPr="00072690">
        <w:t>state-building</w:t>
      </w:r>
      <w:r w:rsidRPr="00B513F4">
        <w:t xml:space="preserve"> are affected by structural factors, institutional legacies, and the arrangements and dynamics between stakeholders. With regard to all three of these, South Sudan faces several hurdles. This includes the lack of experience of </w:t>
      </w:r>
      <w:r w:rsidRPr="0016365A">
        <w:t>stat</w:t>
      </w:r>
      <w:r w:rsidRPr="0062335C">
        <w:t>e</w:t>
      </w:r>
      <w:r w:rsidRPr="00BA38CB">
        <w:rPr>
          <w:i/>
        </w:rPr>
        <w:t>hood</w:t>
      </w:r>
      <w:r w:rsidRPr="00B513F4">
        <w:t xml:space="preserve"> (as an independent state) and limited prior </w:t>
      </w:r>
      <w:r w:rsidRPr="00072690">
        <w:t>stateness</w:t>
      </w:r>
      <w:r w:rsidRPr="00B513F4">
        <w:t xml:space="preserve"> (provision of goods and services </w:t>
      </w:r>
      <w:r w:rsidR="003D1EBF">
        <w:t>through</w:t>
      </w:r>
      <w:r w:rsidR="003D1EBF" w:rsidRPr="00B513F4">
        <w:t xml:space="preserve"> </w:t>
      </w:r>
      <w:r w:rsidRPr="00B513F4">
        <w:t xml:space="preserve">the state) combined with oil wealth, competing identities rather than a clear sense of nationhood, and significant localized violence that has compelled a process of co-optation through the distributions of rents, including access to public employment. Furthermore, as has been pointed out by Mampilly </w:t>
      </w:r>
      <w:r w:rsidR="00875DF8">
        <w:t>(</w:t>
      </w:r>
      <w:r w:rsidR="00460897">
        <w:t xml:space="preserve">2011, </w:t>
      </w:r>
      <w:r w:rsidR="00875DF8">
        <w:t xml:space="preserve">2012) </w:t>
      </w:r>
      <w:r w:rsidRPr="00B513F4">
        <w:t xml:space="preserve">and others, the transformation of governance from military leadership during a protracted conflict to state building has been challenging; and the </w:t>
      </w:r>
      <w:r w:rsidR="00875DF8">
        <w:t>renewed conflict from</w:t>
      </w:r>
      <w:r w:rsidRPr="00B513F4">
        <w:t xml:space="preserve"> December 2013 </w:t>
      </w:r>
      <w:r w:rsidR="00875DF8">
        <w:t xml:space="preserve">to August 2015 </w:t>
      </w:r>
      <w:r w:rsidRPr="00B513F4">
        <w:t xml:space="preserve">highlights a dynamic between stakeholders that hinders moving toward more resilient institutions. </w:t>
      </w:r>
    </w:p>
    <w:p w14:paraId="0550B235" w14:textId="00F07718" w:rsidR="00A56EDD" w:rsidRPr="00B513F4" w:rsidRDefault="00A56EDD" w:rsidP="00A56EDD">
      <w:pPr>
        <w:jc w:val="both"/>
        <w:rPr>
          <w:color w:val="000000" w:themeColor="text1"/>
        </w:rPr>
      </w:pPr>
      <w:r w:rsidRPr="00B513F4">
        <w:rPr>
          <w:b/>
        </w:rPr>
        <w:t>Three interrelated i</w:t>
      </w:r>
      <w:r>
        <w:rPr>
          <w:b/>
        </w:rPr>
        <w:t>ssues are explored in section 3</w:t>
      </w:r>
      <w:r w:rsidR="00C83146">
        <w:rPr>
          <w:b/>
        </w:rPr>
        <w:t>—</w:t>
      </w:r>
      <w:r w:rsidRPr="00B513F4">
        <w:rPr>
          <w:b/>
        </w:rPr>
        <w:t>the large overall public sector wage bill, declining levels of individual pay</w:t>
      </w:r>
      <w:r w:rsidR="00C83146">
        <w:rPr>
          <w:b/>
        </w:rPr>
        <w:t>,</w:t>
      </w:r>
      <w:r w:rsidRPr="00B513F4">
        <w:rPr>
          <w:b/>
        </w:rPr>
        <w:t xml:space="preserve"> and the qualifications of civil servants</w:t>
      </w:r>
      <w:r w:rsidRPr="00875DF8">
        <w:rPr>
          <w:b/>
        </w:rPr>
        <w:t>.</w:t>
      </w:r>
      <w:r w:rsidRPr="00B513F4">
        <w:t xml:space="preserve"> The large wage bill in South Sudan is primarily due to large employment in the security sector (military and organized forces) relative to other countries, as well as relative to the size of the civilian public work force. Large public employment in security functions crowds out resources for civilian parts of the public service, where numbers employed still remain well below what is required to meet </w:t>
      </w:r>
      <w:r w:rsidR="00A92E6D">
        <w:t>Millennium Development Goal (</w:t>
      </w:r>
      <w:r w:rsidRPr="00B513F4">
        <w:t>MDG</w:t>
      </w:r>
      <w:r w:rsidR="00A92E6D">
        <w:t>)</w:t>
      </w:r>
      <w:r w:rsidRPr="00B513F4">
        <w:t xml:space="preserve"> targets. The purchasing power of public sector wages has been left to erode since 2007 to make the wage bill fiscally manageable</w:t>
      </w:r>
      <w:r w:rsidR="009A3B71">
        <w:t>—</w:t>
      </w:r>
      <w:r>
        <w:t>even in the context of relatively ample revenue flows due to high oil prices up to 2014</w:t>
      </w:r>
      <w:r w:rsidRPr="00B513F4">
        <w:t xml:space="preserve">. </w:t>
      </w:r>
      <w:r w:rsidRPr="00B513F4">
        <w:rPr>
          <w:color w:val="000000" w:themeColor="text1"/>
        </w:rPr>
        <w:t xml:space="preserve">An initial survey of public sector staff (civilian and organized forces) undertaken in 2005/06 indicated </w:t>
      </w:r>
      <w:r w:rsidR="009A3B71">
        <w:rPr>
          <w:color w:val="000000" w:themeColor="text1"/>
        </w:rPr>
        <w:t>extremely</w:t>
      </w:r>
      <w:r w:rsidRPr="00B513F4">
        <w:rPr>
          <w:color w:val="000000" w:themeColor="text1"/>
        </w:rPr>
        <w:t xml:space="preserve"> low average qualifications, with over 40 percent having only (some) primary education. More recent surveys, covering narrower samples mainly from the civilian public service (education, state-level public servants), indicate </w:t>
      </w:r>
      <w:r w:rsidR="00F80A3A">
        <w:rPr>
          <w:color w:val="000000" w:themeColor="text1"/>
        </w:rPr>
        <w:t>slightly</w:t>
      </w:r>
      <w:r w:rsidR="00F80A3A" w:rsidRPr="00B513F4">
        <w:rPr>
          <w:color w:val="000000" w:themeColor="text1"/>
        </w:rPr>
        <w:t xml:space="preserve"> </w:t>
      </w:r>
      <w:r w:rsidRPr="00B513F4">
        <w:rPr>
          <w:color w:val="000000" w:themeColor="text1"/>
        </w:rPr>
        <w:t>higher levels of education and qualifications</w:t>
      </w:r>
      <w:r>
        <w:rPr>
          <w:color w:val="000000" w:themeColor="text1"/>
        </w:rPr>
        <w:t xml:space="preserve"> and possibly a gradual process of improving qualifications</w:t>
      </w:r>
      <w:r w:rsidRPr="00B513F4">
        <w:rPr>
          <w:color w:val="000000" w:themeColor="text1"/>
        </w:rPr>
        <w:t>.</w:t>
      </w:r>
    </w:p>
    <w:p w14:paraId="03D14CA3" w14:textId="046F4178" w:rsidR="00A56EDD" w:rsidRDefault="00A56EDD" w:rsidP="00A56EDD">
      <w:pPr>
        <w:jc w:val="both"/>
        <w:rPr>
          <w:color w:val="000000" w:themeColor="text1"/>
        </w:rPr>
      </w:pPr>
      <w:r w:rsidRPr="00B513F4">
        <w:rPr>
          <w:b/>
        </w:rPr>
        <w:lastRenderedPageBreak/>
        <w:t>Service delivery started from a low level in the early 2000s and has expanded since then, as is typical for most countries in postconflict periods</w:t>
      </w:r>
      <w:r>
        <w:rPr>
          <w:b/>
        </w:rPr>
        <w:t xml:space="preserve">, </w:t>
      </w:r>
      <w:r w:rsidR="00277B5A">
        <w:rPr>
          <w:b/>
        </w:rPr>
        <w:t xml:space="preserve">as </w:t>
      </w:r>
      <w:r>
        <w:rPr>
          <w:b/>
        </w:rPr>
        <w:t>reflected in section 4</w:t>
      </w:r>
      <w:r w:rsidRPr="00B513F4">
        <w:t>.</w:t>
      </w:r>
      <w:r w:rsidRPr="00B513F4">
        <w:rPr>
          <w:rStyle w:val="FootnoteReference"/>
        </w:rPr>
        <w:footnoteReference w:id="1"/>
      </w:r>
      <w:r w:rsidRPr="00B513F4">
        <w:t xml:space="preserve"> In particular</w:t>
      </w:r>
      <w:r w:rsidR="00277B5A">
        <w:t>,</w:t>
      </w:r>
      <w:r w:rsidRPr="00B513F4">
        <w:t xml:space="preserve"> there has been an expansion in basic indicators such as immunization and primary </w:t>
      </w:r>
      <w:r w:rsidR="00277B5A">
        <w:t>school</w:t>
      </w:r>
      <w:r w:rsidRPr="00B513F4">
        <w:t xml:space="preserve"> gross enrolment. However, key education and health outcomes such as primary completion rates and maternal mortality are still far below regional averages</w:t>
      </w:r>
      <w:r w:rsidR="00765E81">
        <w:t>.</w:t>
      </w:r>
      <w:r>
        <w:t xml:space="preserve"> </w:t>
      </w:r>
      <w:r w:rsidR="00765E81">
        <w:t>A</w:t>
      </w:r>
      <w:r>
        <w:t xml:space="preserve"> sharp decline in immunization rates in 2013 highlights </w:t>
      </w:r>
      <w:r w:rsidR="00765E81">
        <w:t xml:space="preserve">the </w:t>
      </w:r>
      <w:r>
        <w:t>continued fragility of even basic delivery</w:t>
      </w:r>
      <w:r w:rsidRPr="00B513F4">
        <w:t xml:space="preserve">. </w:t>
      </w:r>
      <w:r w:rsidRPr="00B513F4">
        <w:rPr>
          <w:color w:val="000000" w:themeColor="text1"/>
        </w:rPr>
        <w:t>There are some indications that private sector offerings of service provision are growing, while the sectoral and geographic spread and overall accessibility of private service provision</w:t>
      </w:r>
      <w:r w:rsidR="00765E81">
        <w:rPr>
          <w:color w:val="000000" w:themeColor="text1"/>
        </w:rPr>
        <w:t>,</w:t>
      </w:r>
      <w:r w:rsidRPr="00B513F4">
        <w:rPr>
          <w:color w:val="000000" w:themeColor="text1"/>
        </w:rPr>
        <w:t xml:space="preserve"> especially for poorer citizens</w:t>
      </w:r>
      <w:r w:rsidR="00765E81">
        <w:rPr>
          <w:color w:val="000000" w:themeColor="text1"/>
        </w:rPr>
        <w:t>,</w:t>
      </w:r>
      <w:r w:rsidRPr="00B513F4">
        <w:rPr>
          <w:color w:val="000000" w:themeColor="text1"/>
        </w:rPr>
        <w:t xml:space="preserve"> remains uncertain. Generally, service delivery functions and key service delivery categories such as teachers, nurses</w:t>
      </w:r>
      <w:r w:rsidR="00765E81">
        <w:rPr>
          <w:color w:val="000000" w:themeColor="text1"/>
        </w:rPr>
        <w:t>,</w:t>
      </w:r>
      <w:r w:rsidRPr="00B513F4">
        <w:rPr>
          <w:color w:val="000000" w:themeColor="text1"/>
        </w:rPr>
        <w:t xml:space="preserve"> and doctors are strongly understaffed relative to what is needed to achieve the MDGs and to match the levels of regional comparator countries (such as Liberia or Ghana).</w:t>
      </w:r>
    </w:p>
    <w:p w14:paraId="0F75B13B" w14:textId="0CABAA0A" w:rsidR="00A56EDD" w:rsidRPr="00B513F4" w:rsidRDefault="00A56EDD" w:rsidP="00A56EDD">
      <w:pPr>
        <w:jc w:val="both"/>
      </w:pPr>
      <w:r w:rsidRPr="008F1C34">
        <w:rPr>
          <w:b/>
          <w:color w:val="000000" w:themeColor="text1"/>
        </w:rPr>
        <w:t>Furthermore,</w:t>
      </w:r>
      <w:r>
        <w:rPr>
          <w:b/>
          <w:color w:val="000000" w:themeColor="text1"/>
        </w:rPr>
        <w:t xml:space="preserve"> a significant share of</w:t>
      </w:r>
      <w:r w:rsidRPr="008F1C34">
        <w:rPr>
          <w:b/>
          <w:color w:val="000000" w:themeColor="text1"/>
        </w:rPr>
        <w:t xml:space="preserve"> the civil service, and even more so </w:t>
      </w:r>
      <w:r>
        <w:rPr>
          <w:b/>
          <w:color w:val="000000" w:themeColor="text1"/>
        </w:rPr>
        <w:t xml:space="preserve">of </w:t>
      </w:r>
      <w:r w:rsidRPr="008F1C34">
        <w:rPr>
          <w:b/>
          <w:color w:val="000000" w:themeColor="text1"/>
        </w:rPr>
        <w:t xml:space="preserve">the organized forces, </w:t>
      </w:r>
      <w:r>
        <w:rPr>
          <w:b/>
          <w:color w:val="000000" w:themeColor="text1"/>
        </w:rPr>
        <w:t>are managed by subnational levels in South</w:t>
      </w:r>
      <w:r w:rsidRPr="008F1C34">
        <w:rPr>
          <w:b/>
          <w:color w:val="000000" w:themeColor="text1"/>
        </w:rPr>
        <w:t xml:space="preserve"> Sudan</w:t>
      </w:r>
      <w:r w:rsidRPr="00460897">
        <w:rPr>
          <w:b/>
          <w:color w:val="000000" w:themeColor="text1"/>
        </w:rPr>
        <w:t>.</w:t>
      </w:r>
      <w:r>
        <w:rPr>
          <w:color w:val="000000" w:themeColor="text1"/>
        </w:rPr>
        <w:t xml:space="preserve"> About 60 percent of civil servants and 80 percent of organized forces are employed at subnational levels. While </w:t>
      </w:r>
      <w:r w:rsidR="0019062F">
        <w:rPr>
          <w:color w:val="000000" w:themeColor="text1"/>
        </w:rPr>
        <w:t xml:space="preserve">the </w:t>
      </w:r>
      <w:r>
        <w:rPr>
          <w:color w:val="000000" w:themeColor="text1"/>
        </w:rPr>
        <w:t xml:space="preserve">national government sets overall employment conditions such as pay and allowances and undertakes overall and sector-specific monitoring, hiring and management authority over such staff is located at </w:t>
      </w:r>
      <w:r w:rsidR="0019062F">
        <w:rPr>
          <w:color w:val="000000" w:themeColor="text1"/>
        </w:rPr>
        <w:t xml:space="preserve">the </w:t>
      </w:r>
      <w:r>
        <w:rPr>
          <w:color w:val="000000" w:themeColor="text1"/>
        </w:rPr>
        <w:t xml:space="preserve">subnational level. To date, this has mainly meant state governments, while efforts are underway to devolve this authority further to </w:t>
      </w:r>
      <w:r w:rsidR="0019062F">
        <w:rPr>
          <w:color w:val="000000" w:themeColor="text1"/>
        </w:rPr>
        <w:t xml:space="preserve">the </w:t>
      </w:r>
      <w:r>
        <w:rPr>
          <w:color w:val="000000" w:themeColor="text1"/>
        </w:rPr>
        <w:t>county levels. At the same time, it is important to note that while subnational transfers are substantial, most of these are used for salary payments</w:t>
      </w:r>
      <w:r w:rsidR="0019062F">
        <w:rPr>
          <w:color w:val="000000" w:themeColor="text1"/>
        </w:rPr>
        <w:t>—</w:t>
      </w:r>
      <w:r>
        <w:rPr>
          <w:color w:val="000000" w:themeColor="text1"/>
        </w:rPr>
        <w:t>in particular</w:t>
      </w:r>
      <w:r w:rsidR="0019062F">
        <w:rPr>
          <w:color w:val="000000" w:themeColor="text1"/>
        </w:rPr>
        <w:t>,</w:t>
      </w:r>
      <w:r>
        <w:rPr>
          <w:color w:val="000000" w:themeColor="text1"/>
        </w:rPr>
        <w:t xml:space="preserve"> payments for police, wildlife, prison forces</w:t>
      </w:r>
      <w:r w:rsidR="0019062F">
        <w:rPr>
          <w:color w:val="000000" w:themeColor="text1"/>
        </w:rPr>
        <w:t>,</w:t>
      </w:r>
      <w:r>
        <w:rPr>
          <w:color w:val="000000" w:themeColor="text1"/>
        </w:rPr>
        <w:t xml:space="preserve"> and fire brigades. Intergovernmental relations are covered in greater depth in the second Governance Review note (World Bank 2015</w:t>
      </w:r>
      <w:r w:rsidR="00715854">
        <w:rPr>
          <w:color w:val="000000" w:themeColor="text1"/>
        </w:rPr>
        <w:t>a</w:t>
      </w:r>
      <w:r>
        <w:rPr>
          <w:color w:val="000000" w:themeColor="text1"/>
        </w:rPr>
        <w:t xml:space="preserve">). </w:t>
      </w:r>
    </w:p>
    <w:p w14:paraId="311CD7C3" w14:textId="7BEE7FD5" w:rsidR="00A56EDD" w:rsidRPr="00B513F4" w:rsidRDefault="00A56EDD" w:rsidP="00A56EDD">
      <w:pPr>
        <w:jc w:val="both"/>
      </w:pPr>
      <w:r w:rsidRPr="00B513F4">
        <w:rPr>
          <w:b/>
        </w:rPr>
        <w:t xml:space="preserve">Section 5 traces the evolution of public service in South Sudan, including the support </w:t>
      </w:r>
      <w:r w:rsidR="0019062F">
        <w:rPr>
          <w:b/>
        </w:rPr>
        <w:t>from</w:t>
      </w:r>
      <w:r w:rsidR="0019062F" w:rsidRPr="00B513F4">
        <w:rPr>
          <w:b/>
        </w:rPr>
        <w:t xml:space="preserve"> </w:t>
      </w:r>
      <w:r w:rsidRPr="00B513F4">
        <w:rPr>
          <w:b/>
        </w:rPr>
        <w:t>development partners over the past decade</w:t>
      </w:r>
      <w:r w:rsidRPr="00460897">
        <w:rPr>
          <w:b/>
        </w:rPr>
        <w:t>.</w:t>
      </w:r>
      <w:r w:rsidRPr="00B513F4">
        <w:t xml:space="preserve"> The formation of the public service started with good intentions and lessons learned from the experience of other Sub-Saharan countries that have gone through periods of expanded but increasingly underpaid, poorly qualified</w:t>
      </w:r>
      <w:r w:rsidR="0019062F">
        <w:t>,</w:t>
      </w:r>
      <w:r w:rsidRPr="00B513F4">
        <w:t xml:space="preserve"> and poorly motivated public services</w:t>
      </w:r>
      <w:r>
        <w:t xml:space="preserve">. </w:t>
      </w:r>
      <w:r w:rsidRPr="00B513F4">
        <w:t xml:space="preserve">Awareness of these issues was shared between government leaders and development partners providing support during the </w:t>
      </w:r>
      <w:r w:rsidR="009E4ECB">
        <w:t xml:space="preserve">period following the 2005 </w:t>
      </w:r>
      <w:r w:rsidR="00460897">
        <w:t>Comprehensive Peace Agreement (</w:t>
      </w:r>
      <w:r w:rsidRPr="00B513F4">
        <w:t>CPA</w:t>
      </w:r>
      <w:r w:rsidR="00460897">
        <w:t>)</w:t>
      </w:r>
      <w:r w:rsidRPr="00B513F4">
        <w:t xml:space="preserve"> period. However, these insights were subsequently overtaken by the pressure to employ</w:t>
      </w:r>
      <w:r w:rsidR="00A71CC4">
        <w:t>,</w:t>
      </w:r>
      <w:r w:rsidRPr="00B513F4">
        <w:t xml:space="preserve"> </w:t>
      </w:r>
      <w:r w:rsidR="00A71CC4">
        <w:t>which</w:t>
      </w:r>
      <w:r w:rsidRPr="00B513F4">
        <w:t xml:space="preserve"> was seen as necessary for generating buy-in for the new state from various groups. While this note focuses on the civilian rather th</w:t>
      </w:r>
      <w:r w:rsidR="00FE41CC">
        <w:t>an the security sector, it</w:t>
      </w:r>
      <w:r w:rsidRPr="00B513F4">
        <w:t xml:space="preserve"> provides brief coverage of the latter, highlighting that there was only minimal </w:t>
      </w:r>
      <w:r w:rsidR="00DB56B5">
        <w:t>d</w:t>
      </w:r>
      <w:r w:rsidR="00DB56B5" w:rsidRPr="00B513F4">
        <w:t xml:space="preserve">isarmament, </w:t>
      </w:r>
      <w:r w:rsidR="00DB56B5">
        <w:t>d</w:t>
      </w:r>
      <w:r w:rsidR="00DB56B5" w:rsidRPr="00B513F4">
        <w:t>emobilization</w:t>
      </w:r>
      <w:r w:rsidR="00DB56B5">
        <w:t>,</w:t>
      </w:r>
      <w:r w:rsidR="00DB56B5" w:rsidRPr="00B513F4">
        <w:t xml:space="preserve"> and </w:t>
      </w:r>
      <w:r w:rsidR="00DB56B5">
        <w:t>r</w:t>
      </w:r>
      <w:r w:rsidR="00DB56B5" w:rsidRPr="00B513F4">
        <w:t xml:space="preserve">eintegration </w:t>
      </w:r>
      <w:r w:rsidR="00DB56B5">
        <w:t>(</w:t>
      </w:r>
      <w:r w:rsidRPr="00B513F4">
        <w:t>DDR</w:t>
      </w:r>
      <w:r w:rsidR="00DB56B5">
        <w:t>)</w:t>
      </w:r>
      <w:r w:rsidRPr="00B513F4">
        <w:t xml:space="preserve"> and that</w:t>
      </w:r>
      <w:r w:rsidR="00DB56B5">
        <w:t>,</w:t>
      </w:r>
      <w:r w:rsidRPr="00B513F4">
        <w:t xml:space="preserve"> in parallel</w:t>
      </w:r>
      <w:r>
        <w:t>,</w:t>
      </w:r>
      <w:r w:rsidRPr="00B513F4">
        <w:t xml:space="preserve"> new security recruitment took place as additional rebel groups were continuously integrated into the regular army and/or the organized forces.</w:t>
      </w:r>
    </w:p>
    <w:p w14:paraId="3A8E1793" w14:textId="0B454571" w:rsidR="00A56EDD" w:rsidRPr="00B513F4" w:rsidRDefault="00A56EDD" w:rsidP="00A56EDD">
      <w:pPr>
        <w:jc w:val="both"/>
      </w:pPr>
      <w:r w:rsidRPr="00B513F4">
        <w:rPr>
          <w:b/>
        </w:rPr>
        <w:t>Relative to these challenges, some notable if incremental progress was made between 2007 and late 2013 with regard to developing a pay and grading system, establishing legal and institutional foundations, reducing the number of ghost and excess unskilled staff, and establishing a payroll system and controls</w:t>
      </w:r>
      <w:r w:rsidRPr="00FE41CC">
        <w:rPr>
          <w:b/>
        </w:rPr>
        <w:t>.</w:t>
      </w:r>
      <w:r w:rsidRPr="00B513F4">
        <w:t xml:space="preserve"> It is likely that there was also progress </w:t>
      </w:r>
      <w:r w:rsidR="00DB56B5">
        <w:t>in</w:t>
      </w:r>
      <w:r w:rsidR="00DB56B5" w:rsidRPr="00B513F4">
        <w:t xml:space="preserve"> </w:t>
      </w:r>
      <w:r w:rsidRPr="00B513F4">
        <w:t>improving language skills, and possibly overall qualifications, but in the absence of a repeat of the public service survey</w:t>
      </w:r>
      <w:r>
        <w:t>,</w:t>
      </w:r>
      <w:r w:rsidRPr="00B513F4">
        <w:t xml:space="preserve"> this is not comprehensively </w:t>
      </w:r>
      <w:r w:rsidRPr="00B513F4">
        <w:lastRenderedPageBreak/>
        <w:t xml:space="preserve">documented. This progress has been driven by committed reform entrepreneurs within </w:t>
      </w:r>
      <w:r w:rsidR="00DB56B5">
        <w:t xml:space="preserve">the </w:t>
      </w:r>
      <w:r w:rsidRPr="00B513F4">
        <w:t>government and by staff believing in the need for a more rule-bound government to build a new nation and a new state, enabled by at least some, albeit volatile</w:t>
      </w:r>
      <w:r w:rsidR="00DB56B5">
        <w:t>,</w:t>
      </w:r>
      <w:r w:rsidRPr="00B513F4">
        <w:t xml:space="preserve"> political backing. </w:t>
      </w:r>
    </w:p>
    <w:p w14:paraId="782B4408" w14:textId="63413167" w:rsidR="00A56EDD" w:rsidRPr="00B513F4" w:rsidRDefault="00A56EDD" w:rsidP="00A56EDD">
      <w:pPr>
        <w:jc w:val="both"/>
      </w:pPr>
      <w:r w:rsidRPr="00B513F4">
        <w:rPr>
          <w:b/>
        </w:rPr>
        <w:t>Development partners have supported the process of developing, strengthening, and reforming public service through a range of support</w:t>
      </w:r>
      <w:r w:rsidRPr="00B513F4">
        <w:t xml:space="preserve">, mainly provided by </w:t>
      </w:r>
      <w:r w:rsidR="009C1B3B">
        <w:t>the U.S. Agency for International Development (</w:t>
      </w:r>
      <w:r w:rsidRPr="00B513F4">
        <w:t>USAID</w:t>
      </w:r>
      <w:r w:rsidR="009C1B3B">
        <w:t>)</w:t>
      </w:r>
      <w:r w:rsidRPr="00B513F4">
        <w:t xml:space="preserve">, </w:t>
      </w:r>
      <w:r w:rsidR="009C1B3B">
        <w:t>United Nations Development Programme (</w:t>
      </w:r>
      <w:r w:rsidRPr="00B513F4">
        <w:t>UNDP</w:t>
      </w:r>
      <w:r w:rsidR="009C1B3B">
        <w:t>)</w:t>
      </w:r>
      <w:r w:rsidRPr="00B513F4">
        <w:t xml:space="preserve">, </w:t>
      </w:r>
      <w:r w:rsidR="009C1B3B">
        <w:t>U.K. Department for International Development (</w:t>
      </w:r>
      <w:r w:rsidRPr="00B513F4">
        <w:t>D</w:t>
      </w:r>
      <w:r w:rsidR="009C1B3B">
        <w:t>f</w:t>
      </w:r>
      <w:r w:rsidRPr="00B513F4">
        <w:t>ID</w:t>
      </w:r>
      <w:r w:rsidR="009C1B3B">
        <w:t>)</w:t>
      </w:r>
      <w:r w:rsidRPr="00B513F4">
        <w:t xml:space="preserve">, and the World Bank, as well as a consortium of bilateral donors through the </w:t>
      </w:r>
      <w:r w:rsidR="00F124AF">
        <w:t>Capacity Building Trust Fund (</w:t>
      </w:r>
      <w:r w:rsidRPr="00B513F4">
        <w:t>CBTF</w:t>
      </w:r>
      <w:r w:rsidR="00F124AF">
        <w:t>)</w:t>
      </w:r>
      <w:r w:rsidRPr="00B513F4">
        <w:t xml:space="preserve"> (2004</w:t>
      </w:r>
      <w:r w:rsidR="00F124AF">
        <w:t>–</w:t>
      </w:r>
      <w:r w:rsidRPr="00B513F4">
        <w:t xml:space="preserve">2014). Key challenges have been the relative fragmentation of these efforts between different projects; issues with the effectiveness of capacity building due to the widespread use of technical assistants, the short duration of courses for national staff, and lack of institutionalization of curricula; and insufficient emphasis on tracking the outputs and impacts from these efforts. </w:t>
      </w:r>
    </w:p>
    <w:p w14:paraId="2EDDDABF" w14:textId="3479514E" w:rsidR="00A56EDD" w:rsidRPr="00B513F4" w:rsidRDefault="00A56EDD" w:rsidP="00A56EDD">
      <w:pPr>
        <w:jc w:val="both"/>
      </w:pPr>
      <w:r w:rsidRPr="00B513F4">
        <w:rPr>
          <w:b/>
        </w:rPr>
        <w:t>There has been no systematic documentation of overall progress on capaci</w:t>
      </w:r>
      <w:r>
        <w:rPr>
          <w:b/>
        </w:rPr>
        <w:t>ty building</w:t>
      </w:r>
      <w:r w:rsidR="009D3868">
        <w:rPr>
          <w:b/>
        </w:rPr>
        <w:t>—</w:t>
      </w:r>
      <w:r w:rsidR="00FE41CC">
        <w:rPr>
          <w:b/>
        </w:rPr>
        <w:t>an issue that is</w:t>
      </w:r>
      <w:r>
        <w:rPr>
          <w:b/>
        </w:rPr>
        <w:t xml:space="preserve"> </w:t>
      </w:r>
      <w:r w:rsidRPr="00B513F4">
        <w:rPr>
          <w:b/>
        </w:rPr>
        <w:t>not unique to South Sudan</w:t>
      </w:r>
      <w:r w:rsidRPr="00FE41CC">
        <w:rPr>
          <w:b/>
        </w:rPr>
        <w:t>.</w:t>
      </w:r>
      <w:r w:rsidRPr="00B513F4">
        <w:t xml:space="preserve"> Anecdotal evidence is contradictory</w:t>
      </w:r>
      <w:r w:rsidR="009D3868">
        <w:t>—</w:t>
      </w:r>
      <w:r w:rsidRPr="00B513F4">
        <w:t xml:space="preserve">emphasizing that </w:t>
      </w:r>
      <w:r w:rsidR="00953B0E">
        <w:t xml:space="preserve">not only has </w:t>
      </w:r>
      <w:r w:rsidRPr="00B513F4">
        <w:t>training been too short</w:t>
      </w:r>
      <w:r w:rsidR="009D3868">
        <w:t xml:space="preserve"> </w:t>
      </w:r>
      <w:r w:rsidRPr="00B513F4">
        <w:t xml:space="preserve">term and that trainees have had uneven prior qualifications, but also that some individual staff and departments may gradually be </w:t>
      </w:r>
      <w:r w:rsidRPr="00072690">
        <w:t>strengthening their ability</w:t>
      </w:r>
      <w:r w:rsidRPr="00B513F4">
        <w:t xml:space="preserve"> to handle assigned tasks. In the health and education sectors, training facilities and opportunities have been created, but are still short of a more systematic approach and assured long-term funding. </w:t>
      </w:r>
    </w:p>
    <w:p w14:paraId="101DA456" w14:textId="46F657A3" w:rsidR="00A56EDD" w:rsidRPr="00B513F4" w:rsidRDefault="00A56EDD" w:rsidP="00A56EDD">
      <w:pPr>
        <w:jc w:val="both"/>
      </w:pPr>
      <w:r w:rsidRPr="00B513F4">
        <w:rPr>
          <w:b/>
        </w:rPr>
        <w:t xml:space="preserve">The austerity </w:t>
      </w:r>
      <w:r>
        <w:rPr>
          <w:b/>
        </w:rPr>
        <w:t xml:space="preserve">period since early 2012, renewed conflict </w:t>
      </w:r>
      <w:r w:rsidR="00FE41CC">
        <w:rPr>
          <w:b/>
        </w:rPr>
        <w:t>from 2013-2015</w:t>
      </w:r>
      <w:r>
        <w:rPr>
          <w:b/>
          <w:color w:val="000000" w:themeColor="text1"/>
        </w:rPr>
        <w:t xml:space="preserve">, and the steep decline in oil prices since late 2014 and </w:t>
      </w:r>
      <w:r w:rsidR="00953B0E">
        <w:rPr>
          <w:b/>
          <w:color w:val="000000" w:themeColor="text1"/>
        </w:rPr>
        <w:t xml:space="preserve">the </w:t>
      </w:r>
      <w:r>
        <w:rPr>
          <w:b/>
          <w:color w:val="000000" w:themeColor="text1"/>
        </w:rPr>
        <w:t>resulting decline in revenue</w:t>
      </w:r>
      <w:r w:rsidRPr="00B513F4">
        <w:rPr>
          <w:b/>
          <w:color w:val="000000" w:themeColor="text1"/>
        </w:rPr>
        <w:t xml:space="preserve"> have affected the implementation of reforms and threaten to undermine earlier gains</w:t>
      </w:r>
      <w:r w:rsidRPr="00FE41CC">
        <w:rPr>
          <w:b/>
          <w:color w:val="000000" w:themeColor="text1"/>
        </w:rPr>
        <w:t>.</w:t>
      </w:r>
      <w:r w:rsidRPr="00B513F4">
        <w:rPr>
          <w:color w:val="000000" w:themeColor="text1"/>
        </w:rPr>
        <w:t xml:space="preserve"> It is also important to note, however, that some efforts have continued despite the extended crisis period. Th</w:t>
      </w:r>
      <w:r w:rsidRPr="00B513F4">
        <w:t xml:space="preserve">e crisis also highlights that ethnic divisions can </w:t>
      </w:r>
      <w:r w:rsidR="00953B0E">
        <w:t xml:space="preserve">intensify </w:t>
      </w:r>
      <w:r w:rsidRPr="00B513F4">
        <w:t>rapidly and will be an important issue to consider going forward when efforts at rebuilding and strengthening public service resume.</w:t>
      </w:r>
    </w:p>
    <w:p w14:paraId="5C362DA4" w14:textId="65AB72B1" w:rsidR="00A56EDD" w:rsidRPr="00B513F4" w:rsidRDefault="00A56EDD" w:rsidP="00A56EDD">
      <w:pPr>
        <w:jc w:val="both"/>
      </w:pPr>
      <w:r w:rsidRPr="00B513F4">
        <w:t>The note concludes with a set of nine recommendations</w:t>
      </w:r>
      <w:r w:rsidR="00C6329E">
        <w:t>—</w:t>
      </w:r>
      <w:r w:rsidRPr="00B513F4">
        <w:t xml:space="preserve">three targeting broader considerations and six targeting specific ways in which efforts at strengthening public service can be continued and improved. </w:t>
      </w:r>
    </w:p>
    <w:p w14:paraId="2581C179" w14:textId="77777777" w:rsidR="00A56EDD" w:rsidRPr="00B513F4" w:rsidRDefault="00A56EDD" w:rsidP="00A56EDD">
      <w:pPr>
        <w:jc w:val="both"/>
        <w:rPr>
          <w:i/>
          <w:u w:val="single"/>
        </w:rPr>
      </w:pPr>
      <w:r w:rsidRPr="00B513F4">
        <w:rPr>
          <w:i/>
          <w:u w:val="single"/>
        </w:rPr>
        <w:t>The three broader considerations:</w:t>
      </w:r>
    </w:p>
    <w:p w14:paraId="7DE81113" w14:textId="77777777" w:rsidR="00A56EDD" w:rsidRPr="00B513F4" w:rsidRDefault="00A56EDD" w:rsidP="00A56EDD">
      <w:pPr>
        <w:pStyle w:val="ListParagraph"/>
        <w:numPr>
          <w:ilvl w:val="0"/>
          <w:numId w:val="10"/>
        </w:numPr>
        <w:jc w:val="both"/>
        <w:rPr>
          <w:i/>
        </w:rPr>
      </w:pPr>
      <w:r w:rsidRPr="00B513F4">
        <w:rPr>
          <w:i/>
        </w:rPr>
        <w:t>Highlighting the need to balance the fiscal costs associated with a renewed political settlement with those needed for reconstruction and development</w:t>
      </w:r>
    </w:p>
    <w:p w14:paraId="4AE4091A" w14:textId="6CBEBE2E" w:rsidR="00A56EDD" w:rsidRPr="00B513F4" w:rsidRDefault="00A56EDD" w:rsidP="00A56EDD">
      <w:pPr>
        <w:jc w:val="both"/>
      </w:pPr>
      <w:r w:rsidRPr="00B513F4">
        <w:t xml:space="preserve">Some challenging choices will </w:t>
      </w:r>
      <w:r w:rsidR="00E91C5C">
        <w:t>need</w:t>
      </w:r>
      <w:r w:rsidR="00E91C5C" w:rsidRPr="00B513F4">
        <w:t xml:space="preserve"> </w:t>
      </w:r>
      <w:r w:rsidRPr="00B513F4">
        <w:t>to be made about pressures for (additional) employment associated with a new political settlement</w:t>
      </w:r>
      <w:r w:rsidR="00E91C5C">
        <w:t>,</w:t>
      </w:r>
      <w:r w:rsidRPr="00B513F4">
        <w:t xml:space="preserve"> in particular in the armed and organized forces, and the need to retain sufficient funding for expanding service delivery and infrastructure development. These choices are more critical due to </w:t>
      </w:r>
      <w:r>
        <w:t>(a) the current lower oil price compared to 2008</w:t>
      </w:r>
      <w:r w:rsidR="00E91C5C">
        <w:t>–</w:t>
      </w:r>
      <w:r>
        <w:t xml:space="preserve">11 and the resulting downward pressure </w:t>
      </w:r>
      <w:r>
        <w:lastRenderedPageBreak/>
        <w:t xml:space="preserve">on revenue and (b) </w:t>
      </w:r>
      <w:r w:rsidRPr="00B513F4">
        <w:t xml:space="preserve">the fact that oil production is expected to decline, and possibly quite steeply in the </w:t>
      </w:r>
      <w:r w:rsidR="00E91C5C">
        <w:t>next</w:t>
      </w:r>
      <w:r w:rsidR="00E91C5C" w:rsidRPr="00B513F4">
        <w:t xml:space="preserve"> </w:t>
      </w:r>
      <w:r w:rsidRPr="00B513F4">
        <w:t>5</w:t>
      </w:r>
      <w:r w:rsidR="00E91C5C">
        <w:t>–</w:t>
      </w:r>
      <w:r w:rsidRPr="00B513F4">
        <w:t>10 years.</w:t>
      </w:r>
      <w:r w:rsidRPr="00B513F4">
        <w:rPr>
          <w:rStyle w:val="FootnoteReference"/>
        </w:rPr>
        <w:footnoteReference w:id="2"/>
      </w:r>
      <w:r w:rsidRPr="00B513F4">
        <w:t xml:space="preserve"> </w:t>
      </w:r>
    </w:p>
    <w:p w14:paraId="293E0662" w14:textId="39EF8A42" w:rsidR="00A56EDD" w:rsidRPr="00B513F4" w:rsidRDefault="00A56EDD" w:rsidP="00A56EDD">
      <w:pPr>
        <w:pStyle w:val="ListParagraph"/>
        <w:numPr>
          <w:ilvl w:val="0"/>
          <w:numId w:val="10"/>
        </w:numPr>
        <w:jc w:val="both"/>
        <w:rPr>
          <w:i/>
        </w:rPr>
      </w:pPr>
      <w:r w:rsidRPr="00B513F4">
        <w:rPr>
          <w:i/>
        </w:rPr>
        <w:t>Considerations about the representation of groups in public service</w:t>
      </w:r>
    </w:p>
    <w:p w14:paraId="4B87B292" w14:textId="1FD67F42" w:rsidR="00A56EDD" w:rsidRPr="00B513F4" w:rsidRDefault="00A56EDD" w:rsidP="00A56EDD">
      <w:pPr>
        <w:jc w:val="both"/>
      </w:pPr>
      <w:r w:rsidRPr="00B513F4">
        <w:t xml:space="preserve">The </w:t>
      </w:r>
      <w:r w:rsidR="00A30F50">
        <w:t xml:space="preserve">2013-2015 </w:t>
      </w:r>
      <w:r w:rsidRPr="00B513F4">
        <w:t xml:space="preserve">conflict has deepened divisions among a number of different groups in South Sudan, while also highlighting that the perception of unfairness with regard to inclusion in the new state contributed toward the nation’s vulnerability to conflict. The note suggests considering the Nigerian example of explicit inclusion of groups, while maintaining requirements (i) to meet qualifications for a given position, (ii) for performing once a person is in the civil service, and (iii) </w:t>
      </w:r>
      <w:r w:rsidR="00856B3D">
        <w:t xml:space="preserve">for </w:t>
      </w:r>
      <w:r w:rsidRPr="00B513F4">
        <w:t xml:space="preserve">a commitment to serving all citizens equally. </w:t>
      </w:r>
    </w:p>
    <w:p w14:paraId="2FDA6421" w14:textId="77777777" w:rsidR="00A56EDD" w:rsidRPr="00B513F4" w:rsidRDefault="00A56EDD" w:rsidP="00A56EDD">
      <w:pPr>
        <w:pStyle w:val="ListParagraph"/>
        <w:numPr>
          <w:ilvl w:val="0"/>
          <w:numId w:val="10"/>
        </w:numPr>
        <w:jc w:val="both"/>
        <w:rPr>
          <w:i/>
        </w:rPr>
      </w:pPr>
      <w:r w:rsidRPr="00B513F4">
        <w:rPr>
          <w:i/>
        </w:rPr>
        <w:t>Approaching DDR and strengthening the security sector within an overall civilian state</w:t>
      </w:r>
    </w:p>
    <w:p w14:paraId="68401EB4" w14:textId="63406A66" w:rsidR="00A56EDD" w:rsidRPr="00B513F4" w:rsidRDefault="00A56EDD" w:rsidP="00A56EDD">
      <w:pPr>
        <w:jc w:val="both"/>
      </w:pPr>
      <w:r w:rsidRPr="00B513F4">
        <w:t>An immediate step that should be taken after a political settlement is reached is a review of the status of the armed and organized forces, including the number of staff, overall staff composition, and cost. Professionalizing both the army and the police</w:t>
      </w:r>
      <w:r>
        <w:t xml:space="preserve"> and other organized forces</w:t>
      </w:r>
      <w:r w:rsidRPr="00B513F4">
        <w:t xml:space="preserve"> will be important to improve the security situation in the country and also for enabling disarmament. Individuals and groups will understandably </w:t>
      </w:r>
      <w:r w:rsidR="00856B3D">
        <w:t xml:space="preserve">be </w:t>
      </w:r>
      <w:r w:rsidRPr="00B513F4">
        <w:t>reluctant to disarm until the government credibly protects the security of all citizens and this is likely to pose a crucial challenge</w:t>
      </w:r>
      <w:r w:rsidR="00856B3D">
        <w:t>—</w:t>
      </w:r>
      <w:r w:rsidRPr="00B513F4">
        <w:t xml:space="preserve">which potentially the international community can help to address. Various options could be considered for compensating staff of those forces, while equity and fairness will be important. </w:t>
      </w:r>
    </w:p>
    <w:p w14:paraId="7EE6BBA0" w14:textId="77777777" w:rsidR="00A56EDD" w:rsidRPr="00B513F4" w:rsidRDefault="00A56EDD" w:rsidP="00A56EDD">
      <w:pPr>
        <w:jc w:val="both"/>
      </w:pPr>
      <w:r w:rsidRPr="00B513F4">
        <w:t>Five recommendations specific to continuing public service reforms are as follows:</w:t>
      </w:r>
    </w:p>
    <w:p w14:paraId="74B8D9F7" w14:textId="77777777" w:rsidR="00A56EDD" w:rsidRPr="00B513F4" w:rsidRDefault="00A56EDD" w:rsidP="00A56EDD">
      <w:pPr>
        <w:jc w:val="both"/>
        <w:rPr>
          <w:i/>
          <w:u w:val="single"/>
        </w:rPr>
      </w:pPr>
      <w:r w:rsidRPr="00B513F4">
        <w:rPr>
          <w:i/>
          <w:u w:val="single"/>
        </w:rPr>
        <w:t>Issues related to reforming the civilian public service and service delivery</w:t>
      </w:r>
    </w:p>
    <w:p w14:paraId="728EC7D9" w14:textId="393EB0CF" w:rsidR="00A56EDD" w:rsidRPr="00B513F4" w:rsidRDefault="00A56EDD" w:rsidP="00A56EDD">
      <w:pPr>
        <w:pStyle w:val="ListParagraph"/>
        <w:numPr>
          <w:ilvl w:val="0"/>
          <w:numId w:val="10"/>
        </w:numPr>
        <w:jc w:val="both"/>
        <w:rPr>
          <w:i/>
        </w:rPr>
      </w:pPr>
      <w:r w:rsidRPr="00B513F4">
        <w:rPr>
          <w:i/>
        </w:rPr>
        <w:t>Setting the policy direction and road map f</w:t>
      </w:r>
      <w:r w:rsidR="00AB5833">
        <w:rPr>
          <w:i/>
        </w:rPr>
        <w:t>or</w:t>
      </w:r>
      <w:r w:rsidRPr="00B513F4">
        <w:rPr>
          <w:i/>
        </w:rPr>
        <w:t xml:space="preserve"> improving public sector performance</w:t>
      </w:r>
    </w:p>
    <w:p w14:paraId="6A95B80E" w14:textId="41C78B2B" w:rsidR="00A56EDD" w:rsidRPr="00B513F4" w:rsidRDefault="00A56EDD" w:rsidP="00A56EDD">
      <w:pPr>
        <w:jc w:val="both"/>
      </w:pPr>
      <w:r w:rsidRPr="00B513F4">
        <w:t xml:space="preserve">Strategic guidance and a demand for improved public sector performance needs to come from the apex of </w:t>
      </w:r>
      <w:r w:rsidR="004C440B">
        <w:t xml:space="preserve">the </w:t>
      </w:r>
      <w:r w:rsidRPr="00B513F4">
        <w:t>government</w:t>
      </w:r>
      <w:r w:rsidR="004C440B">
        <w:t>.</w:t>
      </w:r>
      <w:r w:rsidRPr="00B513F4">
        <w:t xml:space="preserve"> </w:t>
      </w:r>
      <w:r w:rsidR="004C440B">
        <w:t>T</w:t>
      </w:r>
      <w:r w:rsidRPr="00B513F4">
        <w:t>his will motivat</w:t>
      </w:r>
      <w:r w:rsidR="004C440B">
        <w:t>e</w:t>
      </w:r>
      <w:r w:rsidRPr="00B513F4">
        <w:t xml:space="preserve"> the public sector to hire the right staff and ensure that staff can and will perform. </w:t>
      </w:r>
    </w:p>
    <w:p w14:paraId="0CC2E467" w14:textId="1F32C5F7" w:rsidR="00A56EDD" w:rsidRPr="00B513F4" w:rsidRDefault="00A56EDD" w:rsidP="00A56EDD">
      <w:pPr>
        <w:pStyle w:val="ListParagraph"/>
        <w:numPr>
          <w:ilvl w:val="0"/>
          <w:numId w:val="10"/>
        </w:numPr>
        <w:jc w:val="both"/>
        <w:rPr>
          <w:i/>
          <w:color w:val="000000" w:themeColor="text1"/>
        </w:rPr>
      </w:pPr>
      <w:r w:rsidRPr="00B513F4">
        <w:rPr>
          <w:i/>
          <w:color w:val="000000" w:themeColor="text1"/>
        </w:rPr>
        <w:t>Including private service provision into policy considerations</w:t>
      </w:r>
    </w:p>
    <w:p w14:paraId="2BC10BCD" w14:textId="41B693D0" w:rsidR="00A56EDD" w:rsidRPr="00B513F4" w:rsidRDefault="00A56EDD" w:rsidP="00A56EDD">
      <w:pPr>
        <w:jc w:val="both"/>
        <w:rPr>
          <w:color w:val="000000" w:themeColor="text1"/>
        </w:rPr>
      </w:pPr>
      <w:r w:rsidRPr="00B513F4">
        <w:rPr>
          <w:color w:val="000000" w:themeColor="text1"/>
        </w:rPr>
        <w:t xml:space="preserve">Given </w:t>
      </w:r>
      <w:r w:rsidR="004C440B">
        <w:rPr>
          <w:color w:val="000000" w:themeColor="text1"/>
        </w:rPr>
        <w:t xml:space="preserve">the </w:t>
      </w:r>
      <w:r w:rsidRPr="00B513F4">
        <w:rPr>
          <w:color w:val="000000" w:themeColor="text1"/>
        </w:rPr>
        <w:t xml:space="preserve">limited fiscal and human resources, and immense development need, </w:t>
      </w:r>
      <w:r w:rsidR="004C440B">
        <w:rPr>
          <w:color w:val="000000" w:themeColor="text1"/>
        </w:rPr>
        <w:t xml:space="preserve">the </w:t>
      </w:r>
      <w:r w:rsidRPr="00B513F4">
        <w:rPr>
          <w:color w:val="000000" w:themeColor="text1"/>
        </w:rPr>
        <w:t xml:space="preserve">government will not be able to provide all services to all citizens in the next five to ten years. At the same time, private provision of certain services has emerged, which has reached a considerable scale, while largely being low cost. </w:t>
      </w:r>
      <w:r w:rsidR="004C440B">
        <w:rPr>
          <w:color w:val="000000" w:themeColor="text1"/>
        </w:rPr>
        <w:t>The g</w:t>
      </w:r>
      <w:r w:rsidRPr="00B513F4">
        <w:rPr>
          <w:color w:val="000000" w:themeColor="text1"/>
        </w:rPr>
        <w:t xml:space="preserve">overnment should seek to take stock of such private sector provision, understanding where it is strong </w:t>
      </w:r>
      <w:r w:rsidRPr="00B513F4">
        <w:rPr>
          <w:color w:val="000000" w:themeColor="text1"/>
        </w:rPr>
        <w:lastRenderedPageBreak/>
        <w:t xml:space="preserve">and where there are gaps (in provision, affordability, </w:t>
      </w:r>
      <w:r>
        <w:rPr>
          <w:color w:val="000000" w:themeColor="text1"/>
        </w:rPr>
        <w:t>or rules of operation</w:t>
      </w:r>
      <w:r w:rsidRPr="00B513F4">
        <w:rPr>
          <w:color w:val="000000" w:themeColor="text1"/>
        </w:rPr>
        <w:t>) and tak</w:t>
      </w:r>
      <w:r w:rsidR="004C440B">
        <w:rPr>
          <w:color w:val="000000" w:themeColor="text1"/>
        </w:rPr>
        <w:t>ing</w:t>
      </w:r>
      <w:r w:rsidRPr="00B513F4">
        <w:rPr>
          <w:color w:val="000000" w:themeColor="text1"/>
        </w:rPr>
        <w:t xml:space="preserve"> this into account when developing policies and making budget allocation decisions. </w:t>
      </w:r>
    </w:p>
    <w:p w14:paraId="27EE7CC8" w14:textId="145178C5" w:rsidR="00A56EDD" w:rsidRPr="00B513F4" w:rsidRDefault="00A56EDD" w:rsidP="00A56EDD">
      <w:pPr>
        <w:pStyle w:val="ListParagraph"/>
        <w:numPr>
          <w:ilvl w:val="0"/>
          <w:numId w:val="10"/>
        </w:numPr>
        <w:jc w:val="both"/>
        <w:rPr>
          <w:i/>
        </w:rPr>
      </w:pPr>
      <w:r w:rsidRPr="00B513F4">
        <w:rPr>
          <w:i/>
        </w:rPr>
        <w:t xml:space="preserve">Restarting incremental progress with strengthening </w:t>
      </w:r>
      <w:r w:rsidR="004C440B">
        <w:rPr>
          <w:i/>
        </w:rPr>
        <w:t>human resource management (</w:t>
      </w:r>
      <w:r w:rsidRPr="00B513F4">
        <w:rPr>
          <w:i/>
        </w:rPr>
        <w:t>HRM</w:t>
      </w:r>
      <w:r w:rsidR="004C440B">
        <w:rPr>
          <w:i/>
        </w:rPr>
        <w:t>)</w:t>
      </w:r>
      <w:r w:rsidRPr="00B513F4">
        <w:rPr>
          <w:i/>
        </w:rPr>
        <w:t xml:space="preserve"> systems</w:t>
      </w:r>
    </w:p>
    <w:p w14:paraId="0335DF2C" w14:textId="774413EB" w:rsidR="00A56EDD" w:rsidRPr="00B513F4" w:rsidRDefault="00A56EDD" w:rsidP="00A56EDD">
      <w:pPr>
        <w:jc w:val="both"/>
      </w:pPr>
      <w:r w:rsidRPr="00B513F4">
        <w:t>As set out in the note, incremental progress has been made with establishing HRM systems despite a very challenging en</w:t>
      </w:r>
      <w:r>
        <w:t>vironment between 2007 and 20</w:t>
      </w:r>
      <w:r w:rsidRPr="00B513F4">
        <w:t>13, and elements of these efforts have continued despite an increasingly difficult environment</w:t>
      </w:r>
      <w:r>
        <w:t xml:space="preserve"> in 2014</w:t>
      </w:r>
      <w:r w:rsidRPr="00B513F4">
        <w:t xml:space="preserve">. These efforts should be taken forward on a </w:t>
      </w:r>
      <w:r w:rsidR="00591FB0">
        <w:t>larger</w:t>
      </w:r>
      <w:r w:rsidR="00591FB0" w:rsidRPr="00B513F4">
        <w:t xml:space="preserve"> </w:t>
      </w:r>
      <w:r w:rsidRPr="00B513F4">
        <w:t>scale again</w:t>
      </w:r>
      <w:r w:rsidR="00591FB0">
        <w:t>,</w:t>
      </w:r>
      <w:r w:rsidRPr="00B513F4">
        <w:t xml:space="preserve"> as soon as possible. This includes developing a pension system, the </w:t>
      </w:r>
      <w:r w:rsidR="00591FB0">
        <w:t xml:space="preserve">South Sudan </w:t>
      </w:r>
      <w:r w:rsidRPr="00B513F4">
        <w:t xml:space="preserve">Electronic Payroll </w:t>
      </w:r>
      <w:r w:rsidR="00591FB0">
        <w:t xml:space="preserve">System (SSEPS), </w:t>
      </w:r>
      <w:r w:rsidRPr="00B513F4">
        <w:t>and the Human Resource Management Information System</w:t>
      </w:r>
      <w:r w:rsidR="00591FB0">
        <w:t xml:space="preserve"> (HRMIS);</w:t>
      </w:r>
      <w:r w:rsidRPr="00B513F4">
        <w:t xml:space="preserve"> strengthening procedures for hiring</w:t>
      </w:r>
      <w:r w:rsidR="00591FB0">
        <w:t>;</w:t>
      </w:r>
      <w:r w:rsidRPr="00B513F4">
        <w:t xml:space="preserve"> and possibly also agreeing on </w:t>
      </w:r>
      <w:r w:rsidR="00591FB0">
        <w:t xml:space="preserve">the </w:t>
      </w:r>
      <w:r w:rsidRPr="00B513F4">
        <w:t xml:space="preserve">limits for the number of staff in nonprofessional grades or the allocation of the share of the payroll allocated to such grades. </w:t>
      </w:r>
    </w:p>
    <w:p w14:paraId="44BF5EA5" w14:textId="09BD27CB" w:rsidR="00A56EDD" w:rsidRPr="00B513F4" w:rsidRDefault="00A56EDD" w:rsidP="00A56EDD">
      <w:pPr>
        <w:pStyle w:val="ListParagraph"/>
        <w:numPr>
          <w:ilvl w:val="0"/>
          <w:numId w:val="10"/>
        </w:numPr>
        <w:jc w:val="both"/>
        <w:rPr>
          <w:i/>
        </w:rPr>
      </w:pPr>
      <w:r w:rsidRPr="00B513F4">
        <w:rPr>
          <w:i/>
        </w:rPr>
        <w:t xml:space="preserve">Facilitating HRM and managing pay for </w:t>
      </w:r>
      <w:r w:rsidRPr="00092012">
        <w:rPr>
          <w:i/>
        </w:rPr>
        <w:t>frontline</w:t>
      </w:r>
      <w:r w:rsidRPr="00B513F4">
        <w:rPr>
          <w:i/>
        </w:rPr>
        <w:t xml:space="preserve"> service delivery</w:t>
      </w:r>
    </w:p>
    <w:p w14:paraId="7C9EBA9B" w14:textId="44C78480" w:rsidR="00A56EDD" w:rsidRPr="00B513F4" w:rsidRDefault="00A56EDD" w:rsidP="00A56EDD">
      <w:pPr>
        <w:jc w:val="both"/>
      </w:pPr>
      <w:r w:rsidRPr="00B513F4">
        <w:t xml:space="preserve">Efforts at bringing more funding and functions to </w:t>
      </w:r>
      <w:r w:rsidR="004C4621">
        <w:t xml:space="preserve">the </w:t>
      </w:r>
      <w:r w:rsidRPr="00B513F4">
        <w:t>local (</w:t>
      </w:r>
      <w:r w:rsidR="0093206E">
        <w:t>that is,</w:t>
      </w:r>
      <w:r w:rsidRPr="00B513F4">
        <w:t xml:space="preserve"> county and </w:t>
      </w:r>
      <w:r w:rsidRPr="00FE41CC">
        <w:rPr>
          <w:i/>
        </w:rPr>
        <w:t>payam</w:t>
      </w:r>
      <w:r w:rsidRPr="00B513F4">
        <w:t xml:space="preserve">) levels are under way; and these can bring important benefits </w:t>
      </w:r>
      <w:r w:rsidR="004C4621">
        <w:t>with regard to</w:t>
      </w:r>
      <w:r w:rsidRPr="00B513F4">
        <w:t xml:space="preserve"> creating better conditions for frontline staff. They should be accompanied by measures to ensure accountability and oversight to guard against renewed emergence of ghost workers or hiring and promotion of unqualified staff. Making frontline pay sufficiently attractive is important, but should be considered as a coherent package. </w:t>
      </w:r>
    </w:p>
    <w:p w14:paraId="7069B4E8" w14:textId="35330B53" w:rsidR="00A56EDD" w:rsidRPr="00B513F4" w:rsidRDefault="00A56EDD" w:rsidP="00A56EDD">
      <w:pPr>
        <w:pStyle w:val="ListParagraph"/>
        <w:numPr>
          <w:ilvl w:val="0"/>
          <w:numId w:val="10"/>
        </w:numPr>
        <w:jc w:val="both"/>
        <w:rPr>
          <w:i/>
        </w:rPr>
      </w:pPr>
      <w:r w:rsidRPr="00B513F4">
        <w:rPr>
          <w:i/>
        </w:rPr>
        <w:t xml:space="preserve">Capacity building: </w:t>
      </w:r>
      <w:r w:rsidR="00AD3122">
        <w:rPr>
          <w:i/>
        </w:rPr>
        <w:t>S</w:t>
      </w:r>
      <w:r w:rsidRPr="00B513F4">
        <w:rPr>
          <w:i/>
        </w:rPr>
        <w:t>trengthening the supply, monitoring, and incentives</w:t>
      </w:r>
    </w:p>
    <w:p w14:paraId="224E1800" w14:textId="1E83AB88" w:rsidR="00A56EDD" w:rsidRPr="00B513F4" w:rsidRDefault="00A56EDD" w:rsidP="00A56EDD">
      <w:pPr>
        <w:jc w:val="both"/>
      </w:pPr>
      <w:r w:rsidRPr="00B513F4">
        <w:t>Capacity building is high priority for the government and considerable support has been provided by development partners, with mixed and uncertain results to date. The supply can be strengthened and better institutionalized</w:t>
      </w:r>
      <w:r w:rsidR="00AD3122">
        <w:t>.</w:t>
      </w:r>
      <w:r w:rsidRPr="00B513F4">
        <w:t xml:space="preserve"> </w:t>
      </w:r>
      <w:r w:rsidR="00AD3122">
        <w:t>S</w:t>
      </w:r>
      <w:r w:rsidRPr="00B513F4">
        <w:t>tronger monitoring should be used to capture who is being trained in what and with what subsequent use</w:t>
      </w:r>
      <w:r>
        <w:t xml:space="preserve">. Moreover, </w:t>
      </w:r>
      <w:r w:rsidRPr="00B513F4">
        <w:t xml:space="preserve">incentives to </w:t>
      </w:r>
      <w:r>
        <w:t xml:space="preserve">send </w:t>
      </w:r>
      <w:r w:rsidRPr="00B513F4">
        <w:t xml:space="preserve">the right staff </w:t>
      </w:r>
      <w:r>
        <w:t xml:space="preserve">to the right training </w:t>
      </w:r>
      <w:r w:rsidRPr="00B513F4">
        <w:t xml:space="preserve">can be strengthened. </w:t>
      </w:r>
    </w:p>
    <w:p w14:paraId="28FB8B3F" w14:textId="77777777" w:rsidR="00A56EDD" w:rsidRPr="00B513F4" w:rsidRDefault="00A56EDD" w:rsidP="00A56EDD">
      <w:pPr>
        <w:pStyle w:val="ListParagraph"/>
        <w:numPr>
          <w:ilvl w:val="0"/>
          <w:numId w:val="10"/>
        </w:numPr>
        <w:jc w:val="both"/>
        <w:rPr>
          <w:i/>
        </w:rPr>
      </w:pPr>
      <w:r w:rsidRPr="00B513F4">
        <w:rPr>
          <w:i/>
        </w:rPr>
        <w:t>Strengthening the coordination and effectiveness of development partner support</w:t>
      </w:r>
    </w:p>
    <w:p w14:paraId="5519C228" w14:textId="26B9ACFD" w:rsidR="00A56EDD" w:rsidRPr="00B513F4" w:rsidRDefault="00A56EDD" w:rsidP="00A56EDD">
      <w:pPr>
        <w:jc w:val="both"/>
      </w:pPr>
      <w:r w:rsidRPr="00B513F4">
        <w:t xml:space="preserve">Information sharing around capacity building has been limited to date. The CBTF has served as a partial hub for these efforts but has now closed. Development partners can make important contributions </w:t>
      </w:r>
      <w:r w:rsidR="00AD3122">
        <w:t>with regard to</w:t>
      </w:r>
      <w:r w:rsidRPr="00B513F4">
        <w:t xml:space="preserve"> analytic work. </w:t>
      </w:r>
      <w:r w:rsidR="00AD3122">
        <w:t>The g</w:t>
      </w:r>
      <w:r w:rsidRPr="00B513F4">
        <w:t xml:space="preserve">overnment may want to consider establishing a regular high-level dialogue on public sector strengthening and capacity building and to ask development partners to invest more in regular monitoring and reporting. </w:t>
      </w:r>
    </w:p>
    <w:p w14:paraId="53007AF4" w14:textId="6F55EEAE" w:rsidR="00A56EDD" w:rsidRPr="00B513F4" w:rsidRDefault="00A56EDD" w:rsidP="00FE41CC">
      <w:pPr>
        <w:jc w:val="both"/>
        <w:sectPr w:rsidR="00A56EDD" w:rsidRPr="00B513F4" w:rsidSect="00080F11">
          <w:pgSz w:w="12240" w:h="15840"/>
          <w:pgMar w:top="1440" w:right="1440" w:bottom="1440" w:left="1440" w:header="720" w:footer="720" w:gutter="0"/>
          <w:pgNumType w:start="1"/>
          <w:cols w:space="720"/>
          <w:docGrid w:linePitch="360"/>
        </w:sectPr>
      </w:pPr>
      <w:r w:rsidRPr="00B513F4">
        <w:t xml:space="preserve">Overall, the note deliberately does not recommend a complete overhaul of the public service as is sometimes suggested in public debate in South Sudan by those keen to see greater reform progress. As section 6 on the experience of other countries sets out, a complete overhaul is very rare because the political cost is high and </w:t>
      </w:r>
      <w:r w:rsidR="00AB1BCC">
        <w:t>complete overhaul</w:t>
      </w:r>
      <w:r w:rsidRPr="00B513F4">
        <w:t xml:space="preserve"> entail</w:t>
      </w:r>
      <w:r w:rsidR="00AB1BCC">
        <w:t>s</w:t>
      </w:r>
      <w:r w:rsidRPr="00B513F4">
        <w:t xml:space="preserve"> a high cost </w:t>
      </w:r>
      <w:r w:rsidR="00AB1BCC">
        <w:t>with regard to</w:t>
      </w:r>
      <w:r w:rsidRPr="00B513F4">
        <w:t xml:space="preserve"> resistance and disruption of activities. Rather, the note suggests seeking to persevere with </w:t>
      </w:r>
      <w:r w:rsidR="00AB1BCC">
        <w:t xml:space="preserve">further </w:t>
      </w:r>
      <w:r w:rsidRPr="00B513F4">
        <w:t xml:space="preserve">incremental improvements and strengthening, which can achieve considerable progress over three to five years. How much progress can actually be realized depends on having sufficient signaling from the top, the quality of reform </w:t>
      </w:r>
      <w:r w:rsidRPr="00B513F4">
        <w:lastRenderedPageBreak/>
        <w:t>‘entrepreneurship’ from those in key positions, a</w:t>
      </w:r>
      <w:r w:rsidR="00AB1BCC">
        <w:t>nd</w:t>
      </w:r>
      <w:r w:rsidRPr="00B513F4">
        <w:t xml:space="preserve"> the commitment and dedication of </w:t>
      </w:r>
      <w:r w:rsidRPr="00092012">
        <w:t>wider ranges</w:t>
      </w:r>
      <w:r w:rsidRPr="00B513F4">
        <w:t xml:space="preserve"> of staff</w:t>
      </w:r>
      <w:r w:rsidR="00FE41CC">
        <w:t xml:space="preserve"> across different levels of Government</w:t>
      </w:r>
      <w:r w:rsidRPr="00B513F4">
        <w:t>, a</w:t>
      </w:r>
      <w:r w:rsidR="00AB1BCC">
        <w:t>s well as</w:t>
      </w:r>
      <w:r w:rsidRPr="00B513F4">
        <w:t xml:space="preserve"> the quality of support being provided by development partners and </w:t>
      </w:r>
      <w:r w:rsidR="00AB1BCC">
        <w:t xml:space="preserve">the </w:t>
      </w:r>
      <w:r w:rsidRPr="00B513F4">
        <w:t>government’s ability to u</w:t>
      </w:r>
      <w:r w:rsidR="00AB1BCC">
        <w:t>se</w:t>
      </w:r>
      <w:r w:rsidRPr="00B513F4">
        <w:t xml:space="preserve"> this support well.</w:t>
      </w:r>
    </w:p>
    <w:p w14:paraId="5479D7C1" w14:textId="161B3CE0" w:rsidR="00A56EDD" w:rsidRPr="00B513F4" w:rsidRDefault="00A56EDD" w:rsidP="00A56EDD">
      <w:pPr>
        <w:pStyle w:val="Heading2"/>
        <w:numPr>
          <w:ilvl w:val="0"/>
          <w:numId w:val="4"/>
        </w:numPr>
      </w:pPr>
      <w:bookmarkStart w:id="2" w:name="_Toc447892386"/>
      <w:r w:rsidRPr="00B513F4">
        <w:lastRenderedPageBreak/>
        <w:t xml:space="preserve">Motivation, </w:t>
      </w:r>
      <w:r w:rsidR="00C94938">
        <w:t>S</w:t>
      </w:r>
      <w:r w:rsidRPr="00B513F4">
        <w:t>cope</w:t>
      </w:r>
      <w:r w:rsidR="00C94938">
        <w:t>,</w:t>
      </w:r>
      <w:r w:rsidRPr="00B513F4">
        <w:t xml:space="preserve"> and </w:t>
      </w:r>
      <w:r w:rsidR="00C94938">
        <w:t>L</w:t>
      </w:r>
      <w:r w:rsidRPr="00B513F4">
        <w:t xml:space="preserve">imitations of the </w:t>
      </w:r>
      <w:r w:rsidR="00C94938">
        <w:t>N</w:t>
      </w:r>
      <w:r w:rsidRPr="00B513F4">
        <w:t>ote</w:t>
      </w:r>
      <w:bookmarkEnd w:id="2"/>
    </w:p>
    <w:p w14:paraId="6156DD47" w14:textId="31DC57B2" w:rsidR="00A56EDD" w:rsidRPr="00B513F4" w:rsidRDefault="00A56EDD" w:rsidP="00A56EDD">
      <w:pPr>
        <w:jc w:val="both"/>
      </w:pPr>
      <w:r w:rsidRPr="00B513F4">
        <w:t>The main purpose of this policy note is to analyze key issues related to (</w:t>
      </w:r>
      <w:r w:rsidR="0016365A">
        <w:t>a</w:t>
      </w:r>
      <w:r w:rsidRPr="00B513F4">
        <w:t>) the wage bill</w:t>
      </w:r>
      <w:r w:rsidR="00727324">
        <w:t>,</w:t>
      </w:r>
      <w:r w:rsidRPr="00B513F4">
        <w:t xml:space="preserve"> (</w:t>
      </w:r>
      <w:r w:rsidR="00727324">
        <w:t>b</w:t>
      </w:r>
      <w:r w:rsidRPr="00B513F4">
        <w:t>) wider issues of how the public service in South Sudan has evolved, and (</w:t>
      </w:r>
      <w:r w:rsidR="00727324">
        <w:t>c</w:t>
      </w:r>
      <w:r w:rsidRPr="00B513F4">
        <w:t xml:space="preserve">) implications for further reform efforts. The large size of the wage bill has been a key concern in the country and </w:t>
      </w:r>
      <w:r w:rsidR="00DD6D6B">
        <w:t xml:space="preserve">also </w:t>
      </w:r>
      <w:r w:rsidRPr="00B513F4">
        <w:t xml:space="preserve">specifically for the Bank with regard to fiscal sustainability and good fiscal management. At the same time, reforming and strengthening the public service is seen as a crucial component of state-building. Various efforts have been made to better manage the wage bill and to improve the public service, but these have been at best partially successful over the decade since the </w:t>
      </w:r>
      <w:r w:rsidR="009E4ECB">
        <w:t xml:space="preserve">2005 </w:t>
      </w:r>
      <w:r w:rsidRPr="00B513F4">
        <w:t>Comprehensive Peace Agreement.</w:t>
      </w:r>
    </w:p>
    <w:p w14:paraId="5C73E8A6" w14:textId="67451364" w:rsidR="00A56EDD" w:rsidRPr="00B513F4" w:rsidRDefault="00A56EDD" w:rsidP="00A56EDD">
      <w:pPr>
        <w:jc w:val="both"/>
      </w:pPr>
      <w:r w:rsidRPr="00B513F4">
        <w:t>The intended purpose is to provide input</w:t>
      </w:r>
      <w:r w:rsidR="005F365C">
        <w:t>s</w:t>
      </w:r>
      <w:r w:rsidRPr="00B513F4">
        <w:t xml:space="preserve"> to the debate in and about South Sudan</w:t>
      </w:r>
      <w:r w:rsidR="005F365C">
        <w:t>—</w:t>
      </w:r>
      <w:r w:rsidRPr="00B513F4">
        <w:t xml:space="preserve">within </w:t>
      </w:r>
      <w:r w:rsidR="005F365C">
        <w:t xml:space="preserve">the </w:t>
      </w:r>
      <w:r w:rsidRPr="00B513F4">
        <w:t>government</w:t>
      </w:r>
      <w:r w:rsidR="005F365C">
        <w:t xml:space="preserve"> and</w:t>
      </w:r>
      <w:r w:rsidRPr="00B513F4">
        <w:t xml:space="preserve"> among </w:t>
      </w:r>
      <w:r w:rsidR="005F365C">
        <w:t xml:space="preserve">the </w:t>
      </w:r>
      <w:r w:rsidRPr="00B513F4">
        <w:t>development partners, civil society, and public</w:t>
      </w:r>
      <w:r w:rsidR="005F365C">
        <w:t>—</w:t>
      </w:r>
      <w:r w:rsidRPr="00B513F4">
        <w:t>about strengthening the public service and managing the wage bill as a part of fiscal management. The note seeks to identify the key problems that need to be addressed as well as the constraints and opportunities that influence the feasibility and robustness of possible solutions. The note</w:t>
      </w:r>
      <w:r w:rsidR="005F365C">
        <w:t>,</w:t>
      </w:r>
      <w:r w:rsidRPr="00B513F4">
        <w:t xml:space="preserve"> therefore</w:t>
      </w:r>
      <w:r w:rsidR="005F365C">
        <w:t>,</w:t>
      </w:r>
      <w:r w:rsidRPr="00B513F4">
        <w:t xml:space="preserve"> revisits </w:t>
      </w:r>
      <w:r w:rsidR="005F365C">
        <w:t>the</w:t>
      </w:r>
      <w:r w:rsidRPr="00B513F4">
        <w:t xml:space="preserve"> efforts at reform and public sector strengthening made to date, so as to draw implications for reforms going forward. The note also has an immediate link to the Bank’s operational engagement as a new operation on </w:t>
      </w:r>
      <w:r w:rsidRPr="00BA38CB">
        <w:rPr>
          <w:i/>
        </w:rPr>
        <w:t>Institutional Development and Capacity Building</w:t>
      </w:r>
      <w:r w:rsidRPr="005F365C">
        <w:t xml:space="preserve"> </w:t>
      </w:r>
      <w:r w:rsidRPr="00B513F4">
        <w:t xml:space="preserve">is under preparation with government counterparts, including </w:t>
      </w:r>
      <w:r w:rsidR="005F365C">
        <w:t xml:space="preserve">the </w:t>
      </w:r>
      <w:r w:rsidR="00D142F5">
        <w:t>Ministry of Labor, Public Service and Human Resource Development (</w:t>
      </w:r>
      <w:r w:rsidR="000754F1">
        <w:t>MoLPSHRD</w:t>
      </w:r>
      <w:r w:rsidR="00D142F5">
        <w:t>)</w:t>
      </w:r>
      <w:r w:rsidRPr="00B513F4">
        <w:t xml:space="preserve">, </w:t>
      </w:r>
      <w:r w:rsidR="00D142F5">
        <w:t>the Ministry of Finance and Economic Planning (</w:t>
      </w:r>
      <w:r w:rsidRPr="00B513F4">
        <w:t>MOFEP</w:t>
      </w:r>
      <w:r w:rsidR="00D142F5">
        <w:t>)</w:t>
      </w:r>
      <w:r w:rsidR="001E3A6E">
        <w:t>,</w:t>
      </w:r>
      <w:r w:rsidRPr="00B513F4">
        <w:t xml:space="preserve"> and others.</w:t>
      </w:r>
      <w:r w:rsidRPr="00B513F4">
        <w:rPr>
          <w:rStyle w:val="FootnoteReference"/>
        </w:rPr>
        <w:footnoteReference w:id="3"/>
      </w:r>
      <w:r w:rsidRPr="00B513F4">
        <w:t xml:space="preserve"> </w:t>
      </w:r>
    </w:p>
    <w:p w14:paraId="65B10BCF" w14:textId="4D4FF49E" w:rsidR="00A56EDD" w:rsidRPr="00B513F4" w:rsidRDefault="00A56EDD" w:rsidP="00A56EDD">
      <w:pPr>
        <w:jc w:val="both"/>
      </w:pPr>
      <w:r w:rsidRPr="00B513F4">
        <w:t xml:space="preserve">At the outset, it is important to note some key limitations of what this policy note covers. While it touches </w:t>
      </w:r>
      <w:r w:rsidR="001E3A6E">
        <w:t>up</w:t>
      </w:r>
      <w:r w:rsidRPr="00B513F4">
        <w:t xml:space="preserve">on the security sector, it does not cover security sector issues and possible reform approaches in depth. Furthermore, the note recognizes that there are important linkages between public sector employment and the wider labor market (job opportunities, skills and qualifications, </w:t>
      </w:r>
      <w:r w:rsidR="00D55B54">
        <w:t>and so on</w:t>
      </w:r>
      <w:r w:rsidRPr="00B513F4">
        <w:t xml:space="preserve">). However, these linkages are not considered in detail, given that an analysis of the private sector labor market lies outside this note’s scope. Furthermore, the analysis touches </w:t>
      </w:r>
      <w:r w:rsidR="001E3A6E">
        <w:t>up</w:t>
      </w:r>
      <w:r w:rsidRPr="00B513F4">
        <w:t>on issues of corruption in the public sector, but does not address this dimension in depth.</w:t>
      </w:r>
    </w:p>
    <w:p w14:paraId="541EE66E" w14:textId="4E9B3DBE" w:rsidR="00A56EDD" w:rsidRPr="00B513F4" w:rsidRDefault="00A56EDD" w:rsidP="00571EF3">
      <w:pPr>
        <w:jc w:val="both"/>
      </w:pPr>
      <w:r w:rsidRPr="00B513F4">
        <w:t xml:space="preserve">The note draws on earlier work and recommendations, including in particular those set out in the report </w:t>
      </w:r>
      <w:r w:rsidRPr="00BA38CB">
        <w:rPr>
          <w:i/>
        </w:rPr>
        <w:t>Strengthening Good Governance for Development Outcomes in South</w:t>
      </w:r>
      <w:r w:rsidR="00243B89">
        <w:rPr>
          <w:i/>
        </w:rPr>
        <w:t>ern</w:t>
      </w:r>
      <w:r w:rsidRPr="00BA38CB">
        <w:rPr>
          <w:i/>
        </w:rPr>
        <w:t xml:space="preserve"> Sudan</w:t>
      </w:r>
      <w:r w:rsidRPr="00B513F4">
        <w:rPr>
          <w:i/>
        </w:rPr>
        <w:t xml:space="preserve"> </w:t>
      </w:r>
      <w:r w:rsidRPr="00B513F4">
        <w:t xml:space="preserve">(World Bank 2010). It builds on analysis that was originally developed in FY13 and on a case study on South Sudan’s public service, which was developed for a comparative analysis on </w:t>
      </w:r>
      <w:r w:rsidRPr="00BA38CB">
        <w:rPr>
          <w:i/>
        </w:rPr>
        <w:t>Rebuilding Public Service Delivery in Post-Conflict Countries</w:t>
      </w:r>
      <w:r w:rsidRPr="00B513F4">
        <w:t xml:space="preserve"> (2013). </w:t>
      </w:r>
    </w:p>
    <w:p w14:paraId="407AE8D2" w14:textId="77777777" w:rsidR="00A56EDD" w:rsidRPr="00B513F4" w:rsidRDefault="00A56EDD" w:rsidP="00A56EDD">
      <w:pPr>
        <w:pStyle w:val="Heading3"/>
      </w:pPr>
      <w:bookmarkStart w:id="3" w:name="_Toc447892387"/>
      <w:r w:rsidRPr="00B513F4">
        <w:t>1.1 Conceptual underpinnings</w:t>
      </w:r>
      <w:bookmarkEnd w:id="3"/>
    </w:p>
    <w:p w14:paraId="4642987B" w14:textId="5578E354" w:rsidR="00A56EDD" w:rsidRPr="00B513F4" w:rsidRDefault="00A56EDD" w:rsidP="00A56EDD">
      <w:pPr>
        <w:jc w:val="both"/>
      </w:pPr>
      <w:r w:rsidRPr="00B513F4">
        <w:t>Conceptually, the note is based on the thinking about state-building and postconflict dynamics that ha</w:t>
      </w:r>
      <w:r w:rsidR="007177A5">
        <w:t>ve</w:t>
      </w:r>
      <w:r w:rsidRPr="00B513F4">
        <w:t xml:space="preserve"> considerably evolved over the past decade, based on the experience of a range of countries entering postconflict phases during the 1990s and 2000s across all six regions in which the Bank Group operates </w:t>
      </w:r>
      <w:r w:rsidRPr="00B513F4">
        <w:lastRenderedPageBreak/>
        <w:t>(L</w:t>
      </w:r>
      <w:r w:rsidR="007177A5">
        <w:t xml:space="preserve">atin </w:t>
      </w:r>
      <w:r w:rsidRPr="00B513F4">
        <w:t>A</w:t>
      </w:r>
      <w:r w:rsidR="007177A5">
        <w:t xml:space="preserve">merica and the </w:t>
      </w:r>
      <w:r w:rsidRPr="00B513F4">
        <w:t>C</w:t>
      </w:r>
      <w:r w:rsidR="007177A5">
        <w:t>aribbean</w:t>
      </w:r>
      <w:r w:rsidRPr="00B513F4">
        <w:t>, E</w:t>
      </w:r>
      <w:r w:rsidR="007177A5">
        <w:t xml:space="preserve">urope and </w:t>
      </w:r>
      <w:r w:rsidRPr="00B513F4">
        <w:t>C</w:t>
      </w:r>
      <w:r w:rsidR="007177A5">
        <w:t xml:space="preserve">entral </w:t>
      </w:r>
      <w:r w:rsidRPr="00B513F4">
        <w:t>A</w:t>
      </w:r>
      <w:r w:rsidR="007177A5">
        <w:t>sia</w:t>
      </w:r>
      <w:r w:rsidRPr="00B513F4">
        <w:t>, E</w:t>
      </w:r>
      <w:r w:rsidR="007177A5">
        <w:t xml:space="preserve">ast </w:t>
      </w:r>
      <w:r w:rsidRPr="00B513F4">
        <w:t>A</w:t>
      </w:r>
      <w:r w:rsidR="007177A5">
        <w:t xml:space="preserve">sia and </w:t>
      </w:r>
      <w:r w:rsidRPr="00B513F4">
        <w:t>P</w:t>
      </w:r>
      <w:r w:rsidR="007177A5">
        <w:t>acific</w:t>
      </w:r>
      <w:r w:rsidRPr="00B513F4">
        <w:t>, M</w:t>
      </w:r>
      <w:r w:rsidR="007177A5">
        <w:t xml:space="preserve">iddle </w:t>
      </w:r>
      <w:r w:rsidRPr="00B513F4">
        <w:t>E</w:t>
      </w:r>
      <w:r w:rsidR="007177A5">
        <w:t xml:space="preserve">ast and </w:t>
      </w:r>
      <w:r w:rsidRPr="00B513F4">
        <w:t>N</w:t>
      </w:r>
      <w:r w:rsidR="007177A5">
        <w:t xml:space="preserve">orth </w:t>
      </w:r>
      <w:r w:rsidRPr="00B513F4">
        <w:t>A</w:t>
      </w:r>
      <w:r w:rsidR="007177A5">
        <w:t>frica</w:t>
      </w:r>
      <w:r w:rsidRPr="00B513F4">
        <w:t xml:space="preserve">, </w:t>
      </w:r>
      <w:r w:rsidR="007177A5">
        <w:t xml:space="preserve">South Asia, </w:t>
      </w:r>
      <w:r w:rsidRPr="00B513F4">
        <w:t>and A</w:t>
      </w:r>
      <w:r w:rsidR="007177A5">
        <w:t>frica</w:t>
      </w:r>
      <w:r w:rsidRPr="00B513F4">
        <w:t xml:space="preserve">). One key contribution has been the </w:t>
      </w:r>
      <w:r w:rsidRPr="00BA38CB">
        <w:rPr>
          <w:i/>
        </w:rPr>
        <w:t>2011 W</w:t>
      </w:r>
      <w:r w:rsidR="000852C5" w:rsidRPr="00BA38CB">
        <w:rPr>
          <w:i/>
        </w:rPr>
        <w:t xml:space="preserve">orld </w:t>
      </w:r>
      <w:r w:rsidRPr="00BA38CB">
        <w:rPr>
          <w:i/>
        </w:rPr>
        <w:t>D</w:t>
      </w:r>
      <w:r w:rsidR="000852C5" w:rsidRPr="00BA38CB">
        <w:rPr>
          <w:i/>
        </w:rPr>
        <w:t xml:space="preserve">evelopment </w:t>
      </w:r>
      <w:r w:rsidRPr="00BA38CB">
        <w:rPr>
          <w:i/>
        </w:rPr>
        <w:t>R</w:t>
      </w:r>
      <w:r w:rsidR="000852C5" w:rsidRPr="00BA38CB">
        <w:rPr>
          <w:i/>
        </w:rPr>
        <w:t>eport</w:t>
      </w:r>
      <w:r w:rsidR="000852C5">
        <w:t xml:space="preserve"> </w:t>
      </w:r>
      <w:r w:rsidR="000852C5" w:rsidRPr="00822F16">
        <w:rPr>
          <w:i/>
        </w:rPr>
        <w:t>(WDR)</w:t>
      </w:r>
      <w:r w:rsidRPr="00BA38CB">
        <w:rPr>
          <w:i/>
        </w:rPr>
        <w:t xml:space="preserve"> on Conflict, Security, and Development</w:t>
      </w:r>
      <w:r w:rsidRPr="00B513F4">
        <w:t>. The 2011 WDR underlines the fundamental importance of institutions and sets out that the process of institutional transformation is inevitably lengthy.</w:t>
      </w:r>
    </w:p>
    <w:p w14:paraId="03E07882" w14:textId="11664337" w:rsidR="00A56EDD" w:rsidRPr="00B513F4" w:rsidRDefault="00A56EDD" w:rsidP="00A56EDD">
      <w:pPr>
        <w:jc w:val="both"/>
      </w:pPr>
      <w:r w:rsidRPr="00B513F4">
        <w:t xml:space="preserve">As shown by the WDR background paper developed by Pritchett and de Weijer (2010), </w:t>
      </w:r>
      <w:r w:rsidRPr="00BA38CB">
        <w:rPr>
          <w:i/>
        </w:rPr>
        <w:t>fast</w:t>
      </w:r>
      <w:r w:rsidRPr="00F50C36">
        <w:t xml:space="preserve"> </w:t>
      </w:r>
      <w:r w:rsidRPr="00BA38CB">
        <w:rPr>
          <w:i/>
        </w:rPr>
        <w:t>and successful</w:t>
      </w:r>
      <w:r w:rsidRPr="00B513F4">
        <w:t xml:space="preserve"> institutional transformations take between 10 and 40 years. </w:t>
      </w:r>
      <w:r w:rsidRPr="00BA38CB">
        <w:rPr>
          <w:i/>
        </w:rPr>
        <w:t>Average actual</w:t>
      </w:r>
      <w:r w:rsidRPr="00F50C36">
        <w:t xml:space="preserve"> </w:t>
      </w:r>
      <w:r w:rsidRPr="00B513F4">
        <w:t xml:space="preserve">trajectories of fragile states, however, were so slow that except for basic political stability, transformations toward reaching thresholds of state effectiveness would not be achieved within the next 100 years (see </w:t>
      </w:r>
      <w:r w:rsidR="00180B21">
        <w:t>t</w:t>
      </w:r>
      <w:r w:rsidRPr="00B513F4">
        <w:t xml:space="preserve">able 1). The latter finding may be unduly </w:t>
      </w:r>
      <w:r w:rsidRPr="00BA38CB">
        <w:rPr>
          <w:i/>
        </w:rPr>
        <w:t>pessimistic</w:t>
      </w:r>
      <w:r w:rsidRPr="00B513F4">
        <w:t xml:space="preserve"> as it includes countries with declining and stagnating governance and countries in conflict. Prospects are likely to be relatively better for postconflict countries (as a subgroup of fragile states)</w:t>
      </w:r>
      <w:r w:rsidR="00180B21">
        <w:t>—</w:t>
      </w:r>
      <w:r w:rsidRPr="00BA38CB">
        <w:rPr>
          <w:i/>
        </w:rPr>
        <w:t>so long as they can establish stability, avoid a relapse back into conflict, and actively seek public sector improvements</w:t>
      </w:r>
      <w:r w:rsidR="00023EDF">
        <w:t>.</w:t>
      </w:r>
    </w:p>
    <w:p w14:paraId="0A8821CA" w14:textId="2F43221C" w:rsidR="00F37D55" w:rsidRDefault="00F37D55" w:rsidP="00F37D55">
      <w:pPr>
        <w:pStyle w:val="Caption"/>
        <w:keepNext/>
      </w:pPr>
      <w:r>
        <w:t xml:space="preserve">Table </w:t>
      </w:r>
      <w:fldSimple w:instr=" SEQ Table \* ARABIC ">
        <w:r w:rsidR="00FA6F6C">
          <w:rPr>
            <w:noProof/>
          </w:rPr>
          <w:t>1</w:t>
        </w:r>
      </w:fldSimple>
      <w:r>
        <w:t xml:space="preserve">. </w:t>
      </w:r>
      <w:r w:rsidRPr="003D7451">
        <w:t xml:space="preserve">Scenarios for Improvements in </w:t>
      </w:r>
      <w:r>
        <w:t>S</w:t>
      </w:r>
      <w:r w:rsidRPr="003D7451">
        <w:t xml:space="preserve">tate </w:t>
      </w:r>
      <w:r>
        <w:t>C</w:t>
      </w:r>
      <w:r w:rsidRPr="003D7451">
        <w:t>apability</w:t>
      </w:r>
    </w:p>
    <w:tbl>
      <w:tblPr>
        <w:tblStyle w:val="TableGrid"/>
        <w:tblW w:w="0" w:type="auto"/>
        <w:jc w:val="center"/>
        <w:tblLook w:val="04A0" w:firstRow="1" w:lastRow="0" w:firstColumn="1" w:lastColumn="0" w:noHBand="0" w:noVBand="1"/>
      </w:tblPr>
      <w:tblGrid>
        <w:gridCol w:w="1998"/>
        <w:gridCol w:w="1382"/>
        <w:gridCol w:w="731"/>
        <w:gridCol w:w="1317"/>
        <w:gridCol w:w="1313"/>
        <w:gridCol w:w="1293"/>
        <w:gridCol w:w="1316"/>
      </w:tblGrid>
      <w:tr w:rsidR="00A56EDD" w:rsidRPr="00B513F4" w14:paraId="4C76CBC6" w14:textId="77777777" w:rsidTr="00C904C6">
        <w:trPr>
          <w:trHeight w:val="602"/>
          <w:jc w:val="center"/>
        </w:trPr>
        <w:tc>
          <w:tcPr>
            <w:tcW w:w="1998" w:type="dxa"/>
            <w:vMerge w:val="restart"/>
            <w:vAlign w:val="center"/>
          </w:tcPr>
          <w:p w14:paraId="2384E886" w14:textId="77777777" w:rsidR="00A56EDD" w:rsidRPr="00920A85" w:rsidRDefault="00A56EDD" w:rsidP="00B87BEE">
            <w:pPr>
              <w:spacing w:after="0" w:line="240" w:lineRule="auto"/>
              <w:jc w:val="center"/>
              <w:rPr>
                <w:b/>
                <w:sz w:val="20"/>
                <w:szCs w:val="20"/>
              </w:rPr>
            </w:pPr>
            <w:r w:rsidRPr="00920A85">
              <w:rPr>
                <w:b/>
                <w:sz w:val="20"/>
                <w:szCs w:val="20"/>
              </w:rPr>
              <w:t>ICRG indicator</w:t>
            </w:r>
          </w:p>
        </w:tc>
        <w:tc>
          <w:tcPr>
            <w:tcW w:w="1382" w:type="dxa"/>
            <w:shd w:val="clear" w:color="auto" w:fill="BFBFBF" w:themeFill="background1" w:themeFillShade="BF"/>
          </w:tcPr>
          <w:p w14:paraId="3CD9219D" w14:textId="77777777" w:rsidR="00A56EDD" w:rsidRPr="00920A85" w:rsidRDefault="00A56EDD" w:rsidP="00C904C6">
            <w:pPr>
              <w:spacing w:after="0" w:line="240" w:lineRule="auto"/>
              <w:jc w:val="center"/>
              <w:rPr>
                <w:b/>
                <w:i/>
                <w:sz w:val="20"/>
                <w:szCs w:val="20"/>
              </w:rPr>
            </w:pPr>
            <w:r w:rsidRPr="00920A85">
              <w:rPr>
                <w:b/>
                <w:i/>
                <w:sz w:val="20"/>
                <w:szCs w:val="20"/>
              </w:rPr>
              <w:t>Indicator level</w:t>
            </w:r>
          </w:p>
        </w:tc>
        <w:tc>
          <w:tcPr>
            <w:tcW w:w="731" w:type="dxa"/>
            <w:vMerge w:val="restart"/>
            <w:shd w:val="clear" w:color="auto" w:fill="009900"/>
            <w:textDirection w:val="btLr"/>
          </w:tcPr>
          <w:p w14:paraId="70EB6211" w14:textId="77777777" w:rsidR="00A56EDD" w:rsidRPr="00920A85" w:rsidRDefault="00A56EDD" w:rsidP="00B87BEE">
            <w:pPr>
              <w:spacing w:after="0" w:line="240" w:lineRule="auto"/>
              <w:ind w:left="113" w:right="113"/>
              <w:rPr>
                <w:sz w:val="20"/>
                <w:szCs w:val="20"/>
              </w:rPr>
            </w:pPr>
            <w:r w:rsidRPr="00920A85">
              <w:rPr>
                <w:sz w:val="20"/>
                <w:szCs w:val="20"/>
              </w:rPr>
              <w:t>Threshold</w:t>
            </w:r>
          </w:p>
        </w:tc>
        <w:tc>
          <w:tcPr>
            <w:tcW w:w="5239" w:type="dxa"/>
            <w:gridSpan w:val="4"/>
            <w:shd w:val="clear" w:color="auto" w:fill="BFBFBF" w:themeFill="background1" w:themeFillShade="BF"/>
          </w:tcPr>
          <w:p w14:paraId="111E24CF" w14:textId="77777777" w:rsidR="00A56EDD" w:rsidRPr="00920A85" w:rsidRDefault="00A56EDD" w:rsidP="00B87BEE">
            <w:pPr>
              <w:spacing w:after="0" w:line="240" w:lineRule="auto"/>
              <w:jc w:val="center"/>
              <w:rPr>
                <w:b/>
                <w:i/>
                <w:sz w:val="20"/>
                <w:szCs w:val="20"/>
              </w:rPr>
            </w:pPr>
            <w:r w:rsidRPr="00920A85">
              <w:rPr>
                <w:b/>
                <w:i/>
                <w:sz w:val="20"/>
                <w:szCs w:val="20"/>
              </w:rPr>
              <w:t>Years to threshold at pace of</w:t>
            </w:r>
          </w:p>
        </w:tc>
      </w:tr>
      <w:tr w:rsidR="00A56EDD" w:rsidRPr="00B513F4" w14:paraId="31886772" w14:textId="77777777" w:rsidTr="00B87BEE">
        <w:trPr>
          <w:trHeight w:val="1160"/>
          <w:jc w:val="center"/>
        </w:trPr>
        <w:tc>
          <w:tcPr>
            <w:tcW w:w="1998" w:type="dxa"/>
            <w:vMerge/>
          </w:tcPr>
          <w:p w14:paraId="04745C13" w14:textId="77777777" w:rsidR="00A56EDD" w:rsidRPr="00920A85" w:rsidRDefault="00A56EDD" w:rsidP="00B87BEE">
            <w:pPr>
              <w:spacing w:after="0" w:line="240" w:lineRule="auto"/>
              <w:rPr>
                <w:sz w:val="20"/>
                <w:szCs w:val="20"/>
              </w:rPr>
            </w:pPr>
          </w:p>
        </w:tc>
        <w:tc>
          <w:tcPr>
            <w:tcW w:w="1382" w:type="dxa"/>
            <w:vAlign w:val="center"/>
          </w:tcPr>
          <w:p w14:paraId="7EFD0304" w14:textId="77777777" w:rsidR="00A56EDD" w:rsidRPr="00920A85" w:rsidRDefault="00A56EDD" w:rsidP="00B87BEE">
            <w:pPr>
              <w:spacing w:after="0" w:line="240" w:lineRule="auto"/>
              <w:jc w:val="center"/>
              <w:rPr>
                <w:b/>
                <w:sz w:val="20"/>
                <w:szCs w:val="20"/>
              </w:rPr>
            </w:pPr>
            <w:r w:rsidRPr="00920A85">
              <w:rPr>
                <w:b/>
                <w:sz w:val="20"/>
                <w:szCs w:val="20"/>
              </w:rPr>
              <w:t>Current actual fragile situations</w:t>
            </w:r>
          </w:p>
        </w:tc>
        <w:tc>
          <w:tcPr>
            <w:tcW w:w="731" w:type="dxa"/>
            <w:vMerge/>
            <w:shd w:val="clear" w:color="auto" w:fill="009900"/>
          </w:tcPr>
          <w:p w14:paraId="4B69A08C" w14:textId="77777777" w:rsidR="00A56EDD" w:rsidRPr="00920A85" w:rsidRDefault="00A56EDD" w:rsidP="00B87BEE">
            <w:pPr>
              <w:spacing w:after="0" w:line="240" w:lineRule="auto"/>
              <w:rPr>
                <w:sz w:val="20"/>
                <w:szCs w:val="20"/>
              </w:rPr>
            </w:pPr>
          </w:p>
        </w:tc>
        <w:tc>
          <w:tcPr>
            <w:tcW w:w="1317" w:type="dxa"/>
            <w:vAlign w:val="center"/>
          </w:tcPr>
          <w:p w14:paraId="2E40EA82" w14:textId="77777777" w:rsidR="00A56EDD" w:rsidRPr="00920A85" w:rsidRDefault="00A56EDD" w:rsidP="00B87BEE">
            <w:pPr>
              <w:spacing w:after="0" w:line="240" w:lineRule="auto"/>
              <w:jc w:val="center"/>
              <w:rPr>
                <w:b/>
                <w:sz w:val="20"/>
                <w:szCs w:val="20"/>
              </w:rPr>
            </w:pPr>
            <w:r w:rsidRPr="00920A85">
              <w:rPr>
                <w:b/>
                <w:sz w:val="20"/>
                <w:szCs w:val="20"/>
              </w:rPr>
              <w:t>Recent average, fragile situations</w:t>
            </w:r>
          </w:p>
        </w:tc>
        <w:tc>
          <w:tcPr>
            <w:tcW w:w="1313" w:type="dxa"/>
            <w:vAlign w:val="center"/>
          </w:tcPr>
          <w:p w14:paraId="0B715A4B" w14:textId="6B0ECD1C" w:rsidR="00A56EDD" w:rsidRPr="00920A85" w:rsidRDefault="00A56EDD" w:rsidP="00B87BEE">
            <w:pPr>
              <w:spacing w:after="0" w:line="240" w:lineRule="auto"/>
              <w:jc w:val="center"/>
              <w:rPr>
                <w:b/>
                <w:sz w:val="20"/>
                <w:szCs w:val="20"/>
              </w:rPr>
            </w:pPr>
            <w:r w:rsidRPr="00920A85">
              <w:rPr>
                <w:b/>
                <w:sz w:val="20"/>
                <w:szCs w:val="20"/>
              </w:rPr>
              <w:t>Average, non</w:t>
            </w:r>
            <w:r w:rsidR="00E264FD">
              <w:rPr>
                <w:b/>
                <w:sz w:val="20"/>
                <w:szCs w:val="20"/>
              </w:rPr>
              <w:t>-</w:t>
            </w:r>
            <w:r w:rsidRPr="00920A85">
              <w:rPr>
                <w:b/>
                <w:sz w:val="20"/>
                <w:szCs w:val="20"/>
              </w:rPr>
              <w:t xml:space="preserve">fragile </w:t>
            </w:r>
          </w:p>
          <w:p w14:paraId="16A1934A" w14:textId="77777777" w:rsidR="00A56EDD" w:rsidRPr="00920A85" w:rsidRDefault="00A56EDD" w:rsidP="00B87BEE">
            <w:pPr>
              <w:spacing w:after="0" w:line="240" w:lineRule="auto"/>
              <w:jc w:val="center"/>
              <w:rPr>
                <w:b/>
                <w:sz w:val="20"/>
                <w:szCs w:val="20"/>
              </w:rPr>
            </w:pPr>
            <w:r w:rsidRPr="00920A85">
              <w:rPr>
                <w:b/>
                <w:sz w:val="20"/>
                <w:szCs w:val="20"/>
              </w:rPr>
              <w:t>all countries</w:t>
            </w:r>
          </w:p>
        </w:tc>
        <w:tc>
          <w:tcPr>
            <w:tcW w:w="1293" w:type="dxa"/>
            <w:vAlign w:val="center"/>
          </w:tcPr>
          <w:p w14:paraId="4F9C3F85" w14:textId="77777777" w:rsidR="00A56EDD" w:rsidRPr="00920A85" w:rsidRDefault="00A56EDD" w:rsidP="00B87BEE">
            <w:pPr>
              <w:spacing w:after="0" w:line="240" w:lineRule="auto"/>
              <w:jc w:val="center"/>
              <w:rPr>
                <w:b/>
                <w:sz w:val="20"/>
                <w:szCs w:val="20"/>
              </w:rPr>
            </w:pPr>
            <w:r w:rsidRPr="00920A85">
              <w:rPr>
                <w:b/>
                <w:sz w:val="20"/>
                <w:szCs w:val="20"/>
              </w:rPr>
              <w:t>Fastest 20</w:t>
            </w:r>
          </w:p>
        </w:tc>
        <w:tc>
          <w:tcPr>
            <w:tcW w:w="1316" w:type="dxa"/>
            <w:vAlign w:val="center"/>
          </w:tcPr>
          <w:p w14:paraId="383DAFA7" w14:textId="77777777" w:rsidR="00A56EDD" w:rsidRPr="00920A85" w:rsidRDefault="00A56EDD" w:rsidP="00B87BEE">
            <w:pPr>
              <w:spacing w:after="0" w:line="240" w:lineRule="auto"/>
              <w:jc w:val="center"/>
              <w:rPr>
                <w:b/>
                <w:sz w:val="20"/>
                <w:szCs w:val="20"/>
              </w:rPr>
            </w:pPr>
            <w:r w:rsidRPr="00920A85">
              <w:rPr>
                <w:b/>
                <w:sz w:val="20"/>
                <w:szCs w:val="20"/>
              </w:rPr>
              <w:t>Fastest over the threshold</w:t>
            </w:r>
          </w:p>
        </w:tc>
      </w:tr>
      <w:tr w:rsidR="00A56EDD" w:rsidRPr="00B513F4" w14:paraId="4A1693BB" w14:textId="77777777" w:rsidTr="00B87BEE">
        <w:trPr>
          <w:trHeight w:val="350"/>
          <w:jc w:val="center"/>
        </w:trPr>
        <w:tc>
          <w:tcPr>
            <w:tcW w:w="1998" w:type="dxa"/>
          </w:tcPr>
          <w:p w14:paraId="58F548B8" w14:textId="77777777" w:rsidR="00A56EDD" w:rsidRPr="00920A85" w:rsidRDefault="00A56EDD" w:rsidP="00B87BEE">
            <w:pPr>
              <w:spacing w:after="0" w:line="240" w:lineRule="auto"/>
              <w:rPr>
                <w:sz w:val="20"/>
                <w:szCs w:val="20"/>
              </w:rPr>
            </w:pPr>
            <w:r w:rsidRPr="00920A85">
              <w:rPr>
                <w:sz w:val="20"/>
                <w:szCs w:val="20"/>
              </w:rPr>
              <w:t>Bureaucratic Quality</w:t>
            </w:r>
          </w:p>
        </w:tc>
        <w:tc>
          <w:tcPr>
            <w:tcW w:w="1382" w:type="dxa"/>
            <w:vAlign w:val="center"/>
          </w:tcPr>
          <w:p w14:paraId="54F39F8C" w14:textId="77777777" w:rsidR="00A56EDD" w:rsidRPr="00920A85" w:rsidRDefault="00A56EDD" w:rsidP="00B87BEE">
            <w:pPr>
              <w:spacing w:after="0" w:line="240" w:lineRule="auto"/>
              <w:jc w:val="center"/>
              <w:rPr>
                <w:sz w:val="20"/>
                <w:szCs w:val="20"/>
              </w:rPr>
            </w:pPr>
            <w:r w:rsidRPr="00920A85">
              <w:rPr>
                <w:sz w:val="20"/>
                <w:szCs w:val="20"/>
              </w:rPr>
              <w:t>1.0</w:t>
            </w:r>
          </w:p>
        </w:tc>
        <w:tc>
          <w:tcPr>
            <w:tcW w:w="731" w:type="dxa"/>
            <w:shd w:val="clear" w:color="auto" w:fill="009900"/>
            <w:vAlign w:val="center"/>
          </w:tcPr>
          <w:p w14:paraId="213C9C7F" w14:textId="77777777" w:rsidR="00A56EDD" w:rsidRPr="00920A85" w:rsidRDefault="00A56EDD" w:rsidP="00B87BEE">
            <w:pPr>
              <w:spacing w:after="0" w:line="240" w:lineRule="auto"/>
              <w:jc w:val="center"/>
              <w:rPr>
                <w:sz w:val="20"/>
                <w:szCs w:val="20"/>
              </w:rPr>
            </w:pPr>
            <w:r w:rsidRPr="00920A85">
              <w:rPr>
                <w:sz w:val="20"/>
                <w:szCs w:val="20"/>
              </w:rPr>
              <w:t>2.5</w:t>
            </w:r>
          </w:p>
        </w:tc>
        <w:tc>
          <w:tcPr>
            <w:tcW w:w="1317" w:type="dxa"/>
            <w:vAlign w:val="center"/>
          </w:tcPr>
          <w:p w14:paraId="2D4C776C" w14:textId="77777777" w:rsidR="00A56EDD" w:rsidRPr="00920A85" w:rsidRDefault="00A56EDD" w:rsidP="00B87BEE">
            <w:pPr>
              <w:spacing w:after="0" w:line="240" w:lineRule="auto"/>
              <w:jc w:val="center"/>
              <w:rPr>
                <w:sz w:val="20"/>
                <w:szCs w:val="20"/>
              </w:rPr>
            </w:pPr>
            <w:r w:rsidRPr="00920A85">
              <w:rPr>
                <w:sz w:val="20"/>
                <w:szCs w:val="20"/>
              </w:rPr>
              <w:t>Infinity</w:t>
            </w:r>
          </w:p>
        </w:tc>
        <w:tc>
          <w:tcPr>
            <w:tcW w:w="1313" w:type="dxa"/>
            <w:vAlign w:val="center"/>
          </w:tcPr>
          <w:p w14:paraId="698E486B" w14:textId="77777777" w:rsidR="00A56EDD" w:rsidRPr="00920A85" w:rsidRDefault="00A56EDD" w:rsidP="00B87BEE">
            <w:pPr>
              <w:spacing w:after="0" w:line="240" w:lineRule="auto"/>
              <w:jc w:val="center"/>
              <w:rPr>
                <w:sz w:val="20"/>
                <w:szCs w:val="20"/>
              </w:rPr>
            </w:pPr>
            <w:r w:rsidRPr="00920A85">
              <w:rPr>
                <w:sz w:val="20"/>
                <w:szCs w:val="20"/>
              </w:rPr>
              <w:t>116.1</w:t>
            </w:r>
          </w:p>
        </w:tc>
        <w:tc>
          <w:tcPr>
            <w:tcW w:w="1293" w:type="dxa"/>
            <w:vAlign w:val="center"/>
          </w:tcPr>
          <w:p w14:paraId="127D1714" w14:textId="77777777" w:rsidR="00A56EDD" w:rsidRPr="00920A85" w:rsidRDefault="00A56EDD" w:rsidP="00B87BEE">
            <w:pPr>
              <w:spacing w:after="0" w:line="240" w:lineRule="auto"/>
              <w:jc w:val="center"/>
              <w:rPr>
                <w:sz w:val="20"/>
                <w:szCs w:val="20"/>
              </w:rPr>
            </w:pPr>
            <w:r w:rsidRPr="00920A85">
              <w:rPr>
                <w:sz w:val="20"/>
                <w:szCs w:val="20"/>
              </w:rPr>
              <w:t>19.9</w:t>
            </w:r>
          </w:p>
        </w:tc>
        <w:tc>
          <w:tcPr>
            <w:tcW w:w="1316" w:type="dxa"/>
            <w:vAlign w:val="center"/>
          </w:tcPr>
          <w:p w14:paraId="63EB0473" w14:textId="77777777" w:rsidR="00A56EDD" w:rsidRPr="00920A85" w:rsidRDefault="00A56EDD" w:rsidP="00B87BEE">
            <w:pPr>
              <w:spacing w:after="0" w:line="240" w:lineRule="auto"/>
              <w:jc w:val="center"/>
              <w:rPr>
                <w:sz w:val="20"/>
                <w:szCs w:val="20"/>
              </w:rPr>
            </w:pPr>
            <w:r w:rsidRPr="00920A85">
              <w:rPr>
                <w:sz w:val="20"/>
                <w:szCs w:val="20"/>
              </w:rPr>
              <w:t>12.0</w:t>
            </w:r>
          </w:p>
        </w:tc>
      </w:tr>
      <w:tr w:rsidR="00A56EDD" w:rsidRPr="00B513F4" w14:paraId="521ED9CB" w14:textId="77777777" w:rsidTr="00B87BEE">
        <w:trPr>
          <w:trHeight w:val="350"/>
          <w:jc w:val="center"/>
        </w:trPr>
        <w:tc>
          <w:tcPr>
            <w:tcW w:w="1998" w:type="dxa"/>
          </w:tcPr>
          <w:p w14:paraId="5F2E529C" w14:textId="77777777" w:rsidR="00A56EDD" w:rsidRPr="00920A85" w:rsidRDefault="00A56EDD" w:rsidP="00B87BEE">
            <w:pPr>
              <w:spacing w:after="0" w:line="240" w:lineRule="auto"/>
              <w:rPr>
                <w:sz w:val="20"/>
                <w:szCs w:val="20"/>
              </w:rPr>
            </w:pPr>
            <w:r w:rsidRPr="00920A85">
              <w:rPr>
                <w:sz w:val="20"/>
                <w:szCs w:val="20"/>
              </w:rPr>
              <w:t>Corruption</w:t>
            </w:r>
          </w:p>
        </w:tc>
        <w:tc>
          <w:tcPr>
            <w:tcW w:w="1382" w:type="dxa"/>
            <w:vAlign w:val="center"/>
          </w:tcPr>
          <w:p w14:paraId="0F24172C" w14:textId="77777777" w:rsidR="00A56EDD" w:rsidRPr="00920A85" w:rsidRDefault="00A56EDD" w:rsidP="00B87BEE">
            <w:pPr>
              <w:spacing w:after="0" w:line="240" w:lineRule="auto"/>
              <w:jc w:val="center"/>
              <w:rPr>
                <w:sz w:val="20"/>
                <w:szCs w:val="20"/>
              </w:rPr>
            </w:pPr>
            <w:r w:rsidRPr="00920A85">
              <w:rPr>
                <w:sz w:val="20"/>
                <w:szCs w:val="20"/>
              </w:rPr>
              <w:t>1.8</w:t>
            </w:r>
          </w:p>
        </w:tc>
        <w:tc>
          <w:tcPr>
            <w:tcW w:w="731" w:type="dxa"/>
            <w:shd w:val="clear" w:color="auto" w:fill="009900"/>
            <w:vAlign w:val="center"/>
          </w:tcPr>
          <w:p w14:paraId="7699A70E" w14:textId="77777777" w:rsidR="00A56EDD" w:rsidRPr="00920A85" w:rsidRDefault="00A56EDD" w:rsidP="00B87BEE">
            <w:pPr>
              <w:spacing w:after="0" w:line="240" w:lineRule="auto"/>
              <w:jc w:val="center"/>
              <w:rPr>
                <w:sz w:val="20"/>
                <w:szCs w:val="20"/>
              </w:rPr>
            </w:pPr>
            <w:r w:rsidRPr="00920A85">
              <w:rPr>
                <w:sz w:val="20"/>
                <w:szCs w:val="20"/>
              </w:rPr>
              <w:t>3.5</w:t>
            </w:r>
          </w:p>
        </w:tc>
        <w:tc>
          <w:tcPr>
            <w:tcW w:w="1317" w:type="dxa"/>
            <w:vAlign w:val="center"/>
          </w:tcPr>
          <w:p w14:paraId="7FAACD80" w14:textId="77777777" w:rsidR="00A56EDD" w:rsidRPr="00920A85" w:rsidRDefault="00A56EDD" w:rsidP="00B87BEE">
            <w:pPr>
              <w:spacing w:after="0" w:line="240" w:lineRule="auto"/>
              <w:jc w:val="center"/>
              <w:rPr>
                <w:sz w:val="20"/>
                <w:szCs w:val="20"/>
              </w:rPr>
            </w:pPr>
            <w:r w:rsidRPr="00920A85">
              <w:rPr>
                <w:sz w:val="20"/>
                <w:szCs w:val="20"/>
              </w:rPr>
              <w:t>Infinity</w:t>
            </w:r>
          </w:p>
        </w:tc>
        <w:tc>
          <w:tcPr>
            <w:tcW w:w="1313" w:type="dxa"/>
            <w:vAlign w:val="center"/>
          </w:tcPr>
          <w:p w14:paraId="569AACCC" w14:textId="77777777" w:rsidR="00A56EDD" w:rsidRPr="00920A85" w:rsidRDefault="00A56EDD" w:rsidP="00B87BEE">
            <w:pPr>
              <w:spacing w:after="0" w:line="240" w:lineRule="auto"/>
              <w:jc w:val="center"/>
              <w:rPr>
                <w:sz w:val="20"/>
                <w:szCs w:val="20"/>
              </w:rPr>
            </w:pPr>
            <w:r w:rsidRPr="00920A85">
              <w:rPr>
                <w:sz w:val="20"/>
                <w:szCs w:val="20"/>
              </w:rPr>
              <w:t>Infinity</w:t>
            </w:r>
          </w:p>
        </w:tc>
        <w:tc>
          <w:tcPr>
            <w:tcW w:w="1293" w:type="dxa"/>
            <w:vAlign w:val="center"/>
          </w:tcPr>
          <w:p w14:paraId="06E3ED59" w14:textId="77777777" w:rsidR="00A56EDD" w:rsidRPr="00920A85" w:rsidRDefault="00A56EDD" w:rsidP="00B87BEE">
            <w:pPr>
              <w:spacing w:after="0" w:line="240" w:lineRule="auto"/>
              <w:jc w:val="center"/>
              <w:rPr>
                <w:sz w:val="20"/>
                <w:szCs w:val="20"/>
              </w:rPr>
            </w:pPr>
            <w:r w:rsidRPr="00920A85">
              <w:rPr>
                <w:sz w:val="20"/>
                <w:szCs w:val="20"/>
              </w:rPr>
              <w:t>27.4</w:t>
            </w:r>
          </w:p>
        </w:tc>
        <w:tc>
          <w:tcPr>
            <w:tcW w:w="1316" w:type="dxa"/>
            <w:vAlign w:val="center"/>
          </w:tcPr>
          <w:p w14:paraId="71151DA3" w14:textId="77777777" w:rsidR="00A56EDD" w:rsidRPr="00920A85" w:rsidRDefault="00A56EDD" w:rsidP="00B87BEE">
            <w:pPr>
              <w:spacing w:after="0" w:line="240" w:lineRule="auto"/>
              <w:jc w:val="center"/>
              <w:rPr>
                <w:sz w:val="20"/>
                <w:szCs w:val="20"/>
              </w:rPr>
            </w:pPr>
            <w:r w:rsidRPr="00920A85">
              <w:rPr>
                <w:sz w:val="20"/>
                <w:szCs w:val="20"/>
              </w:rPr>
              <w:t>14.3</w:t>
            </w:r>
          </w:p>
        </w:tc>
      </w:tr>
      <w:tr w:rsidR="00A56EDD" w:rsidRPr="00B513F4" w14:paraId="4411CBDF" w14:textId="77777777" w:rsidTr="00B87BEE">
        <w:trPr>
          <w:trHeight w:val="350"/>
          <w:jc w:val="center"/>
        </w:trPr>
        <w:tc>
          <w:tcPr>
            <w:tcW w:w="1998" w:type="dxa"/>
          </w:tcPr>
          <w:p w14:paraId="04962A06" w14:textId="77777777" w:rsidR="00A56EDD" w:rsidRPr="00920A85" w:rsidRDefault="00A56EDD" w:rsidP="00B87BEE">
            <w:pPr>
              <w:spacing w:after="0" w:line="240" w:lineRule="auto"/>
              <w:rPr>
                <w:sz w:val="20"/>
                <w:szCs w:val="20"/>
              </w:rPr>
            </w:pPr>
            <w:r w:rsidRPr="00920A85">
              <w:rPr>
                <w:sz w:val="20"/>
                <w:szCs w:val="20"/>
              </w:rPr>
              <w:t>Military in Politics</w:t>
            </w:r>
          </w:p>
        </w:tc>
        <w:tc>
          <w:tcPr>
            <w:tcW w:w="1382" w:type="dxa"/>
            <w:vAlign w:val="center"/>
          </w:tcPr>
          <w:p w14:paraId="0FD6E387" w14:textId="77777777" w:rsidR="00A56EDD" w:rsidRPr="00920A85" w:rsidRDefault="00A56EDD" w:rsidP="00B87BEE">
            <w:pPr>
              <w:spacing w:after="0" w:line="240" w:lineRule="auto"/>
              <w:jc w:val="center"/>
              <w:rPr>
                <w:sz w:val="20"/>
                <w:szCs w:val="20"/>
              </w:rPr>
            </w:pPr>
            <w:r w:rsidRPr="00920A85">
              <w:rPr>
                <w:sz w:val="20"/>
                <w:szCs w:val="20"/>
              </w:rPr>
              <w:t>1.9</w:t>
            </w:r>
          </w:p>
        </w:tc>
        <w:tc>
          <w:tcPr>
            <w:tcW w:w="731" w:type="dxa"/>
            <w:shd w:val="clear" w:color="auto" w:fill="009900"/>
            <w:vAlign w:val="center"/>
          </w:tcPr>
          <w:p w14:paraId="41E36020" w14:textId="77777777" w:rsidR="00A56EDD" w:rsidRPr="00920A85" w:rsidRDefault="00A56EDD" w:rsidP="00B87BEE">
            <w:pPr>
              <w:spacing w:after="0" w:line="240" w:lineRule="auto"/>
              <w:jc w:val="center"/>
              <w:rPr>
                <w:sz w:val="20"/>
                <w:szCs w:val="20"/>
              </w:rPr>
            </w:pPr>
            <w:r w:rsidRPr="00920A85">
              <w:rPr>
                <w:sz w:val="20"/>
                <w:szCs w:val="20"/>
              </w:rPr>
              <w:t>4.0</w:t>
            </w:r>
          </w:p>
        </w:tc>
        <w:tc>
          <w:tcPr>
            <w:tcW w:w="1317" w:type="dxa"/>
            <w:vAlign w:val="center"/>
          </w:tcPr>
          <w:p w14:paraId="4AEB7A4D" w14:textId="77777777" w:rsidR="00A56EDD" w:rsidRPr="00920A85" w:rsidRDefault="00A56EDD" w:rsidP="00B87BEE">
            <w:pPr>
              <w:spacing w:after="0" w:line="240" w:lineRule="auto"/>
              <w:jc w:val="center"/>
              <w:rPr>
                <w:sz w:val="20"/>
                <w:szCs w:val="20"/>
              </w:rPr>
            </w:pPr>
            <w:r w:rsidRPr="00920A85">
              <w:rPr>
                <w:sz w:val="20"/>
                <w:szCs w:val="20"/>
              </w:rPr>
              <w:t>Infinity</w:t>
            </w:r>
          </w:p>
        </w:tc>
        <w:tc>
          <w:tcPr>
            <w:tcW w:w="1313" w:type="dxa"/>
            <w:vAlign w:val="center"/>
          </w:tcPr>
          <w:p w14:paraId="46BFAB2C" w14:textId="77777777" w:rsidR="00A56EDD" w:rsidRPr="00920A85" w:rsidRDefault="00A56EDD" w:rsidP="00B87BEE">
            <w:pPr>
              <w:spacing w:after="0" w:line="240" w:lineRule="auto"/>
              <w:jc w:val="center"/>
              <w:rPr>
                <w:sz w:val="20"/>
                <w:szCs w:val="20"/>
              </w:rPr>
            </w:pPr>
            <w:r w:rsidRPr="00920A85">
              <w:rPr>
                <w:sz w:val="20"/>
                <w:szCs w:val="20"/>
              </w:rPr>
              <w:t>103.4</w:t>
            </w:r>
          </w:p>
        </w:tc>
        <w:tc>
          <w:tcPr>
            <w:tcW w:w="1293" w:type="dxa"/>
            <w:vAlign w:val="center"/>
          </w:tcPr>
          <w:p w14:paraId="42169099" w14:textId="77777777" w:rsidR="00A56EDD" w:rsidRPr="00920A85" w:rsidRDefault="00A56EDD" w:rsidP="00B87BEE">
            <w:pPr>
              <w:spacing w:after="0" w:line="240" w:lineRule="auto"/>
              <w:jc w:val="center"/>
              <w:rPr>
                <w:sz w:val="20"/>
                <w:szCs w:val="20"/>
              </w:rPr>
            </w:pPr>
            <w:r w:rsidRPr="00920A85">
              <w:rPr>
                <w:sz w:val="20"/>
                <w:szCs w:val="20"/>
              </w:rPr>
              <w:t>16.6</w:t>
            </w:r>
          </w:p>
        </w:tc>
        <w:tc>
          <w:tcPr>
            <w:tcW w:w="1316" w:type="dxa"/>
            <w:vAlign w:val="center"/>
          </w:tcPr>
          <w:p w14:paraId="76B620B6" w14:textId="77777777" w:rsidR="00A56EDD" w:rsidRPr="00920A85" w:rsidRDefault="00A56EDD" w:rsidP="00B87BEE">
            <w:pPr>
              <w:spacing w:after="0" w:line="240" w:lineRule="auto"/>
              <w:jc w:val="center"/>
              <w:rPr>
                <w:sz w:val="20"/>
                <w:szCs w:val="20"/>
              </w:rPr>
            </w:pPr>
            <w:r w:rsidRPr="00920A85">
              <w:rPr>
                <w:sz w:val="20"/>
                <w:szCs w:val="20"/>
              </w:rPr>
              <w:t>10.3</w:t>
            </w:r>
          </w:p>
        </w:tc>
      </w:tr>
    </w:tbl>
    <w:p w14:paraId="79C6F742" w14:textId="7D4D0702" w:rsidR="00A56EDD" w:rsidRPr="00B513F4" w:rsidRDefault="00A56EDD" w:rsidP="00A56EDD">
      <w:pPr>
        <w:jc w:val="both"/>
        <w:rPr>
          <w:sz w:val="20"/>
        </w:rPr>
      </w:pPr>
      <w:r w:rsidRPr="00822F16">
        <w:rPr>
          <w:i/>
          <w:sz w:val="20"/>
        </w:rPr>
        <w:t>Source:</w:t>
      </w:r>
      <w:r w:rsidRPr="00B513F4">
        <w:rPr>
          <w:sz w:val="20"/>
        </w:rPr>
        <w:t xml:space="preserve"> Pritchett and de Weijer (2010) based on </w:t>
      </w:r>
      <w:r w:rsidR="00822F16">
        <w:rPr>
          <w:sz w:val="20"/>
        </w:rPr>
        <w:t>International Country Risk Guide (</w:t>
      </w:r>
      <w:r w:rsidRPr="00B513F4">
        <w:rPr>
          <w:sz w:val="20"/>
        </w:rPr>
        <w:t>ICRG</w:t>
      </w:r>
      <w:r w:rsidR="00822F16">
        <w:rPr>
          <w:sz w:val="20"/>
        </w:rPr>
        <w:t>)</w:t>
      </w:r>
      <w:r w:rsidRPr="00B513F4">
        <w:rPr>
          <w:sz w:val="20"/>
        </w:rPr>
        <w:t xml:space="preserve"> data</w:t>
      </w:r>
      <w:r w:rsidR="002B11F4">
        <w:rPr>
          <w:sz w:val="20"/>
        </w:rPr>
        <w:t>.</w:t>
      </w:r>
    </w:p>
    <w:p w14:paraId="6108A998" w14:textId="0F052C69" w:rsidR="00A56EDD" w:rsidRPr="00B513F4" w:rsidRDefault="00A56EDD" w:rsidP="00A56EDD">
      <w:pPr>
        <w:jc w:val="both"/>
      </w:pPr>
      <w:r w:rsidRPr="00B513F4">
        <w:t xml:space="preserve">A further conceptual distinction is between the </w:t>
      </w:r>
      <w:r w:rsidRPr="00BA38CB">
        <w:rPr>
          <w:i/>
        </w:rPr>
        <w:t>constitutive domains</w:t>
      </w:r>
      <w:r w:rsidRPr="00BA38CB">
        <w:t xml:space="preserve"> </w:t>
      </w:r>
      <w:r w:rsidRPr="00B513F4">
        <w:t>of the state</w:t>
      </w:r>
      <w:r w:rsidR="00E264FD">
        <w:t>—</w:t>
      </w:r>
      <w:r w:rsidRPr="00B513F4">
        <w:t>the political settlement at the core, the closely related security and public administration apparatuses, and lawmaking process (</w:t>
      </w:r>
      <w:r w:rsidR="0093206E">
        <w:t>that is,</w:t>
      </w:r>
      <w:r w:rsidRPr="00B513F4">
        <w:t xml:space="preserve"> the process for deciding on the rules of the game)</w:t>
      </w:r>
      <w:r w:rsidR="00E264FD">
        <w:t>—</w:t>
      </w:r>
      <w:r w:rsidRPr="00B513F4">
        <w:t xml:space="preserve">and the </w:t>
      </w:r>
      <w:r w:rsidRPr="00BA38CB">
        <w:rPr>
          <w:i/>
        </w:rPr>
        <w:t>output domains</w:t>
      </w:r>
      <w:r w:rsidRPr="00BA38CB">
        <w:t xml:space="preserve"> </w:t>
      </w:r>
      <w:r w:rsidRPr="00B513F4">
        <w:t>of the state, which include economic management, delivery of public infrastructure and services, and the establishment and functioning of a justice system (Fritz and Rocha</w:t>
      </w:r>
      <w:r w:rsidR="003D5AA8">
        <w:t xml:space="preserve"> </w:t>
      </w:r>
      <w:r w:rsidRPr="00B513F4">
        <w:t>Menocal</w:t>
      </w:r>
      <w:r w:rsidR="00023EDF">
        <w:t xml:space="preserve"> 2007</w:t>
      </w:r>
      <w:r w:rsidR="00023EDF" w:rsidRPr="001E3121">
        <w:t xml:space="preserve">; see </w:t>
      </w:r>
      <w:r w:rsidR="001E3121">
        <w:fldChar w:fldCharType="begin"/>
      </w:r>
      <w:r w:rsidR="001E3121">
        <w:instrText xml:space="preserve"> REF _Ref447533576 \h </w:instrText>
      </w:r>
      <w:r w:rsidR="001E3121">
        <w:fldChar w:fldCharType="separate"/>
      </w:r>
      <w:r w:rsidR="001E3121">
        <w:t xml:space="preserve">figure </w:t>
      </w:r>
      <w:r w:rsidR="001E3121">
        <w:rPr>
          <w:noProof/>
        </w:rPr>
        <w:t>17</w:t>
      </w:r>
      <w:r w:rsidR="001E3121">
        <w:fldChar w:fldCharType="end"/>
      </w:r>
      <w:r w:rsidR="00023EDF" w:rsidRPr="001E3121">
        <w:t xml:space="preserve"> </w:t>
      </w:r>
      <w:r w:rsidR="00BA38CB" w:rsidRPr="001E3121">
        <w:t>in a</w:t>
      </w:r>
      <w:r w:rsidR="00023EDF" w:rsidRPr="001E3121">
        <w:t>nnex 2</w:t>
      </w:r>
      <w:r w:rsidR="00023EDF">
        <w:t>).</w:t>
      </w:r>
    </w:p>
    <w:p w14:paraId="245F078F" w14:textId="698E0E7F" w:rsidR="00A56EDD" w:rsidRPr="00B513F4" w:rsidRDefault="00A56EDD" w:rsidP="00A56EDD">
      <w:pPr>
        <w:jc w:val="both"/>
      </w:pPr>
      <w:r w:rsidRPr="00B513F4">
        <w:t>Development partners have traditionally engaged strongly in the output domains</w:t>
      </w:r>
      <w:r w:rsidR="007F0AAE">
        <w:t>—</w:t>
      </w:r>
      <w:r w:rsidRPr="00B513F4">
        <w:t>both during initial periods of humanitarian support and when shifting toward regular development cooperation—and tend to define these as the key ‘functions’ of the state (Institute for State Effectiveness 2014; Ghani</w:t>
      </w:r>
      <w:r w:rsidR="009677E7">
        <w:t>,</w:t>
      </w:r>
      <w:r w:rsidRPr="00B513F4">
        <w:t xml:space="preserve"> </w:t>
      </w:r>
      <w:r w:rsidR="009677E7">
        <w:t>Lockhart, and Carnahan</w:t>
      </w:r>
      <w:r w:rsidRPr="00B513F4">
        <w:t xml:space="preserve"> 2005). Engagement on constitutive domains has been carried out through international, bilateral military</w:t>
      </w:r>
      <w:r w:rsidR="007F0AAE">
        <w:t>,</w:t>
      </w:r>
      <w:r w:rsidRPr="00B513F4">
        <w:t xml:space="preserve"> or diplomatic support, especially with regard to the political settlement and security dimension. </w:t>
      </w:r>
    </w:p>
    <w:p w14:paraId="6CB1BC88" w14:textId="4EC74583" w:rsidR="00A56EDD" w:rsidRPr="00B513F4" w:rsidRDefault="00A56EDD" w:rsidP="00A56EDD">
      <w:pPr>
        <w:jc w:val="both"/>
      </w:pPr>
      <w:r w:rsidRPr="00B513F4">
        <w:t xml:space="preserve">Over the past decade, the engagement of development partners </w:t>
      </w:r>
      <w:r w:rsidR="008230CC">
        <w:t>i</w:t>
      </w:r>
      <w:r w:rsidRPr="00B513F4">
        <w:t xml:space="preserve">n public administration strengthening and reform in postconflict countries has grown, typically subdivided into three main areas: public financial management, public employment reforms, and support to decentralization. Among these three areas, public employment reforms have tended to attract less intellectual attention and empirical lesson learning </w:t>
      </w:r>
      <w:r w:rsidRPr="00B513F4">
        <w:lastRenderedPageBreak/>
        <w:t>than the other two, with some increased efforts emerging recently (Srivastava</w:t>
      </w:r>
      <w:r w:rsidR="00990198" w:rsidRPr="00990198">
        <w:t>, Blum, and Ferreiro-Rodriguez</w:t>
      </w:r>
      <w:r w:rsidR="00990198">
        <w:t>,</w:t>
      </w:r>
      <w:r w:rsidRPr="00B513F4">
        <w:t xml:space="preserve"> forthcoming). The broad notion of ‘capacity development’ cuts across these areas </w:t>
      </w:r>
      <w:r w:rsidR="008230CC">
        <w:t>and</w:t>
      </w:r>
      <w:r w:rsidRPr="00B513F4">
        <w:t xml:space="preserve"> the output domains</w:t>
      </w:r>
      <w:r w:rsidR="005D195A">
        <w:t xml:space="preserve"> (see also UNDP 2012</w:t>
      </w:r>
      <w:r w:rsidR="00BD5AE5">
        <w:t>,</w:t>
      </w:r>
      <w:r w:rsidR="005D195A">
        <w:t xml:space="preserve"> 2013)</w:t>
      </w:r>
      <w:r w:rsidRPr="00B513F4">
        <w:t xml:space="preserve">. </w:t>
      </w:r>
    </w:p>
    <w:p w14:paraId="799AA776" w14:textId="6E838913" w:rsidR="00A56EDD" w:rsidRPr="00B513F4" w:rsidRDefault="00A56EDD" w:rsidP="00A56EDD">
      <w:pPr>
        <w:jc w:val="both"/>
        <w:rPr>
          <w:color w:val="0070C0"/>
        </w:rPr>
      </w:pPr>
      <w:r w:rsidRPr="00B513F4">
        <w:t xml:space="preserve">Furthermore, a key challenge is that while within a state the parts of the constitutive core are closely related (public administration, political settlement, and security), support from the international community for </w:t>
      </w:r>
      <w:r w:rsidRPr="00B513F4">
        <w:rPr>
          <w:color w:val="000000" w:themeColor="text1"/>
        </w:rPr>
        <w:t xml:space="preserve">these areas is typically distributed across different agencies and departments with few points of contact. </w:t>
      </w:r>
      <w:r w:rsidRPr="00B513F4">
        <w:t>Security sector reform has been increasingly recognized as an important aspect of state-building, with the overall aim of establishing civilian control over the military</w:t>
      </w:r>
      <w:r w:rsidRPr="00B513F4">
        <w:rPr>
          <w:lang w:val="en"/>
        </w:rPr>
        <w:t xml:space="preserve"> (Huntington 1957) and reduc</w:t>
      </w:r>
      <w:r w:rsidR="002E0D68">
        <w:rPr>
          <w:lang w:val="en"/>
        </w:rPr>
        <w:t>ing</w:t>
      </w:r>
      <w:r w:rsidRPr="00B513F4">
        <w:rPr>
          <w:lang w:val="en"/>
        </w:rPr>
        <w:t xml:space="preserve"> the likelihood of renewed (internal) conflict (Schnabel and Ehrhart 2005). This dimension of state-building has been very challenging in South Sudan, with limited traction achieved despite external support and some internal reform advocates and efforts. </w:t>
      </w:r>
    </w:p>
    <w:p w14:paraId="3D175606" w14:textId="007EE56F" w:rsidR="00A56EDD" w:rsidRPr="00B513F4" w:rsidRDefault="00A56EDD" w:rsidP="00A56EDD">
      <w:pPr>
        <w:jc w:val="both"/>
        <w:rPr>
          <w:color w:val="000000" w:themeColor="text1"/>
        </w:rPr>
      </w:pPr>
      <w:r w:rsidRPr="00B513F4">
        <w:rPr>
          <w:color w:val="000000" w:themeColor="text1"/>
        </w:rPr>
        <w:t xml:space="preserve">An additional key challenge that donors struggle with is how to support building service delivery capabilities and core public and policy management capacity in parallel, when both domains are </w:t>
      </w:r>
      <w:r w:rsidR="002E0D68">
        <w:rPr>
          <w:color w:val="000000" w:themeColor="text1"/>
        </w:rPr>
        <w:t>extremely</w:t>
      </w:r>
      <w:r w:rsidRPr="002E0D68">
        <w:rPr>
          <w:color w:val="000000" w:themeColor="text1"/>
        </w:rPr>
        <w:t xml:space="preserve"> </w:t>
      </w:r>
      <w:r w:rsidRPr="00AE63B1">
        <w:rPr>
          <w:color w:val="000000" w:themeColor="text1"/>
        </w:rPr>
        <w:t>weak</w:t>
      </w:r>
      <w:r w:rsidRPr="00B513F4">
        <w:rPr>
          <w:color w:val="000000" w:themeColor="text1"/>
        </w:rPr>
        <w:t xml:space="preserve"> and typically affected by various dysfunctionalities. This challenge has given rise to intense debates over the need to use country systems and to avoid ‘doing harm’ (OECD 2010). As is discussed in section 2.2, there are no simple solutions to this challenge, though the issue needs to be kept in mind as part of the efforts made by multiple stakeholders </w:t>
      </w:r>
      <w:r w:rsidRPr="00AE63B1">
        <w:rPr>
          <w:color w:val="000000" w:themeColor="text1"/>
        </w:rPr>
        <w:t>and for an extended period of time</w:t>
      </w:r>
      <w:r w:rsidRPr="00B513F4">
        <w:rPr>
          <w:color w:val="000000" w:themeColor="text1"/>
        </w:rPr>
        <w:t>. The discussion also extends beyond fragile states. Generally, there is an increasing focus on the need to connect support for service delivery and for building core public administration and public financial management. The learning process about how this can best be done is ongoing (World Bank 2012a).</w:t>
      </w:r>
    </w:p>
    <w:p w14:paraId="434BFD45" w14:textId="3E046E0F" w:rsidR="00A56EDD" w:rsidRPr="00B513F4" w:rsidRDefault="00A56EDD" w:rsidP="00A56EDD">
      <w:r w:rsidRPr="00B513F4">
        <w:t>Furthermore, when considering the public sector and public sector employment, several terminological distinctions are important (</w:t>
      </w:r>
      <w:r w:rsidR="002E0D68">
        <w:fldChar w:fldCharType="begin"/>
      </w:r>
      <w:r w:rsidR="002E0D68">
        <w:instrText xml:space="preserve"> REF _Ref447277685 \h </w:instrText>
      </w:r>
      <w:r w:rsidR="002E0D68">
        <w:fldChar w:fldCharType="separate"/>
      </w:r>
      <w:r w:rsidR="002E0D68">
        <w:t xml:space="preserve">figure </w:t>
      </w:r>
      <w:r w:rsidR="002E0D68">
        <w:rPr>
          <w:noProof/>
        </w:rPr>
        <w:t>1</w:t>
      </w:r>
      <w:r w:rsidR="002E0D68">
        <w:fldChar w:fldCharType="end"/>
      </w:r>
      <w:r w:rsidRPr="00B513F4">
        <w:t>):</w:t>
      </w:r>
    </w:p>
    <w:p w14:paraId="554018C8" w14:textId="04AC9680" w:rsidR="00A56EDD" w:rsidRPr="00B513F4" w:rsidRDefault="002E0D68" w:rsidP="00A56EDD">
      <w:pPr>
        <w:pStyle w:val="ListParagraph"/>
        <w:numPr>
          <w:ilvl w:val="0"/>
          <w:numId w:val="5"/>
        </w:numPr>
        <w:jc w:val="both"/>
      </w:pPr>
      <w:r>
        <w:t>P</w:t>
      </w:r>
      <w:r w:rsidR="00A56EDD" w:rsidRPr="00B513F4">
        <w:t>ublic service typically comp</w:t>
      </w:r>
      <w:r>
        <w:t>rises</w:t>
      </w:r>
      <w:r w:rsidR="00A56EDD" w:rsidRPr="00B513F4">
        <w:t xml:space="preserve"> two </w:t>
      </w:r>
      <w:r w:rsidR="00822F16">
        <w:t xml:space="preserve">or three </w:t>
      </w:r>
      <w:r w:rsidR="00A56EDD" w:rsidRPr="00B513F4">
        <w:t>broad categories: military personnel, civilian personnel, and potentially other special categories such as ‘organized forces’ in South Sudan</w:t>
      </w:r>
      <w:r>
        <w:t>.</w:t>
      </w:r>
    </w:p>
    <w:p w14:paraId="17038CE5" w14:textId="2B8767F9" w:rsidR="00A56EDD" w:rsidRPr="00B513F4" w:rsidRDefault="00A56EDD" w:rsidP="00A56EDD">
      <w:pPr>
        <w:pStyle w:val="ListParagraph"/>
        <w:numPr>
          <w:ilvl w:val="0"/>
          <w:numId w:val="5"/>
        </w:numPr>
        <w:jc w:val="both"/>
      </w:pPr>
      <w:r w:rsidRPr="00B513F4">
        <w:t>Within the civilian personnel</w:t>
      </w:r>
      <w:r w:rsidR="00C1715F">
        <w:t xml:space="preserve"> category</w:t>
      </w:r>
      <w:r w:rsidRPr="00B513F4">
        <w:t>, some staff on the government’s payroll are considered civil servants, while others are considered to be public sector employees. The extent of the core civil service varies from country to country and is influenced by administrative traditions. Who is considered a ‘civil servant’ may depend on the level of government (</w:t>
      </w:r>
      <w:r w:rsidR="0093206E">
        <w:t>for example,</w:t>
      </w:r>
      <w:r w:rsidRPr="00B513F4">
        <w:t xml:space="preserve"> only national/federal</w:t>
      </w:r>
      <w:r w:rsidR="00C1715F">
        <w:t>-</w:t>
      </w:r>
      <w:r w:rsidRPr="00B513F4">
        <w:t>level staff) a</w:t>
      </w:r>
      <w:r w:rsidR="00C1715F">
        <w:t>nd</w:t>
      </w:r>
      <w:r w:rsidRPr="00B513F4">
        <w:t xml:space="preserve"> the functions of public employees</w:t>
      </w:r>
      <w:r w:rsidR="00C1715F">
        <w:t>—</w:t>
      </w:r>
      <w:r w:rsidR="0093206E">
        <w:t>for example,</w:t>
      </w:r>
      <w:r w:rsidRPr="00B513F4">
        <w:t xml:space="preserve"> teachers and university professors may be considered civil servants, public employees, or may have a special status.</w:t>
      </w:r>
      <w:r w:rsidRPr="00B513F4">
        <w:rPr>
          <w:rStyle w:val="FootnoteReference"/>
        </w:rPr>
        <w:footnoteReference w:id="4"/>
      </w:r>
      <w:r w:rsidRPr="00B513F4">
        <w:t xml:space="preserve"> </w:t>
      </w:r>
    </w:p>
    <w:p w14:paraId="7E40F7AB" w14:textId="77777777" w:rsidR="00A56EDD" w:rsidRPr="00B513F4" w:rsidRDefault="00A56EDD" w:rsidP="00A56EDD">
      <w:pPr>
        <w:pStyle w:val="ListParagraph"/>
        <w:ind w:left="1080"/>
      </w:pPr>
    </w:p>
    <w:p w14:paraId="1D6A4A18" w14:textId="2F0FAF58" w:rsidR="00A56EDD" w:rsidRPr="00277261" w:rsidRDefault="00A56EDD" w:rsidP="00277261">
      <w:pPr>
        <w:pStyle w:val="ListParagraph"/>
        <w:ind w:left="0"/>
        <w:jc w:val="both"/>
      </w:pPr>
      <w:r w:rsidRPr="00B513F4">
        <w:lastRenderedPageBreak/>
        <w:t>As is discussed in section 5.5, in South Sudan, currently federal and subnational civilian staff</w:t>
      </w:r>
      <w:r w:rsidR="006549F6">
        <w:t>—</w:t>
      </w:r>
      <w:r w:rsidRPr="00B513F4">
        <w:t>whether they are core staff or engaged in frontline service delivery</w:t>
      </w:r>
      <w:r w:rsidR="006549F6">
        <w:t>—</w:t>
      </w:r>
      <w:r w:rsidRPr="00B513F4">
        <w:t>are in principle considered civil servants, though the legal and regulatory provisions specifying their status are not explicit.</w:t>
      </w:r>
      <w:r w:rsidRPr="00B513F4">
        <w:rPr>
          <w:rStyle w:val="FootnoteReference"/>
        </w:rPr>
        <w:footnoteReference w:id="5"/>
      </w:r>
      <w:r w:rsidRPr="00B513F4">
        <w:t xml:space="preserve"> </w:t>
      </w:r>
    </w:p>
    <w:p w14:paraId="226F4510" w14:textId="708EDFD8" w:rsidR="00A56EDD" w:rsidRDefault="00277261" w:rsidP="00277261">
      <w:pPr>
        <w:pStyle w:val="Caption"/>
        <w:rPr>
          <w:b w:val="0"/>
        </w:rPr>
      </w:pPr>
      <w:bookmarkStart w:id="4" w:name="_Ref447277685"/>
      <w:r>
        <w:t xml:space="preserve">Figure </w:t>
      </w:r>
      <w:r w:rsidR="007851B1">
        <w:rPr>
          <w:b w:val="0"/>
          <w:iCs w:val="0"/>
        </w:rPr>
        <w:fldChar w:fldCharType="begin"/>
      </w:r>
      <w:r w:rsidR="007851B1">
        <w:rPr>
          <w:b w:val="0"/>
          <w:iCs w:val="0"/>
        </w:rPr>
        <w:instrText xml:space="preserve"> SEQ Figure \* ARABIC </w:instrText>
      </w:r>
      <w:r w:rsidR="007851B1">
        <w:rPr>
          <w:b w:val="0"/>
          <w:iCs w:val="0"/>
        </w:rPr>
        <w:fldChar w:fldCharType="separate"/>
      </w:r>
      <w:r w:rsidR="00807923">
        <w:rPr>
          <w:b w:val="0"/>
          <w:iCs w:val="0"/>
          <w:noProof/>
        </w:rPr>
        <w:t>1</w:t>
      </w:r>
      <w:r w:rsidR="007851B1">
        <w:rPr>
          <w:b w:val="0"/>
          <w:iCs w:val="0"/>
          <w:noProof/>
        </w:rPr>
        <w:fldChar w:fldCharType="end"/>
      </w:r>
      <w:bookmarkEnd w:id="4"/>
      <w:r>
        <w:t>. G</w:t>
      </w:r>
      <w:r w:rsidRPr="00EA7EAE">
        <w:t xml:space="preserve">roups within the </w:t>
      </w:r>
      <w:r>
        <w:t>O</w:t>
      </w:r>
      <w:r w:rsidRPr="00EA7EAE">
        <w:t xml:space="preserve">verall </w:t>
      </w:r>
      <w:r>
        <w:t>P</w:t>
      </w:r>
      <w:r w:rsidRPr="00EA7EAE">
        <w:t xml:space="preserve">ublic </w:t>
      </w:r>
      <w:r>
        <w:t>S</w:t>
      </w:r>
      <w:r w:rsidRPr="00EA7EAE">
        <w:t>ector/</w:t>
      </w:r>
      <w:r>
        <w:t>P</w:t>
      </w:r>
      <w:r w:rsidRPr="00EA7EAE">
        <w:t xml:space="preserve">ublic </w:t>
      </w:r>
      <w:r>
        <w:t>S</w:t>
      </w:r>
      <w:r w:rsidRPr="00EA7EAE">
        <w:t xml:space="preserve">ector </w:t>
      </w:r>
      <w:r>
        <w:t>W</w:t>
      </w:r>
      <w:r w:rsidRPr="00EA7EAE">
        <w:t>age</w:t>
      </w:r>
      <w:r>
        <w:t xml:space="preserve"> B</w:t>
      </w:r>
      <w:r w:rsidRPr="00EA7EAE">
        <w:t>ill</w:t>
      </w:r>
      <w:r w:rsidR="00A56EDD" w:rsidRPr="00B513F4">
        <w:rPr>
          <w:noProof/>
        </w:rPr>
        <mc:AlternateContent>
          <mc:Choice Requires="wps">
            <w:drawing>
              <wp:anchor distT="0" distB="0" distL="114300" distR="114300" simplePos="0" relativeHeight="251659264" behindDoc="0" locked="0" layoutInCell="1" allowOverlap="1" wp14:anchorId="3126052E" wp14:editId="1AA182D1">
                <wp:simplePos x="0" y="0"/>
                <wp:positionH relativeFrom="column">
                  <wp:posOffset>-28575</wp:posOffset>
                </wp:positionH>
                <wp:positionV relativeFrom="paragraph">
                  <wp:posOffset>251460</wp:posOffset>
                </wp:positionV>
                <wp:extent cx="5724525" cy="1733550"/>
                <wp:effectExtent l="0" t="0" r="28575" b="19050"/>
                <wp:wrapNone/>
                <wp:docPr id="45" name="Rounded Rectangle 45"/>
                <wp:cNvGraphicFramePr/>
                <a:graphic xmlns:a="http://schemas.openxmlformats.org/drawingml/2006/main">
                  <a:graphicData uri="http://schemas.microsoft.com/office/word/2010/wordprocessingShape">
                    <wps:wsp>
                      <wps:cNvSpPr/>
                      <wps:spPr>
                        <a:xfrm>
                          <a:off x="0" y="0"/>
                          <a:ext cx="5724525" cy="1733550"/>
                        </a:xfrm>
                        <a:prstGeom prst="roundRect">
                          <a:avLst/>
                        </a:prstGeom>
                        <a:solidFill>
                          <a:schemeClr val="accent1">
                            <a:lumMod val="75000"/>
                            <a:alpha val="4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357E68" w14:textId="77777777" w:rsidR="00D56EAC" w:rsidRDefault="00D56EAC" w:rsidP="00A56E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26052E" id="Rounded Rectangle 45" o:spid="_x0000_s1026" style="position:absolute;left:0;text-align:left;margin-left:-2.25pt;margin-top:19.8pt;width:450.7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" fillcolor="#2e74b5 [2404]" strokecolor="#1f4d78 [1604]" strokeweight="1pt">
                <v:fill opacity="29555f"/>
                <v:stroke joinstyle="miter"/>
                <v:textbox>
                  <w:txbxContent>
                    <w:p w14:paraId="79357E68" w14:textId="77777777" w:rsidR="00D56EAC" w:rsidRDefault="00D56EAC" w:rsidP="00A56EDD">
                      <w:pPr>
                        <w:jc w:val="center"/>
                      </w:pPr>
                    </w:p>
                  </w:txbxContent>
                </v:textbox>
              </v:roundrect>
            </w:pict>
          </mc:Fallback>
        </mc:AlternateContent>
      </w:r>
    </w:p>
    <w:p w14:paraId="21B9377A" w14:textId="77777777" w:rsidR="00277261" w:rsidRPr="00B513F4" w:rsidRDefault="00277261" w:rsidP="00A56EDD">
      <w:pPr>
        <w:pStyle w:val="ListParagraph"/>
        <w:spacing w:line="240" w:lineRule="auto"/>
        <w:ind w:left="0"/>
        <w:rPr>
          <w:b/>
        </w:rPr>
      </w:pPr>
      <w:r w:rsidRPr="00B513F4">
        <w:rPr>
          <w:noProof/>
        </w:rPr>
        <mc:AlternateContent>
          <mc:Choice Requires="wps">
            <w:drawing>
              <wp:anchor distT="0" distB="0" distL="114300" distR="114300" simplePos="0" relativeHeight="251664384" behindDoc="0" locked="0" layoutInCell="1" allowOverlap="1" wp14:anchorId="5004EEE2" wp14:editId="684D3714">
                <wp:simplePos x="0" y="0"/>
                <wp:positionH relativeFrom="column">
                  <wp:posOffset>419100</wp:posOffset>
                </wp:positionH>
                <wp:positionV relativeFrom="paragraph">
                  <wp:posOffset>24765</wp:posOffset>
                </wp:positionV>
                <wp:extent cx="5080000" cy="333375"/>
                <wp:effectExtent l="0" t="0" r="0" b="0"/>
                <wp:wrapNone/>
                <wp:docPr id="54" name="Text Box 54"/>
                <wp:cNvGraphicFramePr/>
                <a:graphic xmlns:a="http://schemas.openxmlformats.org/drawingml/2006/main">
                  <a:graphicData uri="http://schemas.microsoft.com/office/word/2010/wordprocessingShape">
                    <wps:wsp>
                      <wps:cNvSpPr txBox="1"/>
                      <wps:spPr>
                        <a:xfrm>
                          <a:off x="0" y="0"/>
                          <a:ext cx="50800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825DD8" w14:textId="77777777" w:rsidR="00D56EAC" w:rsidRPr="00566C39" w:rsidRDefault="00D56EAC" w:rsidP="00A56EDD">
                            <w:pPr>
                              <w:jc w:val="center"/>
                              <w:rPr>
                                <w:b/>
                                <w:sz w:val="28"/>
                              </w:rPr>
                            </w:pPr>
                            <w:r w:rsidRPr="00566C39">
                              <w:rPr>
                                <w:b/>
                                <w:sz w:val="28"/>
                              </w:rPr>
                              <w:t>Overall public sector</w:t>
                            </w:r>
                            <w:r>
                              <w:rPr>
                                <w:b/>
                                <w:sz w:val="28"/>
                              </w:rPr>
                              <w:t xml:space="preserve"> and public employment wage bill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04EEE2" id="_x0000_t202" coordsize="21600,21600" o:spt="202" path="m,l,21600r21600,l21600,xe">
                <v:stroke joinstyle="miter"/>
                <v:path gradientshapeok="t" o:connecttype="rect"/>
              </v:shapetype>
              <v:shape id="Text Box 54" o:spid="_x0000_s1027" type="#_x0000_t202" style="position:absolute;margin-left:33pt;margin-top:1.95pt;width:400pt;height:26.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" filled="f" stroked="f" strokeweight=".5pt">
                <v:textbox>
                  <w:txbxContent>
                    <w:p w14:paraId="5B825DD8" w14:textId="77777777" w:rsidR="00D56EAC" w:rsidRPr="00566C39" w:rsidRDefault="00D56EAC" w:rsidP="00A56EDD">
                      <w:pPr>
                        <w:jc w:val="center"/>
                        <w:rPr>
                          <w:b/>
                          <w:sz w:val="28"/>
                        </w:rPr>
                      </w:pPr>
                      <w:r w:rsidRPr="00566C39">
                        <w:rPr>
                          <w:b/>
                          <w:sz w:val="28"/>
                        </w:rPr>
                        <w:t>Overall public sector</w:t>
                      </w:r>
                      <w:r>
                        <w:rPr>
                          <w:b/>
                          <w:sz w:val="28"/>
                        </w:rPr>
                        <w:t xml:space="preserve"> and public employment wage bill</w:t>
                      </w:r>
                    </w:p>
                  </w:txbxContent>
                </v:textbox>
              </v:shape>
            </w:pict>
          </mc:Fallback>
        </mc:AlternateContent>
      </w:r>
    </w:p>
    <w:p w14:paraId="599213CB" w14:textId="4AEC3F7D" w:rsidR="00A56EDD" w:rsidRPr="00B513F4" w:rsidRDefault="007D1618" w:rsidP="00A56EDD">
      <w:r w:rsidRPr="00B513F4">
        <w:rPr>
          <w:noProof/>
        </w:rPr>
        <mc:AlternateContent>
          <mc:Choice Requires="wps">
            <w:drawing>
              <wp:anchor distT="0" distB="0" distL="114300" distR="114300" simplePos="0" relativeHeight="251661312" behindDoc="0" locked="0" layoutInCell="1" allowOverlap="1" wp14:anchorId="0018D3A4" wp14:editId="4617959D">
                <wp:simplePos x="0" y="0"/>
                <wp:positionH relativeFrom="column">
                  <wp:posOffset>1971675</wp:posOffset>
                </wp:positionH>
                <wp:positionV relativeFrom="paragraph">
                  <wp:posOffset>154305</wp:posOffset>
                </wp:positionV>
                <wp:extent cx="1769110" cy="1292225"/>
                <wp:effectExtent l="0" t="0" r="21590" b="22225"/>
                <wp:wrapNone/>
                <wp:docPr id="48" name="Rounded Rectangle 48"/>
                <wp:cNvGraphicFramePr/>
                <a:graphic xmlns:a="http://schemas.openxmlformats.org/drawingml/2006/main">
                  <a:graphicData uri="http://schemas.microsoft.com/office/word/2010/wordprocessingShape">
                    <wps:wsp>
                      <wps:cNvSpPr/>
                      <wps:spPr>
                        <a:xfrm>
                          <a:off x="0" y="0"/>
                          <a:ext cx="1769110" cy="1292225"/>
                        </a:xfrm>
                        <a:prstGeom prst="roundRect">
                          <a:avLst/>
                        </a:prstGeom>
                        <a:solidFill>
                          <a:srgbClr val="4F81BD">
                            <a:alpha val="66000"/>
                          </a:srgbClr>
                        </a:solidFill>
                        <a:ln w="25400" cap="flat" cmpd="sng" algn="ctr">
                          <a:solidFill>
                            <a:srgbClr val="4F81BD">
                              <a:shade val="50000"/>
                            </a:srgbClr>
                          </a:solidFill>
                          <a:prstDash val="dash"/>
                        </a:ln>
                        <a:effectLst/>
                      </wps:spPr>
                      <wps:txbx>
                        <w:txbxContent>
                          <w:p w14:paraId="14806B3E" w14:textId="77777777" w:rsidR="00D56EAC" w:rsidRPr="00075F48" w:rsidRDefault="00D56EAC" w:rsidP="00A56EDD">
                            <w:pPr>
                              <w:jc w:val="center"/>
                              <w:rPr>
                                <w:b/>
                                <w:sz w:val="24"/>
                              </w:rPr>
                            </w:pPr>
                            <w:r w:rsidRPr="00075F48">
                              <w:rPr>
                                <w:b/>
                                <w:sz w:val="24"/>
                              </w:rPr>
                              <w:t xml:space="preserve">Organized forces </w:t>
                            </w:r>
                          </w:p>
                          <w:p w14:paraId="1D9EEBB0" w14:textId="77777777" w:rsidR="00D56EAC" w:rsidRPr="00646714" w:rsidRDefault="00D56EAC" w:rsidP="00A56EDD">
                            <w:pPr>
                              <w:jc w:val="center"/>
                              <w:rPr>
                                <w:b/>
                              </w:rPr>
                            </w:pPr>
                            <w:r>
                              <w:rPr>
                                <w:b/>
                              </w:rPr>
                              <w:t>In South Sudan: w</w:t>
                            </w:r>
                            <w:r w:rsidRPr="00646714">
                              <w:rPr>
                                <w:b/>
                              </w:rPr>
                              <w:t>ildlife, pol</w:t>
                            </w:r>
                            <w:r>
                              <w:rPr>
                                <w:b/>
                              </w:rPr>
                              <w:t>ice, prison, fire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18D3A4" id="Rounded Rectangle 48" o:spid="_x0000_s1028" style="position:absolute;margin-left:155.25pt;margin-top:12.15pt;width:139.3pt;height:10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" fillcolor="#4f81bd" strokecolor="#385d8a" strokeweight="2pt">
                <v:fill opacity="43176f"/>
                <v:stroke dashstyle="dash"/>
                <v:textbox>
                  <w:txbxContent>
                    <w:p w14:paraId="14806B3E" w14:textId="77777777" w:rsidR="00D56EAC" w:rsidRPr="00075F48" w:rsidRDefault="00D56EAC" w:rsidP="00A56EDD">
                      <w:pPr>
                        <w:jc w:val="center"/>
                        <w:rPr>
                          <w:b/>
                          <w:sz w:val="24"/>
                        </w:rPr>
                      </w:pPr>
                      <w:r w:rsidRPr="00075F48">
                        <w:rPr>
                          <w:b/>
                          <w:sz w:val="24"/>
                        </w:rPr>
                        <w:t xml:space="preserve">Organized forces </w:t>
                      </w:r>
                    </w:p>
                    <w:p w14:paraId="1D9EEBB0" w14:textId="77777777" w:rsidR="00D56EAC" w:rsidRPr="00646714" w:rsidRDefault="00D56EAC" w:rsidP="00A56EDD">
                      <w:pPr>
                        <w:jc w:val="center"/>
                        <w:rPr>
                          <w:b/>
                        </w:rPr>
                      </w:pPr>
                      <w:r>
                        <w:rPr>
                          <w:b/>
                        </w:rPr>
                        <w:t>In South Sudan: w</w:t>
                      </w:r>
                      <w:r w:rsidRPr="00646714">
                        <w:rPr>
                          <w:b/>
                        </w:rPr>
                        <w:t>ildlife, pol</w:t>
                      </w:r>
                      <w:r>
                        <w:rPr>
                          <w:b/>
                        </w:rPr>
                        <w:t>ice, prison, fire</w:t>
                      </w:r>
                    </w:p>
                  </w:txbxContent>
                </v:textbox>
              </v:roundrect>
            </w:pict>
          </mc:Fallback>
        </mc:AlternateContent>
      </w:r>
      <w:r w:rsidRPr="00B513F4">
        <w:rPr>
          <w:noProof/>
        </w:rPr>
        <mc:AlternateContent>
          <mc:Choice Requires="wps">
            <w:drawing>
              <wp:anchor distT="0" distB="0" distL="114300" distR="114300" simplePos="0" relativeHeight="251663360" behindDoc="0" locked="0" layoutInCell="1" allowOverlap="1" wp14:anchorId="5AA1AD60" wp14:editId="045B02DB">
                <wp:simplePos x="0" y="0"/>
                <wp:positionH relativeFrom="margin">
                  <wp:align>left</wp:align>
                </wp:positionH>
                <wp:positionV relativeFrom="paragraph">
                  <wp:posOffset>220980</wp:posOffset>
                </wp:positionV>
                <wp:extent cx="1914525" cy="1174750"/>
                <wp:effectExtent l="0" t="0" r="0" b="6350"/>
                <wp:wrapNone/>
                <wp:docPr id="50" name="Text Box 50"/>
                <wp:cNvGraphicFramePr/>
                <a:graphic xmlns:a="http://schemas.openxmlformats.org/drawingml/2006/main">
                  <a:graphicData uri="http://schemas.microsoft.com/office/word/2010/wordprocessingShape">
                    <wps:wsp>
                      <wps:cNvSpPr txBox="1"/>
                      <wps:spPr>
                        <a:xfrm>
                          <a:off x="0" y="0"/>
                          <a:ext cx="1914525" cy="1174750"/>
                        </a:xfrm>
                        <a:prstGeom prst="rect">
                          <a:avLst/>
                        </a:prstGeom>
                        <a:noFill/>
                        <a:ln w="6350">
                          <a:noFill/>
                        </a:ln>
                        <a:effectLst/>
                      </wps:spPr>
                      <wps:txbx>
                        <w:txbxContent>
                          <w:p w14:paraId="0ADA3C51" w14:textId="77777777" w:rsidR="00D56EAC" w:rsidRDefault="00D56EAC" w:rsidP="00A56EDD">
                            <w:pPr>
                              <w:spacing w:after="0" w:line="240" w:lineRule="auto"/>
                              <w:jc w:val="center"/>
                              <w:rPr>
                                <w:b/>
                                <w:sz w:val="24"/>
                                <w:szCs w:val="26"/>
                              </w:rPr>
                            </w:pPr>
                          </w:p>
                          <w:p w14:paraId="31A22472" w14:textId="77777777" w:rsidR="00D56EAC" w:rsidRPr="007D1618" w:rsidRDefault="00D56EAC" w:rsidP="00A56EDD">
                            <w:pPr>
                              <w:spacing w:after="0" w:line="240" w:lineRule="auto"/>
                              <w:jc w:val="center"/>
                              <w:rPr>
                                <w:b/>
                                <w:sz w:val="24"/>
                                <w:szCs w:val="26"/>
                              </w:rPr>
                            </w:pPr>
                            <w:r w:rsidRPr="007D1618">
                              <w:rPr>
                                <w:b/>
                                <w:sz w:val="24"/>
                                <w:szCs w:val="26"/>
                              </w:rPr>
                              <w:t xml:space="preserve">Civilian public employees: </w:t>
                            </w:r>
                          </w:p>
                          <w:p w14:paraId="345CF46B" w14:textId="77777777" w:rsidR="00D56EAC" w:rsidRDefault="00D56EAC" w:rsidP="007D1618">
                            <w:pPr>
                              <w:spacing w:after="0" w:line="240" w:lineRule="auto"/>
                              <w:jc w:val="center"/>
                              <w:rPr>
                                <w:b/>
                                <w:sz w:val="26"/>
                                <w:szCs w:val="26"/>
                              </w:rPr>
                            </w:pPr>
                          </w:p>
                          <w:p w14:paraId="6D197FE4" w14:textId="169CE30B" w:rsidR="00D56EAC" w:rsidRPr="007D1618" w:rsidRDefault="00D56EAC" w:rsidP="007D1618">
                            <w:pPr>
                              <w:spacing w:after="0" w:line="240" w:lineRule="auto"/>
                              <w:jc w:val="center"/>
                              <w:rPr>
                                <w:b/>
                                <w:sz w:val="24"/>
                                <w:szCs w:val="26"/>
                              </w:rPr>
                            </w:pPr>
                            <w:r w:rsidRPr="007D1618">
                              <w:rPr>
                                <w:b/>
                                <w:sz w:val="24"/>
                                <w:szCs w:val="26"/>
                              </w:rPr>
                              <w:t>central and subnational</w:t>
                            </w:r>
                          </w:p>
                          <w:p w14:paraId="4CCF6A93" w14:textId="328930BA" w:rsidR="00D56EAC" w:rsidRPr="007D1618" w:rsidRDefault="00D56EAC" w:rsidP="007D1618">
                            <w:pPr>
                              <w:spacing w:after="0" w:line="240" w:lineRule="auto"/>
                              <w:jc w:val="center"/>
                              <w:rPr>
                                <w:b/>
                                <w:sz w:val="24"/>
                                <w:szCs w:val="26"/>
                              </w:rPr>
                            </w:pPr>
                            <w:r>
                              <w:rPr>
                                <w:b/>
                                <w:sz w:val="24"/>
                                <w:szCs w:val="26"/>
                              </w:rPr>
                              <w:t>core and sectors</w:t>
                            </w:r>
                          </w:p>
                          <w:p w14:paraId="4C385E98" w14:textId="77777777" w:rsidR="00D56EAC" w:rsidRDefault="00D56EAC" w:rsidP="00A56EDD">
                            <w:pPr>
                              <w:rPr>
                                <w:sz w:val="28"/>
                              </w:rPr>
                            </w:pPr>
                          </w:p>
                          <w:p w14:paraId="2991DB37" w14:textId="77777777" w:rsidR="00D56EAC" w:rsidRDefault="00D56EAC" w:rsidP="00A56EDD">
                            <w:pPr>
                              <w:rPr>
                                <w:sz w:val="28"/>
                              </w:rPr>
                            </w:pPr>
                          </w:p>
                          <w:p w14:paraId="5B939955" w14:textId="77777777" w:rsidR="00D56EAC" w:rsidRDefault="00D56EAC" w:rsidP="00A56EDD">
                            <w:pPr>
                              <w:rPr>
                                <w:sz w:val="28"/>
                              </w:rPr>
                            </w:pPr>
                          </w:p>
                          <w:p w14:paraId="486E2F3D" w14:textId="77777777" w:rsidR="00D56EAC" w:rsidRDefault="00D56EAC" w:rsidP="00A56EDD">
                            <w:pPr>
                              <w:rPr>
                                <w:sz w:val="28"/>
                              </w:rPr>
                            </w:pPr>
                          </w:p>
                          <w:p w14:paraId="46171D70" w14:textId="77777777" w:rsidR="00D56EAC" w:rsidRPr="00260784" w:rsidRDefault="00D56EAC" w:rsidP="00A56EDD">
                            <w:pPr>
                              <w:rPr>
                                <w:sz w:val="2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1AD60" id="Text Box 50" o:spid="_x0000_s1029" type="#_x0000_t202" style="position:absolute;margin-left:0;margin-top:17.4pt;width:150.75pt;height:9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" filled="f" stroked="f" strokeweight=".5pt">
                <v:textbox>
                  <w:txbxContent>
                    <w:p w14:paraId="0ADA3C51" w14:textId="77777777" w:rsidR="00D56EAC" w:rsidRDefault="00D56EAC" w:rsidP="00A56EDD">
                      <w:pPr>
                        <w:spacing w:after="0" w:line="240" w:lineRule="auto"/>
                        <w:jc w:val="center"/>
                        <w:rPr>
                          <w:b/>
                          <w:sz w:val="24"/>
                          <w:szCs w:val="26"/>
                        </w:rPr>
                      </w:pPr>
                    </w:p>
                    <w:p w14:paraId="31A22472" w14:textId="77777777" w:rsidR="00D56EAC" w:rsidRPr="007D1618" w:rsidRDefault="00D56EAC" w:rsidP="00A56EDD">
                      <w:pPr>
                        <w:spacing w:after="0" w:line="240" w:lineRule="auto"/>
                        <w:jc w:val="center"/>
                        <w:rPr>
                          <w:b/>
                          <w:sz w:val="24"/>
                          <w:szCs w:val="26"/>
                        </w:rPr>
                      </w:pPr>
                      <w:r w:rsidRPr="007D1618">
                        <w:rPr>
                          <w:b/>
                          <w:sz w:val="24"/>
                          <w:szCs w:val="26"/>
                        </w:rPr>
                        <w:t xml:space="preserve">Civilian public employees: </w:t>
                      </w:r>
                    </w:p>
                    <w:p w14:paraId="345CF46B" w14:textId="77777777" w:rsidR="00D56EAC" w:rsidRDefault="00D56EAC" w:rsidP="007D1618">
                      <w:pPr>
                        <w:spacing w:after="0" w:line="240" w:lineRule="auto"/>
                        <w:jc w:val="center"/>
                        <w:rPr>
                          <w:b/>
                          <w:sz w:val="26"/>
                          <w:szCs w:val="26"/>
                        </w:rPr>
                      </w:pPr>
                    </w:p>
                    <w:p w14:paraId="6D197FE4" w14:textId="169CE30B" w:rsidR="00D56EAC" w:rsidRPr="007D1618" w:rsidRDefault="00D56EAC" w:rsidP="007D1618">
                      <w:pPr>
                        <w:spacing w:after="0" w:line="240" w:lineRule="auto"/>
                        <w:jc w:val="center"/>
                        <w:rPr>
                          <w:b/>
                          <w:sz w:val="24"/>
                          <w:szCs w:val="26"/>
                        </w:rPr>
                      </w:pPr>
                      <w:r w:rsidRPr="007D1618">
                        <w:rPr>
                          <w:b/>
                          <w:sz w:val="24"/>
                          <w:szCs w:val="26"/>
                        </w:rPr>
                        <w:t>central and subnational</w:t>
                      </w:r>
                    </w:p>
                    <w:p w14:paraId="4CCF6A93" w14:textId="328930BA" w:rsidR="00D56EAC" w:rsidRPr="007D1618" w:rsidRDefault="00D56EAC" w:rsidP="007D1618">
                      <w:pPr>
                        <w:spacing w:after="0" w:line="240" w:lineRule="auto"/>
                        <w:jc w:val="center"/>
                        <w:rPr>
                          <w:b/>
                          <w:sz w:val="24"/>
                          <w:szCs w:val="26"/>
                        </w:rPr>
                      </w:pPr>
                      <w:r>
                        <w:rPr>
                          <w:b/>
                          <w:sz w:val="24"/>
                          <w:szCs w:val="26"/>
                        </w:rPr>
                        <w:t>core and sectors</w:t>
                      </w:r>
                    </w:p>
                    <w:p w14:paraId="4C385E98" w14:textId="77777777" w:rsidR="00D56EAC" w:rsidRDefault="00D56EAC" w:rsidP="00A56EDD">
                      <w:pPr>
                        <w:rPr>
                          <w:sz w:val="28"/>
                        </w:rPr>
                      </w:pPr>
                    </w:p>
                    <w:p w14:paraId="2991DB37" w14:textId="77777777" w:rsidR="00D56EAC" w:rsidRDefault="00D56EAC" w:rsidP="00A56EDD">
                      <w:pPr>
                        <w:rPr>
                          <w:sz w:val="28"/>
                        </w:rPr>
                      </w:pPr>
                    </w:p>
                    <w:p w14:paraId="5B939955" w14:textId="77777777" w:rsidR="00D56EAC" w:rsidRDefault="00D56EAC" w:rsidP="00A56EDD">
                      <w:pPr>
                        <w:rPr>
                          <w:sz w:val="28"/>
                        </w:rPr>
                      </w:pPr>
                    </w:p>
                    <w:p w14:paraId="486E2F3D" w14:textId="77777777" w:rsidR="00D56EAC" w:rsidRDefault="00D56EAC" w:rsidP="00A56EDD">
                      <w:pPr>
                        <w:rPr>
                          <w:sz w:val="28"/>
                        </w:rPr>
                      </w:pPr>
                    </w:p>
                    <w:p w14:paraId="46171D70" w14:textId="77777777" w:rsidR="00D56EAC" w:rsidRPr="00260784" w:rsidRDefault="00D56EAC" w:rsidP="00A56EDD">
                      <w:pPr>
                        <w:rPr>
                          <w:sz w:val="28"/>
                        </w:rPr>
                      </w:pPr>
                    </w:p>
                  </w:txbxContent>
                </v:textbox>
                <w10:wrap anchorx="margin"/>
              </v:shape>
            </w:pict>
          </mc:Fallback>
        </mc:AlternateContent>
      </w:r>
      <w:r w:rsidR="00A56EDD" w:rsidRPr="00B513F4">
        <w:rPr>
          <w:noProof/>
        </w:rPr>
        <mc:AlternateContent>
          <mc:Choice Requires="wps">
            <w:drawing>
              <wp:anchor distT="0" distB="0" distL="114300" distR="114300" simplePos="0" relativeHeight="251660288" behindDoc="0" locked="0" layoutInCell="1" allowOverlap="1" wp14:anchorId="626B26AF" wp14:editId="644C7CBE">
                <wp:simplePos x="0" y="0"/>
                <wp:positionH relativeFrom="column">
                  <wp:posOffset>3810000</wp:posOffset>
                </wp:positionH>
                <wp:positionV relativeFrom="paragraph">
                  <wp:posOffset>211455</wp:posOffset>
                </wp:positionV>
                <wp:extent cx="1804670" cy="1247775"/>
                <wp:effectExtent l="0" t="0" r="24130" b="28575"/>
                <wp:wrapNone/>
                <wp:docPr id="46" name="Rounded Rectangle 46"/>
                <wp:cNvGraphicFramePr/>
                <a:graphic xmlns:a="http://schemas.openxmlformats.org/drawingml/2006/main">
                  <a:graphicData uri="http://schemas.microsoft.com/office/word/2010/wordprocessingShape">
                    <wps:wsp>
                      <wps:cNvSpPr/>
                      <wps:spPr>
                        <a:xfrm>
                          <a:off x="0" y="0"/>
                          <a:ext cx="1804670" cy="1247775"/>
                        </a:xfrm>
                        <a:prstGeom prst="roundRect">
                          <a:avLst/>
                        </a:prstGeom>
                        <a:solidFill>
                          <a:schemeClr val="accent1">
                            <a:alpha val="69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CE035C" w14:textId="77777777" w:rsidR="00D56EAC" w:rsidRPr="007D1618" w:rsidRDefault="00D56EAC" w:rsidP="00A56EDD">
                            <w:pPr>
                              <w:jc w:val="center"/>
                              <w:rPr>
                                <w:b/>
                                <w:sz w:val="24"/>
                              </w:rPr>
                            </w:pPr>
                            <w:r w:rsidRPr="007D1618">
                              <w:rPr>
                                <w:b/>
                                <w:sz w:val="24"/>
                              </w:rPr>
                              <w:t>Armed Forces</w:t>
                            </w:r>
                          </w:p>
                          <w:p w14:paraId="342E42CD" w14:textId="44F923B9" w:rsidR="00D56EAC" w:rsidRPr="007D1618" w:rsidRDefault="00D56EAC" w:rsidP="00822F16">
                            <w:pPr>
                              <w:spacing w:after="0" w:line="240" w:lineRule="auto"/>
                              <w:jc w:val="center"/>
                              <w:rPr>
                                <w:b/>
                                <w:sz w:val="24"/>
                              </w:rPr>
                            </w:pPr>
                            <w:r w:rsidRPr="007D1618">
                              <w:rPr>
                                <w:b/>
                                <w:sz w:val="24"/>
                              </w:rPr>
                              <w:t>Sudan People’s Liberation Army</w:t>
                            </w:r>
                          </w:p>
                          <w:p w14:paraId="3063B026" w14:textId="4E1DF011" w:rsidR="00D56EAC" w:rsidRPr="007D1618" w:rsidRDefault="00D56EAC" w:rsidP="00A56EDD">
                            <w:pPr>
                              <w:jc w:val="center"/>
                              <w:rPr>
                                <w:b/>
                                <w:sz w:val="24"/>
                              </w:rPr>
                            </w:pPr>
                            <w:r w:rsidRPr="007D1618">
                              <w:rPr>
                                <w:b/>
                                <w:sz w:val="24"/>
                              </w:rPr>
                              <w:t>(SPLA)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6B26AF" id="Rounded Rectangle 46" o:spid="_x0000_s1030" style="position:absolute;margin-left:300pt;margin-top:16.65pt;width:142.1pt;height: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" fillcolor="#5b9bd5 [3204]" strokecolor="#1f4d78 [1604]" strokeweight="1pt">
                <v:fill opacity="45232f"/>
                <v:stroke joinstyle="miter"/>
                <v:textbox>
                  <w:txbxContent>
                    <w:p w14:paraId="2ECE035C" w14:textId="77777777" w:rsidR="00D56EAC" w:rsidRPr="007D1618" w:rsidRDefault="00D56EAC" w:rsidP="00A56EDD">
                      <w:pPr>
                        <w:jc w:val="center"/>
                        <w:rPr>
                          <w:b/>
                          <w:sz w:val="24"/>
                        </w:rPr>
                      </w:pPr>
                      <w:r w:rsidRPr="007D1618">
                        <w:rPr>
                          <w:b/>
                          <w:sz w:val="24"/>
                        </w:rPr>
                        <w:t>Armed Forces</w:t>
                      </w:r>
                    </w:p>
                    <w:p w14:paraId="342E42CD" w14:textId="44F923B9" w:rsidR="00D56EAC" w:rsidRPr="007D1618" w:rsidRDefault="00D56EAC" w:rsidP="00822F16">
                      <w:pPr>
                        <w:spacing w:after="0" w:line="240" w:lineRule="auto"/>
                        <w:jc w:val="center"/>
                        <w:rPr>
                          <w:b/>
                          <w:sz w:val="24"/>
                        </w:rPr>
                      </w:pPr>
                      <w:r w:rsidRPr="007D1618">
                        <w:rPr>
                          <w:b/>
                          <w:sz w:val="24"/>
                        </w:rPr>
                        <w:t>Sudan People’s Liberation Army</w:t>
                      </w:r>
                    </w:p>
                    <w:p w14:paraId="3063B026" w14:textId="4E1DF011" w:rsidR="00D56EAC" w:rsidRPr="007D1618" w:rsidRDefault="00D56EAC" w:rsidP="00A56EDD">
                      <w:pPr>
                        <w:jc w:val="center"/>
                        <w:rPr>
                          <w:b/>
                          <w:sz w:val="24"/>
                        </w:rPr>
                      </w:pPr>
                      <w:r w:rsidRPr="007D1618">
                        <w:rPr>
                          <w:b/>
                          <w:sz w:val="24"/>
                        </w:rPr>
                        <w:t>(SPLA)</w:t>
                      </w:r>
                    </w:p>
                  </w:txbxContent>
                </v:textbox>
              </v:roundrect>
            </w:pict>
          </mc:Fallback>
        </mc:AlternateContent>
      </w:r>
      <w:r w:rsidR="00A56EDD" w:rsidRPr="00B513F4">
        <w:rPr>
          <w:noProof/>
        </w:rPr>
        <mc:AlternateContent>
          <mc:Choice Requires="wps">
            <w:drawing>
              <wp:anchor distT="0" distB="0" distL="114300" distR="114300" simplePos="0" relativeHeight="251662336" behindDoc="0" locked="0" layoutInCell="1" allowOverlap="1" wp14:anchorId="54937ED1" wp14:editId="706EFD0C">
                <wp:simplePos x="0" y="0"/>
                <wp:positionH relativeFrom="column">
                  <wp:posOffset>38100</wp:posOffset>
                </wp:positionH>
                <wp:positionV relativeFrom="paragraph">
                  <wp:posOffset>220980</wp:posOffset>
                </wp:positionV>
                <wp:extent cx="1857375" cy="1238250"/>
                <wp:effectExtent l="0" t="0" r="28575" b="19050"/>
                <wp:wrapNone/>
                <wp:docPr id="49" name="Rounded Rectangle 49"/>
                <wp:cNvGraphicFramePr/>
                <a:graphic xmlns:a="http://schemas.openxmlformats.org/drawingml/2006/main">
                  <a:graphicData uri="http://schemas.microsoft.com/office/word/2010/wordprocessingShape">
                    <wps:wsp>
                      <wps:cNvSpPr/>
                      <wps:spPr>
                        <a:xfrm>
                          <a:off x="0" y="0"/>
                          <a:ext cx="1857375" cy="1238250"/>
                        </a:xfrm>
                        <a:prstGeom prst="roundRect">
                          <a:avLst/>
                        </a:prstGeom>
                        <a:solidFill>
                          <a:srgbClr val="4F81BD">
                            <a:alpha val="57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85BE67" id="Rounded Rectangle 49" o:spid="_x0000_s1026" style="position:absolute;margin-left:3pt;margin-top:17.4pt;width:146.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" fillcolor="#4f81bd" strokecolor="#385d8a" strokeweight="2pt">
                <v:fill opacity="37265f"/>
              </v:roundrect>
            </w:pict>
          </mc:Fallback>
        </mc:AlternateContent>
      </w:r>
    </w:p>
    <w:p w14:paraId="540E2FBB" w14:textId="77777777" w:rsidR="00A56EDD" w:rsidRPr="00B513F4" w:rsidRDefault="00A56EDD" w:rsidP="00A56EDD"/>
    <w:p w14:paraId="3F4A02BC" w14:textId="77777777" w:rsidR="00A56EDD" w:rsidRPr="00B513F4" w:rsidRDefault="00A56EDD" w:rsidP="00A56EDD"/>
    <w:p w14:paraId="1557AC0F" w14:textId="77777777" w:rsidR="00A56EDD" w:rsidRPr="00B513F4" w:rsidRDefault="00A56EDD" w:rsidP="00A56EDD"/>
    <w:p w14:paraId="5F70730B" w14:textId="77777777" w:rsidR="00A56EDD" w:rsidRPr="00B513F4" w:rsidRDefault="00A56EDD" w:rsidP="00A56EDD"/>
    <w:p w14:paraId="77FA64A7" w14:textId="77777777" w:rsidR="00A56EDD" w:rsidRPr="00B513F4" w:rsidRDefault="00A56EDD" w:rsidP="00A56EDD"/>
    <w:p w14:paraId="5BF45DF1" w14:textId="411BEBF2" w:rsidR="00A56EDD" w:rsidRPr="00B513F4" w:rsidRDefault="00A56EDD" w:rsidP="00A56EDD">
      <w:pPr>
        <w:pStyle w:val="Heading2"/>
        <w:numPr>
          <w:ilvl w:val="0"/>
          <w:numId w:val="4"/>
        </w:numPr>
      </w:pPr>
      <w:bookmarkStart w:id="5" w:name="_Toc447892388"/>
      <w:r w:rsidRPr="00B513F4">
        <w:t xml:space="preserve">The </w:t>
      </w:r>
      <w:r w:rsidR="00277261">
        <w:t>C</w:t>
      </w:r>
      <w:r w:rsidRPr="00B513F4">
        <w:t xml:space="preserve">ountry </w:t>
      </w:r>
      <w:r w:rsidR="00277261">
        <w:t>C</w:t>
      </w:r>
      <w:r w:rsidRPr="00B513F4">
        <w:t xml:space="preserve">ontext and </w:t>
      </w:r>
      <w:r w:rsidR="00277261">
        <w:t>D</w:t>
      </w:r>
      <w:r w:rsidRPr="00B513F4">
        <w:t>ynamics</w:t>
      </w:r>
      <w:bookmarkEnd w:id="5"/>
    </w:p>
    <w:p w14:paraId="48C4C962" w14:textId="67378AB0" w:rsidR="00A56EDD" w:rsidRPr="00B513F4" w:rsidRDefault="00A56EDD" w:rsidP="00A56EDD">
      <w:pPr>
        <w:jc w:val="both"/>
      </w:pPr>
      <w:r w:rsidRPr="00B513F4">
        <w:t>The country context and how it evolves has important implications for how human resources overall can be managed and for the feasibility of reforms. This section provides a brief summary of key dynamics that are relevant for public service management.</w:t>
      </w:r>
    </w:p>
    <w:p w14:paraId="406E7E7B" w14:textId="77777777" w:rsidR="00A56EDD" w:rsidRPr="00B513F4" w:rsidRDefault="00A56EDD" w:rsidP="00A56EDD">
      <w:pPr>
        <w:pStyle w:val="Heading3"/>
      </w:pPr>
      <w:bookmarkStart w:id="6" w:name="_Toc447892389"/>
      <w:r w:rsidRPr="00B513F4">
        <w:t>2.1 Challenge of state-building</w:t>
      </w:r>
      <w:bookmarkEnd w:id="6"/>
    </w:p>
    <w:p w14:paraId="69F71244" w14:textId="00A73EB7" w:rsidR="00A56EDD" w:rsidRPr="00B513F4" w:rsidRDefault="00A56EDD" w:rsidP="00A56EDD">
      <w:pPr>
        <w:jc w:val="both"/>
      </w:pPr>
      <w:r w:rsidRPr="00B513F4">
        <w:t>South Sudan emerged from a protracted civil war and a history of relative isolation. Its eventual separation from Sudan was externally supported at a diplomatic level by the United States in particular. Relative to other countries that have been newly established over the past 20 years, the level of ‘stateness’ was particularly low in South Sudan at the outset, combining no history of statehood, limited prior levels of state-organized service delivery or promotion of economic development (</w:t>
      </w:r>
      <w:r w:rsidR="0093206E">
        <w:t>for example,</w:t>
      </w:r>
      <w:r w:rsidRPr="00B513F4">
        <w:t xml:space="preserve"> compared to the new states that were established in the E</w:t>
      </w:r>
      <w:r w:rsidR="007177A5">
        <w:t xml:space="preserve">urope and </w:t>
      </w:r>
      <w:r w:rsidRPr="00B513F4">
        <w:t>C</w:t>
      </w:r>
      <w:r w:rsidR="007177A5">
        <w:t xml:space="preserve">entral </w:t>
      </w:r>
      <w:r w:rsidRPr="00B513F4">
        <w:t>A</w:t>
      </w:r>
      <w:r w:rsidR="007177A5">
        <w:t>sia</w:t>
      </w:r>
      <w:r w:rsidRPr="00B513F4">
        <w:t xml:space="preserve"> region), and limited territorial connectivity. The main institutional reference points for many educated South Sudanese are those of Sudan, combined with a mixture of backgrounds mainly in neighboring Anglophone countries. As is discussed further in chapter 3, since the beginning of the state-building effort in 2004/05, South Sudan has been influenced by ‘international best practices’ a</w:t>
      </w:r>
      <w:r w:rsidR="00C02E5F">
        <w:t>nd</w:t>
      </w:r>
      <w:r w:rsidRPr="00B513F4">
        <w:t xml:space="preserve"> U</w:t>
      </w:r>
      <w:r w:rsidR="00F01953">
        <w:t>.</w:t>
      </w:r>
      <w:r w:rsidRPr="00B513F4">
        <w:t>S</w:t>
      </w:r>
      <w:r w:rsidR="00F01953">
        <w:t>.</w:t>
      </w:r>
      <w:r w:rsidRPr="00B513F4">
        <w:t xml:space="preserve"> models.</w:t>
      </w:r>
    </w:p>
    <w:p w14:paraId="4684B5E3" w14:textId="7F4C5555" w:rsidR="00A56EDD" w:rsidRPr="00B513F4" w:rsidRDefault="00A56EDD" w:rsidP="00A56EDD">
      <w:pPr>
        <w:jc w:val="both"/>
      </w:pPr>
      <w:r w:rsidRPr="00B513F4">
        <w:t xml:space="preserve">The country gained independence with a comparatively high per capita income, </w:t>
      </w:r>
      <w:r w:rsidR="00E90EBF">
        <w:t>because of</w:t>
      </w:r>
      <w:r w:rsidRPr="00B513F4">
        <w:t xml:space="preserve"> the immediate availability of revenue from oil (see </w:t>
      </w:r>
      <w:r w:rsidR="00C02E5F">
        <w:fldChar w:fldCharType="begin"/>
      </w:r>
      <w:r w:rsidR="00C02E5F">
        <w:instrText xml:space="preserve"> REF _Ref447279086 \h </w:instrText>
      </w:r>
      <w:r w:rsidR="00C02E5F">
        <w:fldChar w:fldCharType="separate"/>
      </w:r>
      <w:r w:rsidR="00C02E5F">
        <w:t xml:space="preserve">table </w:t>
      </w:r>
      <w:r w:rsidR="00C02E5F">
        <w:rPr>
          <w:noProof/>
        </w:rPr>
        <w:t>2</w:t>
      </w:r>
      <w:r w:rsidR="00C02E5F">
        <w:fldChar w:fldCharType="end"/>
      </w:r>
      <w:r w:rsidRPr="00B513F4">
        <w:t xml:space="preserve">). In 2011, per capita </w:t>
      </w:r>
      <w:r w:rsidR="00AF6CC6">
        <w:t>gross domestic product (</w:t>
      </w:r>
      <w:r w:rsidRPr="00B513F4">
        <w:t>GDP</w:t>
      </w:r>
      <w:r w:rsidR="00AF6CC6">
        <w:t>)</w:t>
      </w:r>
      <w:r w:rsidRPr="00B513F4">
        <w:t xml:space="preserve"> in South Sudan was more than 10 times greater compared to </w:t>
      </w:r>
      <w:r w:rsidR="00A82192">
        <w:t>the Democratic Republic of Congo</w:t>
      </w:r>
      <w:r w:rsidRPr="00B513F4">
        <w:t xml:space="preserve"> or Liberia at the </w:t>
      </w:r>
      <w:r w:rsidRPr="00B513F4">
        <w:lastRenderedPageBreak/>
        <w:t>outset of their respective postconflict periods, and considerably higher than that of Timor</w:t>
      </w:r>
      <w:r w:rsidR="00EB59B2">
        <w:t>-</w:t>
      </w:r>
      <w:r w:rsidRPr="00B513F4">
        <w:t>Leste, another recent resource</w:t>
      </w:r>
      <w:r w:rsidR="00EB59B2">
        <w:t>-</w:t>
      </w:r>
      <w:r w:rsidRPr="00B513F4">
        <w:t>rich postconflict country. Thus, in principle, the country has an opportunity to afford a functioning public sector and a substantial degree of service delivery to citizens. However, comparative data also indicates that literacy rates in South Sudan were lower than in any other recent postconflict situation. Moreover, despite the relatively high current GDP per capita levels, the country has many characteristics of a least developed country, given the constrained infrastructure, significant challenges with food security</w:t>
      </w:r>
      <w:r w:rsidR="00235628">
        <w:t>,</w:t>
      </w:r>
      <w:r w:rsidRPr="00B513F4">
        <w:t xml:space="preserve"> and related characteristics. Furthermore, South Sudan has experienced rather extreme levels of economic and fiscal volatility in recent years, with per capita GDP dropping by 50 percent between 2011 and 2012 (to </w:t>
      </w:r>
      <w:r w:rsidR="00CF7BB4">
        <w:t>US$</w:t>
      </w:r>
      <w:r w:rsidRPr="00B513F4">
        <w:t>943 per capita) due to the stoppage of oil production for 15 months (fro</w:t>
      </w:r>
      <w:r w:rsidR="002B5CE3">
        <w:t>m January 2012 to April 2013).</w:t>
      </w:r>
    </w:p>
    <w:p w14:paraId="50B2DE5B" w14:textId="0718FD6B" w:rsidR="00CC2FFA" w:rsidRDefault="00CC2FFA" w:rsidP="00CC2FFA">
      <w:pPr>
        <w:pStyle w:val="Caption"/>
        <w:keepNext/>
      </w:pPr>
      <w:bookmarkStart w:id="7" w:name="_Ref447279086"/>
      <w:r>
        <w:t xml:space="preserve">Table </w:t>
      </w:r>
      <w:fldSimple w:instr=" SEQ Table \* ARABIC ">
        <w:r w:rsidR="00FA6F6C">
          <w:rPr>
            <w:noProof/>
          </w:rPr>
          <w:t>2</w:t>
        </w:r>
      </w:fldSimple>
      <w:bookmarkEnd w:id="7"/>
      <w:r>
        <w:t xml:space="preserve">. </w:t>
      </w:r>
      <w:r w:rsidRPr="003110BD">
        <w:t xml:space="preserve">GDP </w:t>
      </w:r>
      <w:r>
        <w:t>P</w:t>
      </w:r>
      <w:r w:rsidRPr="003110BD">
        <w:t xml:space="preserve">er </w:t>
      </w:r>
      <w:r>
        <w:t>C</w:t>
      </w:r>
      <w:r w:rsidRPr="003110BD">
        <w:t xml:space="preserve">apita and </w:t>
      </w:r>
      <w:r>
        <w:t>L</w:t>
      </w:r>
      <w:r w:rsidRPr="003110BD">
        <w:t xml:space="preserve">iteracy </w:t>
      </w:r>
      <w:r>
        <w:t>R</w:t>
      </w:r>
      <w:r w:rsidRPr="003110BD">
        <w:t xml:space="preserve">ates, South Sudan and </w:t>
      </w:r>
      <w:r>
        <w:t>S</w:t>
      </w:r>
      <w:r w:rsidRPr="003110BD">
        <w:t xml:space="preserve">elected </w:t>
      </w:r>
      <w:r>
        <w:t>P</w:t>
      </w:r>
      <w:r w:rsidRPr="003110BD">
        <w:t xml:space="preserve">ostconflict </w:t>
      </w:r>
      <w:r>
        <w:t>C</w:t>
      </w:r>
      <w:r w:rsidRPr="003110BD">
        <w:t>ountries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2607"/>
        <w:gridCol w:w="1717"/>
        <w:gridCol w:w="1973"/>
        <w:gridCol w:w="1713"/>
      </w:tblGrid>
      <w:tr w:rsidR="00A56EDD" w:rsidRPr="00920A85" w14:paraId="5C56BD65" w14:textId="77777777" w:rsidTr="00A57FF1">
        <w:trPr>
          <w:trHeight w:val="1088"/>
          <w:tblHeader/>
          <w:jc w:val="center"/>
        </w:trPr>
        <w:tc>
          <w:tcPr>
            <w:tcW w:w="1350" w:type="dxa"/>
            <w:tcBorders>
              <w:top w:val="single" w:sz="4" w:space="0" w:color="auto"/>
              <w:bottom w:val="single" w:sz="4" w:space="0" w:color="auto"/>
            </w:tcBorders>
          </w:tcPr>
          <w:p w14:paraId="790924B1" w14:textId="77777777" w:rsidR="00A56EDD" w:rsidRPr="00920A85" w:rsidRDefault="00A56EDD" w:rsidP="00B87BEE">
            <w:pPr>
              <w:spacing w:after="0" w:line="240" w:lineRule="auto"/>
              <w:rPr>
                <w:b/>
                <w:sz w:val="20"/>
                <w:szCs w:val="20"/>
              </w:rPr>
            </w:pPr>
          </w:p>
        </w:tc>
        <w:tc>
          <w:tcPr>
            <w:tcW w:w="2607" w:type="dxa"/>
            <w:tcBorders>
              <w:top w:val="single" w:sz="4" w:space="0" w:color="auto"/>
              <w:bottom w:val="single" w:sz="4" w:space="0" w:color="auto"/>
            </w:tcBorders>
          </w:tcPr>
          <w:p w14:paraId="6ED1A01F" w14:textId="77777777" w:rsidR="00A56EDD" w:rsidRPr="00920A85" w:rsidRDefault="00A56EDD" w:rsidP="00C904C6">
            <w:pPr>
              <w:spacing w:after="0" w:line="240" w:lineRule="auto"/>
              <w:jc w:val="center"/>
              <w:rPr>
                <w:b/>
                <w:sz w:val="20"/>
                <w:szCs w:val="20"/>
              </w:rPr>
            </w:pPr>
            <w:r w:rsidRPr="00920A85">
              <w:rPr>
                <w:b/>
                <w:sz w:val="20"/>
                <w:szCs w:val="20"/>
              </w:rPr>
              <w:t>GDP per capita at year of independence or peace (current US$)</w:t>
            </w:r>
          </w:p>
        </w:tc>
        <w:tc>
          <w:tcPr>
            <w:tcW w:w="1717" w:type="dxa"/>
            <w:tcBorders>
              <w:top w:val="single" w:sz="4" w:space="0" w:color="auto"/>
              <w:bottom w:val="single" w:sz="4" w:space="0" w:color="auto"/>
            </w:tcBorders>
          </w:tcPr>
          <w:p w14:paraId="7AF8AEFB" w14:textId="77777777" w:rsidR="00A56EDD" w:rsidRPr="00920A85" w:rsidRDefault="00A56EDD" w:rsidP="00C904C6">
            <w:pPr>
              <w:spacing w:after="0" w:line="240" w:lineRule="auto"/>
              <w:jc w:val="center"/>
              <w:rPr>
                <w:b/>
                <w:sz w:val="20"/>
                <w:szCs w:val="20"/>
              </w:rPr>
            </w:pPr>
            <w:r w:rsidRPr="00920A85">
              <w:rPr>
                <w:b/>
                <w:sz w:val="20"/>
                <w:szCs w:val="20"/>
              </w:rPr>
              <w:t>GDP per capita most recent year available</w:t>
            </w:r>
          </w:p>
          <w:p w14:paraId="315DDEC7" w14:textId="77777777" w:rsidR="00A56EDD" w:rsidRPr="00920A85" w:rsidRDefault="00A56EDD" w:rsidP="00C904C6">
            <w:pPr>
              <w:spacing w:after="0" w:line="240" w:lineRule="auto"/>
              <w:jc w:val="center"/>
              <w:rPr>
                <w:b/>
                <w:sz w:val="20"/>
                <w:szCs w:val="20"/>
              </w:rPr>
            </w:pPr>
            <w:r w:rsidRPr="00920A85">
              <w:rPr>
                <w:b/>
                <w:sz w:val="20"/>
                <w:szCs w:val="20"/>
              </w:rPr>
              <w:t>(current US$)</w:t>
            </w:r>
          </w:p>
        </w:tc>
        <w:tc>
          <w:tcPr>
            <w:tcW w:w="1973" w:type="dxa"/>
            <w:tcBorders>
              <w:top w:val="single" w:sz="4" w:space="0" w:color="auto"/>
              <w:bottom w:val="single" w:sz="4" w:space="0" w:color="auto"/>
            </w:tcBorders>
          </w:tcPr>
          <w:p w14:paraId="79383B0D" w14:textId="2D0BA886" w:rsidR="00A56EDD" w:rsidRPr="00920A85" w:rsidRDefault="00A56EDD" w:rsidP="00C904C6">
            <w:pPr>
              <w:spacing w:after="0" w:line="240" w:lineRule="auto"/>
              <w:jc w:val="center"/>
              <w:rPr>
                <w:b/>
                <w:sz w:val="20"/>
                <w:szCs w:val="20"/>
              </w:rPr>
            </w:pPr>
            <w:r w:rsidRPr="00920A85">
              <w:rPr>
                <w:b/>
                <w:sz w:val="20"/>
                <w:szCs w:val="20"/>
              </w:rPr>
              <w:t>% of adult pop</w:t>
            </w:r>
            <w:r w:rsidR="00235628">
              <w:rPr>
                <w:b/>
                <w:sz w:val="20"/>
                <w:szCs w:val="20"/>
              </w:rPr>
              <w:t>ulation</w:t>
            </w:r>
            <w:r w:rsidRPr="00920A85">
              <w:rPr>
                <w:b/>
                <w:sz w:val="20"/>
                <w:szCs w:val="20"/>
              </w:rPr>
              <w:t xml:space="preserve"> literacy at peace/independence</w:t>
            </w:r>
          </w:p>
        </w:tc>
        <w:tc>
          <w:tcPr>
            <w:tcW w:w="1713" w:type="dxa"/>
            <w:tcBorders>
              <w:top w:val="single" w:sz="4" w:space="0" w:color="auto"/>
              <w:bottom w:val="single" w:sz="4" w:space="0" w:color="auto"/>
            </w:tcBorders>
          </w:tcPr>
          <w:p w14:paraId="7D3E5BDA" w14:textId="244F66D3" w:rsidR="00A56EDD" w:rsidRPr="00920A85" w:rsidRDefault="00A56EDD" w:rsidP="00C904C6">
            <w:pPr>
              <w:spacing w:after="0" w:line="240" w:lineRule="auto"/>
              <w:jc w:val="center"/>
              <w:rPr>
                <w:b/>
                <w:sz w:val="20"/>
                <w:szCs w:val="20"/>
              </w:rPr>
            </w:pPr>
            <w:r w:rsidRPr="00920A85">
              <w:rPr>
                <w:b/>
                <w:sz w:val="20"/>
                <w:szCs w:val="20"/>
              </w:rPr>
              <w:t xml:space="preserve">Literacy </w:t>
            </w:r>
            <w:r w:rsidR="00F46C4F">
              <w:rPr>
                <w:b/>
                <w:sz w:val="20"/>
                <w:szCs w:val="20"/>
              </w:rPr>
              <w:t xml:space="preserve">rate </w:t>
            </w:r>
            <w:r w:rsidR="00422F14">
              <w:rPr>
                <w:b/>
                <w:sz w:val="20"/>
                <w:szCs w:val="20"/>
              </w:rPr>
              <w:t>(</w:t>
            </w:r>
            <w:r w:rsidRPr="00920A85">
              <w:rPr>
                <w:b/>
                <w:sz w:val="20"/>
                <w:szCs w:val="20"/>
              </w:rPr>
              <w:t>most recent</w:t>
            </w:r>
            <w:r w:rsidR="00422F14">
              <w:rPr>
                <w:b/>
                <w:sz w:val="20"/>
                <w:szCs w:val="20"/>
              </w:rPr>
              <w:t>)</w:t>
            </w:r>
          </w:p>
        </w:tc>
      </w:tr>
      <w:tr w:rsidR="00A56EDD" w:rsidRPr="00920A85" w14:paraId="4A60654A" w14:textId="77777777" w:rsidTr="00A57FF1">
        <w:trPr>
          <w:trHeight w:val="350"/>
          <w:jc w:val="center"/>
        </w:trPr>
        <w:tc>
          <w:tcPr>
            <w:tcW w:w="1350" w:type="dxa"/>
            <w:tcBorders>
              <w:top w:val="single" w:sz="4" w:space="0" w:color="auto"/>
              <w:bottom w:val="single" w:sz="4" w:space="0" w:color="auto"/>
            </w:tcBorders>
            <w:shd w:val="clear" w:color="auto" w:fill="DEEAF6" w:themeFill="accent1" w:themeFillTint="33"/>
          </w:tcPr>
          <w:p w14:paraId="06ACA7A2" w14:textId="77777777" w:rsidR="00A56EDD" w:rsidRPr="00920A85" w:rsidRDefault="00A56EDD" w:rsidP="00B87BEE">
            <w:pPr>
              <w:spacing w:after="0" w:line="240" w:lineRule="auto"/>
              <w:rPr>
                <w:sz w:val="20"/>
                <w:szCs w:val="20"/>
              </w:rPr>
            </w:pPr>
            <w:r w:rsidRPr="00920A85">
              <w:rPr>
                <w:sz w:val="20"/>
                <w:szCs w:val="20"/>
              </w:rPr>
              <w:t>South Sudan</w:t>
            </w:r>
          </w:p>
        </w:tc>
        <w:tc>
          <w:tcPr>
            <w:tcW w:w="2607" w:type="dxa"/>
            <w:tcBorders>
              <w:top w:val="single" w:sz="4" w:space="0" w:color="auto"/>
              <w:bottom w:val="single" w:sz="4" w:space="0" w:color="auto"/>
            </w:tcBorders>
            <w:shd w:val="clear" w:color="auto" w:fill="DEEAF6" w:themeFill="accent1" w:themeFillTint="33"/>
          </w:tcPr>
          <w:p w14:paraId="28A7A075" w14:textId="0124D5A5" w:rsidR="00A56EDD" w:rsidRPr="00920A85" w:rsidRDefault="00A56EDD" w:rsidP="00384220">
            <w:pPr>
              <w:spacing w:after="0" w:line="240" w:lineRule="auto"/>
              <w:jc w:val="center"/>
              <w:rPr>
                <w:sz w:val="20"/>
                <w:szCs w:val="20"/>
              </w:rPr>
            </w:pPr>
            <w:r w:rsidRPr="00920A85">
              <w:rPr>
                <w:sz w:val="20"/>
                <w:szCs w:val="20"/>
              </w:rPr>
              <w:t>1</w:t>
            </w:r>
            <w:r w:rsidR="00235628">
              <w:rPr>
                <w:sz w:val="20"/>
                <w:szCs w:val="20"/>
              </w:rPr>
              <w:t>,</w:t>
            </w:r>
            <w:r w:rsidRPr="00920A85">
              <w:rPr>
                <w:sz w:val="20"/>
                <w:szCs w:val="20"/>
              </w:rPr>
              <w:t xml:space="preserve">844 </w:t>
            </w:r>
            <w:r w:rsidR="00235628">
              <w:rPr>
                <w:sz w:val="20"/>
                <w:szCs w:val="20"/>
              </w:rPr>
              <w:t>(</w:t>
            </w:r>
            <w:r w:rsidRPr="00920A85">
              <w:rPr>
                <w:sz w:val="20"/>
                <w:szCs w:val="20"/>
              </w:rPr>
              <w:t>2011</w:t>
            </w:r>
            <w:r w:rsidR="00235628">
              <w:rPr>
                <w:sz w:val="20"/>
                <w:szCs w:val="20"/>
              </w:rPr>
              <w:t>)</w:t>
            </w:r>
            <w:r w:rsidRPr="00920A85">
              <w:rPr>
                <w:sz w:val="20"/>
                <w:szCs w:val="20"/>
              </w:rPr>
              <w:t>*</w:t>
            </w:r>
          </w:p>
        </w:tc>
        <w:tc>
          <w:tcPr>
            <w:tcW w:w="1717" w:type="dxa"/>
            <w:tcBorders>
              <w:top w:val="single" w:sz="4" w:space="0" w:color="auto"/>
              <w:bottom w:val="single" w:sz="4" w:space="0" w:color="auto"/>
            </w:tcBorders>
            <w:shd w:val="clear" w:color="auto" w:fill="DEEAF6" w:themeFill="accent1" w:themeFillTint="33"/>
          </w:tcPr>
          <w:p w14:paraId="41C38198" w14:textId="092F239D" w:rsidR="00A56EDD" w:rsidRPr="00920A85" w:rsidRDefault="00A56EDD" w:rsidP="00474A0D">
            <w:pPr>
              <w:spacing w:after="0" w:line="240" w:lineRule="auto"/>
              <w:jc w:val="center"/>
              <w:rPr>
                <w:sz w:val="20"/>
                <w:szCs w:val="20"/>
              </w:rPr>
            </w:pPr>
            <w:r w:rsidRPr="00920A85">
              <w:rPr>
                <w:sz w:val="20"/>
                <w:szCs w:val="20"/>
              </w:rPr>
              <w:t>1</w:t>
            </w:r>
            <w:r w:rsidR="00235628">
              <w:rPr>
                <w:sz w:val="20"/>
                <w:szCs w:val="20"/>
              </w:rPr>
              <w:t>,</w:t>
            </w:r>
            <w:r w:rsidRPr="00920A85">
              <w:rPr>
                <w:sz w:val="20"/>
                <w:szCs w:val="20"/>
              </w:rPr>
              <w:t xml:space="preserve">045 </w:t>
            </w:r>
            <w:r w:rsidR="00235628">
              <w:rPr>
                <w:sz w:val="20"/>
                <w:szCs w:val="20"/>
              </w:rPr>
              <w:t>(</w:t>
            </w:r>
            <w:r w:rsidRPr="00920A85">
              <w:rPr>
                <w:sz w:val="20"/>
                <w:szCs w:val="20"/>
              </w:rPr>
              <w:t>2013</w:t>
            </w:r>
            <w:r w:rsidR="00235628">
              <w:rPr>
                <w:sz w:val="20"/>
                <w:szCs w:val="20"/>
              </w:rPr>
              <w:t>)</w:t>
            </w:r>
          </w:p>
        </w:tc>
        <w:tc>
          <w:tcPr>
            <w:tcW w:w="1973" w:type="dxa"/>
            <w:tcBorders>
              <w:top w:val="single" w:sz="4" w:space="0" w:color="auto"/>
              <w:bottom w:val="single" w:sz="4" w:space="0" w:color="auto"/>
            </w:tcBorders>
            <w:shd w:val="clear" w:color="auto" w:fill="DEEAF6" w:themeFill="accent1" w:themeFillTint="33"/>
          </w:tcPr>
          <w:p w14:paraId="044F7CF0" w14:textId="7AE3DC0C" w:rsidR="00A56EDD" w:rsidRPr="00920A85" w:rsidRDefault="00A56EDD" w:rsidP="00F97AAF">
            <w:pPr>
              <w:spacing w:after="0" w:line="240" w:lineRule="auto"/>
              <w:jc w:val="center"/>
              <w:rPr>
                <w:sz w:val="20"/>
                <w:szCs w:val="20"/>
              </w:rPr>
            </w:pPr>
            <w:r w:rsidRPr="00920A85">
              <w:rPr>
                <w:sz w:val="20"/>
                <w:szCs w:val="20"/>
              </w:rPr>
              <w:t xml:space="preserve">27 </w:t>
            </w:r>
            <w:r w:rsidR="00235628">
              <w:rPr>
                <w:sz w:val="20"/>
                <w:szCs w:val="20"/>
              </w:rPr>
              <w:t>(</w:t>
            </w:r>
            <w:r w:rsidRPr="00920A85">
              <w:rPr>
                <w:sz w:val="20"/>
                <w:szCs w:val="20"/>
              </w:rPr>
              <w:t>2010</w:t>
            </w:r>
            <w:r w:rsidR="00235628">
              <w:rPr>
                <w:sz w:val="20"/>
                <w:szCs w:val="20"/>
              </w:rPr>
              <w:t>)</w:t>
            </w:r>
            <w:r w:rsidRPr="00920A85">
              <w:rPr>
                <w:sz w:val="20"/>
                <w:szCs w:val="20"/>
              </w:rPr>
              <w:t>**</w:t>
            </w:r>
          </w:p>
        </w:tc>
        <w:tc>
          <w:tcPr>
            <w:tcW w:w="1713" w:type="dxa"/>
            <w:tcBorders>
              <w:top w:val="single" w:sz="4" w:space="0" w:color="auto"/>
              <w:bottom w:val="single" w:sz="4" w:space="0" w:color="auto"/>
            </w:tcBorders>
            <w:shd w:val="clear" w:color="auto" w:fill="DEEAF6" w:themeFill="accent1" w:themeFillTint="33"/>
          </w:tcPr>
          <w:p w14:paraId="7878B90F" w14:textId="127DB545" w:rsidR="00A56EDD" w:rsidRPr="00920A85" w:rsidRDefault="00A56EDD" w:rsidP="00C904C6">
            <w:pPr>
              <w:spacing w:after="0" w:line="240" w:lineRule="auto"/>
              <w:jc w:val="center"/>
              <w:rPr>
                <w:sz w:val="20"/>
                <w:szCs w:val="20"/>
              </w:rPr>
            </w:pPr>
            <w:r w:rsidRPr="00920A85">
              <w:rPr>
                <w:sz w:val="20"/>
                <w:szCs w:val="20"/>
              </w:rPr>
              <w:t>n</w:t>
            </w:r>
            <w:r w:rsidR="00235628">
              <w:rPr>
                <w:sz w:val="20"/>
                <w:szCs w:val="20"/>
              </w:rPr>
              <w:t>.</w:t>
            </w:r>
            <w:r w:rsidRPr="00920A85">
              <w:rPr>
                <w:sz w:val="20"/>
                <w:szCs w:val="20"/>
              </w:rPr>
              <w:t>a</w:t>
            </w:r>
            <w:r w:rsidR="00235628">
              <w:rPr>
                <w:sz w:val="20"/>
                <w:szCs w:val="20"/>
              </w:rPr>
              <w:t>.</w:t>
            </w:r>
          </w:p>
        </w:tc>
      </w:tr>
      <w:tr w:rsidR="00A56EDD" w:rsidRPr="00920A85" w14:paraId="6EEB6326" w14:textId="77777777" w:rsidTr="00C904C6">
        <w:trPr>
          <w:trHeight w:val="350"/>
          <w:jc w:val="center"/>
        </w:trPr>
        <w:tc>
          <w:tcPr>
            <w:tcW w:w="9360" w:type="dxa"/>
            <w:gridSpan w:val="5"/>
            <w:tcBorders>
              <w:top w:val="single" w:sz="4" w:space="0" w:color="auto"/>
              <w:bottom w:val="single" w:sz="4" w:space="0" w:color="auto"/>
            </w:tcBorders>
            <w:shd w:val="clear" w:color="auto" w:fill="FFFFFF" w:themeFill="background1"/>
          </w:tcPr>
          <w:p w14:paraId="6F1AB700" w14:textId="7B9FC3BF" w:rsidR="00A56EDD" w:rsidRPr="00920A85" w:rsidRDefault="00A56EDD" w:rsidP="00B87BEE">
            <w:pPr>
              <w:spacing w:after="0" w:line="240" w:lineRule="auto"/>
              <w:rPr>
                <w:i/>
                <w:sz w:val="20"/>
                <w:szCs w:val="20"/>
              </w:rPr>
            </w:pPr>
            <w:r w:rsidRPr="00920A85">
              <w:rPr>
                <w:i/>
                <w:sz w:val="20"/>
                <w:szCs w:val="20"/>
              </w:rPr>
              <w:t>Other resource</w:t>
            </w:r>
            <w:r w:rsidR="00235628">
              <w:rPr>
                <w:i/>
                <w:sz w:val="20"/>
                <w:szCs w:val="20"/>
              </w:rPr>
              <w:t>-</w:t>
            </w:r>
            <w:r w:rsidRPr="00920A85">
              <w:rPr>
                <w:i/>
                <w:sz w:val="20"/>
                <w:szCs w:val="20"/>
              </w:rPr>
              <w:t>rich countries in the region</w:t>
            </w:r>
          </w:p>
        </w:tc>
      </w:tr>
      <w:tr w:rsidR="00A56EDD" w:rsidRPr="00920A85" w14:paraId="65E58FDB" w14:textId="77777777" w:rsidTr="00A57FF1">
        <w:trPr>
          <w:trHeight w:val="350"/>
          <w:jc w:val="center"/>
        </w:trPr>
        <w:tc>
          <w:tcPr>
            <w:tcW w:w="1350" w:type="dxa"/>
            <w:tcBorders>
              <w:top w:val="single" w:sz="4" w:space="0" w:color="auto"/>
            </w:tcBorders>
            <w:shd w:val="clear" w:color="auto" w:fill="FFFFFF" w:themeFill="background1"/>
          </w:tcPr>
          <w:p w14:paraId="5747953A" w14:textId="77777777" w:rsidR="00A56EDD" w:rsidRPr="00920A85" w:rsidRDefault="00A56EDD" w:rsidP="00B87BEE">
            <w:pPr>
              <w:spacing w:after="0" w:line="240" w:lineRule="auto"/>
              <w:rPr>
                <w:sz w:val="20"/>
                <w:szCs w:val="20"/>
              </w:rPr>
            </w:pPr>
            <w:r w:rsidRPr="00920A85">
              <w:rPr>
                <w:sz w:val="20"/>
                <w:szCs w:val="20"/>
              </w:rPr>
              <w:t>Angola</w:t>
            </w:r>
          </w:p>
        </w:tc>
        <w:tc>
          <w:tcPr>
            <w:tcW w:w="2607" w:type="dxa"/>
            <w:tcBorders>
              <w:top w:val="single" w:sz="4" w:space="0" w:color="auto"/>
            </w:tcBorders>
            <w:shd w:val="clear" w:color="auto" w:fill="FFFFFF" w:themeFill="background1"/>
          </w:tcPr>
          <w:p w14:paraId="7034A59D" w14:textId="26AAF789" w:rsidR="00A56EDD" w:rsidRPr="00920A85" w:rsidRDefault="00A56EDD" w:rsidP="00384220">
            <w:pPr>
              <w:spacing w:after="0" w:line="240" w:lineRule="auto"/>
              <w:jc w:val="center"/>
              <w:rPr>
                <w:sz w:val="20"/>
                <w:szCs w:val="20"/>
              </w:rPr>
            </w:pPr>
            <w:r w:rsidRPr="00920A85">
              <w:rPr>
                <w:sz w:val="20"/>
                <w:szCs w:val="20"/>
              </w:rPr>
              <w:t xml:space="preserve">839.5 </w:t>
            </w:r>
            <w:r w:rsidR="00235628">
              <w:rPr>
                <w:sz w:val="20"/>
                <w:szCs w:val="20"/>
              </w:rPr>
              <w:t>(</w:t>
            </w:r>
            <w:r w:rsidRPr="00920A85">
              <w:rPr>
                <w:sz w:val="20"/>
                <w:szCs w:val="20"/>
              </w:rPr>
              <w:t>2002</w:t>
            </w:r>
            <w:r w:rsidR="00235628">
              <w:rPr>
                <w:sz w:val="20"/>
                <w:szCs w:val="20"/>
              </w:rPr>
              <w:t>)</w:t>
            </w:r>
          </w:p>
        </w:tc>
        <w:tc>
          <w:tcPr>
            <w:tcW w:w="1717" w:type="dxa"/>
            <w:tcBorders>
              <w:top w:val="single" w:sz="4" w:space="0" w:color="auto"/>
            </w:tcBorders>
            <w:shd w:val="clear" w:color="auto" w:fill="FFFFFF" w:themeFill="background1"/>
          </w:tcPr>
          <w:p w14:paraId="2EC2662E" w14:textId="42C3BD96" w:rsidR="00A56EDD" w:rsidRPr="00920A85" w:rsidRDefault="00A56EDD" w:rsidP="00474A0D">
            <w:pPr>
              <w:spacing w:after="0" w:line="240" w:lineRule="auto"/>
              <w:jc w:val="center"/>
              <w:rPr>
                <w:sz w:val="20"/>
                <w:szCs w:val="20"/>
              </w:rPr>
            </w:pPr>
            <w:r w:rsidRPr="00920A85">
              <w:rPr>
                <w:sz w:val="20"/>
                <w:szCs w:val="20"/>
              </w:rPr>
              <w:t>5</w:t>
            </w:r>
            <w:r w:rsidR="00235628">
              <w:rPr>
                <w:sz w:val="20"/>
                <w:szCs w:val="20"/>
              </w:rPr>
              <w:t>,</w:t>
            </w:r>
            <w:r w:rsidRPr="00920A85">
              <w:rPr>
                <w:sz w:val="20"/>
                <w:szCs w:val="20"/>
              </w:rPr>
              <w:t xml:space="preserve">783 </w:t>
            </w:r>
            <w:r w:rsidR="00235628">
              <w:rPr>
                <w:sz w:val="20"/>
                <w:szCs w:val="20"/>
              </w:rPr>
              <w:t>(</w:t>
            </w:r>
            <w:r w:rsidRPr="00920A85">
              <w:rPr>
                <w:sz w:val="20"/>
                <w:szCs w:val="20"/>
              </w:rPr>
              <w:t>2013</w:t>
            </w:r>
            <w:r w:rsidR="00235628">
              <w:rPr>
                <w:sz w:val="20"/>
                <w:szCs w:val="20"/>
              </w:rPr>
              <w:t>)</w:t>
            </w:r>
          </w:p>
        </w:tc>
        <w:tc>
          <w:tcPr>
            <w:tcW w:w="1973" w:type="dxa"/>
            <w:tcBorders>
              <w:top w:val="single" w:sz="4" w:space="0" w:color="auto"/>
            </w:tcBorders>
            <w:shd w:val="clear" w:color="auto" w:fill="FFFFFF" w:themeFill="background1"/>
          </w:tcPr>
          <w:p w14:paraId="72D6CD26" w14:textId="23D9777F" w:rsidR="00A56EDD" w:rsidRPr="00920A85" w:rsidRDefault="00A56EDD" w:rsidP="00F97AAF">
            <w:pPr>
              <w:spacing w:after="0" w:line="240" w:lineRule="auto"/>
              <w:jc w:val="center"/>
              <w:rPr>
                <w:sz w:val="20"/>
                <w:szCs w:val="20"/>
              </w:rPr>
            </w:pPr>
            <w:r w:rsidRPr="00920A85">
              <w:rPr>
                <w:sz w:val="20"/>
                <w:szCs w:val="20"/>
              </w:rPr>
              <w:t xml:space="preserve">67.4 </w:t>
            </w:r>
            <w:r w:rsidR="00235628">
              <w:rPr>
                <w:sz w:val="20"/>
                <w:szCs w:val="20"/>
              </w:rPr>
              <w:t>(</w:t>
            </w:r>
            <w:r w:rsidRPr="00920A85">
              <w:rPr>
                <w:sz w:val="20"/>
                <w:szCs w:val="20"/>
              </w:rPr>
              <w:t>2001</w:t>
            </w:r>
            <w:r w:rsidR="00235628">
              <w:rPr>
                <w:sz w:val="20"/>
                <w:szCs w:val="20"/>
              </w:rPr>
              <w:t>)</w:t>
            </w:r>
          </w:p>
        </w:tc>
        <w:tc>
          <w:tcPr>
            <w:tcW w:w="1713" w:type="dxa"/>
            <w:tcBorders>
              <w:top w:val="single" w:sz="4" w:space="0" w:color="auto"/>
            </w:tcBorders>
            <w:shd w:val="clear" w:color="auto" w:fill="FFFFFF" w:themeFill="background1"/>
          </w:tcPr>
          <w:p w14:paraId="35890DDC" w14:textId="2A06342E" w:rsidR="00A56EDD" w:rsidRPr="00920A85" w:rsidRDefault="00A56EDD">
            <w:pPr>
              <w:spacing w:after="0" w:line="240" w:lineRule="auto"/>
              <w:jc w:val="center"/>
              <w:rPr>
                <w:sz w:val="20"/>
                <w:szCs w:val="20"/>
              </w:rPr>
            </w:pPr>
            <w:r w:rsidRPr="00920A85">
              <w:rPr>
                <w:sz w:val="20"/>
                <w:szCs w:val="20"/>
              </w:rPr>
              <w:t xml:space="preserve">70.4 </w:t>
            </w:r>
            <w:r w:rsidR="00235628">
              <w:rPr>
                <w:sz w:val="20"/>
                <w:szCs w:val="20"/>
              </w:rPr>
              <w:t>(</w:t>
            </w:r>
            <w:r w:rsidRPr="00920A85">
              <w:rPr>
                <w:sz w:val="20"/>
                <w:szCs w:val="20"/>
              </w:rPr>
              <w:t>2011</w:t>
            </w:r>
            <w:r w:rsidR="00235628">
              <w:rPr>
                <w:sz w:val="20"/>
                <w:szCs w:val="20"/>
              </w:rPr>
              <w:t>)</w:t>
            </w:r>
          </w:p>
        </w:tc>
      </w:tr>
      <w:tr w:rsidR="00A56EDD" w:rsidRPr="00920A85" w14:paraId="4CCE0FF1" w14:textId="77777777" w:rsidTr="00A57FF1">
        <w:trPr>
          <w:trHeight w:val="360"/>
          <w:jc w:val="center"/>
        </w:trPr>
        <w:tc>
          <w:tcPr>
            <w:tcW w:w="1350" w:type="dxa"/>
            <w:tcBorders>
              <w:bottom w:val="single" w:sz="4" w:space="0" w:color="auto"/>
            </w:tcBorders>
            <w:shd w:val="clear" w:color="auto" w:fill="DEEAF6" w:themeFill="accent1" w:themeFillTint="33"/>
          </w:tcPr>
          <w:p w14:paraId="32CCA3B8" w14:textId="5C3F6C1B" w:rsidR="00A56EDD" w:rsidRPr="00920A85" w:rsidRDefault="00A56EDD" w:rsidP="00B87BEE">
            <w:pPr>
              <w:spacing w:after="0" w:line="240" w:lineRule="auto"/>
              <w:rPr>
                <w:sz w:val="20"/>
                <w:szCs w:val="20"/>
              </w:rPr>
            </w:pPr>
            <w:r w:rsidRPr="00920A85">
              <w:rPr>
                <w:sz w:val="20"/>
                <w:szCs w:val="20"/>
              </w:rPr>
              <w:t>D</w:t>
            </w:r>
            <w:r w:rsidR="00F92BF3">
              <w:rPr>
                <w:sz w:val="20"/>
                <w:szCs w:val="20"/>
              </w:rPr>
              <w:t xml:space="preserve">emocratic </w:t>
            </w:r>
            <w:r w:rsidRPr="00920A85">
              <w:rPr>
                <w:sz w:val="20"/>
                <w:szCs w:val="20"/>
              </w:rPr>
              <w:t>R</w:t>
            </w:r>
            <w:r w:rsidR="00F92BF3">
              <w:rPr>
                <w:sz w:val="20"/>
                <w:szCs w:val="20"/>
              </w:rPr>
              <w:t xml:space="preserve">epublic of </w:t>
            </w:r>
            <w:r w:rsidRPr="00920A85">
              <w:rPr>
                <w:sz w:val="20"/>
                <w:szCs w:val="20"/>
              </w:rPr>
              <w:t>C</w:t>
            </w:r>
            <w:r w:rsidR="00F92BF3">
              <w:rPr>
                <w:sz w:val="20"/>
                <w:szCs w:val="20"/>
              </w:rPr>
              <w:t>ongo</w:t>
            </w:r>
          </w:p>
        </w:tc>
        <w:tc>
          <w:tcPr>
            <w:tcW w:w="2607" w:type="dxa"/>
            <w:tcBorders>
              <w:bottom w:val="single" w:sz="4" w:space="0" w:color="auto"/>
            </w:tcBorders>
            <w:shd w:val="clear" w:color="auto" w:fill="DEEAF6" w:themeFill="accent1" w:themeFillTint="33"/>
          </w:tcPr>
          <w:p w14:paraId="6FB1978B" w14:textId="3AC85ACE" w:rsidR="00A56EDD" w:rsidRPr="00920A85" w:rsidRDefault="00A56EDD" w:rsidP="00384220">
            <w:pPr>
              <w:spacing w:after="0" w:line="240" w:lineRule="auto"/>
              <w:jc w:val="center"/>
              <w:rPr>
                <w:sz w:val="20"/>
                <w:szCs w:val="20"/>
              </w:rPr>
            </w:pPr>
            <w:r w:rsidRPr="00920A85">
              <w:rPr>
                <w:sz w:val="20"/>
                <w:szCs w:val="20"/>
              </w:rPr>
              <w:t xml:space="preserve">111 </w:t>
            </w:r>
            <w:r w:rsidR="00235628">
              <w:rPr>
                <w:sz w:val="20"/>
                <w:szCs w:val="20"/>
              </w:rPr>
              <w:t>(</w:t>
            </w:r>
            <w:r w:rsidRPr="00920A85">
              <w:rPr>
                <w:sz w:val="20"/>
                <w:szCs w:val="20"/>
              </w:rPr>
              <w:t>2003</w:t>
            </w:r>
            <w:r w:rsidR="00235628">
              <w:rPr>
                <w:sz w:val="20"/>
                <w:szCs w:val="20"/>
              </w:rPr>
              <w:t>)</w:t>
            </w:r>
          </w:p>
        </w:tc>
        <w:tc>
          <w:tcPr>
            <w:tcW w:w="1717" w:type="dxa"/>
            <w:tcBorders>
              <w:bottom w:val="single" w:sz="4" w:space="0" w:color="auto"/>
            </w:tcBorders>
            <w:shd w:val="clear" w:color="auto" w:fill="DEEAF6" w:themeFill="accent1" w:themeFillTint="33"/>
          </w:tcPr>
          <w:p w14:paraId="0B0F9733" w14:textId="2FCE5860" w:rsidR="00A56EDD" w:rsidRPr="00920A85" w:rsidRDefault="00A56EDD" w:rsidP="00474A0D">
            <w:pPr>
              <w:spacing w:after="0" w:line="240" w:lineRule="auto"/>
              <w:jc w:val="center"/>
              <w:rPr>
                <w:sz w:val="20"/>
                <w:szCs w:val="20"/>
              </w:rPr>
            </w:pPr>
            <w:r w:rsidRPr="00920A85">
              <w:rPr>
                <w:sz w:val="20"/>
                <w:szCs w:val="20"/>
              </w:rPr>
              <w:t xml:space="preserve">484 </w:t>
            </w:r>
            <w:r w:rsidR="00235628">
              <w:rPr>
                <w:sz w:val="20"/>
                <w:szCs w:val="20"/>
              </w:rPr>
              <w:t>(</w:t>
            </w:r>
            <w:r w:rsidRPr="00920A85">
              <w:rPr>
                <w:sz w:val="20"/>
                <w:szCs w:val="20"/>
              </w:rPr>
              <w:t>2013</w:t>
            </w:r>
            <w:r w:rsidR="00235628">
              <w:rPr>
                <w:sz w:val="20"/>
                <w:szCs w:val="20"/>
              </w:rPr>
              <w:t>)</w:t>
            </w:r>
          </w:p>
        </w:tc>
        <w:tc>
          <w:tcPr>
            <w:tcW w:w="1973" w:type="dxa"/>
            <w:tcBorders>
              <w:bottom w:val="single" w:sz="4" w:space="0" w:color="auto"/>
            </w:tcBorders>
            <w:shd w:val="clear" w:color="auto" w:fill="DEEAF6" w:themeFill="accent1" w:themeFillTint="33"/>
          </w:tcPr>
          <w:p w14:paraId="702841FC" w14:textId="027535C2" w:rsidR="00A56EDD" w:rsidRPr="00920A85" w:rsidRDefault="00A56EDD" w:rsidP="00F97AAF">
            <w:pPr>
              <w:spacing w:after="0" w:line="240" w:lineRule="auto"/>
              <w:jc w:val="center"/>
              <w:rPr>
                <w:sz w:val="20"/>
                <w:szCs w:val="20"/>
              </w:rPr>
            </w:pPr>
            <w:r w:rsidRPr="00920A85">
              <w:rPr>
                <w:sz w:val="20"/>
                <w:szCs w:val="20"/>
              </w:rPr>
              <w:t xml:space="preserve">67.2 </w:t>
            </w:r>
            <w:r w:rsidR="00235628">
              <w:rPr>
                <w:sz w:val="20"/>
                <w:szCs w:val="20"/>
              </w:rPr>
              <w:t>(</w:t>
            </w:r>
            <w:r w:rsidRPr="00920A85">
              <w:rPr>
                <w:sz w:val="20"/>
                <w:szCs w:val="20"/>
              </w:rPr>
              <w:t>2001</w:t>
            </w:r>
            <w:r w:rsidR="00235628">
              <w:rPr>
                <w:sz w:val="20"/>
                <w:szCs w:val="20"/>
              </w:rPr>
              <w:t>)</w:t>
            </w:r>
          </w:p>
        </w:tc>
        <w:tc>
          <w:tcPr>
            <w:tcW w:w="1713" w:type="dxa"/>
            <w:tcBorders>
              <w:bottom w:val="single" w:sz="4" w:space="0" w:color="auto"/>
            </w:tcBorders>
            <w:shd w:val="clear" w:color="auto" w:fill="DEEAF6" w:themeFill="accent1" w:themeFillTint="33"/>
          </w:tcPr>
          <w:p w14:paraId="5378652B" w14:textId="2CE63A46" w:rsidR="00A56EDD" w:rsidRPr="00920A85" w:rsidRDefault="00A56EDD">
            <w:pPr>
              <w:spacing w:after="0" w:line="240" w:lineRule="auto"/>
              <w:jc w:val="center"/>
              <w:rPr>
                <w:sz w:val="20"/>
                <w:szCs w:val="20"/>
              </w:rPr>
            </w:pPr>
            <w:r w:rsidRPr="00920A85">
              <w:rPr>
                <w:sz w:val="20"/>
                <w:szCs w:val="20"/>
              </w:rPr>
              <w:t xml:space="preserve">61.2 </w:t>
            </w:r>
            <w:r w:rsidR="00235628">
              <w:rPr>
                <w:sz w:val="20"/>
                <w:szCs w:val="20"/>
              </w:rPr>
              <w:t>(</w:t>
            </w:r>
            <w:r w:rsidRPr="00920A85">
              <w:rPr>
                <w:sz w:val="20"/>
                <w:szCs w:val="20"/>
              </w:rPr>
              <w:t>2007</w:t>
            </w:r>
            <w:r w:rsidR="00235628">
              <w:rPr>
                <w:sz w:val="20"/>
                <w:szCs w:val="20"/>
              </w:rPr>
              <w:t>)</w:t>
            </w:r>
          </w:p>
        </w:tc>
      </w:tr>
      <w:tr w:rsidR="00A56EDD" w:rsidRPr="00920A85" w14:paraId="60806F18" w14:textId="77777777" w:rsidTr="00C904C6">
        <w:trPr>
          <w:trHeight w:val="350"/>
          <w:jc w:val="center"/>
        </w:trPr>
        <w:tc>
          <w:tcPr>
            <w:tcW w:w="9360" w:type="dxa"/>
            <w:gridSpan w:val="5"/>
            <w:tcBorders>
              <w:top w:val="single" w:sz="4" w:space="0" w:color="auto"/>
              <w:bottom w:val="single" w:sz="4" w:space="0" w:color="auto"/>
            </w:tcBorders>
          </w:tcPr>
          <w:p w14:paraId="18466AEB" w14:textId="6842570C" w:rsidR="00A56EDD" w:rsidRPr="00920A85" w:rsidRDefault="00A56EDD" w:rsidP="002B5CE3">
            <w:pPr>
              <w:spacing w:after="0" w:line="240" w:lineRule="auto"/>
              <w:rPr>
                <w:i/>
                <w:sz w:val="20"/>
                <w:szCs w:val="20"/>
              </w:rPr>
            </w:pPr>
            <w:r w:rsidRPr="00920A85">
              <w:rPr>
                <w:i/>
                <w:sz w:val="20"/>
                <w:szCs w:val="20"/>
              </w:rPr>
              <w:t>For comparison: non-resource rich, resource</w:t>
            </w:r>
            <w:r w:rsidR="00973871">
              <w:rPr>
                <w:i/>
                <w:sz w:val="20"/>
                <w:szCs w:val="20"/>
              </w:rPr>
              <w:t>-</w:t>
            </w:r>
            <w:r w:rsidRPr="00920A85">
              <w:rPr>
                <w:i/>
                <w:sz w:val="20"/>
                <w:szCs w:val="20"/>
              </w:rPr>
              <w:t>rich other region (T</w:t>
            </w:r>
            <w:r w:rsidR="002D0B51">
              <w:rPr>
                <w:i/>
                <w:sz w:val="20"/>
                <w:szCs w:val="20"/>
              </w:rPr>
              <w:t>imor-</w:t>
            </w:r>
            <w:r w:rsidRPr="00920A85">
              <w:rPr>
                <w:i/>
                <w:sz w:val="20"/>
                <w:szCs w:val="20"/>
              </w:rPr>
              <w:t>L</w:t>
            </w:r>
            <w:r w:rsidR="002D0B51">
              <w:rPr>
                <w:i/>
                <w:sz w:val="20"/>
                <w:szCs w:val="20"/>
              </w:rPr>
              <w:t>este</w:t>
            </w:r>
            <w:r w:rsidRPr="00920A85">
              <w:rPr>
                <w:i/>
                <w:sz w:val="20"/>
                <w:szCs w:val="20"/>
              </w:rPr>
              <w:t>), postconflict middle income (Kosovo)</w:t>
            </w:r>
          </w:p>
        </w:tc>
      </w:tr>
      <w:tr w:rsidR="00A56EDD" w:rsidRPr="00920A85" w14:paraId="55F97E12" w14:textId="77777777" w:rsidTr="00A57FF1">
        <w:trPr>
          <w:trHeight w:val="350"/>
          <w:jc w:val="center"/>
        </w:trPr>
        <w:tc>
          <w:tcPr>
            <w:tcW w:w="1350" w:type="dxa"/>
            <w:tcBorders>
              <w:top w:val="single" w:sz="4" w:space="0" w:color="auto"/>
            </w:tcBorders>
          </w:tcPr>
          <w:p w14:paraId="3A32CEA0" w14:textId="77777777" w:rsidR="00A56EDD" w:rsidRPr="00920A85" w:rsidRDefault="00A56EDD" w:rsidP="00B87BEE">
            <w:pPr>
              <w:spacing w:after="0" w:line="240" w:lineRule="auto"/>
              <w:rPr>
                <w:sz w:val="20"/>
                <w:szCs w:val="20"/>
              </w:rPr>
            </w:pPr>
            <w:r w:rsidRPr="00920A85">
              <w:rPr>
                <w:sz w:val="20"/>
                <w:szCs w:val="20"/>
              </w:rPr>
              <w:t>Sierra Leone</w:t>
            </w:r>
          </w:p>
        </w:tc>
        <w:tc>
          <w:tcPr>
            <w:tcW w:w="2607" w:type="dxa"/>
            <w:tcBorders>
              <w:top w:val="single" w:sz="4" w:space="0" w:color="auto"/>
            </w:tcBorders>
          </w:tcPr>
          <w:p w14:paraId="4A2DA0F9" w14:textId="5F83A359" w:rsidR="00A56EDD" w:rsidRPr="00920A85" w:rsidRDefault="00A56EDD" w:rsidP="00384220">
            <w:pPr>
              <w:spacing w:after="0" w:line="240" w:lineRule="auto"/>
              <w:jc w:val="center"/>
              <w:rPr>
                <w:sz w:val="20"/>
                <w:szCs w:val="20"/>
              </w:rPr>
            </w:pPr>
            <w:r w:rsidRPr="00920A85">
              <w:rPr>
                <w:sz w:val="20"/>
                <w:szCs w:val="20"/>
              </w:rPr>
              <w:t xml:space="preserve">276 </w:t>
            </w:r>
            <w:r w:rsidR="00235628">
              <w:rPr>
                <w:sz w:val="20"/>
                <w:szCs w:val="20"/>
              </w:rPr>
              <w:t>(</w:t>
            </w:r>
            <w:r w:rsidRPr="00920A85">
              <w:rPr>
                <w:sz w:val="20"/>
                <w:szCs w:val="20"/>
              </w:rPr>
              <w:t>2002</w:t>
            </w:r>
            <w:r w:rsidR="00235628">
              <w:rPr>
                <w:sz w:val="20"/>
                <w:szCs w:val="20"/>
              </w:rPr>
              <w:t>)</w:t>
            </w:r>
          </w:p>
        </w:tc>
        <w:tc>
          <w:tcPr>
            <w:tcW w:w="1717" w:type="dxa"/>
            <w:tcBorders>
              <w:top w:val="single" w:sz="4" w:space="0" w:color="auto"/>
            </w:tcBorders>
          </w:tcPr>
          <w:p w14:paraId="538549EC" w14:textId="22CD449F" w:rsidR="00A56EDD" w:rsidRPr="00920A85" w:rsidRDefault="00A56EDD" w:rsidP="00474A0D">
            <w:pPr>
              <w:spacing w:after="0" w:line="240" w:lineRule="auto"/>
              <w:jc w:val="center"/>
              <w:rPr>
                <w:sz w:val="20"/>
                <w:szCs w:val="20"/>
              </w:rPr>
            </w:pPr>
            <w:r w:rsidRPr="00920A85">
              <w:rPr>
                <w:sz w:val="20"/>
                <w:szCs w:val="20"/>
              </w:rPr>
              <w:t xml:space="preserve">679 </w:t>
            </w:r>
            <w:r w:rsidR="00235628">
              <w:rPr>
                <w:sz w:val="20"/>
                <w:szCs w:val="20"/>
              </w:rPr>
              <w:t>(</w:t>
            </w:r>
            <w:r w:rsidRPr="00920A85">
              <w:rPr>
                <w:sz w:val="20"/>
                <w:szCs w:val="20"/>
              </w:rPr>
              <w:t>2013</w:t>
            </w:r>
            <w:r w:rsidR="00235628">
              <w:rPr>
                <w:sz w:val="20"/>
                <w:szCs w:val="20"/>
              </w:rPr>
              <w:t>)</w:t>
            </w:r>
          </w:p>
        </w:tc>
        <w:tc>
          <w:tcPr>
            <w:tcW w:w="1973" w:type="dxa"/>
            <w:tcBorders>
              <w:top w:val="single" w:sz="4" w:space="0" w:color="auto"/>
            </w:tcBorders>
          </w:tcPr>
          <w:p w14:paraId="3B71B7EE" w14:textId="019A789B" w:rsidR="00A56EDD" w:rsidRPr="00920A85" w:rsidRDefault="00A56EDD" w:rsidP="00F97AAF">
            <w:pPr>
              <w:spacing w:after="0" w:line="240" w:lineRule="auto"/>
              <w:jc w:val="center"/>
              <w:rPr>
                <w:sz w:val="20"/>
                <w:szCs w:val="20"/>
              </w:rPr>
            </w:pPr>
            <w:r w:rsidRPr="00920A85">
              <w:rPr>
                <w:sz w:val="20"/>
                <w:szCs w:val="20"/>
              </w:rPr>
              <w:t xml:space="preserve">34.8 </w:t>
            </w:r>
            <w:r w:rsidR="00235628">
              <w:rPr>
                <w:sz w:val="20"/>
                <w:szCs w:val="20"/>
              </w:rPr>
              <w:t>(</w:t>
            </w:r>
            <w:r w:rsidRPr="00920A85">
              <w:rPr>
                <w:sz w:val="20"/>
                <w:szCs w:val="20"/>
              </w:rPr>
              <w:t>2002</w:t>
            </w:r>
            <w:r w:rsidR="00235628">
              <w:rPr>
                <w:sz w:val="20"/>
                <w:szCs w:val="20"/>
              </w:rPr>
              <w:t>)</w:t>
            </w:r>
          </w:p>
        </w:tc>
        <w:tc>
          <w:tcPr>
            <w:tcW w:w="1713" w:type="dxa"/>
            <w:tcBorders>
              <w:top w:val="single" w:sz="4" w:space="0" w:color="auto"/>
            </w:tcBorders>
          </w:tcPr>
          <w:p w14:paraId="14A9ED18" w14:textId="22B63124" w:rsidR="00A56EDD" w:rsidRPr="00920A85" w:rsidRDefault="00A56EDD">
            <w:pPr>
              <w:spacing w:after="0" w:line="240" w:lineRule="auto"/>
              <w:jc w:val="center"/>
              <w:rPr>
                <w:sz w:val="20"/>
                <w:szCs w:val="20"/>
              </w:rPr>
            </w:pPr>
            <w:r w:rsidRPr="00920A85">
              <w:rPr>
                <w:sz w:val="20"/>
                <w:szCs w:val="20"/>
              </w:rPr>
              <w:t xml:space="preserve">43.3 </w:t>
            </w:r>
            <w:r w:rsidR="00235628">
              <w:rPr>
                <w:sz w:val="20"/>
                <w:szCs w:val="20"/>
              </w:rPr>
              <w:t>(</w:t>
            </w:r>
            <w:r w:rsidRPr="00920A85">
              <w:rPr>
                <w:sz w:val="20"/>
                <w:szCs w:val="20"/>
              </w:rPr>
              <w:t>2011</w:t>
            </w:r>
            <w:r w:rsidR="00235628">
              <w:rPr>
                <w:sz w:val="20"/>
                <w:szCs w:val="20"/>
              </w:rPr>
              <w:t>)</w:t>
            </w:r>
          </w:p>
        </w:tc>
      </w:tr>
      <w:tr w:rsidR="00A56EDD" w:rsidRPr="00920A85" w14:paraId="3D49BD69" w14:textId="77777777" w:rsidTr="00A57FF1">
        <w:trPr>
          <w:trHeight w:val="360"/>
          <w:jc w:val="center"/>
        </w:trPr>
        <w:tc>
          <w:tcPr>
            <w:tcW w:w="1350" w:type="dxa"/>
            <w:shd w:val="clear" w:color="auto" w:fill="DEEAF6" w:themeFill="accent1" w:themeFillTint="33"/>
          </w:tcPr>
          <w:p w14:paraId="5F6655E6" w14:textId="77777777" w:rsidR="00A56EDD" w:rsidRPr="00920A85" w:rsidRDefault="00A56EDD" w:rsidP="00B87BEE">
            <w:pPr>
              <w:spacing w:after="0" w:line="240" w:lineRule="auto"/>
              <w:rPr>
                <w:sz w:val="20"/>
                <w:szCs w:val="20"/>
              </w:rPr>
            </w:pPr>
            <w:r w:rsidRPr="00920A85">
              <w:rPr>
                <w:sz w:val="20"/>
                <w:szCs w:val="20"/>
              </w:rPr>
              <w:t>Liberia</w:t>
            </w:r>
          </w:p>
        </w:tc>
        <w:tc>
          <w:tcPr>
            <w:tcW w:w="2607" w:type="dxa"/>
            <w:shd w:val="clear" w:color="auto" w:fill="DEEAF6" w:themeFill="accent1" w:themeFillTint="33"/>
          </w:tcPr>
          <w:p w14:paraId="73FA3ED4" w14:textId="759636A0" w:rsidR="00A56EDD" w:rsidRPr="00920A85" w:rsidRDefault="00A56EDD" w:rsidP="00384220">
            <w:pPr>
              <w:spacing w:after="0" w:line="240" w:lineRule="auto"/>
              <w:jc w:val="center"/>
              <w:rPr>
                <w:sz w:val="20"/>
                <w:szCs w:val="20"/>
              </w:rPr>
            </w:pPr>
            <w:r w:rsidRPr="00920A85">
              <w:rPr>
                <w:sz w:val="20"/>
                <w:szCs w:val="20"/>
              </w:rPr>
              <w:t xml:space="preserve">131 </w:t>
            </w:r>
            <w:r w:rsidR="00235628">
              <w:rPr>
                <w:sz w:val="20"/>
                <w:szCs w:val="20"/>
              </w:rPr>
              <w:t>(</w:t>
            </w:r>
            <w:r w:rsidRPr="00920A85">
              <w:rPr>
                <w:sz w:val="20"/>
                <w:szCs w:val="20"/>
              </w:rPr>
              <w:t>2003</w:t>
            </w:r>
            <w:r w:rsidR="00235628">
              <w:rPr>
                <w:sz w:val="20"/>
                <w:szCs w:val="20"/>
              </w:rPr>
              <w:t>)</w:t>
            </w:r>
          </w:p>
        </w:tc>
        <w:tc>
          <w:tcPr>
            <w:tcW w:w="1717" w:type="dxa"/>
            <w:shd w:val="clear" w:color="auto" w:fill="DEEAF6" w:themeFill="accent1" w:themeFillTint="33"/>
          </w:tcPr>
          <w:p w14:paraId="624948E5" w14:textId="76D4874C" w:rsidR="00A56EDD" w:rsidRPr="00920A85" w:rsidRDefault="00A56EDD" w:rsidP="00474A0D">
            <w:pPr>
              <w:spacing w:after="0" w:line="240" w:lineRule="auto"/>
              <w:jc w:val="center"/>
              <w:rPr>
                <w:sz w:val="20"/>
                <w:szCs w:val="20"/>
              </w:rPr>
            </w:pPr>
            <w:r w:rsidRPr="00920A85">
              <w:rPr>
                <w:sz w:val="20"/>
                <w:szCs w:val="20"/>
              </w:rPr>
              <w:t xml:space="preserve">454 </w:t>
            </w:r>
            <w:r w:rsidR="00235628">
              <w:rPr>
                <w:sz w:val="20"/>
                <w:szCs w:val="20"/>
              </w:rPr>
              <w:t>(</w:t>
            </w:r>
            <w:r w:rsidRPr="00920A85">
              <w:rPr>
                <w:sz w:val="20"/>
                <w:szCs w:val="20"/>
              </w:rPr>
              <w:t>2013</w:t>
            </w:r>
            <w:r w:rsidR="00235628">
              <w:rPr>
                <w:sz w:val="20"/>
                <w:szCs w:val="20"/>
              </w:rPr>
              <w:t>)</w:t>
            </w:r>
          </w:p>
        </w:tc>
        <w:tc>
          <w:tcPr>
            <w:tcW w:w="1973" w:type="dxa"/>
            <w:shd w:val="clear" w:color="auto" w:fill="DEEAF6" w:themeFill="accent1" w:themeFillTint="33"/>
          </w:tcPr>
          <w:p w14:paraId="307E5907" w14:textId="7EAA9A3C" w:rsidR="00A56EDD" w:rsidRPr="00920A85" w:rsidRDefault="00A56EDD" w:rsidP="00F97AAF">
            <w:pPr>
              <w:spacing w:after="0" w:line="240" w:lineRule="auto"/>
              <w:jc w:val="center"/>
              <w:rPr>
                <w:sz w:val="20"/>
                <w:szCs w:val="20"/>
              </w:rPr>
            </w:pPr>
            <w:r w:rsidRPr="00920A85">
              <w:rPr>
                <w:sz w:val="20"/>
                <w:szCs w:val="20"/>
              </w:rPr>
              <w:t xml:space="preserve">54.8 </w:t>
            </w:r>
            <w:r w:rsidR="00235628">
              <w:rPr>
                <w:sz w:val="20"/>
                <w:szCs w:val="20"/>
              </w:rPr>
              <w:t>(</w:t>
            </w:r>
            <w:r w:rsidRPr="00920A85">
              <w:rPr>
                <w:sz w:val="20"/>
                <w:szCs w:val="20"/>
              </w:rPr>
              <w:t>2004</w:t>
            </w:r>
            <w:r w:rsidR="00235628">
              <w:rPr>
                <w:sz w:val="20"/>
                <w:szCs w:val="20"/>
              </w:rPr>
              <w:t>)</w:t>
            </w:r>
          </w:p>
        </w:tc>
        <w:tc>
          <w:tcPr>
            <w:tcW w:w="1713" w:type="dxa"/>
            <w:shd w:val="clear" w:color="auto" w:fill="DEEAF6" w:themeFill="accent1" w:themeFillTint="33"/>
          </w:tcPr>
          <w:p w14:paraId="7A2A213B" w14:textId="03A51EDA" w:rsidR="00A56EDD" w:rsidRPr="00920A85" w:rsidRDefault="00A56EDD">
            <w:pPr>
              <w:spacing w:after="0" w:line="240" w:lineRule="auto"/>
              <w:jc w:val="center"/>
              <w:rPr>
                <w:sz w:val="20"/>
                <w:szCs w:val="20"/>
              </w:rPr>
            </w:pPr>
            <w:r w:rsidRPr="00920A85">
              <w:rPr>
                <w:sz w:val="20"/>
                <w:szCs w:val="20"/>
              </w:rPr>
              <w:t xml:space="preserve">42.9 </w:t>
            </w:r>
            <w:r w:rsidR="00235628">
              <w:rPr>
                <w:sz w:val="20"/>
                <w:szCs w:val="20"/>
              </w:rPr>
              <w:t>(</w:t>
            </w:r>
            <w:r w:rsidRPr="00920A85">
              <w:rPr>
                <w:sz w:val="20"/>
                <w:szCs w:val="20"/>
              </w:rPr>
              <w:t>2007</w:t>
            </w:r>
            <w:r w:rsidR="00235628">
              <w:rPr>
                <w:sz w:val="20"/>
                <w:szCs w:val="20"/>
              </w:rPr>
              <w:t>)</w:t>
            </w:r>
          </w:p>
        </w:tc>
      </w:tr>
      <w:tr w:rsidR="00A56EDD" w:rsidRPr="00920A85" w14:paraId="3EC1CF30" w14:textId="77777777" w:rsidTr="00A57FF1">
        <w:trPr>
          <w:trHeight w:val="360"/>
          <w:jc w:val="center"/>
        </w:trPr>
        <w:tc>
          <w:tcPr>
            <w:tcW w:w="1350" w:type="dxa"/>
          </w:tcPr>
          <w:p w14:paraId="50F42B0D" w14:textId="709D402C" w:rsidR="00A56EDD" w:rsidRPr="00920A85" w:rsidRDefault="00A56EDD" w:rsidP="00EB59B2">
            <w:pPr>
              <w:spacing w:after="0" w:line="240" w:lineRule="auto"/>
              <w:rPr>
                <w:sz w:val="20"/>
                <w:szCs w:val="20"/>
              </w:rPr>
            </w:pPr>
            <w:r w:rsidRPr="00920A85">
              <w:rPr>
                <w:sz w:val="20"/>
                <w:szCs w:val="20"/>
              </w:rPr>
              <w:t>Timor</w:t>
            </w:r>
            <w:r w:rsidR="00EB59B2">
              <w:rPr>
                <w:sz w:val="20"/>
                <w:szCs w:val="20"/>
              </w:rPr>
              <w:t>-Leste</w:t>
            </w:r>
          </w:p>
        </w:tc>
        <w:tc>
          <w:tcPr>
            <w:tcW w:w="2607" w:type="dxa"/>
          </w:tcPr>
          <w:p w14:paraId="42247D9F" w14:textId="77777777" w:rsidR="00A56EDD" w:rsidRPr="00920A85" w:rsidRDefault="00A56EDD" w:rsidP="00C904C6">
            <w:pPr>
              <w:spacing w:after="0" w:line="240" w:lineRule="auto"/>
              <w:jc w:val="center"/>
              <w:rPr>
                <w:sz w:val="20"/>
                <w:szCs w:val="20"/>
              </w:rPr>
            </w:pPr>
            <w:r w:rsidRPr="00920A85">
              <w:rPr>
                <w:sz w:val="20"/>
                <w:szCs w:val="20"/>
              </w:rPr>
              <w:t>474</w:t>
            </w:r>
          </w:p>
        </w:tc>
        <w:tc>
          <w:tcPr>
            <w:tcW w:w="1717" w:type="dxa"/>
          </w:tcPr>
          <w:p w14:paraId="0CF405D2" w14:textId="1CD5A2A2" w:rsidR="00A56EDD" w:rsidRPr="00920A85" w:rsidRDefault="00A56EDD" w:rsidP="00384220">
            <w:pPr>
              <w:spacing w:after="0" w:line="240" w:lineRule="auto"/>
              <w:jc w:val="center"/>
              <w:rPr>
                <w:sz w:val="20"/>
                <w:szCs w:val="20"/>
              </w:rPr>
            </w:pPr>
            <w:r w:rsidRPr="00920A85">
              <w:rPr>
                <w:sz w:val="20"/>
                <w:szCs w:val="20"/>
              </w:rPr>
              <w:t>1</w:t>
            </w:r>
            <w:r w:rsidR="00235628">
              <w:rPr>
                <w:sz w:val="20"/>
                <w:szCs w:val="20"/>
              </w:rPr>
              <w:t>,</w:t>
            </w:r>
            <w:r w:rsidRPr="00920A85">
              <w:rPr>
                <w:sz w:val="20"/>
                <w:szCs w:val="20"/>
              </w:rPr>
              <w:t xml:space="preserve">105 </w:t>
            </w:r>
            <w:r w:rsidR="00235628">
              <w:rPr>
                <w:sz w:val="20"/>
                <w:szCs w:val="20"/>
              </w:rPr>
              <w:t>(</w:t>
            </w:r>
            <w:r w:rsidRPr="00920A85">
              <w:rPr>
                <w:sz w:val="20"/>
                <w:szCs w:val="20"/>
              </w:rPr>
              <w:t>2012</w:t>
            </w:r>
            <w:r w:rsidR="00235628">
              <w:rPr>
                <w:sz w:val="20"/>
                <w:szCs w:val="20"/>
              </w:rPr>
              <w:t>)</w:t>
            </w:r>
          </w:p>
        </w:tc>
        <w:tc>
          <w:tcPr>
            <w:tcW w:w="1973" w:type="dxa"/>
          </w:tcPr>
          <w:p w14:paraId="08900097" w14:textId="31B4ECC3" w:rsidR="00A56EDD" w:rsidRPr="00920A85" w:rsidRDefault="00A56EDD" w:rsidP="00474A0D">
            <w:pPr>
              <w:spacing w:after="0" w:line="240" w:lineRule="auto"/>
              <w:jc w:val="center"/>
              <w:rPr>
                <w:sz w:val="20"/>
                <w:szCs w:val="20"/>
              </w:rPr>
            </w:pPr>
            <w:r w:rsidRPr="00920A85">
              <w:rPr>
                <w:sz w:val="20"/>
                <w:szCs w:val="20"/>
              </w:rPr>
              <w:t xml:space="preserve">37.6 </w:t>
            </w:r>
            <w:r w:rsidR="00235628">
              <w:rPr>
                <w:sz w:val="20"/>
                <w:szCs w:val="20"/>
              </w:rPr>
              <w:t>(</w:t>
            </w:r>
            <w:r w:rsidRPr="00920A85">
              <w:rPr>
                <w:sz w:val="20"/>
                <w:szCs w:val="20"/>
              </w:rPr>
              <w:t>2001</w:t>
            </w:r>
            <w:r w:rsidR="00235628">
              <w:rPr>
                <w:sz w:val="20"/>
                <w:szCs w:val="20"/>
              </w:rPr>
              <w:t>)</w:t>
            </w:r>
          </w:p>
        </w:tc>
        <w:tc>
          <w:tcPr>
            <w:tcW w:w="1713" w:type="dxa"/>
          </w:tcPr>
          <w:p w14:paraId="17735648" w14:textId="64BB2283" w:rsidR="00A56EDD" w:rsidRPr="00920A85" w:rsidRDefault="00A56EDD" w:rsidP="00F97AAF">
            <w:pPr>
              <w:spacing w:after="0" w:line="240" w:lineRule="auto"/>
              <w:jc w:val="center"/>
              <w:rPr>
                <w:sz w:val="20"/>
                <w:szCs w:val="20"/>
              </w:rPr>
            </w:pPr>
            <w:r w:rsidRPr="00920A85">
              <w:rPr>
                <w:sz w:val="20"/>
                <w:szCs w:val="20"/>
              </w:rPr>
              <w:t xml:space="preserve">58.3 </w:t>
            </w:r>
            <w:r w:rsidR="00235628">
              <w:rPr>
                <w:sz w:val="20"/>
                <w:szCs w:val="20"/>
              </w:rPr>
              <w:t>(</w:t>
            </w:r>
            <w:r w:rsidRPr="00920A85">
              <w:rPr>
                <w:sz w:val="20"/>
                <w:szCs w:val="20"/>
              </w:rPr>
              <w:t>2010</w:t>
            </w:r>
            <w:r w:rsidR="00235628">
              <w:rPr>
                <w:sz w:val="20"/>
                <w:szCs w:val="20"/>
              </w:rPr>
              <w:t>)</w:t>
            </w:r>
          </w:p>
        </w:tc>
      </w:tr>
      <w:tr w:rsidR="00A56EDD" w:rsidRPr="00920A85" w14:paraId="12B6DCA1" w14:textId="77777777" w:rsidTr="00A57FF1">
        <w:trPr>
          <w:trHeight w:val="630"/>
          <w:jc w:val="center"/>
        </w:trPr>
        <w:tc>
          <w:tcPr>
            <w:tcW w:w="1350" w:type="dxa"/>
            <w:tcBorders>
              <w:bottom w:val="single" w:sz="4" w:space="0" w:color="auto"/>
            </w:tcBorders>
            <w:shd w:val="clear" w:color="auto" w:fill="DEEAF6" w:themeFill="accent1" w:themeFillTint="33"/>
          </w:tcPr>
          <w:p w14:paraId="2C3645C5" w14:textId="77777777" w:rsidR="00A56EDD" w:rsidRPr="00920A85" w:rsidRDefault="00A56EDD" w:rsidP="00B87BEE">
            <w:pPr>
              <w:spacing w:after="0" w:line="240" w:lineRule="auto"/>
              <w:rPr>
                <w:sz w:val="20"/>
                <w:szCs w:val="20"/>
              </w:rPr>
            </w:pPr>
            <w:r w:rsidRPr="00920A85">
              <w:rPr>
                <w:sz w:val="20"/>
                <w:szCs w:val="20"/>
              </w:rPr>
              <w:t>Kosovo</w:t>
            </w:r>
          </w:p>
        </w:tc>
        <w:tc>
          <w:tcPr>
            <w:tcW w:w="2607" w:type="dxa"/>
            <w:tcBorders>
              <w:bottom w:val="single" w:sz="4" w:space="0" w:color="auto"/>
            </w:tcBorders>
            <w:shd w:val="clear" w:color="auto" w:fill="DEEAF6" w:themeFill="accent1" w:themeFillTint="33"/>
          </w:tcPr>
          <w:p w14:paraId="391F6E88" w14:textId="418D2C45" w:rsidR="00A56EDD" w:rsidRPr="00920A85" w:rsidRDefault="00A56EDD" w:rsidP="00C904C6">
            <w:pPr>
              <w:spacing w:after="0" w:line="240" w:lineRule="auto"/>
              <w:jc w:val="center"/>
              <w:rPr>
                <w:sz w:val="20"/>
                <w:szCs w:val="20"/>
              </w:rPr>
            </w:pPr>
            <w:r w:rsidRPr="00920A85">
              <w:rPr>
                <w:sz w:val="20"/>
                <w:szCs w:val="20"/>
              </w:rPr>
              <w:t>1</w:t>
            </w:r>
            <w:r w:rsidR="00235628">
              <w:rPr>
                <w:sz w:val="20"/>
                <w:szCs w:val="20"/>
              </w:rPr>
              <w:t>,</w:t>
            </w:r>
            <w:r w:rsidRPr="00920A85">
              <w:rPr>
                <w:sz w:val="20"/>
                <w:szCs w:val="20"/>
              </w:rPr>
              <w:t>087 (1999) peace</w:t>
            </w:r>
          </w:p>
          <w:p w14:paraId="05E03AB1" w14:textId="18BC9BB3" w:rsidR="00A56EDD" w:rsidRPr="00920A85" w:rsidRDefault="00A56EDD" w:rsidP="00C904C6">
            <w:pPr>
              <w:spacing w:after="0" w:line="240" w:lineRule="auto"/>
              <w:jc w:val="center"/>
              <w:rPr>
                <w:sz w:val="20"/>
                <w:szCs w:val="20"/>
              </w:rPr>
            </w:pPr>
            <w:r w:rsidRPr="00920A85">
              <w:rPr>
                <w:sz w:val="20"/>
                <w:szCs w:val="20"/>
              </w:rPr>
              <w:t>3</w:t>
            </w:r>
            <w:r w:rsidR="00235628">
              <w:rPr>
                <w:sz w:val="20"/>
                <w:szCs w:val="20"/>
              </w:rPr>
              <w:t>,</w:t>
            </w:r>
            <w:r w:rsidRPr="00920A85">
              <w:rPr>
                <w:sz w:val="20"/>
                <w:szCs w:val="20"/>
              </w:rPr>
              <w:t>302 (2008) indep</w:t>
            </w:r>
            <w:r w:rsidR="00973871">
              <w:rPr>
                <w:sz w:val="20"/>
                <w:szCs w:val="20"/>
              </w:rPr>
              <w:t>endence</w:t>
            </w:r>
          </w:p>
        </w:tc>
        <w:tc>
          <w:tcPr>
            <w:tcW w:w="1717" w:type="dxa"/>
            <w:tcBorders>
              <w:bottom w:val="single" w:sz="4" w:space="0" w:color="auto"/>
            </w:tcBorders>
            <w:shd w:val="clear" w:color="auto" w:fill="DEEAF6" w:themeFill="accent1" w:themeFillTint="33"/>
          </w:tcPr>
          <w:p w14:paraId="06383F44" w14:textId="6713B909" w:rsidR="00A56EDD" w:rsidRPr="00920A85" w:rsidRDefault="00A56EDD" w:rsidP="00384220">
            <w:pPr>
              <w:spacing w:after="0" w:line="240" w:lineRule="auto"/>
              <w:jc w:val="center"/>
              <w:rPr>
                <w:sz w:val="20"/>
                <w:szCs w:val="20"/>
              </w:rPr>
            </w:pPr>
            <w:r w:rsidRPr="00920A85">
              <w:rPr>
                <w:sz w:val="20"/>
                <w:szCs w:val="20"/>
              </w:rPr>
              <w:t>3</w:t>
            </w:r>
            <w:r w:rsidR="00235628">
              <w:rPr>
                <w:sz w:val="20"/>
                <w:szCs w:val="20"/>
              </w:rPr>
              <w:t>,</w:t>
            </w:r>
            <w:r w:rsidRPr="00920A85">
              <w:rPr>
                <w:sz w:val="20"/>
                <w:szCs w:val="20"/>
              </w:rPr>
              <w:t xml:space="preserve">877 </w:t>
            </w:r>
            <w:r w:rsidR="00235628">
              <w:rPr>
                <w:sz w:val="20"/>
                <w:szCs w:val="20"/>
              </w:rPr>
              <w:t>(</w:t>
            </w:r>
            <w:r w:rsidRPr="00920A85">
              <w:rPr>
                <w:sz w:val="20"/>
                <w:szCs w:val="20"/>
              </w:rPr>
              <w:t>2013</w:t>
            </w:r>
            <w:r w:rsidR="00235628">
              <w:rPr>
                <w:sz w:val="20"/>
                <w:szCs w:val="20"/>
              </w:rPr>
              <w:t>)</w:t>
            </w:r>
          </w:p>
        </w:tc>
        <w:tc>
          <w:tcPr>
            <w:tcW w:w="1973" w:type="dxa"/>
            <w:tcBorders>
              <w:bottom w:val="single" w:sz="4" w:space="0" w:color="auto"/>
            </w:tcBorders>
            <w:shd w:val="clear" w:color="auto" w:fill="DEEAF6" w:themeFill="accent1" w:themeFillTint="33"/>
          </w:tcPr>
          <w:p w14:paraId="36DFD890" w14:textId="7AAE6A0E" w:rsidR="00A56EDD" w:rsidRPr="00920A85" w:rsidRDefault="00A56EDD" w:rsidP="00474A0D">
            <w:pPr>
              <w:spacing w:after="0" w:line="240" w:lineRule="auto"/>
              <w:jc w:val="center"/>
              <w:rPr>
                <w:sz w:val="20"/>
                <w:szCs w:val="20"/>
              </w:rPr>
            </w:pPr>
            <w:r w:rsidRPr="00920A85">
              <w:rPr>
                <w:sz w:val="20"/>
                <w:szCs w:val="20"/>
              </w:rPr>
              <w:t>n</w:t>
            </w:r>
            <w:r w:rsidR="00235628">
              <w:rPr>
                <w:sz w:val="20"/>
                <w:szCs w:val="20"/>
              </w:rPr>
              <w:t>.</w:t>
            </w:r>
            <w:r w:rsidRPr="00920A85">
              <w:rPr>
                <w:sz w:val="20"/>
                <w:szCs w:val="20"/>
              </w:rPr>
              <w:t>a</w:t>
            </w:r>
            <w:r w:rsidR="00235628">
              <w:rPr>
                <w:sz w:val="20"/>
                <w:szCs w:val="20"/>
              </w:rPr>
              <w:t>.</w:t>
            </w:r>
            <w:r w:rsidRPr="00920A85">
              <w:rPr>
                <w:sz w:val="20"/>
                <w:szCs w:val="20"/>
              </w:rPr>
              <w:t xml:space="preserve"> (close to 100%)</w:t>
            </w:r>
          </w:p>
        </w:tc>
        <w:tc>
          <w:tcPr>
            <w:tcW w:w="1713" w:type="dxa"/>
            <w:tcBorders>
              <w:bottom w:val="single" w:sz="4" w:space="0" w:color="auto"/>
            </w:tcBorders>
            <w:shd w:val="clear" w:color="auto" w:fill="DEEAF6" w:themeFill="accent1" w:themeFillTint="33"/>
          </w:tcPr>
          <w:p w14:paraId="4483E361" w14:textId="1027887C" w:rsidR="00A56EDD" w:rsidRPr="00920A85" w:rsidRDefault="00A56EDD" w:rsidP="00F97AAF">
            <w:pPr>
              <w:spacing w:after="0" w:line="240" w:lineRule="auto"/>
              <w:jc w:val="center"/>
              <w:rPr>
                <w:sz w:val="20"/>
                <w:szCs w:val="20"/>
              </w:rPr>
            </w:pPr>
            <w:r w:rsidRPr="00920A85">
              <w:rPr>
                <w:sz w:val="20"/>
                <w:szCs w:val="20"/>
              </w:rPr>
              <w:t>n</w:t>
            </w:r>
            <w:r w:rsidR="00235628">
              <w:rPr>
                <w:sz w:val="20"/>
                <w:szCs w:val="20"/>
              </w:rPr>
              <w:t>.</w:t>
            </w:r>
            <w:r w:rsidRPr="00920A85">
              <w:rPr>
                <w:sz w:val="20"/>
                <w:szCs w:val="20"/>
              </w:rPr>
              <w:t>a</w:t>
            </w:r>
            <w:r w:rsidR="00235628">
              <w:rPr>
                <w:sz w:val="20"/>
                <w:szCs w:val="20"/>
              </w:rPr>
              <w:t>.</w:t>
            </w:r>
            <w:r w:rsidRPr="00920A85">
              <w:rPr>
                <w:sz w:val="20"/>
                <w:szCs w:val="20"/>
              </w:rPr>
              <w:t xml:space="preserve"> (close to 100)</w:t>
            </w:r>
          </w:p>
        </w:tc>
      </w:tr>
    </w:tbl>
    <w:p w14:paraId="545E219A" w14:textId="77777777" w:rsidR="005668BA" w:rsidRDefault="00A56EDD" w:rsidP="005668BA">
      <w:pPr>
        <w:spacing w:after="0" w:line="240" w:lineRule="auto"/>
        <w:rPr>
          <w:sz w:val="20"/>
        </w:rPr>
      </w:pPr>
      <w:r w:rsidRPr="00026CBE">
        <w:rPr>
          <w:i/>
          <w:sz w:val="20"/>
        </w:rPr>
        <w:t>Source:</w:t>
      </w:r>
      <w:r w:rsidRPr="00B513F4">
        <w:rPr>
          <w:sz w:val="20"/>
        </w:rPr>
        <w:t xml:space="preserve"> W</w:t>
      </w:r>
      <w:r w:rsidR="005668BA">
        <w:rPr>
          <w:sz w:val="20"/>
        </w:rPr>
        <w:t xml:space="preserve">orld </w:t>
      </w:r>
      <w:r w:rsidRPr="00B513F4">
        <w:rPr>
          <w:sz w:val="20"/>
        </w:rPr>
        <w:t>D</w:t>
      </w:r>
      <w:r w:rsidR="005668BA">
        <w:rPr>
          <w:sz w:val="20"/>
        </w:rPr>
        <w:t xml:space="preserve">evelopment </w:t>
      </w:r>
      <w:r w:rsidRPr="00B513F4">
        <w:rPr>
          <w:sz w:val="20"/>
        </w:rPr>
        <w:t>I</w:t>
      </w:r>
      <w:r w:rsidR="005668BA">
        <w:rPr>
          <w:sz w:val="20"/>
        </w:rPr>
        <w:t>ndicators</w:t>
      </w:r>
      <w:r w:rsidRPr="00B513F4">
        <w:rPr>
          <w:sz w:val="20"/>
        </w:rPr>
        <w:t xml:space="preserve"> database; </w:t>
      </w:r>
    </w:p>
    <w:p w14:paraId="0C3ABE8B" w14:textId="71BF496B" w:rsidR="00A56EDD" w:rsidRPr="00B513F4" w:rsidRDefault="005668BA" w:rsidP="005668BA">
      <w:pPr>
        <w:spacing w:after="0" w:line="240" w:lineRule="auto"/>
        <w:rPr>
          <w:sz w:val="20"/>
        </w:rPr>
      </w:pPr>
      <w:r w:rsidRPr="00026CBE">
        <w:rPr>
          <w:i/>
          <w:sz w:val="20"/>
        </w:rPr>
        <w:t>Note:</w:t>
      </w:r>
      <w:r>
        <w:rPr>
          <w:sz w:val="20"/>
        </w:rPr>
        <w:t xml:space="preserve"> </w:t>
      </w:r>
      <w:r w:rsidR="00A56EDD" w:rsidRPr="00B513F4">
        <w:rPr>
          <w:sz w:val="20"/>
        </w:rPr>
        <w:t xml:space="preserve">* </w:t>
      </w:r>
      <w:r>
        <w:rPr>
          <w:sz w:val="20"/>
        </w:rPr>
        <w:t>T</w:t>
      </w:r>
      <w:r w:rsidR="00A56EDD" w:rsidRPr="00B513F4">
        <w:rPr>
          <w:sz w:val="20"/>
        </w:rPr>
        <w:t xml:space="preserve">he earliest estimate of per capita income for South Sudan is for 2008, at a level of </w:t>
      </w:r>
      <w:r>
        <w:rPr>
          <w:sz w:val="20"/>
        </w:rPr>
        <w:t>US</w:t>
      </w:r>
      <w:r w:rsidR="00A56EDD" w:rsidRPr="00B513F4">
        <w:rPr>
          <w:sz w:val="20"/>
        </w:rPr>
        <w:t>$1</w:t>
      </w:r>
      <w:r w:rsidR="00E46E6C">
        <w:rPr>
          <w:sz w:val="20"/>
        </w:rPr>
        <w:t>,</w:t>
      </w:r>
      <w:r w:rsidR="00A56EDD" w:rsidRPr="00B513F4">
        <w:rPr>
          <w:sz w:val="20"/>
        </w:rPr>
        <w:t xml:space="preserve">674. The adult literacy rate is based on an earlier household survey and reflects the situation in the mid-2000s. </w:t>
      </w:r>
    </w:p>
    <w:p w14:paraId="44AC9ADC" w14:textId="73C0DE55" w:rsidR="00A56EDD" w:rsidRPr="00B513F4" w:rsidRDefault="00A56EDD" w:rsidP="00E46E6C">
      <w:pPr>
        <w:spacing w:before="240"/>
        <w:jc w:val="both"/>
      </w:pPr>
      <w:r w:rsidRPr="00B513F4">
        <w:t xml:space="preserve">However, the economy and the fiscal situation </w:t>
      </w:r>
      <w:r w:rsidR="00026CBE">
        <w:t>have been</w:t>
      </w:r>
      <w:r w:rsidRPr="00B513F4">
        <w:t xml:space="preserve"> extremely dependent on natural resources. Revenue from oil production has accounted for around 98 percent of total government revenue under regular oil production (240,000 b</w:t>
      </w:r>
      <w:r w:rsidR="00182E4E">
        <w:t xml:space="preserve">arrels per </w:t>
      </w:r>
      <w:r w:rsidRPr="00B513F4">
        <w:t>d</w:t>
      </w:r>
      <w:r w:rsidR="00182E4E">
        <w:t>ay</w:t>
      </w:r>
      <w:r w:rsidRPr="00B513F4">
        <w:t xml:space="preserve">). When oil production stopped in 2012, the government had to adopt stringent austerity measures and began to rapidly accumulate debt. </w:t>
      </w:r>
      <w:r>
        <w:t>In 2013, oil production resumed, but then suffered again due to the outbreak of conflict in late 2013 and consequently reduced production; and since late 2014</w:t>
      </w:r>
      <w:r w:rsidR="00D13706">
        <w:t>,</w:t>
      </w:r>
      <w:r>
        <w:t xml:space="preserve"> from the rapid decline </w:t>
      </w:r>
      <w:r w:rsidR="00D13706">
        <w:t>in</w:t>
      </w:r>
      <w:r>
        <w:t xml:space="preserve"> oil price</w:t>
      </w:r>
      <w:r w:rsidR="00D13706">
        <w:t>s</w:t>
      </w:r>
      <w:r>
        <w:t>.</w:t>
      </w:r>
      <w:r>
        <w:rPr>
          <w:rStyle w:val="FootnoteReference"/>
        </w:rPr>
        <w:footnoteReference w:id="6"/>
      </w:r>
      <w:r>
        <w:t xml:space="preserve"> </w:t>
      </w:r>
      <w:r w:rsidRPr="00B513F4">
        <w:t>Moreover, from 2020</w:t>
      </w:r>
      <w:r w:rsidR="00E46E6C">
        <w:t>,</w:t>
      </w:r>
      <w:r w:rsidRPr="00B513F4">
        <w:t xml:space="preserve"> reserves and production are expected to decline significantly unless new discoveries are made and developed.</w:t>
      </w:r>
    </w:p>
    <w:p w14:paraId="2CBDC4E3" w14:textId="5D79BA96" w:rsidR="00A56EDD" w:rsidRPr="00B513F4" w:rsidRDefault="00A56EDD" w:rsidP="00A56EDD">
      <w:pPr>
        <w:jc w:val="both"/>
      </w:pPr>
      <w:r w:rsidRPr="00B513F4">
        <w:lastRenderedPageBreak/>
        <w:t xml:space="preserve">Furthermore, the state-building dynamic coincides with challenging starting conditions for </w:t>
      </w:r>
      <w:r w:rsidRPr="002370E4">
        <w:t>nation</w:t>
      </w:r>
      <w:r w:rsidR="002370E4">
        <w:t xml:space="preserve"> </w:t>
      </w:r>
      <w:r w:rsidRPr="002370E4">
        <w:t>building</w:t>
      </w:r>
      <w:r w:rsidRPr="00B513F4">
        <w:t xml:space="preserve">, given </w:t>
      </w:r>
      <w:r w:rsidR="00D13706">
        <w:t>the</w:t>
      </w:r>
      <w:r w:rsidRPr="00B513F4">
        <w:t xml:space="preserve"> high level of ethnic-linguistic diversity on the one hand and low literacy rates on the other hand. South Sudan has around 60 different ethnic and linguistic groups in a total population of around 10 million.</w:t>
      </w:r>
      <w:r w:rsidRPr="00B513F4">
        <w:rPr>
          <w:rStyle w:val="FootnoteReference"/>
        </w:rPr>
        <w:footnoteReference w:id="7"/>
      </w:r>
      <w:r w:rsidRPr="00B513F4">
        <w:t xml:space="preserve"> Increasing literacy has typically supported nation-building due to its effect of standardizing one or two main languages.</w:t>
      </w:r>
      <w:r w:rsidRPr="00B513F4">
        <w:rPr>
          <w:rStyle w:val="FootnoteReference"/>
        </w:rPr>
        <w:footnoteReference w:id="8"/>
      </w:r>
      <w:r w:rsidRPr="00B513F4">
        <w:t xml:space="preserve"> Ethnic and linguistic diversity has also been high in Timor</w:t>
      </w:r>
      <w:r w:rsidR="00EB59B2">
        <w:t>-Leste</w:t>
      </w:r>
      <w:r w:rsidRPr="00B513F4">
        <w:t>, another recently independent state, but much lower, for example, in Kosovo with 92 percent of the population belonging to one group. Internally, South Sudan is not affected by a major religious cleavage (</w:t>
      </w:r>
      <w:r w:rsidR="0093206E">
        <w:t>for example,</w:t>
      </w:r>
      <w:r w:rsidRPr="00B513F4">
        <w:t xml:space="preserve"> between Christians and Muslims) as most groups hold Christian, </w:t>
      </w:r>
      <w:r w:rsidR="00D13706">
        <w:t>a</w:t>
      </w:r>
      <w:r w:rsidRPr="00B513F4">
        <w:t>nimist</w:t>
      </w:r>
      <w:r w:rsidR="00D13706">
        <w:t>,</w:t>
      </w:r>
      <w:r w:rsidRPr="00B513F4">
        <w:t xml:space="preserve"> or syncretic</w:t>
      </w:r>
      <w:r w:rsidR="00D13706">
        <w:t>—</w:t>
      </w:r>
      <w:r w:rsidR="0093206E">
        <w:t>that is,</w:t>
      </w:r>
      <w:r w:rsidRPr="00B513F4">
        <w:t xml:space="preserve"> mixed</w:t>
      </w:r>
      <w:r w:rsidR="00D13706">
        <w:t>—</w:t>
      </w:r>
      <w:r w:rsidRPr="00B513F4">
        <w:t>beliefs. However, the cultural norms and practices among a number of groups have evolved in ways that promote local</w:t>
      </w:r>
      <w:r w:rsidR="00D13706">
        <w:t>-</w:t>
      </w:r>
      <w:r w:rsidRPr="00B513F4">
        <w:t>level conflicts due to cattle</w:t>
      </w:r>
      <w:r w:rsidR="00D13706">
        <w:t xml:space="preserve"> </w:t>
      </w:r>
      <w:r w:rsidRPr="00B513F4">
        <w:t>raiding.</w:t>
      </w:r>
      <w:r w:rsidRPr="00B513F4">
        <w:rPr>
          <w:rStyle w:val="FootnoteReference"/>
        </w:rPr>
        <w:footnoteReference w:id="9"/>
      </w:r>
      <w:r w:rsidRPr="00B513F4">
        <w:t xml:space="preserve"> Even </w:t>
      </w:r>
      <w:r w:rsidR="00D13706">
        <w:t>before</w:t>
      </w:r>
      <w:r w:rsidRPr="00B513F4">
        <w:t xml:space="preserve"> the outbreak of a major renewed conflict in late 2013, the country experienced continuous more localized violence and up to 100,000 people were internally displaced. </w:t>
      </w:r>
    </w:p>
    <w:p w14:paraId="0736FF93" w14:textId="63A55A70" w:rsidR="00A56EDD" w:rsidRPr="00B513F4" w:rsidRDefault="00A56EDD" w:rsidP="00A56EDD">
      <w:pPr>
        <w:jc w:val="both"/>
      </w:pPr>
      <w:r w:rsidRPr="00B513F4">
        <w:t>The country’s leadership had to undergo a transformation from rebel and m</w:t>
      </w:r>
      <w:r>
        <w:t>ilitary leadership to leading a</w:t>
      </w:r>
      <w:r w:rsidRPr="00B513F4">
        <w:t xml:space="preserve"> government </w:t>
      </w:r>
      <w:r>
        <w:t xml:space="preserve">with responsibility for all policy areas </w:t>
      </w:r>
      <w:r w:rsidRPr="00B513F4">
        <w:t>(Mampilly 2011). With independence, the immediate effect of a unifying common goal and common adversary reduced, even if tense relations with Sudan remained. Sudden relative oil wealth that accompanied independence has offered one way of addressing this challenging state- and nation-building situation through co-optation of potentially violent groups (and in particular</w:t>
      </w:r>
      <w:r w:rsidR="00384220">
        <w:t>,</w:t>
      </w:r>
      <w:r w:rsidRPr="00B513F4">
        <w:t xml:space="preserve"> </w:t>
      </w:r>
      <w:r w:rsidR="008E788D">
        <w:t xml:space="preserve">the </w:t>
      </w:r>
      <w:r w:rsidRPr="00B513F4">
        <w:t>elites). The experience of South Sudan is almost ideal-typical of such co-optation as conceptualized by North</w:t>
      </w:r>
      <w:r w:rsidR="003E3941">
        <w:t xml:space="preserve"> et al.</w:t>
      </w:r>
      <w:r w:rsidRPr="00B513F4">
        <w:t xml:space="preserve"> (2013). This has primarily led to an increasing number of military staff as well as staff in the ‘organized forces’ and associated leadership positions. </w:t>
      </w:r>
    </w:p>
    <w:p w14:paraId="63F76C56" w14:textId="097918B6" w:rsidR="00A56EDD" w:rsidRPr="00B513F4" w:rsidRDefault="00A56EDD" w:rsidP="00A56EDD">
      <w:pPr>
        <w:jc w:val="both"/>
      </w:pPr>
      <w:r w:rsidRPr="00B513F4">
        <w:t xml:space="preserve">However, the approach has come under increasing strain since 2012. </w:t>
      </w:r>
      <w:r w:rsidR="008E788D">
        <w:t>The g</w:t>
      </w:r>
      <w:r w:rsidRPr="00B513F4">
        <w:t>overnment decided to stop oil production due to a dispute over the cost of oil transit through Sudan, resulting in a sudden implosion of revenue. The fiscal situation has remained strained since then</w:t>
      </w:r>
      <w:r w:rsidR="008E788D">
        <w:t>;</w:t>
      </w:r>
      <w:r w:rsidRPr="00B513F4">
        <w:t xml:space="preserve"> while oil production resumed in May 2013, </w:t>
      </w:r>
      <w:r w:rsidR="008E788D">
        <w:t xml:space="preserve">the </w:t>
      </w:r>
      <w:r w:rsidRPr="00B513F4">
        <w:t>government had accumulated significant short-term debt over 14</w:t>
      </w:r>
      <w:r w:rsidR="008E788D">
        <w:t>–</w:t>
      </w:r>
      <w:r w:rsidRPr="00B513F4">
        <w:t>15 months</w:t>
      </w:r>
      <w:r w:rsidR="008E788D">
        <w:t>,</w:t>
      </w:r>
      <w:r w:rsidRPr="00B513F4">
        <w:t xml:space="preserve"> most of which needed to be repaid or rolled over. </w:t>
      </w:r>
    </w:p>
    <w:p w14:paraId="26041974" w14:textId="7CB8CE12" w:rsidR="00A56EDD" w:rsidRPr="00B513F4" w:rsidRDefault="00A56EDD" w:rsidP="00A56EDD">
      <w:pPr>
        <w:jc w:val="both"/>
      </w:pPr>
      <w:r w:rsidRPr="00B513F4">
        <w:t>Moreover, recurrent spending on the security sector</w:t>
      </w:r>
      <w:r w:rsidR="008E788D">
        <w:t>—</w:t>
      </w:r>
      <w:r w:rsidRPr="00B513F4">
        <w:t>the military and the organized forces</w:t>
      </w:r>
      <w:r w:rsidR="008E788D">
        <w:t>—</w:t>
      </w:r>
      <w:r w:rsidRPr="00B513F4">
        <w:t>resulting from the process of co-optation has crowded o</w:t>
      </w:r>
      <w:r w:rsidR="00026CBE">
        <w:t>ut other spending</w:t>
      </w:r>
      <w:r w:rsidRPr="00B513F4">
        <w:t xml:space="preserve">. Combined with a significant level of rent seeking and corruption, this has increasingly led to disenchantment—among citizens at large as well as </w:t>
      </w:r>
      <w:r w:rsidR="008E788D">
        <w:t xml:space="preserve">the </w:t>
      </w:r>
      <w:r w:rsidRPr="00B513F4">
        <w:t xml:space="preserve">elites—with the </w:t>
      </w:r>
      <w:r w:rsidR="008E788D">
        <w:t>‘</w:t>
      </w:r>
      <w:r w:rsidRPr="00B513F4">
        <w:t>peace</w:t>
      </w:r>
      <w:r w:rsidR="008E788D">
        <w:t>’</w:t>
      </w:r>
      <w:r w:rsidRPr="00B513F4">
        <w:t xml:space="preserve"> and </w:t>
      </w:r>
      <w:r w:rsidR="008E788D">
        <w:t>‘</w:t>
      </w:r>
      <w:r w:rsidRPr="00B513F4">
        <w:t>independence</w:t>
      </w:r>
      <w:r w:rsidR="008E788D">
        <w:t>’</w:t>
      </w:r>
      <w:r w:rsidRPr="00B513F4">
        <w:t xml:space="preserve"> dividend</w:t>
      </w:r>
      <w:r w:rsidR="008E788D">
        <w:t>s</w:t>
      </w:r>
      <w:r w:rsidRPr="00B513F4">
        <w:t>. Individuals within the government have been aware of this challenge and have considered ways of reforming the SPLA and seek</w:t>
      </w:r>
      <w:r w:rsidR="00AA527F">
        <w:t>ing</w:t>
      </w:r>
      <w:r w:rsidRPr="00B513F4">
        <w:t xml:space="preserve"> a smaller and more professional security force. However, up until the outbreak of the internal conflict in late 2013, such considerations continued to be dominated by the nee</w:t>
      </w:r>
      <w:r w:rsidR="002B5CE3">
        <w:t>d to co-opt additional groups.</w:t>
      </w:r>
    </w:p>
    <w:p w14:paraId="06513470" w14:textId="4B86EE9C" w:rsidR="00A56EDD" w:rsidRPr="00B513F4" w:rsidRDefault="00A56EDD" w:rsidP="00A56EDD">
      <w:pPr>
        <w:jc w:val="both"/>
      </w:pPr>
      <w:r w:rsidRPr="00B513F4">
        <w:t xml:space="preserve">Two </w:t>
      </w:r>
      <w:r w:rsidR="00AA527F">
        <w:t>c</w:t>
      </w:r>
      <w:r w:rsidRPr="00B513F4">
        <w:t xml:space="preserve">onstitutions have been adopted to date (in 2005 and 2011), both of which have been considered as temporary/transitional, and a definitive </w:t>
      </w:r>
      <w:r w:rsidR="00AA527F">
        <w:t>c</w:t>
      </w:r>
      <w:r w:rsidRPr="00B513F4">
        <w:t xml:space="preserve">onstitution remains to be agreed. The 2011 </w:t>
      </w:r>
      <w:r w:rsidR="00AA527F">
        <w:t>t</w:t>
      </w:r>
      <w:r w:rsidRPr="00B513F4">
        <w:t xml:space="preserve">ransitional </w:t>
      </w:r>
      <w:r w:rsidR="00AA527F">
        <w:lastRenderedPageBreak/>
        <w:t>c</w:t>
      </w:r>
      <w:r w:rsidRPr="00B513F4">
        <w:t>onstitution postulates a ‘Decentralized System of Governance’ in Part 3, chapter III and in Part 11.</w:t>
      </w:r>
      <w:r w:rsidRPr="00B513F4">
        <w:rPr>
          <w:rStyle w:val="FootnoteReference"/>
        </w:rPr>
        <w:footnoteReference w:id="10"/>
      </w:r>
      <w:r w:rsidRPr="00B513F4">
        <w:t xml:space="preserve"> Part 9 sets out the basic provisions for the </w:t>
      </w:r>
      <w:r w:rsidR="006F5300">
        <w:t>c</w:t>
      </w:r>
      <w:r w:rsidRPr="00B513F4">
        <w:t xml:space="preserve">ivil </w:t>
      </w:r>
      <w:r w:rsidR="006F5300">
        <w:t>s</w:t>
      </w:r>
      <w:r w:rsidRPr="00B513F4">
        <w:t>ervice and para</w:t>
      </w:r>
      <w:r w:rsidR="006F5300">
        <w:t>graph</w:t>
      </w:r>
      <w:r w:rsidRPr="00B513F4">
        <w:t xml:space="preserve"> 139 (n) gives </w:t>
      </w:r>
      <w:r w:rsidR="006F5300">
        <w:t xml:space="preserve">the </w:t>
      </w:r>
      <w:r w:rsidRPr="00B513F4">
        <w:t xml:space="preserve">subnational levels of </w:t>
      </w:r>
      <w:r w:rsidR="006F5300">
        <w:t xml:space="preserve">the </w:t>
      </w:r>
      <w:r w:rsidRPr="00B513F4">
        <w:t xml:space="preserve">government the right to appoint and manage their civil servants in line with the standards set out in the constitution and relevant laws. The </w:t>
      </w:r>
      <w:r w:rsidR="00D869FB">
        <w:t>c</w:t>
      </w:r>
      <w:r w:rsidRPr="00B513F4">
        <w:t xml:space="preserve">onstitution establishes a presidential system of government with a wide scope of appointment powers allocated to the </w:t>
      </w:r>
      <w:r w:rsidR="006F5300">
        <w:t>p</w:t>
      </w:r>
      <w:r w:rsidRPr="00B513F4">
        <w:t xml:space="preserve">resident. </w:t>
      </w:r>
    </w:p>
    <w:p w14:paraId="74555020" w14:textId="7FF15174" w:rsidR="00A56EDD" w:rsidRPr="006B3C07" w:rsidRDefault="00A56EDD" w:rsidP="00A56EDD">
      <w:pPr>
        <w:jc w:val="both"/>
      </w:pPr>
      <w:r w:rsidRPr="00B513F4">
        <w:t xml:space="preserve">These country conditions affect the pursuit of public service strengthening in South Sudan. On the one hand, there is awareness of the importance of a qualified and well-functioning public service. On the other hand, there </w:t>
      </w:r>
      <w:r w:rsidR="006F5300">
        <w:t>are</w:t>
      </w:r>
      <w:r w:rsidRPr="00B513F4">
        <w:t xml:space="preserve"> only rudimentary experience and few institutional templates and building blocks for having a public service; and the experience that does exist was gained during the decades of governance </w:t>
      </w:r>
      <w:r w:rsidR="002C5C18">
        <w:t>by</w:t>
      </w:r>
      <w:r w:rsidR="002C5C18" w:rsidRPr="00B513F4">
        <w:t xml:space="preserve"> </w:t>
      </w:r>
      <w:r w:rsidR="00026CBE">
        <w:t>Sudan</w:t>
      </w:r>
      <w:r w:rsidR="006F5300">
        <w:t>—</w:t>
      </w:r>
      <w:r w:rsidRPr="00B513F4">
        <w:t>itself a country considered as having rather poor and ineffective governance. This is combined with the multiple pressures to accommodate and co-opt</w:t>
      </w:r>
      <w:r w:rsidR="00057DC8">
        <w:t>—</w:t>
      </w:r>
      <w:r w:rsidRPr="00B513F4">
        <w:t xml:space="preserve">to employ those who fought during the long </w:t>
      </w:r>
      <w:r w:rsidR="003733B5">
        <w:t>n</w:t>
      </w:r>
      <w:r w:rsidRPr="00B513F4">
        <w:t>orth-</w:t>
      </w:r>
      <w:r w:rsidR="003733B5">
        <w:t>s</w:t>
      </w:r>
      <w:r w:rsidRPr="00B513F4">
        <w:t xml:space="preserve">outh war as well as current rebel groups, and to offer at least some tangible benefits to various ethnic groups </w:t>
      </w:r>
      <w:r w:rsidR="00057DC8">
        <w:t>through</w:t>
      </w:r>
      <w:r w:rsidR="00057DC8" w:rsidRPr="00B513F4">
        <w:t xml:space="preserve"> </w:t>
      </w:r>
      <w:r w:rsidRPr="00B513F4">
        <w:t xml:space="preserve">public sector employment. As section 5 describes, despite these multiple challenges, some progress has been made with regard to gradually organizing a recognizable public service. Country drivers are such that it will remain challenging to continue this process; and there are continued major risks related to the recurrence of conflict </w:t>
      </w:r>
      <w:r>
        <w:t xml:space="preserve">and </w:t>
      </w:r>
      <w:r w:rsidRPr="00B513F4">
        <w:t xml:space="preserve">crowding out of civilian public service by the high cost of security sector spending. </w:t>
      </w:r>
    </w:p>
    <w:p w14:paraId="07EFD89C" w14:textId="77777777" w:rsidR="00A56EDD" w:rsidRPr="00B513F4" w:rsidRDefault="00A56EDD" w:rsidP="00A56EDD">
      <w:pPr>
        <w:pStyle w:val="Heading3"/>
      </w:pPr>
      <w:bookmarkStart w:id="8" w:name="_Toc447892390"/>
      <w:r w:rsidRPr="00B513F4">
        <w:t>2.2 Overall government effectiveness and governance challenges</w:t>
      </w:r>
      <w:bookmarkEnd w:id="8"/>
    </w:p>
    <w:p w14:paraId="17558B40" w14:textId="51B970A0" w:rsidR="00A56EDD" w:rsidRPr="00B513F4" w:rsidRDefault="00A56EDD" w:rsidP="00920A85">
      <w:pPr>
        <w:jc w:val="both"/>
      </w:pPr>
      <w:r w:rsidRPr="00B513F4">
        <w:t xml:space="preserve">As discussed in </w:t>
      </w:r>
      <w:r w:rsidR="00057DC8">
        <w:t>s</w:t>
      </w:r>
      <w:r w:rsidRPr="00B513F4">
        <w:t>ection 1, the purpose o</w:t>
      </w:r>
      <w:r w:rsidR="00026CBE">
        <w:t xml:space="preserve">f this note is not to provide an overall </w:t>
      </w:r>
      <w:r w:rsidRPr="00B513F4">
        <w:t xml:space="preserve">analysis of governance challenges affecting the public sector in South Sudan. However, it is crucial to briefly map out some of the key governance issues at play, as these are a part of the conditions under which civil service reform efforts must take place, and addressing these challenges is part of the object of such reform efforts. </w:t>
      </w:r>
    </w:p>
    <w:p w14:paraId="47CBE107" w14:textId="58BDADEC" w:rsidR="00A56EDD" w:rsidRPr="00B513F4" w:rsidRDefault="00A56EDD" w:rsidP="00A56EDD">
      <w:pPr>
        <w:pStyle w:val="ListParagraph"/>
        <w:ind w:left="0"/>
        <w:jc w:val="both"/>
      </w:pPr>
      <w:r w:rsidRPr="00B513F4">
        <w:t xml:space="preserve">Available indicators for the immediate post-independence period show that the overall quality of public sector management in South Sudan is among the lowest in the Africa region. </w:t>
      </w:r>
      <w:r w:rsidR="00057DC8">
        <w:fldChar w:fldCharType="begin"/>
      </w:r>
      <w:r w:rsidR="00057DC8">
        <w:instrText xml:space="preserve"> REF _Ref447286582 \h </w:instrText>
      </w:r>
      <w:r w:rsidR="00057DC8">
        <w:fldChar w:fldCharType="separate"/>
      </w:r>
      <w:r w:rsidR="00057DC8">
        <w:t xml:space="preserve">Table </w:t>
      </w:r>
      <w:r w:rsidR="00057DC8">
        <w:rPr>
          <w:noProof/>
        </w:rPr>
        <w:t>3</w:t>
      </w:r>
      <w:r w:rsidR="00057DC8">
        <w:fldChar w:fldCharType="end"/>
      </w:r>
      <w:r w:rsidRPr="00B513F4">
        <w:t xml:space="preserve"> and </w:t>
      </w:r>
      <w:r w:rsidR="00057DC8">
        <w:fldChar w:fldCharType="begin"/>
      </w:r>
      <w:r w:rsidR="00057DC8">
        <w:instrText xml:space="preserve"> REF _Ref447286599 \h </w:instrText>
      </w:r>
      <w:r w:rsidR="00057DC8">
        <w:fldChar w:fldCharType="separate"/>
      </w:r>
      <w:r w:rsidR="00057DC8">
        <w:t xml:space="preserve">figure </w:t>
      </w:r>
      <w:r w:rsidR="00057DC8">
        <w:rPr>
          <w:noProof/>
        </w:rPr>
        <w:t>2</w:t>
      </w:r>
      <w:r w:rsidR="00057DC8">
        <w:fldChar w:fldCharType="end"/>
      </w:r>
      <w:r w:rsidRPr="00B513F4">
        <w:t xml:space="preserve"> show the</w:t>
      </w:r>
      <w:r w:rsidR="00026CBE">
        <w:t xml:space="preserve"> Country Policy and Institutional Assessment</w:t>
      </w:r>
      <w:r w:rsidRPr="00B513F4">
        <w:t xml:space="preserve"> </w:t>
      </w:r>
      <w:r w:rsidR="00026CBE">
        <w:t>(</w:t>
      </w:r>
      <w:r w:rsidRPr="00B513F4">
        <w:t>CPIA</w:t>
      </w:r>
      <w:r w:rsidR="00026CBE">
        <w:t>)</w:t>
      </w:r>
      <w:r w:rsidRPr="00B513F4">
        <w:t xml:space="preserve"> comparisons and selected Worldwide Governance Indicators </w:t>
      </w:r>
      <w:r w:rsidR="00A578D8">
        <w:t xml:space="preserve">(WGI) </w:t>
      </w:r>
      <w:r w:rsidRPr="00B513F4">
        <w:t>for South Sudan compared to the S</w:t>
      </w:r>
      <w:r w:rsidR="003346EA">
        <w:t>ub-</w:t>
      </w:r>
      <w:r w:rsidRPr="00B513F4">
        <w:t>S</w:t>
      </w:r>
      <w:r w:rsidR="003346EA">
        <w:t xml:space="preserve">aharan </w:t>
      </w:r>
      <w:r w:rsidRPr="00B513F4">
        <w:t>A</w:t>
      </w:r>
      <w:r w:rsidR="003346EA">
        <w:t>frica</w:t>
      </w:r>
      <w:r w:rsidRPr="00B513F4">
        <w:t xml:space="preserve"> region. </w:t>
      </w:r>
    </w:p>
    <w:p w14:paraId="7384AE05" w14:textId="5E602E0E" w:rsidR="00A56EDD" w:rsidRPr="00B513F4" w:rsidRDefault="00A56EDD" w:rsidP="00A56EDD">
      <w:pPr>
        <w:jc w:val="both"/>
      </w:pPr>
      <w:r w:rsidRPr="00B513F4">
        <w:t xml:space="preserve">In principle, low government effectiveness is to be expected in an early postconflict situation, and as </w:t>
      </w:r>
      <w:r w:rsidR="009541B8">
        <w:fldChar w:fldCharType="begin"/>
      </w:r>
      <w:r w:rsidR="009541B8">
        <w:instrText xml:space="preserve"> REF _Ref447286599 \h </w:instrText>
      </w:r>
      <w:r w:rsidR="009541B8">
        <w:fldChar w:fldCharType="separate"/>
      </w:r>
      <w:r w:rsidR="009541B8">
        <w:t xml:space="preserve">figure </w:t>
      </w:r>
      <w:r w:rsidR="009541B8">
        <w:rPr>
          <w:noProof/>
        </w:rPr>
        <w:t>2</w:t>
      </w:r>
      <w:r w:rsidR="009541B8">
        <w:fldChar w:fldCharType="end"/>
      </w:r>
      <w:r w:rsidRPr="00B513F4">
        <w:t xml:space="preserve"> indicates, there was some early positive development of initial improvements in governance (between </w:t>
      </w:r>
      <w:r w:rsidR="002B5CE3">
        <w:t xml:space="preserve">the rating for 2011 and 2012). </w:t>
      </w:r>
      <w:r w:rsidR="00FB7FB5">
        <w:fldChar w:fldCharType="begin"/>
      </w:r>
      <w:r w:rsidR="00FB7FB5">
        <w:instrText xml:space="preserve"> REF _Ref447287128 \h </w:instrText>
      </w:r>
      <w:r w:rsidR="00FB7FB5">
        <w:fldChar w:fldCharType="separate"/>
      </w:r>
      <w:r w:rsidR="00FB7FB5">
        <w:t xml:space="preserve">Figure </w:t>
      </w:r>
      <w:r w:rsidR="00FB7FB5">
        <w:rPr>
          <w:noProof/>
        </w:rPr>
        <w:t>3</w:t>
      </w:r>
      <w:r w:rsidR="00FB7FB5">
        <w:fldChar w:fldCharType="end"/>
      </w:r>
      <w:r w:rsidRPr="00B513F4">
        <w:t xml:space="preserve"> captures the evolution of governance indicators for Liberia and Rwanda. As show</w:t>
      </w:r>
      <w:r w:rsidR="00FB7FB5">
        <w:t>n</w:t>
      </w:r>
      <w:r w:rsidRPr="00B513F4">
        <w:t xml:space="preserve">, in five-year increments, both countries made significant gains. The case of Liberia, which started from a very low point, is similar to that of South Sudan when it was included in the </w:t>
      </w:r>
      <w:r w:rsidR="00A578D8">
        <w:t xml:space="preserve">WGI </w:t>
      </w:r>
      <w:r w:rsidRPr="00B513F4">
        <w:t>index for the first time in 2011.</w:t>
      </w:r>
      <w:r w:rsidRPr="00B513F4">
        <w:rPr>
          <w:rStyle w:val="FootnoteReference"/>
        </w:rPr>
        <w:footnoteReference w:id="11"/>
      </w:r>
      <w:r w:rsidRPr="00B513F4">
        <w:t xml:space="preserve"> The risk, as described in the previous section, is a postconflict country </w:t>
      </w:r>
      <w:r w:rsidR="00CE149A">
        <w:t>getting</w:t>
      </w:r>
      <w:r w:rsidRPr="00B513F4">
        <w:t xml:space="preserve"> trapped in a low</w:t>
      </w:r>
      <w:r w:rsidR="00CE149A">
        <w:t>-</w:t>
      </w:r>
      <w:r w:rsidRPr="00B513F4">
        <w:t xml:space="preserve">level equilibrium, either because progress toward greater state resilience is </w:t>
      </w:r>
      <w:r w:rsidRPr="00B513F4">
        <w:lastRenderedPageBreak/>
        <w:t xml:space="preserve">stymied altogether or because periods of incremental progress are followed by periods of substantial backsliding. </w:t>
      </w:r>
    </w:p>
    <w:p w14:paraId="70C4EB4A" w14:textId="77777777" w:rsidR="00920A85" w:rsidRDefault="00920A85" w:rsidP="00920A85">
      <w:pPr>
        <w:pStyle w:val="Caption"/>
        <w:keepNext/>
      </w:pPr>
      <w:bookmarkStart w:id="9" w:name="_Ref447286582"/>
      <w:r>
        <w:t xml:space="preserve">Table </w:t>
      </w:r>
      <w:fldSimple w:instr=" SEQ Table \* ARABIC ">
        <w:r w:rsidR="00FA6F6C">
          <w:rPr>
            <w:noProof/>
          </w:rPr>
          <w:t>3</w:t>
        </w:r>
      </w:fldSimple>
      <w:bookmarkEnd w:id="9"/>
      <w:r>
        <w:t xml:space="preserve">. </w:t>
      </w:r>
      <w:r w:rsidRPr="001529DA">
        <w:t>CPIA 2012 and 2013</w:t>
      </w:r>
    </w:p>
    <w:tbl>
      <w:tblPr>
        <w:tblStyle w:val="TableGrid"/>
        <w:tblW w:w="973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628"/>
        <w:gridCol w:w="868"/>
        <w:gridCol w:w="869"/>
        <w:gridCol w:w="868"/>
        <w:gridCol w:w="869"/>
        <w:gridCol w:w="868"/>
        <w:gridCol w:w="869"/>
        <w:gridCol w:w="999"/>
        <w:gridCol w:w="900"/>
      </w:tblGrid>
      <w:tr w:rsidR="00A56EDD" w:rsidRPr="00C904C6" w14:paraId="2C523CDA" w14:textId="77777777" w:rsidTr="00BD0745">
        <w:trPr>
          <w:trHeight w:val="1098"/>
          <w:tblHeader/>
        </w:trPr>
        <w:tc>
          <w:tcPr>
            <w:tcW w:w="2628" w:type="dxa"/>
          </w:tcPr>
          <w:p w14:paraId="4D83794E" w14:textId="77777777" w:rsidR="00A56EDD" w:rsidRPr="00C904C6" w:rsidRDefault="00A56EDD" w:rsidP="00C904C6">
            <w:pPr>
              <w:spacing w:after="0" w:line="240" w:lineRule="auto"/>
              <w:rPr>
                <w:b/>
                <w:sz w:val="20"/>
                <w:szCs w:val="20"/>
              </w:rPr>
            </w:pPr>
          </w:p>
        </w:tc>
        <w:tc>
          <w:tcPr>
            <w:tcW w:w="1737" w:type="dxa"/>
            <w:gridSpan w:val="2"/>
          </w:tcPr>
          <w:p w14:paraId="47D19641" w14:textId="76C9D38D" w:rsidR="00A56EDD" w:rsidRPr="00C904C6" w:rsidRDefault="00A56EDD" w:rsidP="00B959C4">
            <w:pPr>
              <w:spacing w:after="0" w:line="240" w:lineRule="auto"/>
              <w:jc w:val="center"/>
              <w:rPr>
                <w:rFonts w:cs="Arial"/>
                <w:b/>
                <w:sz w:val="20"/>
                <w:szCs w:val="20"/>
              </w:rPr>
            </w:pPr>
            <w:r w:rsidRPr="00C904C6">
              <w:rPr>
                <w:rFonts w:cs="Arial"/>
                <w:b/>
                <w:sz w:val="20"/>
                <w:szCs w:val="20"/>
              </w:rPr>
              <w:t xml:space="preserve">Quality of </w:t>
            </w:r>
            <w:r w:rsidR="00F84B99">
              <w:rPr>
                <w:rFonts w:cs="Arial"/>
                <w:b/>
                <w:sz w:val="20"/>
                <w:szCs w:val="20"/>
              </w:rPr>
              <w:t>p</w:t>
            </w:r>
            <w:r w:rsidRPr="00C904C6">
              <w:rPr>
                <w:rFonts w:cs="Arial"/>
                <w:b/>
                <w:sz w:val="20"/>
                <w:szCs w:val="20"/>
              </w:rPr>
              <w:t xml:space="preserve">ublic </w:t>
            </w:r>
            <w:r w:rsidR="00F84B99">
              <w:rPr>
                <w:rFonts w:cs="Arial"/>
                <w:b/>
                <w:sz w:val="20"/>
                <w:szCs w:val="20"/>
              </w:rPr>
              <w:t>a</w:t>
            </w:r>
            <w:r w:rsidRPr="00C904C6">
              <w:rPr>
                <w:rFonts w:cs="Arial"/>
                <w:b/>
                <w:sz w:val="20"/>
                <w:szCs w:val="20"/>
              </w:rPr>
              <w:t>dmin</w:t>
            </w:r>
            <w:r w:rsidR="00F84B99">
              <w:rPr>
                <w:rFonts w:cs="Arial"/>
                <w:b/>
                <w:sz w:val="20"/>
                <w:szCs w:val="20"/>
              </w:rPr>
              <w:t>istration</w:t>
            </w:r>
          </w:p>
        </w:tc>
        <w:tc>
          <w:tcPr>
            <w:tcW w:w="1737" w:type="dxa"/>
            <w:gridSpan w:val="2"/>
          </w:tcPr>
          <w:p w14:paraId="4E7E0B30" w14:textId="4E54D989" w:rsidR="00A56EDD" w:rsidRPr="00C904C6" w:rsidRDefault="00A56EDD" w:rsidP="00474A0D">
            <w:pPr>
              <w:spacing w:after="0" w:line="240" w:lineRule="auto"/>
              <w:jc w:val="center"/>
              <w:rPr>
                <w:rFonts w:cs="Arial"/>
                <w:b/>
                <w:sz w:val="20"/>
                <w:szCs w:val="20"/>
              </w:rPr>
            </w:pPr>
            <w:r w:rsidRPr="00C904C6">
              <w:rPr>
                <w:rFonts w:cs="Arial"/>
                <w:b/>
                <w:sz w:val="20"/>
                <w:szCs w:val="20"/>
              </w:rPr>
              <w:t xml:space="preserve">Transparency, </w:t>
            </w:r>
            <w:r w:rsidR="00F84B99">
              <w:rPr>
                <w:rFonts w:cs="Arial"/>
                <w:b/>
                <w:sz w:val="20"/>
                <w:szCs w:val="20"/>
              </w:rPr>
              <w:t>a</w:t>
            </w:r>
            <w:r w:rsidRPr="00C904C6">
              <w:rPr>
                <w:rFonts w:cs="Arial"/>
                <w:b/>
                <w:sz w:val="20"/>
                <w:szCs w:val="20"/>
              </w:rPr>
              <w:t>ccount</w:t>
            </w:r>
            <w:r w:rsidR="00F84B99">
              <w:rPr>
                <w:rFonts w:cs="Arial"/>
                <w:b/>
                <w:sz w:val="20"/>
                <w:szCs w:val="20"/>
              </w:rPr>
              <w:t>ability</w:t>
            </w:r>
            <w:r w:rsidRPr="00C904C6">
              <w:rPr>
                <w:rFonts w:cs="Arial"/>
                <w:b/>
                <w:sz w:val="20"/>
                <w:szCs w:val="20"/>
              </w:rPr>
              <w:t xml:space="preserve"> </w:t>
            </w:r>
            <w:r w:rsidR="00F84B99">
              <w:rPr>
                <w:rFonts w:cs="Arial"/>
                <w:b/>
                <w:sz w:val="20"/>
                <w:szCs w:val="20"/>
              </w:rPr>
              <w:t>and</w:t>
            </w:r>
            <w:r w:rsidRPr="00C904C6">
              <w:rPr>
                <w:rFonts w:cs="Arial"/>
                <w:b/>
                <w:sz w:val="20"/>
                <w:szCs w:val="20"/>
              </w:rPr>
              <w:t xml:space="preserve"> </w:t>
            </w:r>
            <w:r w:rsidR="00F84B99">
              <w:rPr>
                <w:rFonts w:cs="Arial"/>
                <w:b/>
                <w:sz w:val="20"/>
                <w:szCs w:val="20"/>
              </w:rPr>
              <w:t>c</w:t>
            </w:r>
            <w:r w:rsidRPr="00C904C6">
              <w:rPr>
                <w:rFonts w:cs="Arial"/>
                <w:b/>
                <w:sz w:val="20"/>
                <w:szCs w:val="20"/>
              </w:rPr>
              <w:t>orrup</w:t>
            </w:r>
            <w:r w:rsidR="00F84B99">
              <w:rPr>
                <w:rFonts w:cs="Arial"/>
                <w:b/>
                <w:sz w:val="20"/>
                <w:szCs w:val="20"/>
              </w:rPr>
              <w:t>tion</w:t>
            </w:r>
            <w:r w:rsidRPr="00C904C6">
              <w:rPr>
                <w:rFonts w:cs="Arial"/>
                <w:b/>
                <w:sz w:val="20"/>
                <w:szCs w:val="20"/>
              </w:rPr>
              <w:t xml:space="preserve"> in </w:t>
            </w:r>
            <w:r w:rsidR="00F84B99">
              <w:rPr>
                <w:rFonts w:cs="Arial"/>
                <w:b/>
                <w:sz w:val="20"/>
                <w:szCs w:val="20"/>
              </w:rPr>
              <w:t>the p</w:t>
            </w:r>
            <w:r w:rsidRPr="00C904C6">
              <w:rPr>
                <w:rFonts w:cs="Arial"/>
                <w:b/>
                <w:sz w:val="20"/>
                <w:szCs w:val="20"/>
              </w:rPr>
              <w:t>ub</w:t>
            </w:r>
            <w:r w:rsidR="00F84B99">
              <w:rPr>
                <w:rFonts w:cs="Arial"/>
                <w:b/>
                <w:sz w:val="20"/>
                <w:szCs w:val="20"/>
              </w:rPr>
              <w:t>lic</w:t>
            </w:r>
            <w:r w:rsidRPr="00C904C6">
              <w:rPr>
                <w:rFonts w:cs="Arial"/>
                <w:b/>
                <w:sz w:val="20"/>
                <w:szCs w:val="20"/>
              </w:rPr>
              <w:t xml:space="preserve"> </w:t>
            </w:r>
            <w:r w:rsidR="00F84B99">
              <w:rPr>
                <w:rFonts w:cs="Arial"/>
                <w:b/>
                <w:sz w:val="20"/>
                <w:szCs w:val="20"/>
              </w:rPr>
              <w:t>s</w:t>
            </w:r>
            <w:r w:rsidRPr="00C904C6">
              <w:rPr>
                <w:rFonts w:cs="Arial"/>
                <w:b/>
                <w:sz w:val="20"/>
                <w:szCs w:val="20"/>
              </w:rPr>
              <w:t>ec</w:t>
            </w:r>
            <w:r w:rsidR="00F84B99">
              <w:rPr>
                <w:rFonts w:cs="Arial"/>
                <w:b/>
                <w:sz w:val="20"/>
                <w:szCs w:val="20"/>
              </w:rPr>
              <w:t>tor</w:t>
            </w:r>
          </w:p>
        </w:tc>
        <w:tc>
          <w:tcPr>
            <w:tcW w:w="1737" w:type="dxa"/>
            <w:gridSpan w:val="2"/>
          </w:tcPr>
          <w:p w14:paraId="54800687" w14:textId="77777777" w:rsidR="00A56EDD" w:rsidRPr="00C904C6" w:rsidRDefault="00A56EDD" w:rsidP="00C904C6">
            <w:pPr>
              <w:spacing w:after="0" w:line="240" w:lineRule="auto"/>
              <w:jc w:val="center"/>
              <w:rPr>
                <w:b/>
                <w:sz w:val="20"/>
                <w:szCs w:val="20"/>
              </w:rPr>
            </w:pPr>
            <w:r w:rsidRPr="00C904C6">
              <w:rPr>
                <w:b/>
                <w:sz w:val="20"/>
                <w:szCs w:val="20"/>
              </w:rPr>
              <w:t>Average for</w:t>
            </w:r>
          </w:p>
          <w:p w14:paraId="4E875DEE" w14:textId="2EEC4868" w:rsidR="00A56EDD" w:rsidRPr="00C904C6" w:rsidRDefault="00A56EDD" w:rsidP="00C904C6">
            <w:pPr>
              <w:spacing w:after="0" w:line="240" w:lineRule="auto"/>
              <w:jc w:val="center"/>
              <w:rPr>
                <w:b/>
                <w:sz w:val="20"/>
                <w:szCs w:val="20"/>
              </w:rPr>
            </w:pPr>
            <w:r w:rsidRPr="00C904C6">
              <w:rPr>
                <w:b/>
                <w:sz w:val="20"/>
                <w:szCs w:val="20"/>
              </w:rPr>
              <w:t>section D</w:t>
            </w:r>
            <w:r w:rsidR="00B00D4E">
              <w:rPr>
                <w:b/>
                <w:sz w:val="20"/>
                <w:szCs w:val="20"/>
              </w:rPr>
              <w:t xml:space="preserve"> of the CPIA*</w:t>
            </w:r>
          </w:p>
        </w:tc>
        <w:tc>
          <w:tcPr>
            <w:tcW w:w="1899" w:type="dxa"/>
            <w:gridSpan w:val="2"/>
          </w:tcPr>
          <w:p w14:paraId="3A2B5B16" w14:textId="77777777" w:rsidR="00A56EDD" w:rsidRPr="00C904C6" w:rsidRDefault="00A56EDD" w:rsidP="00C904C6">
            <w:pPr>
              <w:spacing w:after="0" w:line="240" w:lineRule="auto"/>
              <w:jc w:val="center"/>
              <w:rPr>
                <w:b/>
                <w:sz w:val="20"/>
                <w:szCs w:val="20"/>
              </w:rPr>
            </w:pPr>
            <w:r w:rsidRPr="00C904C6">
              <w:rPr>
                <w:b/>
                <w:sz w:val="20"/>
                <w:szCs w:val="20"/>
              </w:rPr>
              <w:t>Overall average CPIA</w:t>
            </w:r>
          </w:p>
        </w:tc>
      </w:tr>
      <w:tr w:rsidR="00A56EDD" w:rsidRPr="00C904C6" w14:paraId="11841904" w14:textId="77777777" w:rsidTr="00B666B5">
        <w:trPr>
          <w:trHeight w:val="413"/>
        </w:trPr>
        <w:tc>
          <w:tcPr>
            <w:tcW w:w="2628" w:type="dxa"/>
          </w:tcPr>
          <w:p w14:paraId="69F53336" w14:textId="77777777" w:rsidR="00A56EDD" w:rsidRPr="00C904C6" w:rsidRDefault="00A56EDD" w:rsidP="00C904C6">
            <w:pPr>
              <w:spacing w:after="0" w:line="240" w:lineRule="auto"/>
              <w:rPr>
                <w:sz w:val="20"/>
                <w:szCs w:val="20"/>
              </w:rPr>
            </w:pPr>
          </w:p>
        </w:tc>
        <w:tc>
          <w:tcPr>
            <w:tcW w:w="868" w:type="dxa"/>
          </w:tcPr>
          <w:p w14:paraId="7EBA8B69" w14:textId="77777777" w:rsidR="00A56EDD" w:rsidRPr="00F84B99" w:rsidRDefault="00A56EDD" w:rsidP="00C904C6">
            <w:pPr>
              <w:spacing w:after="0" w:line="240" w:lineRule="auto"/>
              <w:jc w:val="center"/>
              <w:rPr>
                <w:b/>
                <w:sz w:val="20"/>
                <w:szCs w:val="20"/>
              </w:rPr>
            </w:pPr>
            <w:r w:rsidRPr="00F84B99">
              <w:rPr>
                <w:b/>
                <w:sz w:val="20"/>
                <w:szCs w:val="20"/>
              </w:rPr>
              <w:t>2012</w:t>
            </w:r>
          </w:p>
        </w:tc>
        <w:tc>
          <w:tcPr>
            <w:tcW w:w="869" w:type="dxa"/>
          </w:tcPr>
          <w:p w14:paraId="55833175" w14:textId="77777777" w:rsidR="00A56EDD" w:rsidRPr="00F84B99" w:rsidRDefault="00A56EDD" w:rsidP="00C904C6">
            <w:pPr>
              <w:spacing w:after="0" w:line="240" w:lineRule="auto"/>
              <w:jc w:val="center"/>
              <w:rPr>
                <w:b/>
                <w:sz w:val="20"/>
                <w:szCs w:val="20"/>
              </w:rPr>
            </w:pPr>
            <w:r w:rsidRPr="00F84B99">
              <w:rPr>
                <w:b/>
                <w:sz w:val="20"/>
                <w:szCs w:val="20"/>
              </w:rPr>
              <w:t>2013</w:t>
            </w:r>
          </w:p>
        </w:tc>
        <w:tc>
          <w:tcPr>
            <w:tcW w:w="868" w:type="dxa"/>
          </w:tcPr>
          <w:p w14:paraId="250D2827" w14:textId="77777777" w:rsidR="00A56EDD" w:rsidRPr="00F84B99" w:rsidRDefault="00A56EDD" w:rsidP="00C904C6">
            <w:pPr>
              <w:spacing w:after="0" w:line="240" w:lineRule="auto"/>
              <w:jc w:val="center"/>
              <w:rPr>
                <w:b/>
                <w:sz w:val="20"/>
                <w:szCs w:val="20"/>
              </w:rPr>
            </w:pPr>
            <w:r w:rsidRPr="00F84B99">
              <w:rPr>
                <w:b/>
                <w:sz w:val="20"/>
                <w:szCs w:val="20"/>
              </w:rPr>
              <w:t>2012</w:t>
            </w:r>
          </w:p>
        </w:tc>
        <w:tc>
          <w:tcPr>
            <w:tcW w:w="869" w:type="dxa"/>
          </w:tcPr>
          <w:p w14:paraId="04CA210F" w14:textId="77777777" w:rsidR="00A56EDD" w:rsidRPr="00F84B99" w:rsidRDefault="00A56EDD" w:rsidP="00C904C6">
            <w:pPr>
              <w:spacing w:after="0" w:line="240" w:lineRule="auto"/>
              <w:jc w:val="center"/>
              <w:rPr>
                <w:b/>
                <w:sz w:val="20"/>
                <w:szCs w:val="20"/>
              </w:rPr>
            </w:pPr>
            <w:r w:rsidRPr="00F84B99">
              <w:rPr>
                <w:b/>
                <w:sz w:val="20"/>
                <w:szCs w:val="20"/>
              </w:rPr>
              <w:t>2013</w:t>
            </w:r>
          </w:p>
        </w:tc>
        <w:tc>
          <w:tcPr>
            <w:tcW w:w="868" w:type="dxa"/>
          </w:tcPr>
          <w:p w14:paraId="5962FB76" w14:textId="77777777" w:rsidR="00A56EDD" w:rsidRPr="00F84B99" w:rsidRDefault="00A56EDD" w:rsidP="00C904C6">
            <w:pPr>
              <w:spacing w:after="0" w:line="240" w:lineRule="auto"/>
              <w:jc w:val="center"/>
              <w:rPr>
                <w:b/>
                <w:sz w:val="20"/>
                <w:szCs w:val="20"/>
              </w:rPr>
            </w:pPr>
            <w:r w:rsidRPr="00F84B99">
              <w:rPr>
                <w:b/>
                <w:sz w:val="20"/>
                <w:szCs w:val="20"/>
              </w:rPr>
              <w:t>2012</w:t>
            </w:r>
          </w:p>
        </w:tc>
        <w:tc>
          <w:tcPr>
            <w:tcW w:w="869" w:type="dxa"/>
          </w:tcPr>
          <w:p w14:paraId="4555D4DA" w14:textId="77777777" w:rsidR="00A56EDD" w:rsidRPr="00F84B99" w:rsidRDefault="00A56EDD" w:rsidP="00C904C6">
            <w:pPr>
              <w:spacing w:after="0" w:line="240" w:lineRule="auto"/>
              <w:jc w:val="center"/>
              <w:rPr>
                <w:b/>
                <w:sz w:val="20"/>
                <w:szCs w:val="20"/>
              </w:rPr>
            </w:pPr>
            <w:r w:rsidRPr="00F84B99">
              <w:rPr>
                <w:b/>
                <w:sz w:val="20"/>
                <w:szCs w:val="20"/>
              </w:rPr>
              <w:t>2013</w:t>
            </w:r>
          </w:p>
        </w:tc>
        <w:tc>
          <w:tcPr>
            <w:tcW w:w="999" w:type="dxa"/>
          </w:tcPr>
          <w:p w14:paraId="08D39A1F" w14:textId="77777777" w:rsidR="00A56EDD" w:rsidRPr="00F84B99" w:rsidRDefault="00A56EDD" w:rsidP="00C904C6">
            <w:pPr>
              <w:spacing w:after="0" w:line="240" w:lineRule="auto"/>
              <w:jc w:val="center"/>
              <w:rPr>
                <w:b/>
                <w:sz w:val="20"/>
                <w:szCs w:val="20"/>
              </w:rPr>
            </w:pPr>
            <w:r w:rsidRPr="00F84B99">
              <w:rPr>
                <w:b/>
                <w:sz w:val="20"/>
                <w:szCs w:val="20"/>
              </w:rPr>
              <w:t>2012</w:t>
            </w:r>
          </w:p>
        </w:tc>
        <w:tc>
          <w:tcPr>
            <w:tcW w:w="900" w:type="dxa"/>
          </w:tcPr>
          <w:p w14:paraId="38CC5275" w14:textId="77777777" w:rsidR="00A56EDD" w:rsidRPr="00F84B99" w:rsidRDefault="00A56EDD" w:rsidP="00C904C6">
            <w:pPr>
              <w:spacing w:after="0" w:line="240" w:lineRule="auto"/>
              <w:jc w:val="center"/>
              <w:rPr>
                <w:b/>
                <w:sz w:val="20"/>
                <w:szCs w:val="20"/>
              </w:rPr>
            </w:pPr>
            <w:r w:rsidRPr="00F84B99">
              <w:rPr>
                <w:b/>
                <w:sz w:val="20"/>
                <w:szCs w:val="20"/>
              </w:rPr>
              <w:t>2013</w:t>
            </w:r>
          </w:p>
        </w:tc>
      </w:tr>
      <w:tr w:rsidR="00A56EDD" w:rsidRPr="00C904C6" w14:paraId="6129A160" w14:textId="77777777" w:rsidTr="00B666B5">
        <w:trPr>
          <w:trHeight w:val="422"/>
        </w:trPr>
        <w:tc>
          <w:tcPr>
            <w:tcW w:w="2628" w:type="dxa"/>
          </w:tcPr>
          <w:p w14:paraId="13C05F02" w14:textId="77777777" w:rsidR="00A56EDD" w:rsidRPr="00C904C6" w:rsidRDefault="00A56EDD" w:rsidP="00C904C6">
            <w:pPr>
              <w:spacing w:after="0" w:line="240" w:lineRule="auto"/>
              <w:rPr>
                <w:sz w:val="20"/>
                <w:szCs w:val="20"/>
              </w:rPr>
            </w:pPr>
            <w:r w:rsidRPr="00C904C6">
              <w:rPr>
                <w:sz w:val="20"/>
                <w:szCs w:val="20"/>
              </w:rPr>
              <w:t>South Sudan</w:t>
            </w:r>
          </w:p>
        </w:tc>
        <w:tc>
          <w:tcPr>
            <w:tcW w:w="868" w:type="dxa"/>
          </w:tcPr>
          <w:p w14:paraId="4A060501" w14:textId="0424F9D1" w:rsidR="00A56EDD" w:rsidRPr="00C904C6" w:rsidRDefault="00A56EDD" w:rsidP="00B666B5">
            <w:pPr>
              <w:spacing w:after="0" w:line="240" w:lineRule="auto"/>
              <w:jc w:val="center"/>
              <w:rPr>
                <w:sz w:val="20"/>
                <w:szCs w:val="20"/>
              </w:rPr>
            </w:pPr>
            <w:r w:rsidRPr="00C904C6">
              <w:rPr>
                <w:sz w:val="20"/>
                <w:szCs w:val="20"/>
              </w:rPr>
              <w:t>2.0</w:t>
            </w:r>
          </w:p>
        </w:tc>
        <w:tc>
          <w:tcPr>
            <w:tcW w:w="869" w:type="dxa"/>
          </w:tcPr>
          <w:p w14:paraId="63FADD57" w14:textId="77777777" w:rsidR="00A56EDD" w:rsidRPr="00C904C6" w:rsidRDefault="00A56EDD" w:rsidP="00C904C6">
            <w:pPr>
              <w:spacing w:after="0" w:line="240" w:lineRule="auto"/>
              <w:jc w:val="center"/>
              <w:rPr>
                <w:sz w:val="20"/>
                <w:szCs w:val="20"/>
              </w:rPr>
            </w:pPr>
            <w:r w:rsidRPr="00C904C6">
              <w:rPr>
                <w:sz w:val="20"/>
                <w:szCs w:val="20"/>
              </w:rPr>
              <w:t>2.0</w:t>
            </w:r>
          </w:p>
        </w:tc>
        <w:tc>
          <w:tcPr>
            <w:tcW w:w="868" w:type="dxa"/>
          </w:tcPr>
          <w:p w14:paraId="649134FD" w14:textId="06E644A0" w:rsidR="00A56EDD" w:rsidRPr="00C904C6" w:rsidRDefault="00A56EDD" w:rsidP="00B666B5">
            <w:pPr>
              <w:spacing w:after="0" w:line="240" w:lineRule="auto"/>
              <w:jc w:val="center"/>
              <w:rPr>
                <w:sz w:val="20"/>
                <w:szCs w:val="20"/>
              </w:rPr>
            </w:pPr>
            <w:r w:rsidRPr="00C904C6">
              <w:rPr>
                <w:sz w:val="20"/>
                <w:szCs w:val="20"/>
              </w:rPr>
              <w:t>2.0</w:t>
            </w:r>
          </w:p>
        </w:tc>
        <w:tc>
          <w:tcPr>
            <w:tcW w:w="869" w:type="dxa"/>
          </w:tcPr>
          <w:p w14:paraId="31AAB277" w14:textId="77777777" w:rsidR="00A56EDD" w:rsidRPr="00C904C6" w:rsidRDefault="00A56EDD" w:rsidP="00C904C6">
            <w:pPr>
              <w:spacing w:after="0" w:line="240" w:lineRule="auto"/>
              <w:jc w:val="center"/>
              <w:rPr>
                <w:sz w:val="20"/>
                <w:szCs w:val="20"/>
              </w:rPr>
            </w:pPr>
            <w:r w:rsidRPr="00C904C6">
              <w:rPr>
                <w:sz w:val="20"/>
                <w:szCs w:val="20"/>
              </w:rPr>
              <w:t>2.0</w:t>
            </w:r>
          </w:p>
        </w:tc>
        <w:tc>
          <w:tcPr>
            <w:tcW w:w="868" w:type="dxa"/>
          </w:tcPr>
          <w:p w14:paraId="7C8D4FED" w14:textId="77777777" w:rsidR="00A56EDD" w:rsidRPr="00C904C6" w:rsidRDefault="00A56EDD" w:rsidP="00C904C6">
            <w:pPr>
              <w:spacing w:after="0" w:line="240" w:lineRule="auto"/>
              <w:jc w:val="center"/>
              <w:rPr>
                <w:sz w:val="20"/>
                <w:szCs w:val="20"/>
              </w:rPr>
            </w:pPr>
            <w:r w:rsidRPr="00C904C6">
              <w:rPr>
                <w:sz w:val="20"/>
                <w:szCs w:val="20"/>
              </w:rPr>
              <w:t>2.0</w:t>
            </w:r>
          </w:p>
        </w:tc>
        <w:tc>
          <w:tcPr>
            <w:tcW w:w="869" w:type="dxa"/>
          </w:tcPr>
          <w:p w14:paraId="544028FD" w14:textId="77777777" w:rsidR="00A56EDD" w:rsidRPr="00C904C6" w:rsidRDefault="00A56EDD" w:rsidP="00C904C6">
            <w:pPr>
              <w:spacing w:after="0" w:line="240" w:lineRule="auto"/>
              <w:jc w:val="center"/>
              <w:rPr>
                <w:sz w:val="20"/>
                <w:szCs w:val="20"/>
              </w:rPr>
            </w:pPr>
            <w:r w:rsidRPr="00C904C6">
              <w:rPr>
                <w:sz w:val="20"/>
                <w:szCs w:val="20"/>
              </w:rPr>
              <w:t>2.0</w:t>
            </w:r>
          </w:p>
        </w:tc>
        <w:tc>
          <w:tcPr>
            <w:tcW w:w="999" w:type="dxa"/>
          </w:tcPr>
          <w:p w14:paraId="3C714F59" w14:textId="77777777" w:rsidR="00A56EDD" w:rsidRPr="00C904C6" w:rsidRDefault="00A56EDD" w:rsidP="00C904C6">
            <w:pPr>
              <w:spacing w:after="0" w:line="240" w:lineRule="auto"/>
              <w:jc w:val="center"/>
              <w:rPr>
                <w:sz w:val="20"/>
                <w:szCs w:val="20"/>
              </w:rPr>
            </w:pPr>
            <w:r w:rsidRPr="00C904C6">
              <w:rPr>
                <w:sz w:val="20"/>
                <w:szCs w:val="20"/>
              </w:rPr>
              <w:t>2.1</w:t>
            </w:r>
          </w:p>
        </w:tc>
        <w:tc>
          <w:tcPr>
            <w:tcW w:w="900" w:type="dxa"/>
          </w:tcPr>
          <w:p w14:paraId="61FDD036" w14:textId="77777777" w:rsidR="00A56EDD" w:rsidRPr="00C904C6" w:rsidRDefault="00A56EDD" w:rsidP="00C904C6">
            <w:pPr>
              <w:spacing w:after="0" w:line="240" w:lineRule="auto"/>
              <w:jc w:val="center"/>
              <w:rPr>
                <w:sz w:val="20"/>
                <w:szCs w:val="20"/>
              </w:rPr>
            </w:pPr>
            <w:r w:rsidRPr="00C904C6">
              <w:rPr>
                <w:sz w:val="20"/>
                <w:szCs w:val="20"/>
              </w:rPr>
              <w:t>2.1</w:t>
            </w:r>
          </w:p>
        </w:tc>
      </w:tr>
      <w:tr w:rsidR="00A56EDD" w:rsidRPr="00C904C6" w14:paraId="5BC1EB1B" w14:textId="77777777" w:rsidTr="00C904C6">
        <w:trPr>
          <w:trHeight w:val="395"/>
        </w:trPr>
        <w:tc>
          <w:tcPr>
            <w:tcW w:w="2628" w:type="dxa"/>
          </w:tcPr>
          <w:p w14:paraId="1520C016" w14:textId="5D84FFD7" w:rsidR="00A56EDD" w:rsidRPr="00C904C6" w:rsidRDefault="00A56EDD" w:rsidP="00C904C6">
            <w:pPr>
              <w:spacing w:after="0" w:line="240" w:lineRule="auto"/>
              <w:rPr>
                <w:sz w:val="20"/>
                <w:szCs w:val="20"/>
              </w:rPr>
            </w:pPr>
            <w:r w:rsidRPr="00C904C6">
              <w:rPr>
                <w:sz w:val="20"/>
                <w:szCs w:val="20"/>
              </w:rPr>
              <w:t>S</w:t>
            </w:r>
            <w:r w:rsidR="003346EA">
              <w:rPr>
                <w:sz w:val="20"/>
                <w:szCs w:val="20"/>
              </w:rPr>
              <w:t>ub-</w:t>
            </w:r>
            <w:r w:rsidRPr="00C904C6">
              <w:rPr>
                <w:sz w:val="20"/>
                <w:szCs w:val="20"/>
              </w:rPr>
              <w:t>S</w:t>
            </w:r>
            <w:r w:rsidR="003346EA">
              <w:rPr>
                <w:sz w:val="20"/>
                <w:szCs w:val="20"/>
              </w:rPr>
              <w:t xml:space="preserve">aharan </w:t>
            </w:r>
            <w:r w:rsidRPr="00C904C6">
              <w:rPr>
                <w:sz w:val="20"/>
                <w:szCs w:val="20"/>
              </w:rPr>
              <w:t>A</w:t>
            </w:r>
            <w:r w:rsidR="003346EA">
              <w:rPr>
                <w:sz w:val="20"/>
                <w:szCs w:val="20"/>
              </w:rPr>
              <w:t>frica</w:t>
            </w:r>
            <w:r w:rsidRPr="00C904C6">
              <w:rPr>
                <w:sz w:val="20"/>
                <w:szCs w:val="20"/>
              </w:rPr>
              <w:t xml:space="preserve"> regional average</w:t>
            </w:r>
          </w:p>
        </w:tc>
        <w:tc>
          <w:tcPr>
            <w:tcW w:w="868" w:type="dxa"/>
          </w:tcPr>
          <w:p w14:paraId="2475C829" w14:textId="77777777" w:rsidR="00A56EDD" w:rsidRPr="00C904C6" w:rsidRDefault="00A56EDD" w:rsidP="00C904C6">
            <w:pPr>
              <w:spacing w:after="0" w:line="240" w:lineRule="auto"/>
              <w:jc w:val="center"/>
              <w:rPr>
                <w:sz w:val="20"/>
                <w:szCs w:val="20"/>
              </w:rPr>
            </w:pPr>
            <w:r w:rsidRPr="00C904C6">
              <w:rPr>
                <w:sz w:val="20"/>
                <w:szCs w:val="20"/>
              </w:rPr>
              <w:t>2.9</w:t>
            </w:r>
          </w:p>
        </w:tc>
        <w:tc>
          <w:tcPr>
            <w:tcW w:w="869" w:type="dxa"/>
          </w:tcPr>
          <w:p w14:paraId="558CA143" w14:textId="282A4CF0" w:rsidR="00A56EDD" w:rsidRPr="00C904C6" w:rsidRDefault="00B666B5" w:rsidP="00C904C6">
            <w:pPr>
              <w:spacing w:after="0" w:line="240" w:lineRule="auto"/>
              <w:jc w:val="center"/>
              <w:rPr>
                <w:sz w:val="20"/>
                <w:szCs w:val="20"/>
              </w:rPr>
            </w:pPr>
            <w:r>
              <w:rPr>
                <w:sz w:val="20"/>
                <w:szCs w:val="20"/>
              </w:rPr>
              <w:t>–</w:t>
            </w:r>
          </w:p>
        </w:tc>
        <w:tc>
          <w:tcPr>
            <w:tcW w:w="868" w:type="dxa"/>
          </w:tcPr>
          <w:p w14:paraId="0F13756A" w14:textId="77777777" w:rsidR="00A56EDD" w:rsidRPr="00C904C6" w:rsidRDefault="00A56EDD" w:rsidP="00C904C6">
            <w:pPr>
              <w:spacing w:after="0" w:line="240" w:lineRule="auto"/>
              <w:jc w:val="center"/>
              <w:rPr>
                <w:sz w:val="20"/>
                <w:szCs w:val="20"/>
              </w:rPr>
            </w:pPr>
            <w:r w:rsidRPr="00C904C6">
              <w:rPr>
                <w:sz w:val="20"/>
                <w:szCs w:val="20"/>
              </w:rPr>
              <w:t>2.8</w:t>
            </w:r>
          </w:p>
        </w:tc>
        <w:tc>
          <w:tcPr>
            <w:tcW w:w="869" w:type="dxa"/>
          </w:tcPr>
          <w:p w14:paraId="788C1076" w14:textId="79D669CD" w:rsidR="00A56EDD" w:rsidRPr="00C904C6" w:rsidRDefault="00B666B5" w:rsidP="00C904C6">
            <w:pPr>
              <w:spacing w:after="0" w:line="240" w:lineRule="auto"/>
              <w:jc w:val="center"/>
              <w:rPr>
                <w:sz w:val="20"/>
                <w:szCs w:val="20"/>
              </w:rPr>
            </w:pPr>
            <w:r>
              <w:rPr>
                <w:sz w:val="20"/>
                <w:szCs w:val="20"/>
              </w:rPr>
              <w:t>–</w:t>
            </w:r>
          </w:p>
        </w:tc>
        <w:tc>
          <w:tcPr>
            <w:tcW w:w="868" w:type="dxa"/>
          </w:tcPr>
          <w:p w14:paraId="30607E79" w14:textId="77777777" w:rsidR="00A56EDD" w:rsidRPr="00C904C6" w:rsidRDefault="00A56EDD" w:rsidP="00C904C6">
            <w:pPr>
              <w:spacing w:after="0" w:line="240" w:lineRule="auto"/>
              <w:jc w:val="center"/>
              <w:rPr>
                <w:sz w:val="20"/>
                <w:szCs w:val="20"/>
              </w:rPr>
            </w:pPr>
            <w:r w:rsidRPr="00C904C6">
              <w:rPr>
                <w:sz w:val="20"/>
                <w:szCs w:val="20"/>
              </w:rPr>
              <w:t>3.0</w:t>
            </w:r>
          </w:p>
        </w:tc>
        <w:tc>
          <w:tcPr>
            <w:tcW w:w="869" w:type="dxa"/>
          </w:tcPr>
          <w:p w14:paraId="00E0A853" w14:textId="31A5DCC7" w:rsidR="00A56EDD" w:rsidRPr="00C904C6" w:rsidRDefault="00B666B5" w:rsidP="00C904C6">
            <w:pPr>
              <w:spacing w:after="0" w:line="240" w:lineRule="auto"/>
              <w:jc w:val="center"/>
              <w:rPr>
                <w:sz w:val="20"/>
                <w:szCs w:val="20"/>
              </w:rPr>
            </w:pPr>
            <w:r>
              <w:rPr>
                <w:sz w:val="20"/>
                <w:szCs w:val="20"/>
              </w:rPr>
              <w:t>–</w:t>
            </w:r>
          </w:p>
        </w:tc>
        <w:tc>
          <w:tcPr>
            <w:tcW w:w="999" w:type="dxa"/>
          </w:tcPr>
          <w:p w14:paraId="45A62CC1" w14:textId="77777777" w:rsidR="00A56EDD" w:rsidRPr="00C904C6" w:rsidRDefault="00A56EDD" w:rsidP="00C904C6">
            <w:pPr>
              <w:spacing w:after="0" w:line="240" w:lineRule="auto"/>
              <w:jc w:val="center"/>
              <w:rPr>
                <w:sz w:val="20"/>
                <w:szCs w:val="20"/>
              </w:rPr>
            </w:pPr>
            <w:r w:rsidRPr="00C904C6">
              <w:rPr>
                <w:sz w:val="20"/>
                <w:szCs w:val="20"/>
              </w:rPr>
              <w:t>3.2</w:t>
            </w:r>
          </w:p>
        </w:tc>
        <w:tc>
          <w:tcPr>
            <w:tcW w:w="900" w:type="dxa"/>
          </w:tcPr>
          <w:p w14:paraId="130FAF39" w14:textId="77777777" w:rsidR="00A56EDD" w:rsidRPr="00C904C6" w:rsidRDefault="00A56EDD" w:rsidP="00C904C6">
            <w:pPr>
              <w:spacing w:after="0" w:line="240" w:lineRule="auto"/>
              <w:jc w:val="center"/>
              <w:rPr>
                <w:sz w:val="20"/>
                <w:szCs w:val="20"/>
              </w:rPr>
            </w:pPr>
            <w:r w:rsidRPr="00C904C6">
              <w:rPr>
                <w:sz w:val="20"/>
                <w:szCs w:val="20"/>
              </w:rPr>
              <w:t>3.2</w:t>
            </w:r>
          </w:p>
        </w:tc>
      </w:tr>
      <w:tr w:rsidR="00A56EDD" w:rsidRPr="00C904C6" w14:paraId="445DDDE3" w14:textId="77777777" w:rsidTr="00C904C6">
        <w:trPr>
          <w:trHeight w:val="620"/>
        </w:trPr>
        <w:tc>
          <w:tcPr>
            <w:tcW w:w="2628" w:type="dxa"/>
          </w:tcPr>
          <w:p w14:paraId="39655D00" w14:textId="77777777" w:rsidR="00A56EDD" w:rsidRPr="00C904C6" w:rsidRDefault="00A56EDD" w:rsidP="00C904C6">
            <w:pPr>
              <w:spacing w:after="0" w:line="240" w:lineRule="auto"/>
              <w:rPr>
                <w:sz w:val="20"/>
                <w:szCs w:val="20"/>
              </w:rPr>
            </w:pPr>
            <w:r w:rsidRPr="00C904C6">
              <w:rPr>
                <w:sz w:val="20"/>
                <w:szCs w:val="20"/>
              </w:rPr>
              <w:t>Top performers</w:t>
            </w:r>
          </w:p>
          <w:p w14:paraId="00AD9BF3" w14:textId="43138925" w:rsidR="00A56EDD" w:rsidRPr="00C904C6" w:rsidRDefault="00A56EDD" w:rsidP="00B959C4">
            <w:pPr>
              <w:spacing w:after="0" w:line="240" w:lineRule="auto"/>
              <w:rPr>
                <w:sz w:val="20"/>
                <w:szCs w:val="20"/>
              </w:rPr>
            </w:pPr>
            <w:r w:rsidRPr="00C904C6">
              <w:rPr>
                <w:sz w:val="20"/>
                <w:szCs w:val="20"/>
              </w:rPr>
              <w:t xml:space="preserve">(Botswana, </w:t>
            </w:r>
            <w:r w:rsidR="00F84B99" w:rsidRPr="00C904C6">
              <w:rPr>
                <w:sz w:val="20"/>
                <w:szCs w:val="20"/>
              </w:rPr>
              <w:t>Ca</w:t>
            </w:r>
            <w:r w:rsidR="00F84B99">
              <w:rPr>
                <w:sz w:val="20"/>
                <w:szCs w:val="20"/>
              </w:rPr>
              <w:t>bo</w:t>
            </w:r>
            <w:r w:rsidR="00F84B99" w:rsidRPr="00C904C6">
              <w:rPr>
                <w:sz w:val="20"/>
                <w:szCs w:val="20"/>
              </w:rPr>
              <w:t xml:space="preserve"> </w:t>
            </w:r>
            <w:r w:rsidRPr="00C904C6">
              <w:rPr>
                <w:sz w:val="20"/>
                <w:szCs w:val="20"/>
              </w:rPr>
              <w:t>Verde)</w:t>
            </w:r>
          </w:p>
        </w:tc>
        <w:tc>
          <w:tcPr>
            <w:tcW w:w="868" w:type="dxa"/>
          </w:tcPr>
          <w:p w14:paraId="1F7D14BF" w14:textId="130CA120" w:rsidR="00A56EDD" w:rsidRPr="00C904C6" w:rsidRDefault="00A56EDD" w:rsidP="00B666B5">
            <w:pPr>
              <w:spacing w:after="0" w:line="240" w:lineRule="auto"/>
              <w:jc w:val="center"/>
              <w:rPr>
                <w:sz w:val="20"/>
                <w:szCs w:val="20"/>
              </w:rPr>
            </w:pPr>
            <w:r w:rsidRPr="00C904C6">
              <w:rPr>
                <w:sz w:val="20"/>
                <w:szCs w:val="20"/>
              </w:rPr>
              <w:t>4.0</w:t>
            </w:r>
          </w:p>
        </w:tc>
        <w:tc>
          <w:tcPr>
            <w:tcW w:w="869" w:type="dxa"/>
          </w:tcPr>
          <w:p w14:paraId="1C919AA6" w14:textId="5F813BE3" w:rsidR="00A56EDD" w:rsidRPr="00C904C6" w:rsidRDefault="00B666B5" w:rsidP="00C904C6">
            <w:pPr>
              <w:spacing w:after="0" w:line="240" w:lineRule="auto"/>
              <w:jc w:val="center"/>
              <w:rPr>
                <w:sz w:val="20"/>
                <w:szCs w:val="20"/>
              </w:rPr>
            </w:pPr>
            <w:r>
              <w:rPr>
                <w:sz w:val="20"/>
                <w:szCs w:val="20"/>
              </w:rPr>
              <w:t>–</w:t>
            </w:r>
          </w:p>
        </w:tc>
        <w:tc>
          <w:tcPr>
            <w:tcW w:w="868" w:type="dxa"/>
          </w:tcPr>
          <w:p w14:paraId="614C0CDF" w14:textId="668E0278" w:rsidR="00A56EDD" w:rsidRPr="00C904C6" w:rsidRDefault="00A56EDD" w:rsidP="00B666B5">
            <w:pPr>
              <w:spacing w:after="0" w:line="240" w:lineRule="auto"/>
              <w:jc w:val="center"/>
              <w:rPr>
                <w:sz w:val="20"/>
                <w:szCs w:val="20"/>
              </w:rPr>
            </w:pPr>
            <w:r w:rsidRPr="00C904C6">
              <w:rPr>
                <w:sz w:val="20"/>
                <w:szCs w:val="20"/>
              </w:rPr>
              <w:t>4.5</w:t>
            </w:r>
          </w:p>
        </w:tc>
        <w:tc>
          <w:tcPr>
            <w:tcW w:w="869" w:type="dxa"/>
          </w:tcPr>
          <w:p w14:paraId="3D96A828" w14:textId="7BE35F6F" w:rsidR="00A56EDD" w:rsidRPr="00C904C6" w:rsidRDefault="00B666B5" w:rsidP="00C904C6">
            <w:pPr>
              <w:spacing w:after="0" w:line="240" w:lineRule="auto"/>
              <w:jc w:val="center"/>
              <w:rPr>
                <w:sz w:val="20"/>
                <w:szCs w:val="20"/>
              </w:rPr>
            </w:pPr>
            <w:r>
              <w:rPr>
                <w:sz w:val="20"/>
                <w:szCs w:val="20"/>
              </w:rPr>
              <w:t>–</w:t>
            </w:r>
          </w:p>
        </w:tc>
        <w:tc>
          <w:tcPr>
            <w:tcW w:w="868" w:type="dxa"/>
          </w:tcPr>
          <w:p w14:paraId="57BDE04B" w14:textId="77777777" w:rsidR="00A56EDD" w:rsidRPr="00C904C6" w:rsidRDefault="00A56EDD" w:rsidP="00C904C6">
            <w:pPr>
              <w:spacing w:after="0" w:line="240" w:lineRule="auto"/>
              <w:jc w:val="center"/>
              <w:rPr>
                <w:sz w:val="20"/>
                <w:szCs w:val="20"/>
              </w:rPr>
            </w:pPr>
            <w:r w:rsidRPr="00C904C6">
              <w:rPr>
                <w:sz w:val="20"/>
                <w:szCs w:val="20"/>
              </w:rPr>
              <w:t>4.2</w:t>
            </w:r>
          </w:p>
        </w:tc>
        <w:tc>
          <w:tcPr>
            <w:tcW w:w="869" w:type="dxa"/>
          </w:tcPr>
          <w:p w14:paraId="2A528E51" w14:textId="699E4635" w:rsidR="00A56EDD" w:rsidRPr="00C904C6" w:rsidRDefault="00B00D4E" w:rsidP="00C904C6">
            <w:pPr>
              <w:spacing w:after="0" w:line="240" w:lineRule="auto"/>
              <w:jc w:val="center"/>
              <w:rPr>
                <w:sz w:val="20"/>
                <w:szCs w:val="20"/>
              </w:rPr>
            </w:pPr>
            <w:r>
              <w:rPr>
                <w:sz w:val="20"/>
                <w:szCs w:val="20"/>
              </w:rPr>
              <w:t>4.1</w:t>
            </w:r>
          </w:p>
        </w:tc>
        <w:tc>
          <w:tcPr>
            <w:tcW w:w="999" w:type="dxa"/>
          </w:tcPr>
          <w:p w14:paraId="3C2A7093" w14:textId="77777777" w:rsidR="00A56EDD" w:rsidRPr="00C904C6" w:rsidRDefault="00A56EDD" w:rsidP="00C904C6">
            <w:pPr>
              <w:spacing w:after="0" w:line="240" w:lineRule="auto"/>
              <w:jc w:val="center"/>
              <w:rPr>
                <w:sz w:val="20"/>
                <w:szCs w:val="20"/>
              </w:rPr>
            </w:pPr>
            <w:r w:rsidRPr="00C904C6">
              <w:rPr>
                <w:sz w:val="20"/>
                <w:szCs w:val="20"/>
              </w:rPr>
              <w:t>4.0</w:t>
            </w:r>
          </w:p>
        </w:tc>
        <w:tc>
          <w:tcPr>
            <w:tcW w:w="900" w:type="dxa"/>
          </w:tcPr>
          <w:p w14:paraId="432D8541" w14:textId="5CD11BB6" w:rsidR="00A56EDD" w:rsidRPr="00C904C6" w:rsidRDefault="00B666B5" w:rsidP="00C904C6">
            <w:pPr>
              <w:spacing w:after="0" w:line="240" w:lineRule="auto"/>
              <w:jc w:val="center"/>
              <w:rPr>
                <w:sz w:val="20"/>
                <w:szCs w:val="20"/>
              </w:rPr>
            </w:pPr>
            <w:r>
              <w:rPr>
                <w:sz w:val="20"/>
                <w:szCs w:val="20"/>
              </w:rPr>
              <w:t>–</w:t>
            </w:r>
          </w:p>
        </w:tc>
      </w:tr>
      <w:tr w:rsidR="00A56EDD" w:rsidRPr="00C904C6" w14:paraId="2D65BE62" w14:textId="77777777" w:rsidTr="00C904C6">
        <w:trPr>
          <w:trHeight w:val="620"/>
        </w:trPr>
        <w:tc>
          <w:tcPr>
            <w:tcW w:w="2628" w:type="dxa"/>
          </w:tcPr>
          <w:p w14:paraId="60162E0C" w14:textId="77777777" w:rsidR="00A56EDD" w:rsidRPr="00C904C6" w:rsidRDefault="00A56EDD" w:rsidP="00C904C6">
            <w:pPr>
              <w:spacing w:after="0" w:line="240" w:lineRule="auto"/>
              <w:rPr>
                <w:sz w:val="20"/>
                <w:szCs w:val="20"/>
              </w:rPr>
            </w:pPr>
            <w:r w:rsidRPr="00C904C6">
              <w:rPr>
                <w:sz w:val="20"/>
                <w:szCs w:val="20"/>
              </w:rPr>
              <w:t>Worst performer</w:t>
            </w:r>
          </w:p>
          <w:p w14:paraId="4DF1615E" w14:textId="77777777" w:rsidR="00A56EDD" w:rsidRPr="00C904C6" w:rsidRDefault="00A56EDD" w:rsidP="00C904C6">
            <w:pPr>
              <w:spacing w:after="0" w:line="240" w:lineRule="auto"/>
              <w:rPr>
                <w:sz w:val="20"/>
                <w:szCs w:val="20"/>
              </w:rPr>
            </w:pPr>
            <w:r w:rsidRPr="00C904C6">
              <w:rPr>
                <w:sz w:val="20"/>
                <w:szCs w:val="20"/>
              </w:rPr>
              <w:t>(Equatorial Guinea)</w:t>
            </w:r>
          </w:p>
        </w:tc>
        <w:tc>
          <w:tcPr>
            <w:tcW w:w="868" w:type="dxa"/>
          </w:tcPr>
          <w:p w14:paraId="40313947" w14:textId="77777777" w:rsidR="00A56EDD" w:rsidRPr="00C904C6" w:rsidRDefault="00A56EDD" w:rsidP="00C904C6">
            <w:pPr>
              <w:spacing w:after="0" w:line="240" w:lineRule="auto"/>
              <w:jc w:val="center"/>
              <w:rPr>
                <w:sz w:val="20"/>
                <w:szCs w:val="20"/>
              </w:rPr>
            </w:pPr>
            <w:r w:rsidRPr="00C904C6">
              <w:rPr>
                <w:sz w:val="20"/>
                <w:szCs w:val="20"/>
              </w:rPr>
              <w:t>2.0</w:t>
            </w:r>
          </w:p>
        </w:tc>
        <w:tc>
          <w:tcPr>
            <w:tcW w:w="869" w:type="dxa"/>
          </w:tcPr>
          <w:p w14:paraId="3B6F2260" w14:textId="5D20EEA8" w:rsidR="00A56EDD" w:rsidRPr="00C904C6" w:rsidRDefault="00B666B5" w:rsidP="00C904C6">
            <w:pPr>
              <w:spacing w:after="0" w:line="240" w:lineRule="auto"/>
              <w:jc w:val="center"/>
              <w:rPr>
                <w:sz w:val="20"/>
                <w:szCs w:val="20"/>
              </w:rPr>
            </w:pPr>
            <w:r>
              <w:rPr>
                <w:sz w:val="20"/>
                <w:szCs w:val="20"/>
              </w:rPr>
              <w:t>–</w:t>
            </w:r>
          </w:p>
        </w:tc>
        <w:tc>
          <w:tcPr>
            <w:tcW w:w="868" w:type="dxa"/>
          </w:tcPr>
          <w:p w14:paraId="31867E97" w14:textId="77777777" w:rsidR="00A56EDD" w:rsidRPr="00C904C6" w:rsidRDefault="00A56EDD" w:rsidP="00C904C6">
            <w:pPr>
              <w:spacing w:after="0" w:line="240" w:lineRule="auto"/>
              <w:jc w:val="center"/>
              <w:rPr>
                <w:sz w:val="20"/>
                <w:szCs w:val="20"/>
              </w:rPr>
            </w:pPr>
            <w:r w:rsidRPr="00C904C6">
              <w:rPr>
                <w:sz w:val="20"/>
                <w:szCs w:val="20"/>
              </w:rPr>
              <w:t>1.0</w:t>
            </w:r>
          </w:p>
        </w:tc>
        <w:tc>
          <w:tcPr>
            <w:tcW w:w="869" w:type="dxa"/>
          </w:tcPr>
          <w:p w14:paraId="0FB325CC" w14:textId="53707F31" w:rsidR="00A56EDD" w:rsidRPr="00C904C6" w:rsidRDefault="00B666B5" w:rsidP="00C904C6">
            <w:pPr>
              <w:spacing w:after="0" w:line="240" w:lineRule="auto"/>
              <w:jc w:val="center"/>
              <w:rPr>
                <w:sz w:val="20"/>
                <w:szCs w:val="20"/>
              </w:rPr>
            </w:pPr>
            <w:r>
              <w:rPr>
                <w:sz w:val="20"/>
                <w:szCs w:val="20"/>
              </w:rPr>
              <w:t>–</w:t>
            </w:r>
          </w:p>
        </w:tc>
        <w:tc>
          <w:tcPr>
            <w:tcW w:w="868" w:type="dxa"/>
          </w:tcPr>
          <w:p w14:paraId="66BDCCC3" w14:textId="77777777" w:rsidR="00A56EDD" w:rsidRPr="00C904C6" w:rsidRDefault="00A56EDD" w:rsidP="00C904C6">
            <w:pPr>
              <w:spacing w:after="0" w:line="240" w:lineRule="auto"/>
              <w:jc w:val="center"/>
              <w:rPr>
                <w:sz w:val="20"/>
                <w:szCs w:val="20"/>
              </w:rPr>
            </w:pPr>
            <w:r w:rsidRPr="00C904C6">
              <w:rPr>
                <w:sz w:val="20"/>
                <w:szCs w:val="20"/>
              </w:rPr>
              <w:t>1.6</w:t>
            </w:r>
          </w:p>
        </w:tc>
        <w:tc>
          <w:tcPr>
            <w:tcW w:w="869" w:type="dxa"/>
          </w:tcPr>
          <w:p w14:paraId="1A6543E3" w14:textId="1DCC64AD" w:rsidR="00A56EDD" w:rsidRPr="00C904C6" w:rsidRDefault="00B666B5" w:rsidP="00C904C6">
            <w:pPr>
              <w:spacing w:after="0" w:line="240" w:lineRule="auto"/>
              <w:jc w:val="center"/>
              <w:rPr>
                <w:sz w:val="20"/>
                <w:szCs w:val="20"/>
              </w:rPr>
            </w:pPr>
            <w:r>
              <w:rPr>
                <w:sz w:val="20"/>
                <w:szCs w:val="20"/>
              </w:rPr>
              <w:t>–</w:t>
            </w:r>
          </w:p>
        </w:tc>
        <w:tc>
          <w:tcPr>
            <w:tcW w:w="999" w:type="dxa"/>
          </w:tcPr>
          <w:p w14:paraId="39EA1649" w14:textId="77777777" w:rsidR="00A56EDD" w:rsidRPr="00C904C6" w:rsidRDefault="00A56EDD" w:rsidP="00C904C6">
            <w:pPr>
              <w:spacing w:after="0" w:line="240" w:lineRule="auto"/>
              <w:jc w:val="center"/>
              <w:rPr>
                <w:sz w:val="20"/>
                <w:szCs w:val="20"/>
              </w:rPr>
            </w:pPr>
            <w:r w:rsidRPr="00C904C6">
              <w:rPr>
                <w:sz w:val="20"/>
                <w:szCs w:val="20"/>
              </w:rPr>
              <w:t>2.2</w:t>
            </w:r>
          </w:p>
        </w:tc>
        <w:tc>
          <w:tcPr>
            <w:tcW w:w="900" w:type="dxa"/>
          </w:tcPr>
          <w:p w14:paraId="6465B88C" w14:textId="453F0D93" w:rsidR="00A56EDD" w:rsidRPr="00C904C6" w:rsidRDefault="00B666B5" w:rsidP="00C904C6">
            <w:pPr>
              <w:spacing w:after="0" w:line="240" w:lineRule="auto"/>
              <w:jc w:val="center"/>
              <w:rPr>
                <w:sz w:val="20"/>
                <w:szCs w:val="20"/>
              </w:rPr>
            </w:pPr>
            <w:r>
              <w:rPr>
                <w:sz w:val="20"/>
                <w:szCs w:val="20"/>
              </w:rPr>
              <w:t>–</w:t>
            </w:r>
          </w:p>
        </w:tc>
      </w:tr>
    </w:tbl>
    <w:p w14:paraId="3345822E" w14:textId="39A2784D" w:rsidR="00A56EDD" w:rsidRPr="006B3C07" w:rsidRDefault="00A56EDD" w:rsidP="00B00D4E">
      <w:pPr>
        <w:spacing w:after="0" w:line="240" w:lineRule="auto"/>
        <w:rPr>
          <w:sz w:val="20"/>
        </w:rPr>
      </w:pPr>
      <w:r w:rsidRPr="00B00D4E">
        <w:rPr>
          <w:i/>
          <w:sz w:val="20"/>
        </w:rPr>
        <w:t>Source:</w:t>
      </w:r>
      <w:r w:rsidRPr="00B513F4">
        <w:rPr>
          <w:sz w:val="20"/>
        </w:rPr>
        <w:t xml:space="preserve"> </w:t>
      </w:r>
      <w:r w:rsidRPr="00334F67">
        <w:rPr>
          <w:sz w:val="20"/>
        </w:rPr>
        <w:t>World</w:t>
      </w:r>
      <w:r w:rsidRPr="00B513F4">
        <w:rPr>
          <w:sz w:val="20"/>
        </w:rPr>
        <w:t xml:space="preserve"> Bank CPIA tables for 2012</w:t>
      </w:r>
      <w:r>
        <w:rPr>
          <w:sz w:val="20"/>
        </w:rPr>
        <w:t xml:space="preserve"> and 2013; Botswana is no longer included as of 2013.</w:t>
      </w:r>
      <w:r w:rsidR="00B00D4E">
        <w:rPr>
          <w:sz w:val="20"/>
        </w:rPr>
        <w:t xml:space="preserve"> * Section D covers public sector management and institutions. </w:t>
      </w:r>
    </w:p>
    <w:p w14:paraId="6DF862F2" w14:textId="71B9E6AA" w:rsidR="00C904C6" w:rsidRDefault="00C904C6" w:rsidP="00C904C6">
      <w:pPr>
        <w:pStyle w:val="Caption"/>
        <w:keepNext/>
      </w:pPr>
      <w:bookmarkStart w:id="10" w:name="_Ref447286599"/>
      <w:r>
        <w:lastRenderedPageBreak/>
        <w:t xml:space="preserve">Figure </w:t>
      </w:r>
      <w:fldSimple w:instr=" SEQ Figure \* ARABIC ">
        <w:r w:rsidR="00807923">
          <w:rPr>
            <w:noProof/>
          </w:rPr>
          <w:t>2</w:t>
        </w:r>
      </w:fldSimple>
      <w:bookmarkEnd w:id="10"/>
      <w:r>
        <w:t xml:space="preserve">. </w:t>
      </w:r>
      <w:r w:rsidRPr="00B8773A">
        <w:t xml:space="preserve">Worldwide Governance Indicators for South Sudan </w:t>
      </w:r>
      <w:r>
        <w:t>C</w:t>
      </w:r>
      <w:r w:rsidRPr="00B8773A">
        <w:t xml:space="preserve">ompared to </w:t>
      </w:r>
      <w:r>
        <w:t>R</w:t>
      </w:r>
      <w:r w:rsidRPr="00B8773A">
        <w:t xml:space="preserve">egional </w:t>
      </w:r>
      <w:r>
        <w:t>A</w:t>
      </w:r>
      <w:r w:rsidRPr="00B8773A">
        <w:t>verages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700"/>
        <w:gridCol w:w="4140"/>
      </w:tblGrid>
      <w:tr w:rsidR="00E302FE" w:rsidRPr="00B513F4" w14:paraId="223FF8B7" w14:textId="77777777" w:rsidTr="00E302FE">
        <w:trPr>
          <w:trHeight w:val="360"/>
          <w:jc w:val="center"/>
        </w:trPr>
        <w:tc>
          <w:tcPr>
            <w:tcW w:w="2520" w:type="dxa"/>
          </w:tcPr>
          <w:p w14:paraId="6B7EAA9F" w14:textId="30758E39" w:rsidR="00E302FE" w:rsidRPr="00E302FE" w:rsidRDefault="00E302FE" w:rsidP="00E302FE">
            <w:pPr>
              <w:keepNext/>
              <w:spacing w:after="0" w:line="240" w:lineRule="auto"/>
              <w:jc w:val="center"/>
              <w:rPr>
                <w:noProof/>
                <w:sz w:val="20"/>
              </w:rPr>
            </w:pPr>
            <w:r w:rsidRPr="00E302FE">
              <w:rPr>
                <w:noProof/>
                <w:sz w:val="20"/>
              </w:rPr>
              <w:t>Indicator</w:t>
            </w:r>
          </w:p>
        </w:tc>
        <w:tc>
          <w:tcPr>
            <w:tcW w:w="2700" w:type="dxa"/>
          </w:tcPr>
          <w:p w14:paraId="75649091" w14:textId="3BAE44B9" w:rsidR="00E302FE" w:rsidRPr="00E302FE" w:rsidRDefault="00E302FE" w:rsidP="00E302FE">
            <w:pPr>
              <w:keepNext/>
              <w:spacing w:after="0" w:line="240" w:lineRule="auto"/>
              <w:jc w:val="right"/>
              <w:rPr>
                <w:noProof/>
                <w:sz w:val="20"/>
              </w:rPr>
            </w:pPr>
            <w:r w:rsidRPr="00E302FE">
              <w:rPr>
                <w:noProof/>
                <w:sz w:val="20"/>
              </w:rPr>
              <w:t>Year</w:t>
            </w:r>
          </w:p>
        </w:tc>
        <w:tc>
          <w:tcPr>
            <w:tcW w:w="4140" w:type="dxa"/>
          </w:tcPr>
          <w:p w14:paraId="6CF8DCEA" w14:textId="1762058A" w:rsidR="00E302FE" w:rsidRPr="00E302FE" w:rsidRDefault="00E302FE" w:rsidP="00E302FE">
            <w:pPr>
              <w:keepNext/>
              <w:spacing w:after="0" w:line="240" w:lineRule="auto"/>
              <w:jc w:val="center"/>
              <w:rPr>
                <w:noProof/>
                <w:sz w:val="20"/>
              </w:rPr>
            </w:pPr>
            <w:r w:rsidRPr="00E302FE">
              <w:rPr>
                <w:noProof/>
                <w:sz w:val="20"/>
              </w:rPr>
              <w:t>Percentile rank</w:t>
            </w:r>
          </w:p>
        </w:tc>
      </w:tr>
      <w:tr w:rsidR="00A56EDD" w:rsidRPr="00B513F4" w14:paraId="18CF48B5" w14:textId="77777777" w:rsidTr="005130F6">
        <w:trPr>
          <w:jc w:val="center"/>
        </w:trPr>
        <w:tc>
          <w:tcPr>
            <w:tcW w:w="9360" w:type="dxa"/>
            <w:gridSpan w:val="3"/>
          </w:tcPr>
          <w:p w14:paraId="0B355A21" w14:textId="77777777" w:rsidR="00A56EDD" w:rsidRPr="00B513F4" w:rsidRDefault="00A56EDD" w:rsidP="00E302FE">
            <w:pPr>
              <w:keepNext/>
              <w:spacing w:after="0" w:line="240" w:lineRule="auto"/>
              <w:jc w:val="center"/>
              <w:rPr>
                <w:sz w:val="20"/>
              </w:rPr>
            </w:pPr>
            <w:r>
              <w:rPr>
                <w:noProof/>
              </w:rPr>
              <w:drawing>
                <wp:inline distT="0" distB="0" distL="0" distR="0" wp14:anchorId="6794A21E" wp14:editId="48B83193">
                  <wp:extent cx="5343062" cy="5670540"/>
                  <wp:effectExtent l="0" t="0" r="0" b="6985"/>
                  <wp:docPr id="55" name="Picture 55" descr="C:\Users\wb263896\AppData\Local\Microsoft\Windows\Temporary Internet Files\Content.Word\Graph_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263896\AppData\Local\Microsoft\Windows\Temporary Internet Files\Content.Word\Graph_View.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43062" cy="5670540"/>
                          </a:xfrm>
                          <a:prstGeom prst="rect">
                            <a:avLst/>
                          </a:prstGeom>
                          <a:noFill/>
                          <a:ln>
                            <a:noFill/>
                          </a:ln>
                        </pic:spPr>
                      </pic:pic>
                    </a:graphicData>
                  </a:graphic>
                </wp:inline>
              </w:drawing>
            </w:r>
          </w:p>
        </w:tc>
      </w:tr>
    </w:tbl>
    <w:p w14:paraId="6324FB61" w14:textId="6C4CAB16" w:rsidR="00A56EDD" w:rsidRPr="008B375F" w:rsidRDefault="00A56EDD" w:rsidP="00A56EDD">
      <w:pPr>
        <w:rPr>
          <w:sz w:val="20"/>
          <w:lang w:val="fr-FR"/>
        </w:rPr>
      </w:pPr>
      <w:r w:rsidRPr="008B375F">
        <w:rPr>
          <w:i/>
          <w:sz w:val="20"/>
          <w:lang w:val="fr-FR"/>
        </w:rPr>
        <w:t>Source</w:t>
      </w:r>
      <w:r w:rsidRPr="008B375F">
        <w:rPr>
          <w:sz w:val="20"/>
          <w:lang w:val="fr-FR"/>
        </w:rPr>
        <w:t xml:space="preserve">: </w:t>
      </w:r>
      <w:hyperlink r:id="rId19" w:history="1">
        <w:r w:rsidRPr="008B375F">
          <w:rPr>
            <w:rStyle w:val="Hyperlink"/>
            <w:sz w:val="20"/>
            <w:lang w:val="fr-FR"/>
          </w:rPr>
          <w:t>www.govindicators.org</w:t>
        </w:r>
      </w:hyperlink>
      <w:r w:rsidR="00B00D4E" w:rsidRPr="008B375F">
        <w:rPr>
          <w:sz w:val="20"/>
          <w:lang w:val="fr-FR"/>
        </w:rPr>
        <w:t xml:space="preserve">. </w:t>
      </w:r>
    </w:p>
    <w:p w14:paraId="0665DC29" w14:textId="63B0AEAF" w:rsidR="005130F6" w:rsidRDefault="005130F6" w:rsidP="005130F6">
      <w:pPr>
        <w:pStyle w:val="Caption"/>
        <w:keepNext/>
      </w:pPr>
      <w:bookmarkStart w:id="11" w:name="_Ref447287128"/>
      <w:r w:rsidRPr="008B375F">
        <w:rPr>
          <w:lang w:val="fr-FR"/>
        </w:rPr>
        <w:lastRenderedPageBreak/>
        <w:t xml:space="preserve">Figure </w:t>
      </w:r>
      <w:r w:rsidR="008B375F">
        <w:fldChar w:fldCharType="begin"/>
      </w:r>
      <w:r w:rsidR="008B375F" w:rsidRPr="008B375F">
        <w:rPr>
          <w:lang w:val="fr-FR"/>
        </w:rPr>
        <w:instrText xml:space="preserve"> SEQ Figure \* ARABIC </w:instrText>
      </w:r>
      <w:r w:rsidR="008B375F">
        <w:fldChar w:fldCharType="separate"/>
      </w:r>
      <w:r w:rsidR="00807923" w:rsidRPr="008B375F">
        <w:rPr>
          <w:noProof/>
          <w:lang w:val="fr-FR"/>
        </w:rPr>
        <w:t>3</w:t>
      </w:r>
      <w:r w:rsidR="008B375F">
        <w:rPr>
          <w:noProof/>
        </w:rPr>
        <w:fldChar w:fldCharType="end"/>
      </w:r>
      <w:bookmarkEnd w:id="11"/>
      <w:r w:rsidRPr="008B375F">
        <w:rPr>
          <w:lang w:val="fr-FR"/>
        </w:rPr>
        <w:t xml:space="preserve">. </w:t>
      </w:r>
      <w:r>
        <w:t>T</w:t>
      </w:r>
      <w:r w:rsidRPr="00BF1B41">
        <w:t xml:space="preserve">he Evolution of </w:t>
      </w:r>
      <w:r>
        <w:t>G</w:t>
      </w:r>
      <w:r w:rsidRPr="00BF1B41">
        <w:t xml:space="preserve">overnance </w:t>
      </w:r>
      <w:r>
        <w:t>I</w:t>
      </w:r>
      <w:r w:rsidRPr="00BF1B41">
        <w:t>ndicators for Liberia and Rwanda</w:t>
      </w:r>
    </w:p>
    <w:p w14:paraId="0CBBD5C2" w14:textId="77777777" w:rsidR="00A56EDD" w:rsidRPr="00B513F4" w:rsidRDefault="00A56EDD" w:rsidP="00BD0745">
      <w:pPr>
        <w:spacing w:after="0" w:line="240" w:lineRule="auto"/>
        <w:jc w:val="center"/>
        <w:rPr>
          <w:sz w:val="20"/>
        </w:rPr>
      </w:pPr>
      <w:r>
        <w:rPr>
          <w:noProof/>
        </w:rPr>
        <w:drawing>
          <wp:inline distT="0" distB="0" distL="0" distR="0" wp14:anchorId="152FB960" wp14:editId="62E75E4E">
            <wp:extent cx="5895975" cy="4981575"/>
            <wp:effectExtent l="0" t="0" r="9525" b="9525"/>
            <wp:docPr id="56" name="Picture 56" descr="C:\Users\wb263896\AppData\Local\Microsoft\Windows\Temporary Internet Files\Content.Word\Graph_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b263896\AppData\Local\Microsoft\Windows\Temporary Internet Files\Content.Word\Graph_View.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95975" cy="4981575"/>
                    </a:xfrm>
                    <a:prstGeom prst="rect">
                      <a:avLst/>
                    </a:prstGeom>
                    <a:noFill/>
                    <a:ln>
                      <a:noFill/>
                    </a:ln>
                  </pic:spPr>
                </pic:pic>
              </a:graphicData>
            </a:graphic>
          </wp:inline>
        </w:drawing>
      </w:r>
    </w:p>
    <w:p w14:paraId="1D04242F" w14:textId="20854DDB" w:rsidR="00A56EDD" w:rsidRPr="00B475D9" w:rsidRDefault="00A56EDD" w:rsidP="00BD0745">
      <w:pPr>
        <w:pStyle w:val="ListParagraph"/>
        <w:spacing w:after="0" w:line="240" w:lineRule="auto"/>
        <w:ind w:left="0"/>
        <w:rPr>
          <w:sz w:val="20"/>
          <w:szCs w:val="20"/>
        </w:rPr>
      </w:pPr>
      <w:r w:rsidRPr="00B475D9">
        <w:rPr>
          <w:i/>
          <w:sz w:val="20"/>
          <w:szCs w:val="20"/>
        </w:rPr>
        <w:t>Source:</w:t>
      </w:r>
      <w:r w:rsidRPr="00B475D9">
        <w:rPr>
          <w:sz w:val="20"/>
          <w:szCs w:val="20"/>
        </w:rPr>
        <w:t xml:space="preserve"> </w:t>
      </w:r>
      <w:hyperlink r:id="rId21" w:history="1">
        <w:r w:rsidRPr="00B475D9">
          <w:rPr>
            <w:rStyle w:val="Hyperlink"/>
            <w:sz w:val="20"/>
            <w:szCs w:val="20"/>
          </w:rPr>
          <w:t>www.govindicators.org</w:t>
        </w:r>
      </w:hyperlink>
      <w:r w:rsidR="00B00D4E">
        <w:rPr>
          <w:sz w:val="20"/>
          <w:szCs w:val="20"/>
        </w:rPr>
        <w:t xml:space="preserve">. </w:t>
      </w:r>
    </w:p>
    <w:p w14:paraId="42ECD519" w14:textId="28005569" w:rsidR="00A56EDD" w:rsidRPr="00B513F4" w:rsidRDefault="00A56EDD" w:rsidP="00BD0745">
      <w:pPr>
        <w:pStyle w:val="ListParagraph"/>
        <w:spacing w:before="240"/>
        <w:ind w:left="0"/>
        <w:contextualSpacing w:val="0"/>
        <w:jc w:val="both"/>
      </w:pPr>
      <w:r w:rsidRPr="00B513F4">
        <w:rPr>
          <w:b/>
        </w:rPr>
        <w:t>According to international indicators, South Sudan is one of the five most corrupt c</w:t>
      </w:r>
      <w:r>
        <w:rPr>
          <w:b/>
        </w:rPr>
        <w:t>ountries in the world as of 2014</w:t>
      </w:r>
      <w:r w:rsidRPr="00B00D4E">
        <w:rPr>
          <w:b/>
        </w:rPr>
        <w:t>.</w:t>
      </w:r>
      <w:r w:rsidRPr="00B513F4">
        <w:t xml:space="preserve"> </w:t>
      </w:r>
      <w:r>
        <w:t>Several</w:t>
      </w:r>
      <w:r w:rsidRPr="00B513F4">
        <w:t xml:space="preserve"> </w:t>
      </w:r>
      <w:r>
        <w:t>conflict</w:t>
      </w:r>
      <w:r w:rsidR="00B475D9">
        <w:t>-</w:t>
      </w:r>
      <w:r>
        <w:t xml:space="preserve"> and violence</w:t>
      </w:r>
      <w:r w:rsidR="00B475D9">
        <w:t>-</w:t>
      </w:r>
      <w:r>
        <w:t>affected</w:t>
      </w:r>
      <w:r w:rsidRPr="00B513F4">
        <w:t xml:space="preserve"> countries (Afghanistan, Iraq, Syria</w:t>
      </w:r>
      <w:r w:rsidR="00B475D9">
        <w:t>n Arab Republic</w:t>
      </w:r>
      <w:r w:rsidRPr="00B513F4">
        <w:t xml:space="preserve">, Haiti, </w:t>
      </w:r>
      <w:r w:rsidR="00B475D9">
        <w:t xml:space="preserve">and </w:t>
      </w:r>
      <w:r>
        <w:t>Somalia)</w:t>
      </w:r>
      <w:r w:rsidRPr="00B513F4">
        <w:t xml:space="preserve"> </w:t>
      </w:r>
      <w:r>
        <w:t>are near or at</w:t>
      </w:r>
      <w:r w:rsidRPr="00B513F4">
        <w:t xml:space="preserve"> </w:t>
      </w:r>
      <w:r w:rsidR="00B475D9">
        <w:t xml:space="preserve">the </w:t>
      </w:r>
      <w:r w:rsidRPr="00B513F4">
        <w:t>bottom of international comparisons on corruption. A particular challenge in South Sudan has been that the scale of funds being managed by the government accelerated rapidly from 2005 onwar</w:t>
      </w:r>
      <w:r>
        <w:t xml:space="preserve">ds, with a peak of </w:t>
      </w:r>
      <w:r w:rsidR="00406185">
        <w:t xml:space="preserve">SSP </w:t>
      </w:r>
      <w:r>
        <w:t>10</w:t>
      </w:r>
      <w:r w:rsidR="00406185">
        <w:t xml:space="preserve"> </w:t>
      </w:r>
      <w:r>
        <w:t>b</w:t>
      </w:r>
      <w:r w:rsidR="00406185">
        <w:t>illio</w:t>
      </w:r>
      <w:r>
        <w:t>n (</w:t>
      </w:r>
      <w:r w:rsidR="00CF7BB4">
        <w:t>US$</w:t>
      </w:r>
      <w:r>
        <w:t>3.3</w:t>
      </w:r>
      <w:r w:rsidR="00CF7BB4">
        <w:t xml:space="preserve"> </w:t>
      </w:r>
      <w:r w:rsidRPr="00B513F4">
        <w:t>b</w:t>
      </w:r>
      <w:r w:rsidR="00CF7BB4">
        <w:t>illio</w:t>
      </w:r>
      <w:r w:rsidRPr="00B513F4">
        <w:t>n at the official exchange rate) reached in 2011/12.</w:t>
      </w:r>
      <w:r>
        <w:rPr>
          <w:rStyle w:val="FootnoteReference"/>
        </w:rPr>
        <w:footnoteReference w:id="12"/>
      </w:r>
    </w:p>
    <w:p w14:paraId="12B7F880" w14:textId="5383D634" w:rsidR="00A56EDD" w:rsidRPr="00B513F4" w:rsidRDefault="00A56EDD" w:rsidP="00A56EDD">
      <w:pPr>
        <w:pStyle w:val="ListParagraph"/>
        <w:ind w:left="0"/>
        <w:contextualSpacing w:val="0"/>
        <w:jc w:val="both"/>
      </w:pPr>
      <w:r w:rsidRPr="00B513F4">
        <w:rPr>
          <w:b/>
        </w:rPr>
        <w:t>Public opinion surveys within South Sudan suggest worsening levels of corruption and a growing degree of public discontent</w:t>
      </w:r>
      <w:r w:rsidRPr="00B513F4">
        <w:t xml:space="preserve">, mixed with considerable approval for the government and the SPLM based on the achievement of independence. In spring 2013, nearly 60 percent of </w:t>
      </w:r>
      <w:r w:rsidR="00272F7D">
        <w:t xml:space="preserve">the </w:t>
      </w:r>
      <w:r w:rsidRPr="00B513F4">
        <w:t xml:space="preserve">respondents to a countrywide </w:t>
      </w:r>
      <w:r w:rsidRPr="00B513F4">
        <w:lastRenderedPageBreak/>
        <w:t>survey answered that government corruption had worsened over the past year (29 percent ‘worsened’</w:t>
      </w:r>
      <w:r w:rsidR="00272F7D">
        <w:t>;</w:t>
      </w:r>
      <w:r w:rsidRPr="00B513F4">
        <w:t xml:space="preserve"> 30 </w:t>
      </w:r>
      <w:r w:rsidR="00B00D4E">
        <w:t>percent ‘much worsened’) (USAID</w:t>
      </w:r>
      <w:r w:rsidR="00221C2B">
        <w:t>, ORB International, and IRI 2013,</w:t>
      </w:r>
      <w:r w:rsidRPr="00B513F4">
        <w:t xml:space="preserve"> 14). </w:t>
      </w:r>
    </w:p>
    <w:p w14:paraId="3FA52740" w14:textId="4DE2FF69" w:rsidR="00A56EDD" w:rsidRPr="00B513F4" w:rsidRDefault="00A56EDD" w:rsidP="00A56EDD">
      <w:pPr>
        <w:pStyle w:val="ListParagraph"/>
        <w:ind w:left="0"/>
        <w:contextualSpacing w:val="0"/>
        <w:jc w:val="both"/>
      </w:pPr>
      <w:r w:rsidRPr="00B513F4">
        <w:t>The most publicly visible scandal to date has been a purchasing scheme for grain. In 2008/09, South Sudan procured grain for its National Grain Reserves; but</w:t>
      </w:r>
      <w:r w:rsidR="00272F7D">
        <w:t>,</w:t>
      </w:r>
      <w:r w:rsidRPr="00B513F4">
        <w:t xml:space="preserve"> allegedly</w:t>
      </w:r>
      <w:r w:rsidR="00272F7D">
        <w:t>,</w:t>
      </w:r>
      <w:r w:rsidRPr="00B513F4">
        <w:t xml:space="preserve"> a significant share of deliveries were signed off but not actually received, while other grain was delivered but not paid for, and further </w:t>
      </w:r>
      <w:r w:rsidR="00B00D4E">
        <w:t>deliveries</w:t>
      </w:r>
      <w:r w:rsidRPr="00B513F4">
        <w:t xml:space="preserve"> were damaged en route with affected companies claiming compensation. In addition, funding was provided for grain stores and was disbursed without actual building of the stores. According to public reports, the overall losses to </w:t>
      </w:r>
      <w:r w:rsidR="008E6017">
        <w:t xml:space="preserve">the </w:t>
      </w:r>
      <w:r w:rsidRPr="00B513F4">
        <w:t xml:space="preserve">government amounted to </w:t>
      </w:r>
      <w:r w:rsidR="00CF7BB4">
        <w:t>US$</w:t>
      </w:r>
      <w:r w:rsidRPr="00B513F4">
        <w:t>2</w:t>
      </w:r>
      <w:r w:rsidR="00CF7BB4">
        <w:t xml:space="preserve"> </w:t>
      </w:r>
      <w:r w:rsidRPr="00B513F4">
        <w:t>b</w:t>
      </w:r>
      <w:r w:rsidR="00CF7BB4">
        <w:t>illio</w:t>
      </w:r>
      <w:r w:rsidRPr="00B513F4">
        <w:t xml:space="preserve">n, </w:t>
      </w:r>
      <w:r w:rsidR="008E6017">
        <w:t>which</w:t>
      </w:r>
      <w:r w:rsidR="0093206E">
        <w:t xml:space="preserve"> is</w:t>
      </w:r>
      <w:r w:rsidRPr="00B513F4">
        <w:t xml:space="preserve"> almost equivalent to </w:t>
      </w:r>
      <w:r w:rsidR="008E6017">
        <w:t xml:space="preserve">the </w:t>
      </w:r>
      <w:r w:rsidRPr="00B513F4">
        <w:t>total government revenue for 2008.</w:t>
      </w:r>
      <w:r w:rsidRPr="00B513F4">
        <w:rPr>
          <w:rStyle w:val="FootnoteReference"/>
        </w:rPr>
        <w:footnoteReference w:id="13"/>
      </w:r>
      <w:r w:rsidRPr="00B513F4">
        <w:t xml:space="preserve"> Investigations carried on until 2012, but without any convictions being made. It is also not entirely clear whether the main blame falls on private parties swindling an inexperienced and weak government, or whether there was collusion within the public sector and among multiple branches of </w:t>
      </w:r>
      <w:r w:rsidR="008E6017">
        <w:t xml:space="preserve">the </w:t>
      </w:r>
      <w:r w:rsidRPr="00B513F4">
        <w:t>government (</w:t>
      </w:r>
      <w:r w:rsidR="0093206E">
        <w:t>that is,</w:t>
      </w:r>
      <w:r w:rsidRPr="00B513F4">
        <w:t xml:space="preserve"> among </w:t>
      </w:r>
      <w:r w:rsidR="008E6017">
        <w:t xml:space="preserve">the </w:t>
      </w:r>
      <w:r w:rsidRPr="00B513F4">
        <w:t>MOFEP and state governors signing</w:t>
      </w:r>
      <w:r w:rsidR="00E853F2">
        <w:t xml:space="preserve"> off on the receipt of grain). </w:t>
      </w:r>
    </w:p>
    <w:p w14:paraId="3DDF895B" w14:textId="186D444D" w:rsidR="00A56EDD" w:rsidRPr="00B513F4" w:rsidRDefault="00A56EDD" w:rsidP="00A56EDD">
      <w:pPr>
        <w:pStyle w:val="ListParagraph"/>
        <w:ind w:left="0"/>
        <w:contextualSpacing w:val="0"/>
        <w:jc w:val="both"/>
      </w:pPr>
      <w:r w:rsidRPr="00B513F4">
        <w:rPr>
          <w:b/>
        </w:rPr>
        <w:t>Overall, in particular for 2005</w:t>
      </w:r>
      <w:r w:rsidR="00232F38">
        <w:rPr>
          <w:b/>
        </w:rPr>
        <w:t>–</w:t>
      </w:r>
      <w:r w:rsidRPr="00B513F4">
        <w:rPr>
          <w:b/>
        </w:rPr>
        <w:t>2011, there is a sense of impunity within the public sector.</w:t>
      </w:r>
      <w:r w:rsidRPr="00B513F4">
        <w:t xml:space="preserve"> It is important to note that structures and processes meant to counteract corruption were just being created during this period. The S</w:t>
      </w:r>
      <w:r w:rsidR="00232F38">
        <w:t xml:space="preserve">outh </w:t>
      </w:r>
      <w:r w:rsidRPr="00B513F4">
        <w:t>S</w:t>
      </w:r>
      <w:r w:rsidR="00232F38">
        <w:t xml:space="preserve">udan </w:t>
      </w:r>
      <w:r w:rsidRPr="00B513F4">
        <w:t>A</w:t>
      </w:r>
      <w:r w:rsidR="00232F38">
        <w:t>nti-</w:t>
      </w:r>
      <w:r w:rsidRPr="00B513F4">
        <w:t>C</w:t>
      </w:r>
      <w:r w:rsidR="00232F38">
        <w:t xml:space="preserve">orruption </w:t>
      </w:r>
      <w:r w:rsidRPr="00B513F4">
        <w:t>C</w:t>
      </w:r>
      <w:r w:rsidR="00232F38">
        <w:t>ommission</w:t>
      </w:r>
      <w:r w:rsidRPr="00B513F4">
        <w:t xml:space="preserve"> was initially established in 2006, but a dedicated Anti-Corruption Law was adopted </w:t>
      </w:r>
      <w:r w:rsidR="001F759E">
        <w:t xml:space="preserve">only </w:t>
      </w:r>
      <w:r w:rsidRPr="00B513F4">
        <w:t>in 2009</w:t>
      </w:r>
      <w:r w:rsidR="00E853F2">
        <w:t>, among other things making it responsible for the collection of asset declarations</w:t>
      </w:r>
      <w:r w:rsidRPr="00B513F4">
        <w:t>.</w:t>
      </w:r>
      <w:r w:rsidRPr="00B513F4">
        <w:rPr>
          <w:rStyle w:val="FootnoteReference"/>
        </w:rPr>
        <w:footnoteReference w:id="14"/>
      </w:r>
      <w:r w:rsidRPr="00B513F4">
        <w:t xml:space="preserve"> Similarly, a National Audit Chamber was established in the mid-2000s, but a dedicated Audit Chamber Act was passed </w:t>
      </w:r>
      <w:r w:rsidR="001F759E">
        <w:t xml:space="preserve">only </w:t>
      </w:r>
      <w:r w:rsidRPr="00B513F4">
        <w:t>in 2011. The capacity of both institutions remained relatively weak and limited</w:t>
      </w:r>
      <w:r w:rsidR="001F759E">
        <w:t>,</w:t>
      </w:r>
      <w:r w:rsidRPr="00B513F4">
        <w:t xml:space="preserve"> particular</w:t>
      </w:r>
      <w:r w:rsidR="00CA4178">
        <w:t>ly</w:t>
      </w:r>
      <w:r w:rsidRPr="00B513F4">
        <w:t xml:space="preserve"> with regard to eventual government and judicial follow</w:t>
      </w:r>
      <w:r w:rsidR="001F759E">
        <w:t>-</w:t>
      </w:r>
      <w:r w:rsidRPr="00B513F4">
        <w:t>up. Access to information has remained limited and so far is not underpinned by specific legislation. It is conceivable that</w:t>
      </w:r>
      <w:r w:rsidR="00CA4178">
        <w:t>,</w:t>
      </w:r>
      <w:r w:rsidRPr="00B513F4">
        <w:t xml:space="preserve"> over time, institutions of accountability would become stronger and gradually reduce impunity; however, this process was interrupted by the conflict </w:t>
      </w:r>
      <w:r w:rsidR="00CA4178">
        <w:t xml:space="preserve">that </w:t>
      </w:r>
      <w:r w:rsidRPr="00B513F4">
        <w:t>br</w:t>
      </w:r>
      <w:r w:rsidR="00CA4178">
        <w:t>oke</w:t>
      </w:r>
      <w:r w:rsidRPr="00B513F4">
        <w:t xml:space="preserve"> out in late 2013. </w:t>
      </w:r>
    </w:p>
    <w:p w14:paraId="43A5505C" w14:textId="03BD6176" w:rsidR="00A56EDD" w:rsidRPr="00B513F4" w:rsidRDefault="00A56EDD" w:rsidP="00A56EDD">
      <w:pPr>
        <w:pStyle w:val="ListParagraph"/>
        <w:ind w:left="0"/>
        <w:contextualSpacing w:val="0"/>
        <w:jc w:val="both"/>
      </w:pPr>
      <w:r w:rsidRPr="00B513F4">
        <w:rPr>
          <w:b/>
        </w:rPr>
        <w:t>From a political economy perspective, large-scale corruption constitutes a way to share rents with a view to managing peace among potentially violent groups</w:t>
      </w:r>
      <w:r w:rsidRPr="00B513F4">
        <w:t xml:space="preserve"> (North </w:t>
      </w:r>
      <w:r w:rsidR="00E853F2">
        <w:t>et al. 2013</w:t>
      </w:r>
      <w:r w:rsidRPr="00B513F4">
        <w:t>). However, the risk of an ‘escalating’ strategy of this kind is that it (</w:t>
      </w:r>
      <w:r w:rsidR="005A4B2C">
        <w:t>a</w:t>
      </w:r>
      <w:r w:rsidRPr="00B513F4">
        <w:t>) becomes fiscally uns</w:t>
      </w:r>
      <w:r w:rsidR="00CA4178">
        <w:t>us</w:t>
      </w:r>
      <w:r w:rsidRPr="00B513F4">
        <w:t>tainable given its scale and (</w:t>
      </w:r>
      <w:r w:rsidR="005A4B2C">
        <w:t>b</w:t>
      </w:r>
      <w:r w:rsidRPr="00B513F4">
        <w:t xml:space="preserve">) ultimately undermines state resilience by generating </w:t>
      </w:r>
      <w:r w:rsidR="00CA4178">
        <w:t>more</w:t>
      </w:r>
      <w:r w:rsidR="00CA4178" w:rsidRPr="00B513F4">
        <w:t xml:space="preserve"> </w:t>
      </w:r>
      <w:r w:rsidRPr="00B513F4">
        <w:t xml:space="preserve">discontent among citizens. With respect to public sector performance, rampant elite rent-seeking can replicate a culture of impunity and nonperformance and/or breed cynicism at </w:t>
      </w:r>
      <w:r w:rsidR="00CA4178">
        <w:t xml:space="preserve">the </w:t>
      </w:r>
      <w:r w:rsidRPr="00B513F4">
        <w:t>lower levels. A more durable approach would require scaling back the elite rent-seeking combine</w:t>
      </w:r>
      <w:r w:rsidR="00374899">
        <w:t>d</w:t>
      </w:r>
      <w:r w:rsidRPr="00B513F4">
        <w:t xml:space="preserve"> with a wider distri</w:t>
      </w:r>
      <w:r w:rsidR="002B5CE3">
        <w:t>bution of benefits to citizens.</w:t>
      </w:r>
    </w:p>
    <w:p w14:paraId="3808AD44" w14:textId="5A556B5D" w:rsidR="00A56EDD" w:rsidRPr="00B513F4" w:rsidRDefault="00A56EDD" w:rsidP="00A56EDD">
      <w:pPr>
        <w:pStyle w:val="ListParagraph"/>
        <w:ind w:left="0"/>
        <w:contextualSpacing w:val="0"/>
        <w:jc w:val="both"/>
      </w:pPr>
      <w:r w:rsidRPr="00B513F4">
        <w:rPr>
          <w:b/>
        </w:rPr>
        <w:t>With regard to public service reforms, a context of impunity is likely to make it more difficult to establish internal discipline</w:t>
      </w:r>
      <w:r w:rsidR="00374899">
        <w:rPr>
          <w:b/>
        </w:rPr>
        <w:t>,</w:t>
      </w:r>
      <w:r w:rsidRPr="00B513F4">
        <w:t xml:space="preserve"> in particular if internal cohesion is also limited, as indicated in section 5.2. Contrary to initial thinking about the relationship between corruption and public sector capacity, the relationship is </w:t>
      </w:r>
      <w:r w:rsidRPr="00B513F4">
        <w:lastRenderedPageBreak/>
        <w:t xml:space="preserve">not one-to-one, </w:t>
      </w:r>
      <w:r w:rsidR="0093206E">
        <w:t>that is,</w:t>
      </w:r>
      <w:r w:rsidRPr="00B513F4">
        <w:t xml:space="preserve"> considerable capacity and a process of civil service strengthening </w:t>
      </w:r>
      <w:r w:rsidRPr="00B513F4">
        <w:rPr>
          <w:i/>
        </w:rPr>
        <w:t>can</w:t>
      </w:r>
      <w:r w:rsidRPr="00B513F4">
        <w:t xml:space="preserve"> exist alongside a substantial degree of corruption, as is the case in several East Asian countries (see</w:t>
      </w:r>
      <w:r w:rsidR="00E04270">
        <w:t>,</w:t>
      </w:r>
      <w:r w:rsidRPr="00B513F4">
        <w:t xml:space="preserve"> </w:t>
      </w:r>
      <w:r w:rsidR="0093206E">
        <w:t>for example,</w:t>
      </w:r>
      <w:r w:rsidRPr="00B513F4">
        <w:t xml:space="preserve"> Burns 2007). However, successful cases in East Asia have combined an emphasis on meritocracy and performance with the presence of intermediate levels of corruption. Where corruption tends to be very high (such as currently in South Sudan) and incentives and accountability for performance are (very) limited, opportunities for strengthening the public service are significantly constrained.</w:t>
      </w:r>
    </w:p>
    <w:p w14:paraId="3FEBED5C" w14:textId="71E2880E" w:rsidR="00A56EDD" w:rsidRPr="00B513F4" w:rsidRDefault="00A56EDD" w:rsidP="00A56EDD">
      <w:pPr>
        <w:pStyle w:val="Heading2"/>
        <w:numPr>
          <w:ilvl w:val="0"/>
          <w:numId w:val="4"/>
        </w:numPr>
      </w:pPr>
      <w:bookmarkStart w:id="12" w:name="_Toc447892391"/>
      <w:r w:rsidRPr="00B513F4">
        <w:t xml:space="preserve">Three </w:t>
      </w:r>
      <w:r w:rsidR="00BD0745">
        <w:t>P</w:t>
      </w:r>
      <w:r w:rsidRPr="00B513F4">
        <w:t xml:space="preserve">roblems: </w:t>
      </w:r>
      <w:r w:rsidR="00BD0745">
        <w:t>A</w:t>
      </w:r>
      <w:r w:rsidRPr="00B513F4">
        <w:t xml:space="preserve"> </w:t>
      </w:r>
      <w:r w:rsidR="00BD0745">
        <w:t>H</w:t>
      </w:r>
      <w:r w:rsidRPr="00B513F4">
        <w:t xml:space="preserve">igh </w:t>
      </w:r>
      <w:r w:rsidR="00BD0745">
        <w:t>W</w:t>
      </w:r>
      <w:r w:rsidRPr="00B513F4">
        <w:t xml:space="preserve">age </w:t>
      </w:r>
      <w:r w:rsidR="00BD0745">
        <w:t>B</w:t>
      </w:r>
      <w:r w:rsidRPr="00B513F4">
        <w:t xml:space="preserve">ill, </w:t>
      </w:r>
      <w:r w:rsidR="00BD0745">
        <w:t>E</w:t>
      </w:r>
      <w:r w:rsidRPr="00B513F4">
        <w:t xml:space="preserve">roding </w:t>
      </w:r>
      <w:r w:rsidR="00BD0745">
        <w:t>P</w:t>
      </w:r>
      <w:r w:rsidRPr="00B513F4">
        <w:t xml:space="preserve">ay </w:t>
      </w:r>
      <w:r w:rsidR="00BD0745">
        <w:t>L</w:t>
      </w:r>
      <w:r w:rsidRPr="00B513F4">
        <w:t xml:space="preserve">evels, and </w:t>
      </w:r>
      <w:r w:rsidR="00BD0745">
        <w:t>L</w:t>
      </w:r>
      <w:r w:rsidRPr="00B513F4">
        <w:t xml:space="preserve">imited </w:t>
      </w:r>
      <w:r w:rsidR="00BD0745">
        <w:t>Q</w:t>
      </w:r>
      <w:r w:rsidRPr="00B513F4">
        <w:t>ualifications</w:t>
      </w:r>
      <w:bookmarkEnd w:id="12"/>
      <w:r w:rsidRPr="00B513F4">
        <w:t xml:space="preserve"> </w:t>
      </w:r>
    </w:p>
    <w:p w14:paraId="58FDAC3A" w14:textId="0CD3297A" w:rsidR="00A56EDD" w:rsidRPr="00B513F4" w:rsidRDefault="00A56EDD" w:rsidP="00A56EDD">
      <w:pPr>
        <w:jc w:val="both"/>
        <w:rPr>
          <w:sz w:val="20"/>
        </w:rPr>
      </w:pPr>
      <w:r w:rsidRPr="00B513F4">
        <w:t>A key observed problem regarding public service in South Sudan has been the (overly) large wage bill, which has amounted to between 35 and 60 percent of total public expenditures in recent years, the wide range being due to the extraordinary fiscal and economic volatility that South Sudan has experienced (</w:t>
      </w:r>
      <w:r w:rsidRPr="00644DBD">
        <w:t xml:space="preserve">World Bank </w:t>
      </w:r>
      <w:r w:rsidR="00644DBD">
        <w:t xml:space="preserve">2010, </w:t>
      </w:r>
      <w:r w:rsidRPr="00644DBD">
        <w:t>2013</w:t>
      </w:r>
      <w:r w:rsidRPr="00B513F4">
        <w:t>). Section 3.1 disaggregates the particular drivers of the high wage bill. It shows that the crucial issue is the large security sector related employment, including the army as well as the four organized forces. Wage levels are broadly in line with regional comparators, and the share of civilian public servants is at the low end. Sections 3.2 and 3.3 then describe two additional challenges facing South Sudan’s civil service. These are (</w:t>
      </w:r>
      <w:r w:rsidR="005A4B2C">
        <w:t>a</w:t>
      </w:r>
      <w:r w:rsidRPr="00B513F4">
        <w:t>) gradually eroding pay levels and (</w:t>
      </w:r>
      <w:r w:rsidR="005A4B2C">
        <w:t>b</w:t>
      </w:r>
      <w:r w:rsidRPr="00B513F4">
        <w:t xml:space="preserve">) the limited qualifications of staff. </w:t>
      </w:r>
    </w:p>
    <w:p w14:paraId="16C503B1" w14:textId="77777777" w:rsidR="00A56EDD" w:rsidRPr="00B513F4" w:rsidRDefault="00A56EDD" w:rsidP="00A56EDD">
      <w:pPr>
        <w:pStyle w:val="Heading3"/>
      </w:pPr>
      <w:bookmarkStart w:id="13" w:name="_Toc447892392"/>
      <w:r w:rsidRPr="00B513F4">
        <w:t>3.1 Fiscal cost: wage bill trends in South Sudan</w:t>
      </w:r>
      <w:bookmarkEnd w:id="13"/>
    </w:p>
    <w:p w14:paraId="1F2B4FE1" w14:textId="23833B0C" w:rsidR="00A56EDD" w:rsidRPr="00B513F4" w:rsidRDefault="00A56EDD" w:rsidP="00A56EDD">
      <w:pPr>
        <w:jc w:val="both"/>
      </w:pPr>
      <w:r w:rsidRPr="00B513F4">
        <w:t xml:space="preserve">The overall fiscal situation (revenues and expenditures) and the share of salaries in total expenditures are reflected in </w:t>
      </w:r>
      <w:r w:rsidR="00A26E28">
        <w:fldChar w:fldCharType="begin"/>
      </w:r>
      <w:r w:rsidR="00A26E28">
        <w:instrText xml:space="preserve"> REF _Ref447292984 \h </w:instrText>
      </w:r>
      <w:r w:rsidR="00A26E28">
        <w:fldChar w:fldCharType="separate"/>
      </w:r>
      <w:r w:rsidR="00A26E28">
        <w:t xml:space="preserve">figures </w:t>
      </w:r>
      <w:r w:rsidR="00A26E28">
        <w:rPr>
          <w:noProof/>
        </w:rPr>
        <w:t>4</w:t>
      </w:r>
      <w:r w:rsidR="00A26E28">
        <w:fldChar w:fldCharType="end"/>
      </w:r>
      <w:r w:rsidRPr="00B513F4">
        <w:t xml:space="preserve">(a) and </w:t>
      </w:r>
      <w:r w:rsidR="00E46F91">
        <w:t>4</w:t>
      </w:r>
      <w:r w:rsidRPr="00B513F4">
        <w:t xml:space="preserve">(b). The lower line in </w:t>
      </w:r>
      <w:r w:rsidR="00400B2C">
        <w:t>figure</w:t>
      </w:r>
      <w:r w:rsidRPr="00B513F4">
        <w:t xml:space="preserve"> 4(b) shows the approximate share of </w:t>
      </w:r>
      <w:r w:rsidRPr="00B513F4">
        <w:rPr>
          <w:i/>
        </w:rPr>
        <w:t>civilian</w:t>
      </w:r>
      <w:r w:rsidRPr="00B513F4">
        <w:t xml:space="preserve"> salary expenditures as part of the total, indicating its relatively limited share (from 2008 to 2012/13 only). As the </w:t>
      </w:r>
      <w:r w:rsidR="00E46F91">
        <w:t>figure</w:t>
      </w:r>
      <w:r w:rsidR="00E46F91" w:rsidRPr="00B513F4">
        <w:t xml:space="preserve">s </w:t>
      </w:r>
      <w:r w:rsidRPr="00B513F4">
        <w:t xml:space="preserve">reflect, </w:t>
      </w:r>
      <w:r w:rsidR="00E46F91">
        <w:t>from</w:t>
      </w:r>
      <w:r w:rsidRPr="00B513F4">
        <w:t xml:space="preserve"> 2005 to 2013, South Sudan experienced a high level of fiscal volatility. The overall upward trend in revenue from 2005 to 2011/12 has enabled </w:t>
      </w:r>
      <w:r w:rsidR="00E46F91">
        <w:t xml:space="preserve">the </w:t>
      </w:r>
      <w:r w:rsidRPr="00B513F4">
        <w:t xml:space="preserve">government to expand the wage bill. The high level of volatility and dependency on revenue from natural resources also imply that there is uncertainty about what constitutes a sustainably affordable wage bill for the country in the medium to longer term. Uncertainties about the trajectory of oil revenues beyond 2020 contribute to this challenge. </w:t>
      </w:r>
      <w:r>
        <w:t xml:space="preserve">In 2013/14, the wage bill as a share of total expenditures declined from a peak of nearly 62 percent for the previous year to 50 percent, </w:t>
      </w:r>
      <w:r w:rsidR="00E46F91">
        <w:t>because of</w:t>
      </w:r>
      <w:r>
        <w:t xml:space="preserve"> the resumption of oil production</w:t>
      </w:r>
      <w:r w:rsidR="00E46F91">
        <w:t>—</w:t>
      </w:r>
      <w:r>
        <w:t>even with lower</w:t>
      </w:r>
      <w:r w:rsidR="00E46F91">
        <w:t>-</w:t>
      </w:r>
      <w:r>
        <w:t>than</w:t>
      </w:r>
      <w:r w:rsidR="00E46F91">
        <w:t>-</w:t>
      </w:r>
      <w:r>
        <w:t xml:space="preserve">expected production due to the </w:t>
      </w:r>
      <w:r w:rsidR="00021767">
        <w:t xml:space="preserve">renewed </w:t>
      </w:r>
      <w:r>
        <w:t>conflict. However, due to the rising security expenditures, the wage bill became difficult to finance already at the end of FY2013</w:t>
      </w:r>
      <w:r w:rsidR="00E46F91">
        <w:t>–</w:t>
      </w:r>
      <w:r>
        <w:t>14;</w:t>
      </w:r>
      <w:r>
        <w:rPr>
          <w:rStyle w:val="FootnoteReference"/>
        </w:rPr>
        <w:footnoteReference w:id="15"/>
      </w:r>
      <w:r>
        <w:t xml:space="preserve"> and the subsequent drop in oil prices means that </w:t>
      </w:r>
      <w:r w:rsidR="00E46F91">
        <w:t>the g</w:t>
      </w:r>
      <w:r>
        <w:t>overnment is increasingly unable to pay all salaries in full and on time and to fund any operational or capital expenditures.</w:t>
      </w:r>
    </w:p>
    <w:p w14:paraId="097B682A" w14:textId="77777777" w:rsidR="00E853F2" w:rsidRDefault="00046F2C" w:rsidP="00046F2C">
      <w:pPr>
        <w:pStyle w:val="Caption"/>
        <w:keepNext/>
      </w:pPr>
      <w:bookmarkStart w:id="14" w:name="_Ref447292984"/>
      <w:r>
        <w:lastRenderedPageBreak/>
        <w:t xml:space="preserve">Figure </w:t>
      </w:r>
      <w:fldSimple w:instr=" SEQ Figure \* ARABIC ">
        <w:r w:rsidR="00807923">
          <w:rPr>
            <w:noProof/>
          </w:rPr>
          <w:t>4</w:t>
        </w:r>
      </w:fldSimple>
      <w:bookmarkEnd w:id="14"/>
      <w:r>
        <w:t xml:space="preserve">(a) and Figure 4(b). </w:t>
      </w:r>
      <w:r w:rsidRPr="0057136D">
        <w:t xml:space="preserve">Total </w:t>
      </w:r>
      <w:r w:rsidR="00E46F91">
        <w:t>R</w:t>
      </w:r>
      <w:r w:rsidRPr="0057136D">
        <w:t xml:space="preserve">evenue and </w:t>
      </w:r>
      <w:r w:rsidR="00E46F91">
        <w:t>E</w:t>
      </w:r>
      <w:r w:rsidRPr="0057136D">
        <w:t xml:space="preserve">xpenditure and </w:t>
      </w:r>
      <w:r w:rsidR="00E46F91">
        <w:t>S</w:t>
      </w:r>
      <w:r w:rsidRPr="0057136D">
        <w:t xml:space="preserve">alary </w:t>
      </w:r>
      <w:r w:rsidR="00E46F91">
        <w:t>S</w:t>
      </w:r>
      <w:r w:rsidRPr="0057136D">
        <w:t>pending 2005</w:t>
      </w:r>
      <w:r w:rsidR="00E46F91">
        <w:t>–</w:t>
      </w:r>
      <w:r w:rsidR="00E853F2">
        <w:t xml:space="preserve">2014 </w:t>
      </w:r>
    </w:p>
    <w:p w14:paraId="45A5ED6F" w14:textId="770A6A84" w:rsidR="00A56EDD" w:rsidRPr="00046F2C" w:rsidRDefault="00E853F2" w:rsidP="00046F2C">
      <w:pPr>
        <w:pStyle w:val="Caption"/>
        <w:keepNext/>
      </w:pPr>
      <w:r>
        <w:t xml:space="preserve">4a: million </w:t>
      </w:r>
      <w:r w:rsidR="00DC1DDD">
        <w:t xml:space="preserve">Sudanese/South </w:t>
      </w:r>
      <w:r>
        <w:t>Sudan</w:t>
      </w:r>
      <w:r w:rsidR="00DC1DDD">
        <w:t>e</w:t>
      </w:r>
      <w:r>
        <w:t>se Pounds</w:t>
      </w:r>
    </w:p>
    <w:p w14:paraId="0992850F" w14:textId="77777777" w:rsidR="00A56EDD" w:rsidRDefault="00A56EDD" w:rsidP="00FA29FD">
      <w:pPr>
        <w:jc w:val="center"/>
        <w:rPr>
          <w:b/>
          <w:bCs/>
        </w:rPr>
      </w:pPr>
      <w:r>
        <w:rPr>
          <w:noProof/>
        </w:rPr>
        <w:drawing>
          <wp:inline distT="0" distB="0" distL="0" distR="0" wp14:anchorId="6119CCA5" wp14:editId="35CCCEE0">
            <wp:extent cx="4933950" cy="2571750"/>
            <wp:effectExtent l="0" t="0" r="0" b="0"/>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5A54F19" w14:textId="77777777" w:rsidR="00DC1DDD" w:rsidRDefault="00DC1DDD" w:rsidP="00FA29FD">
      <w:pPr>
        <w:spacing w:after="0" w:line="240" w:lineRule="auto"/>
        <w:jc w:val="center"/>
        <w:rPr>
          <w:b/>
          <w:bCs/>
        </w:rPr>
      </w:pPr>
    </w:p>
    <w:p w14:paraId="11D869BF" w14:textId="365D7AEF" w:rsidR="00DC1DDD" w:rsidRPr="00DC1DDD" w:rsidRDefault="00DC1DDD" w:rsidP="00DC1DDD">
      <w:pPr>
        <w:pStyle w:val="Caption"/>
        <w:keepNext/>
      </w:pPr>
      <w:r>
        <w:t xml:space="preserve">4b: </w:t>
      </w:r>
      <w:r w:rsidRPr="0057136D">
        <w:t xml:space="preserve">Wage </w:t>
      </w:r>
      <w:r>
        <w:t>B</w:t>
      </w:r>
      <w:r w:rsidRPr="0057136D">
        <w:t xml:space="preserve">ill in % of </w:t>
      </w:r>
      <w:r>
        <w:t>T</w:t>
      </w:r>
      <w:r w:rsidRPr="0057136D">
        <w:t xml:space="preserve">otal </w:t>
      </w:r>
      <w:r>
        <w:t>E</w:t>
      </w:r>
      <w:r w:rsidRPr="0057136D">
        <w:t>xpenditures</w:t>
      </w:r>
    </w:p>
    <w:p w14:paraId="550739BC" w14:textId="77777777" w:rsidR="00A56EDD" w:rsidRDefault="00A56EDD" w:rsidP="00FA29FD">
      <w:pPr>
        <w:spacing w:after="0" w:line="240" w:lineRule="auto"/>
        <w:jc w:val="center"/>
        <w:rPr>
          <w:b/>
          <w:bCs/>
        </w:rPr>
      </w:pPr>
      <w:r>
        <w:rPr>
          <w:noProof/>
        </w:rPr>
        <w:drawing>
          <wp:inline distT="0" distB="0" distL="0" distR="0" wp14:anchorId="0D2947A9" wp14:editId="03AEE189">
            <wp:extent cx="4933950" cy="2667000"/>
            <wp:effectExtent l="0" t="0" r="0" b="0"/>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A659ECF" w14:textId="77777777" w:rsidR="00E853F2" w:rsidRDefault="00E853F2" w:rsidP="00A56EDD">
      <w:pPr>
        <w:spacing w:after="0" w:line="240" w:lineRule="auto"/>
        <w:rPr>
          <w:i/>
          <w:sz w:val="20"/>
          <w:szCs w:val="20"/>
        </w:rPr>
      </w:pPr>
    </w:p>
    <w:p w14:paraId="113EBE5C" w14:textId="18DD3C79" w:rsidR="00FA29FD" w:rsidRDefault="00A56EDD" w:rsidP="00A56EDD">
      <w:pPr>
        <w:spacing w:after="0" w:line="240" w:lineRule="auto"/>
        <w:rPr>
          <w:sz w:val="20"/>
          <w:szCs w:val="20"/>
        </w:rPr>
      </w:pPr>
      <w:r w:rsidRPr="000D6F1A">
        <w:rPr>
          <w:i/>
          <w:sz w:val="20"/>
          <w:szCs w:val="20"/>
        </w:rPr>
        <w:t>Source</w:t>
      </w:r>
      <w:r w:rsidR="00FA29FD">
        <w:rPr>
          <w:i/>
          <w:sz w:val="20"/>
          <w:szCs w:val="20"/>
        </w:rPr>
        <w:t>s</w:t>
      </w:r>
      <w:r w:rsidRPr="000D6F1A">
        <w:rPr>
          <w:i/>
          <w:sz w:val="20"/>
          <w:szCs w:val="20"/>
        </w:rPr>
        <w:t>:</w:t>
      </w:r>
      <w:r w:rsidR="00E853F2">
        <w:rPr>
          <w:sz w:val="20"/>
          <w:szCs w:val="20"/>
        </w:rPr>
        <w:t xml:space="preserve"> G</w:t>
      </w:r>
      <w:r w:rsidRPr="00B513F4">
        <w:rPr>
          <w:sz w:val="20"/>
          <w:szCs w:val="20"/>
        </w:rPr>
        <w:t>o</w:t>
      </w:r>
      <w:r>
        <w:rPr>
          <w:sz w:val="20"/>
          <w:szCs w:val="20"/>
        </w:rPr>
        <w:t xml:space="preserve">SS </w:t>
      </w:r>
      <w:r w:rsidR="00E46F91">
        <w:rPr>
          <w:sz w:val="20"/>
          <w:szCs w:val="20"/>
        </w:rPr>
        <w:t>b</w:t>
      </w:r>
      <w:r>
        <w:rPr>
          <w:sz w:val="20"/>
          <w:szCs w:val="20"/>
        </w:rPr>
        <w:t xml:space="preserve">udget books, various years, outturn data. </w:t>
      </w:r>
    </w:p>
    <w:p w14:paraId="2F1999D4" w14:textId="79EB7D54" w:rsidR="00A56EDD" w:rsidRDefault="00A56EDD" w:rsidP="00A56EDD">
      <w:pPr>
        <w:spacing w:after="0" w:line="240" w:lineRule="auto"/>
        <w:rPr>
          <w:sz w:val="20"/>
          <w:szCs w:val="20"/>
        </w:rPr>
      </w:pPr>
      <w:r w:rsidRPr="00FA29FD">
        <w:rPr>
          <w:i/>
          <w:sz w:val="20"/>
          <w:szCs w:val="20"/>
        </w:rPr>
        <w:t>Note:</w:t>
      </w:r>
      <w:r w:rsidRPr="00B513F4">
        <w:rPr>
          <w:sz w:val="20"/>
          <w:szCs w:val="20"/>
        </w:rPr>
        <w:t xml:space="preserve"> </w:t>
      </w:r>
      <w:r w:rsidR="00E46F91">
        <w:rPr>
          <w:sz w:val="20"/>
          <w:szCs w:val="20"/>
        </w:rPr>
        <w:t>C</w:t>
      </w:r>
      <w:r w:rsidRPr="00B513F4">
        <w:rPr>
          <w:sz w:val="20"/>
          <w:szCs w:val="20"/>
        </w:rPr>
        <w:t>ivilian share of salaries</w:t>
      </w:r>
      <w:r>
        <w:rPr>
          <w:sz w:val="20"/>
          <w:szCs w:val="20"/>
        </w:rPr>
        <w:t xml:space="preserve"> can be calculated </w:t>
      </w:r>
      <w:r w:rsidR="00E46F91">
        <w:rPr>
          <w:sz w:val="20"/>
          <w:szCs w:val="20"/>
        </w:rPr>
        <w:t xml:space="preserve">only </w:t>
      </w:r>
      <w:r>
        <w:rPr>
          <w:sz w:val="20"/>
          <w:szCs w:val="20"/>
        </w:rPr>
        <w:t>from 2008 onwards; wages at subnational levels are only disaggregated</w:t>
      </w:r>
      <w:r w:rsidRPr="00B513F4">
        <w:rPr>
          <w:sz w:val="20"/>
          <w:szCs w:val="20"/>
        </w:rPr>
        <w:t xml:space="preserve"> in budget plans</w:t>
      </w:r>
      <w:r>
        <w:rPr>
          <w:sz w:val="20"/>
          <w:szCs w:val="20"/>
        </w:rPr>
        <w:t xml:space="preserve">, but </w:t>
      </w:r>
      <w:r w:rsidRPr="00B513F4">
        <w:rPr>
          <w:sz w:val="20"/>
          <w:szCs w:val="20"/>
        </w:rPr>
        <w:t>not in outturns</w:t>
      </w:r>
      <w:r>
        <w:rPr>
          <w:sz w:val="20"/>
          <w:szCs w:val="20"/>
        </w:rPr>
        <w:t xml:space="preserve"> </w:t>
      </w:r>
      <w:r w:rsidR="00E46F91">
        <w:rPr>
          <w:sz w:val="20"/>
          <w:szCs w:val="20"/>
        </w:rPr>
        <w:t>before</w:t>
      </w:r>
      <w:r>
        <w:rPr>
          <w:sz w:val="20"/>
          <w:szCs w:val="20"/>
        </w:rPr>
        <w:t xml:space="preserve"> 2014</w:t>
      </w:r>
      <w:r w:rsidRPr="00B513F4">
        <w:rPr>
          <w:sz w:val="20"/>
          <w:szCs w:val="20"/>
        </w:rPr>
        <w:t xml:space="preserve">, and hence the red line in </w:t>
      </w:r>
      <w:r w:rsidR="00E46F91">
        <w:rPr>
          <w:sz w:val="20"/>
          <w:szCs w:val="20"/>
        </w:rPr>
        <w:t>figure</w:t>
      </w:r>
      <w:r w:rsidRPr="00B513F4">
        <w:rPr>
          <w:sz w:val="20"/>
          <w:szCs w:val="20"/>
        </w:rPr>
        <w:t xml:space="preserve"> 4</w:t>
      </w:r>
      <w:r w:rsidR="00E46F91">
        <w:rPr>
          <w:sz w:val="20"/>
          <w:szCs w:val="20"/>
        </w:rPr>
        <w:t>(</w:t>
      </w:r>
      <w:r w:rsidRPr="00B513F4">
        <w:rPr>
          <w:sz w:val="20"/>
          <w:szCs w:val="20"/>
        </w:rPr>
        <w:t>b</w:t>
      </w:r>
      <w:r w:rsidR="00E46F91">
        <w:rPr>
          <w:sz w:val="20"/>
          <w:szCs w:val="20"/>
        </w:rPr>
        <w:t>)</w:t>
      </w:r>
      <w:r w:rsidRPr="00B513F4">
        <w:rPr>
          <w:sz w:val="20"/>
          <w:szCs w:val="20"/>
        </w:rPr>
        <w:t xml:space="preserve"> is approximate. </w:t>
      </w:r>
    </w:p>
    <w:p w14:paraId="1E44B401" w14:textId="459E05CB" w:rsidR="00A56EDD" w:rsidRPr="00B513F4" w:rsidRDefault="00A56EDD" w:rsidP="00787761">
      <w:pPr>
        <w:spacing w:before="240"/>
        <w:jc w:val="both"/>
      </w:pPr>
      <w:r w:rsidRPr="00B513F4">
        <w:t xml:space="preserve">As shown in </w:t>
      </w:r>
      <w:r w:rsidR="004C67D2">
        <w:fldChar w:fldCharType="begin"/>
      </w:r>
      <w:r w:rsidR="004C67D2">
        <w:instrText xml:space="preserve"> REF _Ref447294501 \h </w:instrText>
      </w:r>
      <w:r w:rsidR="004C67D2">
        <w:fldChar w:fldCharType="separate"/>
      </w:r>
      <w:r w:rsidR="004C67D2">
        <w:t xml:space="preserve">table </w:t>
      </w:r>
      <w:r w:rsidR="004C67D2">
        <w:rPr>
          <w:noProof/>
        </w:rPr>
        <w:t>4</w:t>
      </w:r>
      <w:r w:rsidR="004C67D2">
        <w:fldChar w:fldCharType="end"/>
      </w:r>
      <w:r w:rsidRPr="00B513F4">
        <w:t xml:space="preserve">, the size of the overall share of publicly paid staff relative to the population corresponds to or is slightly below regional and global figures; while the wage bill has absorbed a higher </w:t>
      </w:r>
      <w:r w:rsidRPr="00B513F4">
        <w:lastRenderedPageBreak/>
        <w:t>share of expenditures than the regional average for the past six years.</w:t>
      </w:r>
      <w:r w:rsidRPr="00B513F4">
        <w:rPr>
          <w:rStyle w:val="FootnoteReference"/>
        </w:rPr>
        <w:footnoteReference w:id="16"/>
      </w:r>
      <w:r w:rsidRPr="00B513F4">
        <w:t xml:space="preserve"> As discussed further in section 6, rapidly increasing public sector wage bills have also been present in other postconflict countries. Crucially, in South Sudan, within this overall employment and wage bill envelope, the </w:t>
      </w:r>
      <w:r w:rsidRPr="00B513F4">
        <w:rPr>
          <w:i/>
        </w:rPr>
        <w:t>civilian</w:t>
      </w:r>
      <w:r w:rsidRPr="00B513F4">
        <w:t xml:space="preserve"> share of the public service is well below the average for Sub-Saharan African countries. </w:t>
      </w:r>
      <w:r>
        <w:t>Civilian public sector employment</w:t>
      </w:r>
      <w:r w:rsidRPr="00B513F4">
        <w:t xml:space="preserve"> is close to the level of Rwanda, which is considered as an exemplary performer </w:t>
      </w:r>
      <w:r w:rsidR="00475352">
        <w:t>with regard to</w:t>
      </w:r>
      <w:r w:rsidRPr="00B513F4">
        <w:t xml:space="preserve"> having created a lean and effective civil service over the past 15 years (Hausman 2011; GSDRC 2009). In South Sudan, at the national level, wages to </w:t>
      </w:r>
      <w:r w:rsidRPr="00B513F4">
        <w:rPr>
          <w:i/>
        </w:rPr>
        <w:t>civilian</w:t>
      </w:r>
      <w:r w:rsidRPr="00B513F4">
        <w:t xml:space="preserve"> staff have accounted for only 24 percent of the total wage bill on average between 2006 and 2013; and at the subnational level</w:t>
      </w:r>
      <w:r w:rsidR="00475352">
        <w:t>,</w:t>
      </w:r>
      <w:r w:rsidRPr="00B513F4">
        <w:t xml:space="preserve"> they account for about 30 percent of conditional salary transfers.</w:t>
      </w:r>
      <w:r w:rsidRPr="00B513F4">
        <w:rPr>
          <w:rStyle w:val="FootnoteReference"/>
        </w:rPr>
        <w:footnoteReference w:id="17"/>
      </w:r>
      <w:r w:rsidRPr="00B513F4">
        <w:t xml:space="preserve"> The balance are salaries for the military (in particular at the national level) and for staff in the four organized forces (especially at the subnational level</w:t>
      </w:r>
      <w:r w:rsidR="00475352">
        <w:t xml:space="preserve">—also </w:t>
      </w:r>
      <w:r>
        <w:t xml:space="preserve">see </w:t>
      </w:r>
      <w:r w:rsidR="00DC1DDD">
        <w:t>World Bank</w:t>
      </w:r>
      <w:r>
        <w:t xml:space="preserve"> 2015</w:t>
      </w:r>
      <w:r w:rsidR="00DC1DDD">
        <w:t>a</w:t>
      </w:r>
      <w:r w:rsidRPr="00B513F4">
        <w:t>).</w:t>
      </w:r>
    </w:p>
    <w:p w14:paraId="4CBA5823" w14:textId="40E93542" w:rsidR="00A56EDD" w:rsidRPr="0030554E" w:rsidRDefault="00475352" w:rsidP="00A56EDD">
      <w:pPr>
        <w:jc w:val="both"/>
      </w:pPr>
      <w:r>
        <w:t>A</w:t>
      </w:r>
      <w:r w:rsidRPr="00B513F4">
        <w:t>s will be discussed in section 3.2</w:t>
      </w:r>
      <w:r>
        <w:t>, w</w:t>
      </w:r>
      <w:r w:rsidR="00A56EDD" w:rsidRPr="00B513F4">
        <w:t xml:space="preserve">hile the size of the </w:t>
      </w:r>
      <w:r w:rsidR="00A56EDD" w:rsidRPr="00B513F4">
        <w:rPr>
          <w:i/>
        </w:rPr>
        <w:t>civilian</w:t>
      </w:r>
      <w:r w:rsidR="00A56EDD" w:rsidRPr="00B513F4">
        <w:t xml:space="preserve"> public service is therefore not a key problem during the initial periods of rapid hiring, there was limited regard for ensuring that staff </w:t>
      </w:r>
      <w:r>
        <w:t>are</w:t>
      </w:r>
      <w:r w:rsidR="00A56EDD" w:rsidRPr="00B513F4">
        <w:t xml:space="preserve"> qualified and motivated to deliver services. Subsequently, efforts have been made to recalibrate and screen staff for qualifications. This process has been challenging and is ongoing. </w:t>
      </w:r>
    </w:p>
    <w:p w14:paraId="7AF67637" w14:textId="3A880387" w:rsidR="00787761" w:rsidRDefault="00787761" w:rsidP="00787761">
      <w:pPr>
        <w:pStyle w:val="Caption"/>
        <w:keepNext/>
      </w:pPr>
      <w:bookmarkStart w:id="15" w:name="_Ref447294501"/>
      <w:r>
        <w:t xml:space="preserve">Table </w:t>
      </w:r>
      <w:fldSimple w:instr=" SEQ Table \* ARABIC ">
        <w:r w:rsidR="00FA6F6C">
          <w:rPr>
            <w:noProof/>
          </w:rPr>
          <w:t>4</w:t>
        </w:r>
      </w:fldSimple>
      <w:bookmarkEnd w:id="15"/>
      <w:r>
        <w:t xml:space="preserve">. </w:t>
      </w:r>
      <w:r w:rsidRPr="00637ABD">
        <w:t xml:space="preserve">Public </w:t>
      </w:r>
      <w:r>
        <w:t>S</w:t>
      </w:r>
      <w:r w:rsidRPr="00637ABD">
        <w:t xml:space="preserve">ector </w:t>
      </w:r>
      <w:r>
        <w:t>E</w:t>
      </w:r>
      <w:r w:rsidRPr="00637ABD">
        <w:t xml:space="preserve">mployment and </w:t>
      </w:r>
      <w:r>
        <w:t>W</w:t>
      </w:r>
      <w:r w:rsidRPr="00637ABD">
        <w:t xml:space="preserve">age </w:t>
      </w:r>
      <w:r>
        <w:t>B</w:t>
      </w:r>
      <w:r w:rsidRPr="00637ABD">
        <w:t>ill</w:t>
      </w:r>
    </w:p>
    <w:tbl>
      <w:tblPr>
        <w:tblStyle w:val="TableGrid"/>
        <w:tblW w:w="9270"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70"/>
        <w:gridCol w:w="2160"/>
        <w:gridCol w:w="2275"/>
        <w:gridCol w:w="2765"/>
      </w:tblGrid>
      <w:tr w:rsidR="00A56EDD" w:rsidRPr="00B40AAA" w14:paraId="634AB10D" w14:textId="77777777" w:rsidTr="007F164D">
        <w:trPr>
          <w:trHeight w:val="828"/>
          <w:jc w:val="center"/>
        </w:trPr>
        <w:tc>
          <w:tcPr>
            <w:tcW w:w="2070" w:type="dxa"/>
          </w:tcPr>
          <w:p w14:paraId="67F75FF8" w14:textId="77777777" w:rsidR="00A56EDD" w:rsidRPr="00B40AAA" w:rsidRDefault="00A56EDD" w:rsidP="00B40AAA">
            <w:pPr>
              <w:spacing w:after="0" w:line="240" w:lineRule="auto"/>
              <w:rPr>
                <w:b/>
                <w:sz w:val="20"/>
                <w:szCs w:val="20"/>
              </w:rPr>
            </w:pPr>
          </w:p>
        </w:tc>
        <w:tc>
          <w:tcPr>
            <w:tcW w:w="2160" w:type="dxa"/>
            <w:tcBorders>
              <w:top w:val="nil"/>
              <w:bottom w:val="single" w:sz="4" w:space="0" w:color="auto"/>
            </w:tcBorders>
            <w:shd w:val="clear" w:color="auto" w:fill="D9D9D9" w:themeFill="background1" w:themeFillShade="D9"/>
          </w:tcPr>
          <w:p w14:paraId="182996BF" w14:textId="77777777" w:rsidR="00A56EDD" w:rsidRPr="00B40AAA" w:rsidRDefault="00A56EDD" w:rsidP="00233277">
            <w:pPr>
              <w:spacing w:after="0" w:line="240" w:lineRule="auto"/>
              <w:jc w:val="center"/>
              <w:rPr>
                <w:b/>
                <w:sz w:val="20"/>
                <w:szCs w:val="20"/>
              </w:rPr>
            </w:pPr>
            <w:r w:rsidRPr="00B40AAA">
              <w:rPr>
                <w:b/>
                <w:sz w:val="20"/>
                <w:szCs w:val="20"/>
              </w:rPr>
              <w:t>Total public sector employment as of 2013/14</w:t>
            </w:r>
          </w:p>
        </w:tc>
        <w:tc>
          <w:tcPr>
            <w:tcW w:w="2275" w:type="dxa"/>
          </w:tcPr>
          <w:p w14:paraId="0E88D536" w14:textId="0EFC2D02" w:rsidR="00A56EDD" w:rsidRPr="00B40AAA" w:rsidRDefault="00A56EDD" w:rsidP="00474A0D">
            <w:pPr>
              <w:spacing w:after="0" w:line="240" w:lineRule="auto"/>
              <w:jc w:val="center"/>
              <w:rPr>
                <w:b/>
                <w:sz w:val="20"/>
                <w:szCs w:val="20"/>
              </w:rPr>
            </w:pPr>
            <w:r w:rsidRPr="00B40AAA">
              <w:rPr>
                <w:b/>
                <w:sz w:val="20"/>
                <w:szCs w:val="20"/>
              </w:rPr>
              <w:t xml:space="preserve">Share of </w:t>
            </w:r>
            <w:r w:rsidR="00233277">
              <w:rPr>
                <w:b/>
                <w:sz w:val="20"/>
                <w:szCs w:val="20"/>
              </w:rPr>
              <w:t>public sector</w:t>
            </w:r>
            <w:r w:rsidRPr="00B40AAA">
              <w:rPr>
                <w:b/>
                <w:sz w:val="20"/>
                <w:szCs w:val="20"/>
              </w:rPr>
              <w:t xml:space="preserve"> employment/population</w:t>
            </w:r>
          </w:p>
        </w:tc>
        <w:tc>
          <w:tcPr>
            <w:tcW w:w="2765" w:type="dxa"/>
            <w:tcBorders>
              <w:top w:val="nil"/>
              <w:bottom w:val="single" w:sz="4" w:space="0" w:color="auto"/>
            </w:tcBorders>
            <w:shd w:val="clear" w:color="auto" w:fill="D9D9D9" w:themeFill="background1" w:themeFillShade="D9"/>
          </w:tcPr>
          <w:p w14:paraId="32683875" w14:textId="77777777" w:rsidR="00A56EDD" w:rsidRPr="00B40AAA" w:rsidRDefault="00A56EDD" w:rsidP="00233277">
            <w:pPr>
              <w:spacing w:after="0" w:line="240" w:lineRule="auto"/>
              <w:jc w:val="center"/>
              <w:rPr>
                <w:b/>
                <w:sz w:val="20"/>
                <w:szCs w:val="20"/>
              </w:rPr>
            </w:pPr>
            <w:r w:rsidRPr="00B40AAA">
              <w:rPr>
                <w:b/>
                <w:sz w:val="20"/>
                <w:szCs w:val="20"/>
              </w:rPr>
              <w:t>Wage bill in % of total public expenditures</w:t>
            </w:r>
          </w:p>
        </w:tc>
      </w:tr>
      <w:tr w:rsidR="00A56EDD" w:rsidRPr="00B40AAA" w14:paraId="18AAB014" w14:textId="77777777" w:rsidTr="007F164D">
        <w:trPr>
          <w:trHeight w:val="350"/>
          <w:jc w:val="center"/>
        </w:trPr>
        <w:tc>
          <w:tcPr>
            <w:tcW w:w="2070" w:type="dxa"/>
          </w:tcPr>
          <w:p w14:paraId="437723AD" w14:textId="77777777" w:rsidR="00A56EDD" w:rsidRPr="00B40AAA" w:rsidRDefault="00A56EDD" w:rsidP="00B40AAA">
            <w:pPr>
              <w:spacing w:after="0" w:line="240" w:lineRule="auto"/>
              <w:rPr>
                <w:b/>
                <w:sz w:val="20"/>
                <w:szCs w:val="20"/>
              </w:rPr>
            </w:pPr>
            <w:r w:rsidRPr="00B40AAA">
              <w:rPr>
                <w:b/>
                <w:sz w:val="20"/>
                <w:szCs w:val="20"/>
              </w:rPr>
              <w:t>South Sudan total</w:t>
            </w:r>
          </w:p>
        </w:tc>
        <w:tc>
          <w:tcPr>
            <w:tcW w:w="2160" w:type="dxa"/>
            <w:tcBorders>
              <w:top w:val="single" w:sz="4" w:space="0" w:color="auto"/>
              <w:bottom w:val="single" w:sz="4" w:space="0" w:color="auto"/>
            </w:tcBorders>
            <w:shd w:val="clear" w:color="auto" w:fill="D9D9D9" w:themeFill="background1" w:themeFillShade="D9"/>
          </w:tcPr>
          <w:p w14:paraId="4CA08986" w14:textId="77777777" w:rsidR="00A56EDD" w:rsidRPr="00B40AAA" w:rsidRDefault="00A56EDD" w:rsidP="00233277">
            <w:pPr>
              <w:spacing w:after="0" w:line="240" w:lineRule="auto"/>
              <w:jc w:val="center"/>
              <w:rPr>
                <w:b/>
                <w:sz w:val="20"/>
                <w:szCs w:val="20"/>
              </w:rPr>
            </w:pPr>
            <w:r w:rsidRPr="00B40AAA">
              <w:rPr>
                <w:sz w:val="20"/>
                <w:szCs w:val="20"/>
              </w:rPr>
              <w:t>399,000</w:t>
            </w:r>
          </w:p>
        </w:tc>
        <w:tc>
          <w:tcPr>
            <w:tcW w:w="2275" w:type="dxa"/>
          </w:tcPr>
          <w:p w14:paraId="45C8C62D" w14:textId="77777777" w:rsidR="00A56EDD" w:rsidRPr="00B40AAA" w:rsidRDefault="00A56EDD" w:rsidP="00233277">
            <w:pPr>
              <w:spacing w:after="0" w:line="240" w:lineRule="auto"/>
              <w:jc w:val="center"/>
              <w:rPr>
                <w:b/>
                <w:sz w:val="20"/>
                <w:szCs w:val="20"/>
              </w:rPr>
            </w:pPr>
            <w:r w:rsidRPr="00B40AAA">
              <w:rPr>
                <w:sz w:val="20"/>
                <w:szCs w:val="20"/>
              </w:rPr>
              <w:t>3.5*</w:t>
            </w:r>
          </w:p>
        </w:tc>
        <w:tc>
          <w:tcPr>
            <w:tcW w:w="2765" w:type="dxa"/>
            <w:tcBorders>
              <w:top w:val="single" w:sz="4" w:space="0" w:color="auto"/>
              <w:bottom w:val="single" w:sz="4" w:space="0" w:color="auto"/>
            </w:tcBorders>
            <w:shd w:val="clear" w:color="auto" w:fill="D9D9D9" w:themeFill="background1" w:themeFillShade="D9"/>
          </w:tcPr>
          <w:p w14:paraId="426786C9" w14:textId="7B576CD5" w:rsidR="00A56EDD" w:rsidRPr="00B40AAA" w:rsidRDefault="00A56EDD" w:rsidP="00233277">
            <w:pPr>
              <w:spacing w:after="0" w:line="240" w:lineRule="auto"/>
              <w:jc w:val="center"/>
              <w:rPr>
                <w:sz w:val="20"/>
                <w:szCs w:val="20"/>
              </w:rPr>
            </w:pPr>
            <w:r w:rsidRPr="00B40AAA">
              <w:rPr>
                <w:sz w:val="20"/>
                <w:szCs w:val="20"/>
              </w:rPr>
              <w:t>44.8% (ave</w:t>
            </w:r>
            <w:r w:rsidR="00233277">
              <w:rPr>
                <w:sz w:val="20"/>
                <w:szCs w:val="20"/>
              </w:rPr>
              <w:t>rage</w:t>
            </w:r>
            <w:r w:rsidRPr="00B40AAA">
              <w:rPr>
                <w:sz w:val="20"/>
                <w:szCs w:val="20"/>
              </w:rPr>
              <w:t xml:space="preserve"> 2006</w:t>
            </w:r>
            <w:r w:rsidR="00233277">
              <w:rPr>
                <w:sz w:val="20"/>
                <w:szCs w:val="20"/>
              </w:rPr>
              <w:t>–</w:t>
            </w:r>
            <w:r w:rsidRPr="00B40AAA">
              <w:rPr>
                <w:sz w:val="20"/>
                <w:szCs w:val="20"/>
              </w:rPr>
              <w:t>2014)</w:t>
            </w:r>
          </w:p>
        </w:tc>
      </w:tr>
      <w:tr w:rsidR="00A56EDD" w:rsidRPr="00B40AAA" w14:paraId="148F040B" w14:textId="77777777" w:rsidTr="007F164D">
        <w:trPr>
          <w:trHeight w:val="350"/>
          <w:jc w:val="center"/>
        </w:trPr>
        <w:tc>
          <w:tcPr>
            <w:tcW w:w="2070" w:type="dxa"/>
          </w:tcPr>
          <w:p w14:paraId="6731A7AF" w14:textId="77777777" w:rsidR="00A56EDD" w:rsidRPr="00B40AAA" w:rsidRDefault="00A56EDD" w:rsidP="00B40AAA">
            <w:pPr>
              <w:pStyle w:val="ListParagraph"/>
              <w:numPr>
                <w:ilvl w:val="0"/>
                <w:numId w:val="1"/>
              </w:numPr>
              <w:spacing w:after="0" w:line="240" w:lineRule="auto"/>
              <w:contextualSpacing w:val="0"/>
              <w:rPr>
                <w:b/>
                <w:sz w:val="20"/>
                <w:szCs w:val="20"/>
              </w:rPr>
            </w:pPr>
            <w:r w:rsidRPr="00B40AAA">
              <w:rPr>
                <w:b/>
                <w:sz w:val="20"/>
                <w:szCs w:val="20"/>
              </w:rPr>
              <w:t>Armed forces</w:t>
            </w:r>
          </w:p>
        </w:tc>
        <w:tc>
          <w:tcPr>
            <w:tcW w:w="2160" w:type="dxa"/>
            <w:tcBorders>
              <w:top w:val="single" w:sz="4" w:space="0" w:color="auto"/>
              <w:bottom w:val="single" w:sz="4" w:space="0" w:color="auto"/>
            </w:tcBorders>
            <w:shd w:val="clear" w:color="auto" w:fill="D9D9D9" w:themeFill="background1" w:themeFillShade="D9"/>
          </w:tcPr>
          <w:p w14:paraId="76FADC28" w14:textId="77777777" w:rsidR="00A56EDD" w:rsidRPr="00B40AAA" w:rsidRDefault="00A56EDD" w:rsidP="00233277">
            <w:pPr>
              <w:spacing w:after="0" w:line="240" w:lineRule="auto"/>
              <w:jc w:val="center"/>
              <w:rPr>
                <w:sz w:val="20"/>
                <w:szCs w:val="20"/>
              </w:rPr>
            </w:pPr>
            <w:r w:rsidRPr="00B40AAA">
              <w:rPr>
                <w:sz w:val="20"/>
                <w:szCs w:val="20"/>
              </w:rPr>
              <w:t>239,000</w:t>
            </w:r>
          </w:p>
        </w:tc>
        <w:tc>
          <w:tcPr>
            <w:tcW w:w="2275" w:type="dxa"/>
          </w:tcPr>
          <w:p w14:paraId="10DCE6D7" w14:textId="77777777" w:rsidR="00A56EDD" w:rsidRPr="00B40AAA" w:rsidRDefault="00A56EDD" w:rsidP="00233277">
            <w:pPr>
              <w:spacing w:after="0" w:line="240" w:lineRule="auto"/>
              <w:jc w:val="center"/>
              <w:rPr>
                <w:sz w:val="20"/>
                <w:szCs w:val="20"/>
              </w:rPr>
            </w:pPr>
            <w:r w:rsidRPr="00B40AAA">
              <w:rPr>
                <w:sz w:val="20"/>
                <w:szCs w:val="20"/>
              </w:rPr>
              <w:t>2.1*</w:t>
            </w:r>
          </w:p>
        </w:tc>
        <w:tc>
          <w:tcPr>
            <w:tcW w:w="2765" w:type="dxa"/>
            <w:tcBorders>
              <w:top w:val="single" w:sz="4" w:space="0" w:color="auto"/>
              <w:bottom w:val="single" w:sz="4" w:space="0" w:color="auto"/>
            </w:tcBorders>
            <w:shd w:val="clear" w:color="auto" w:fill="D9D9D9" w:themeFill="background1" w:themeFillShade="D9"/>
          </w:tcPr>
          <w:p w14:paraId="059086C6" w14:textId="3C35F5E7" w:rsidR="00A56EDD" w:rsidRPr="00B40AAA" w:rsidRDefault="00A56EDD" w:rsidP="00233277">
            <w:pPr>
              <w:spacing w:after="0" w:line="240" w:lineRule="auto"/>
              <w:jc w:val="center"/>
              <w:rPr>
                <w:sz w:val="20"/>
                <w:szCs w:val="20"/>
              </w:rPr>
            </w:pPr>
            <w:r w:rsidRPr="00B40AAA">
              <w:rPr>
                <w:sz w:val="20"/>
                <w:szCs w:val="20"/>
              </w:rPr>
              <w:t>25.8% FY</w:t>
            </w:r>
            <w:r w:rsidR="00FB0D2E">
              <w:rPr>
                <w:sz w:val="20"/>
                <w:szCs w:val="20"/>
              </w:rPr>
              <w:t>20</w:t>
            </w:r>
            <w:r w:rsidRPr="00B40AAA">
              <w:rPr>
                <w:sz w:val="20"/>
                <w:szCs w:val="20"/>
              </w:rPr>
              <w:t>13/14</w:t>
            </w:r>
          </w:p>
        </w:tc>
      </w:tr>
      <w:tr w:rsidR="00A56EDD" w:rsidRPr="00B40AAA" w14:paraId="1E6512FC" w14:textId="77777777" w:rsidTr="007F164D">
        <w:trPr>
          <w:trHeight w:val="350"/>
          <w:jc w:val="center"/>
        </w:trPr>
        <w:tc>
          <w:tcPr>
            <w:tcW w:w="2070" w:type="dxa"/>
          </w:tcPr>
          <w:p w14:paraId="4D9AD09E" w14:textId="77777777" w:rsidR="00A56EDD" w:rsidRPr="00B40AAA" w:rsidRDefault="00A56EDD" w:rsidP="00B40AAA">
            <w:pPr>
              <w:pStyle w:val="ListParagraph"/>
              <w:numPr>
                <w:ilvl w:val="0"/>
                <w:numId w:val="1"/>
              </w:numPr>
              <w:spacing w:after="0" w:line="240" w:lineRule="auto"/>
              <w:contextualSpacing w:val="0"/>
              <w:rPr>
                <w:b/>
                <w:sz w:val="20"/>
                <w:szCs w:val="20"/>
              </w:rPr>
            </w:pPr>
            <w:r w:rsidRPr="00B40AAA">
              <w:rPr>
                <w:b/>
                <w:sz w:val="20"/>
                <w:szCs w:val="20"/>
              </w:rPr>
              <w:t>Organized forces</w:t>
            </w:r>
          </w:p>
        </w:tc>
        <w:tc>
          <w:tcPr>
            <w:tcW w:w="2160" w:type="dxa"/>
            <w:tcBorders>
              <w:top w:val="single" w:sz="4" w:space="0" w:color="auto"/>
              <w:bottom w:val="single" w:sz="4" w:space="0" w:color="auto"/>
            </w:tcBorders>
            <w:shd w:val="clear" w:color="auto" w:fill="D9D9D9" w:themeFill="background1" w:themeFillShade="D9"/>
          </w:tcPr>
          <w:p w14:paraId="47422732" w14:textId="77777777" w:rsidR="00A56EDD" w:rsidRPr="00B40AAA" w:rsidRDefault="00A56EDD" w:rsidP="00233277">
            <w:pPr>
              <w:spacing w:after="0" w:line="240" w:lineRule="auto"/>
              <w:jc w:val="center"/>
              <w:rPr>
                <w:b/>
                <w:sz w:val="20"/>
                <w:szCs w:val="20"/>
              </w:rPr>
            </w:pPr>
            <w:r w:rsidRPr="00B40AAA">
              <w:rPr>
                <w:sz w:val="20"/>
                <w:szCs w:val="20"/>
              </w:rPr>
              <w:t>94,000</w:t>
            </w:r>
          </w:p>
        </w:tc>
        <w:tc>
          <w:tcPr>
            <w:tcW w:w="2275" w:type="dxa"/>
          </w:tcPr>
          <w:p w14:paraId="4FE69549" w14:textId="77777777" w:rsidR="00A56EDD" w:rsidRPr="00B40AAA" w:rsidRDefault="00A56EDD" w:rsidP="00233277">
            <w:pPr>
              <w:spacing w:after="0" w:line="240" w:lineRule="auto"/>
              <w:jc w:val="center"/>
              <w:rPr>
                <w:b/>
                <w:sz w:val="20"/>
                <w:szCs w:val="20"/>
              </w:rPr>
            </w:pPr>
            <w:r w:rsidRPr="00B40AAA">
              <w:rPr>
                <w:sz w:val="20"/>
                <w:szCs w:val="20"/>
              </w:rPr>
              <w:t>0.8*</w:t>
            </w:r>
          </w:p>
        </w:tc>
        <w:tc>
          <w:tcPr>
            <w:tcW w:w="2765" w:type="dxa"/>
            <w:tcBorders>
              <w:top w:val="single" w:sz="4" w:space="0" w:color="auto"/>
              <w:bottom w:val="single" w:sz="4" w:space="0" w:color="auto"/>
            </w:tcBorders>
            <w:shd w:val="clear" w:color="auto" w:fill="D9D9D9" w:themeFill="background1" w:themeFillShade="D9"/>
          </w:tcPr>
          <w:p w14:paraId="5BF9EF7A" w14:textId="23D97A77" w:rsidR="00A56EDD" w:rsidRPr="00B40AAA" w:rsidRDefault="00A56EDD" w:rsidP="00233277">
            <w:pPr>
              <w:spacing w:after="0" w:line="240" w:lineRule="auto"/>
              <w:jc w:val="center"/>
              <w:rPr>
                <w:sz w:val="20"/>
                <w:szCs w:val="20"/>
              </w:rPr>
            </w:pPr>
            <w:r w:rsidRPr="00B40AAA">
              <w:rPr>
                <w:sz w:val="20"/>
                <w:szCs w:val="20"/>
              </w:rPr>
              <w:t>9.6% FY</w:t>
            </w:r>
            <w:r w:rsidR="00FB0D2E">
              <w:rPr>
                <w:sz w:val="20"/>
                <w:szCs w:val="20"/>
              </w:rPr>
              <w:t>20</w:t>
            </w:r>
            <w:r w:rsidRPr="00B40AAA">
              <w:rPr>
                <w:sz w:val="20"/>
                <w:szCs w:val="20"/>
              </w:rPr>
              <w:t>13/14</w:t>
            </w:r>
          </w:p>
        </w:tc>
      </w:tr>
      <w:tr w:rsidR="00A56EDD" w:rsidRPr="00B40AAA" w14:paraId="3EB70CCD" w14:textId="77777777" w:rsidTr="007F164D">
        <w:trPr>
          <w:trHeight w:val="350"/>
          <w:jc w:val="center"/>
        </w:trPr>
        <w:tc>
          <w:tcPr>
            <w:tcW w:w="2070" w:type="dxa"/>
          </w:tcPr>
          <w:p w14:paraId="26960419" w14:textId="77777777" w:rsidR="00A56EDD" w:rsidRPr="00B40AAA" w:rsidRDefault="00A56EDD" w:rsidP="00B40AAA">
            <w:pPr>
              <w:pStyle w:val="ListParagraph"/>
              <w:numPr>
                <w:ilvl w:val="0"/>
                <w:numId w:val="1"/>
              </w:numPr>
              <w:spacing w:after="0" w:line="240" w:lineRule="auto"/>
              <w:contextualSpacing w:val="0"/>
              <w:rPr>
                <w:b/>
                <w:sz w:val="20"/>
                <w:szCs w:val="20"/>
              </w:rPr>
            </w:pPr>
            <w:r w:rsidRPr="00B40AAA">
              <w:rPr>
                <w:b/>
                <w:sz w:val="20"/>
                <w:szCs w:val="20"/>
              </w:rPr>
              <w:t>Civilian**</w:t>
            </w:r>
          </w:p>
        </w:tc>
        <w:tc>
          <w:tcPr>
            <w:tcW w:w="2160" w:type="dxa"/>
            <w:tcBorders>
              <w:top w:val="single" w:sz="4" w:space="0" w:color="auto"/>
              <w:bottom w:val="single" w:sz="4" w:space="0" w:color="auto"/>
            </w:tcBorders>
            <w:shd w:val="clear" w:color="auto" w:fill="D9D9D9" w:themeFill="background1" w:themeFillShade="D9"/>
          </w:tcPr>
          <w:p w14:paraId="6427EF8C" w14:textId="77777777" w:rsidR="00A56EDD" w:rsidRPr="00B40AAA" w:rsidRDefault="00A56EDD" w:rsidP="00233277">
            <w:pPr>
              <w:spacing w:after="0" w:line="240" w:lineRule="auto"/>
              <w:jc w:val="center"/>
              <w:rPr>
                <w:sz w:val="20"/>
                <w:szCs w:val="20"/>
              </w:rPr>
            </w:pPr>
            <w:r w:rsidRPr="00B40AAA">
              <w:rPr>
                <w:sz w:val="20"/>
                <w:szCs w:val="20"/>
              </w:rPr>
              <w:t>66,000</w:t>
            </w:r>
          </w:p>
        </w:tc>
        <w:tc>
          <w:tcPr>
            <w:tcW w:w="2275" w:type="dxa"/>
          </w:tcPr>
          <w:p w14:paraId="6B1DBE1A" w14:textId="77777777" w:rsidR="00A56EDD" w:rsidRPr="00B40AAA" w:rsidRDefault="00A56EDD" w:rsidP="00233277">
            <w:pPr>
              <w:spacing w:after="0" w:line="240" w:lineRule="auto"/>
              <w:jc w:val="center"/>
              <w:rPr>
                <w:sz w:val="20"/>
                <w:szCs w:val="20"/>
              </w:rPr>
            </w:pPr>
            <w:r w:rsidRPr="00B40AAA">
              <w:rPr>
                <w:sz w:val="20"/>
                <w:szCs w:val="20"/>
              </w:rPr>
              <w:t>0.6*</w:t>
            </w:r>
          </w:p>
        </w:tc>
        <w:tc>
          <w:tcPr>
            <w:tcW w:w="2765" w:type="dxa"/>
            <w:tcBorders>
              <w:top w:val="single" w:sz="4" w:space="0" w:color="auto"/>
              <w:bottom w:val="single" w:sz="4" w:space="0" w:color="auto"/>
            </w:tcBorders>
            <w:shd w:val="clear" w:color="auto" w:fill="D9D9D9" w:themeFill="background1" w:themeFillShade="D9"/>
          </w:tcPr>
          <w:p w14:paraId="6F12C907" w14:textId="693BF514" w:rsidR="00A56EDD" w:rsidRPr="00B40AAA" w:rsidRDefault="00A56EDD" w:rsidP="00233277">
            <w:pPr>
              <w:spacing w:after="0" w:line="240" w:lineRule="auto"/>
              <w:jc w:val="center"/>
              <w:rPr>
                <w:sz w:val="20"/>
                <w:szCs w:val="20"/>
              </w:rPr>
            </w:pPr>
            <w:r w:rsidRPr="00B40AAA">
              <w:rPr>
                <w:sz w:val="20"/>
                <w:szCs w:val="20"/>
              </w:rPr>
              <w:t>14.5% FY</w:t>
            </w:r>
            <w:r w:rsidR="00FB0D2E">
              <w:rPr>
                <w:sz w:val="20"/>
                <w:szCs w:val="20"/>
              </w:rPr>
              <w:t>20</w:t>
            </w:r>
            <w:r w:rsidRPr="00B40AAA">
              <w:rPr>
                <w:sz w:val="20"/>
                <w:szCs w:val="20"/>
              </w:rPr>
              <w:t>13/14</w:t>
            </w:r>
          </w:p>
        </w:tc>
      </w:tr>
      <w:tr w:rsidR="00A56EDD" w:rsidRPr="00B40AAA" w14:paraId="48F53E5F" w14:textId="77777777" w:rsidTr="007F164D">
        <w:trPr>
          <w:trHeight w:val="350"/>
          <w:jc w:val="center"/>
        </w:trPr>
        <w:tc>
          <w:tcPr>
            <w:tcW w:w="2070" w:type="dxa"/>
          </w:tcPr>
          <w:p w14:paraId="0F72E6AC" w14:textId="1188C692" w:rsidR="00A56EDD" w:rsidRPr="00B40AAA" w:rsidRDefault="00A56EDD" w:rsidP="00B40AAA">
            <w:pPr>
              <w:spacing w:after="0" w:line="240" w:lineRule="auto"/>
              <w:rPr>
                <w:b/>
                <w:sz w:val="20"/>
                <w:szCs w:val="20"/>
              </w:rPr>
            </w:pPr>
            <w:r w:rsidRPr="00B40AAA">
              <w:rPr>
                <w:b/>
                <w:sz w:val="20"/>
                <w:szCs w:val="20"/>
              </w:rPr>
              <w:t>Average S</w:t>
            </w:r>
            <w:r w:rsidR="003346EA">
              <w:rPr>
                <w:b/>
                <w:sz w:val="20"/>
                <w:szCs w:val="20"/>
              </w:rPr>
              <w:t>ub-</w:t>
            </w:r>
            <w:r w:rsidRPr="00B40AAA">
              <w:rPr>
                <w:b/>
                <w:sz w:val="20"/>
                <w:szCs w:val="20"/>
              </w:rPr>
              <w:t>S</w:t>
            </w:r>
            <w:r w:rsidR="003346EA">
              <w:rPr>
                <w:b/>
                <w:sz w:val="20"/>
                <w:szCs w:val="20"/>
              </w:rPr>
              <w:t xml:space="preserve">aharan </w:t>
            </w:r>
            <w:r w:rsidRPr="00B40AAA">
              <w:rPr>
                <w:b/>
                <w:sz w:val="20"/>
                <w:szCs w:val="20"/>
              </w:rPr>
              <w:t>A</w:t>
            </w:r>
            <w:r w:rsidR="003346EA">
              <w:rPr>
                <w:b/>
                <w:sz w:val="20"/>
                <w:szCs w:val="20"/>
              </w:rPr>
              <w:t>frica</w:t>
            </w:r>
          </w:p>
        </w:tc>
        <w:tc>
          <w:tcPr>
            <w:tcW w:w="2160" w:type="dxa"/>
            <w:tcBorders>
              <w:top w:val="single" w:sz="4" w:space="0" w:color="auto"/>
              <w:bottom w:val="single" w:sz="4" w:space="0" w:color="auto"/>
            </w:tcBorders>
            <w:shd w:val="clear" w:color="auto" w:fill="D9D9D9" w:themeFill="background1" w:themeFillShade="D9"/>
          </w:tcPr>
          <w:p w14:paraId="460811ED" w14:textId="63F70FAD" w:rsidR="00A56EDD" w:rsidRPr="00B40AAA" w:rsidRDefault="00A56EDD" w:rsidP="00233277">
            <w:pPr>
              <w:spacing w:after="0" w:line="240" w:lineRule="auto"/>
              <w:jc w:val="center"/>
              <w:rPr>
                <w:sz w:val="20"/>
                <w:szCs w:val="20"/>
              </w:rPr>
            </w:pPr>
            <w:r w:rsidRPr="00B40AAA">
              <w:rPr>
                <w:sz w:val="20"/>
                <w:szCs w:val="20"/>
              </w:rPr>
              <w:t>n</w:t>
            </w:r>
            <w:r w:rsidR="00233277">
              <w:rPr>
                <w:sz w:val="20"/>
                <w:szCs w:val="20"/>
              </w:rPr>
              <w:t>.</w:t>
            </w:r>
            <w:r w:rsidRPr="00B40AAA">
              <w:rPr>
                <w:sz w:val="20"/>
                <w:szCs w:val="20"/>
              </w:rPr>
              <w:t>a</w:t>
            </w:r>
            <w:r w:rsidR="00233277">
              <w:rPr>
                <w:sz w:val="20"/>
                <w:szCs w:val="20"/>
              </w:rPr>
              <w:t>.</w:t>
            </w:r>
          </w:p>
        </w:tc>
        <w:tc>
          <w:tcPr>
            <w:tcW w:w="2275" w:type="dxa"/>
          </w:tcPr>
          <w:p w14:paraId="3EA488D7" w14:textId="18215A0F" w:rsidR="00A56EDD" w:rsidRPr="00B40AAA" w:rsidRDefault="00A56EDD" w:rsidP="00474A0D">
            <w:pPr>
              <w:spacing w:after="0" w:line="240" w:lineRule="auto"/>
              <w:jc w:val="center"/>
              <w:rPr>
                <w:b/>
                <w:sz w:val="20"/>
                <w:szCs w:val="20"/>
              </w:rPr>
            </w:pPr>
            <w:r w:rsidRPr="00B40AAA">
              <w:rPr>
                <w:sz w:val="20"/>
                <w:szCs w:val="20"/>
              </w:rPr>
              <w:t>3.8 (o</w:t>
            </w:r>
            <w:r w:rsidR="00233277">
              <w:rPr>
                <w:sz w:val="20"/>
                <w:szCs w:val="20"/>
              </w:rPr>
              <w:t xml:space="preserve">f </w:t>
            </w:r>
            <w:r w:rsidRPr="00B40AAA">
              <w:rPr>
                <w:sz w:val="20"/>
                <w:szCs w:val="20"/>
              </w:rPr>
              <w:t>w</w:t>
            </w:r>
            <w:r w:rsidR="00233277">
              <w:rPr>
                <w:sz w:val="20"/>
                <w:szCs w:val="20"/>
              </w:rPr>
              <w:t>hich</w:t>
            </w:r>
            <w:r w:rsidRPr="00B40AAA">
              <w:rPr>
                <w:sz w:val="20"/>
                <w:szCs w:val="20"/>
              </w:rPr>
              <w:t xml:space="preserve"> 3.2 civilian)</w:t>
            </w:r>
          </w:p>
        </w:tc>
        <w:tc>
          <w:tcPr>
            <w:tcW w:w="2765" w:type="dxa"/>
            <w:tcBorders>
              <w:top w:val="single" w:sz="4" w:space="0" w:color="auto"/>
              <w:bottom w:val="single" w:sz="4" w:space="0" w:color="auto"/>
            </w:tcBorders>
            <w:shd w:val="clear" w:color="auto" w:fill="D9D9D9" w:themeFill="background1" w:themeFillShade="D9"/>
          </w:tcPr>
          <w:p w14:paraId="49226E7B" w14:textId="5288AEBD" w:rsidR="00A56EDD" w:rsidRPr="00B40AAA" w:rsidRDefault="00A56EDD" w:rsidP="00474A0D">
            <w:pPr>
              <w:spacing w:after="0" w:line="240" w:lineRule="auto"/>
              <w:jc w:val="center"/>
              <w:rPr>
                <w:sz w:val="20"/>
                <w:szCs w:val="20"/>
              </w:rPr>
            </w:pPr>
            <w:r w:rsidRPr="00B40AAA">
              <w:rPr>
                <w:sz w:val="20"/>
                <w:szCs w:val="20"/>
              </w:rPr>
              <w:t>33.4% (average 2000</w:t>
            </w:r>
            <w:r w:rsidR="00233277">
              <w:rPr>
                <w:sz w:val="20"/>
                <w:szCs w:val="20"/>
              </w:rPr>
              <w:t>–</w:t>
            </w:r>
            <w:r w:rsidRPr="00B40AAA">
              <w:rPr>
                <w:sz w:val="20"/>
                <w:szCs w:val="20"/>
              </w:rPr>
              <w:t>2008)</w:t>
            </w:r>
          </w:p>
        </w:tc>
      </w:tr>
      <w:tr w:rsidR="00A56EDD" w:rsidRPr="00B40AAA" w14:paraId="5C078305" w14:textId="77777777" w:rsidTr="007F164D">
        <w:trPr>
          <w:trHeight w:val="530"/>
          <w:jc w:val="center"/>
        </w:trPr>
        <w:tc>
          <w:tcPr>
            <w:tcW w:w="2070" w:type="dxa"/>
          </w:tcPr>
          <w:p w14:paraId="0366AC9D" w14:textId="77777777" w:rsidR="00A56EDD" w:rsidRPr="00B40AAA" w:rsidRDefault="00A56EDD" w:rsidP="00B40AAA">
            <w:pPr>
              <w:spacing w:after="0" w:line="240" w:lineRule="auto"/>
              <w:rPr>
                <w:b/>
                <w:sz w:val="20"/>
                <w:szCs w:val="20"/>
              </w:rPr>
            </w:pPr>
            <w:r w:rsidRPr="00B40AAA">
              <w:rPr>
                <w:b/>
                <w:sz w:val="20"/>
                <w:szCs w:val="20"/>
              </w:rPr>
              <w:t>Rwanda</w:t>
            </w:r>
          </w:p>
        </w:tc>
        <w:tc>
          <w:tcPr>
            <w:tcW w:w="2160" w:type="dxa"/>
            <w:tcBorders>
              <w:top w:val="single" w:sz="4" w:space="0" w:color="auto"/>
              <w:bottom w:val="nil"/>
            </w:tcBorders>
            <w:shd w:val="clear" w:color="auto" w:fill="D9D9D9" w:themeFill="background1" w:themeFillShade="D9"/>
          </w:tcPr>
          <w:p w14:paraId="14F8BE4E" w14:textId="77777777" w:rsidR="00A56EDD" w:rsidRPr="00B40AAA" w:rsidRDefault="00A56EDD" w:rsidP="00233277">
            <w:pPr>
              <w:spacing w:after="0" w:line="240" w:lineRule="auto"/>
              <w:jc w:val="center"/>
              <w:rPr>
                <w:sz w:val="20"/>
                <w:szCs w:val="20"/>
              </w:rPr>
            </w:pPr>
            <w:r w:rsidRPr="00B40AAA">
              <w:rPr>
                <w:sz w:val="20"/>
                <w:szCs w:val="20"/>
              </w:rPr>
              <w:t>94,047 (civilian only)</w:t>
            </w:r>
          </w:p>
        </w:tc>
        <w:tc>
          <w:tcPr>
            <w:tcW w:w="2275" w:type="dxa"/>
          </w:tcPr>
          <w:p w14:paraId="25A983D0" w14:textId="77777777" w:rsidR="00A56EDD" w:rsidRPr="00B40AAA" w:rsidRDefault="00A56EDD" w:rsidP="00233277">
            <w:pPr>
              <w:spacing w:after="0" w:line="240" w:lineRule="auto"/>
              <w:jc w:val="center"/>
              <w:rPr>
                <w:sz w:val="20"/>
                <w:szCs w:val="20"/>
              </w:rPr>
            </w:pPr>
            <w:r w:rsidRPr="00B40AAA">
              <w:rPr>
                <w:sz w:val="20"/>
                <w:szCs w:val="20"/>
              </w:rPr>
              <w:t>0.8 (civilian only)</w:t>
            </w:r>
          </w:p>
        </w:tc>
        <w:tc>
          <w:tcPr>
            <w:tcW w:w="2765" w:type="dxa"/>
            <w:tcBorders>
              <w:top w:val="single" w:sz="4" w:space="0" w:color="auto"/>
              <w:bottom w:val="nil"/>
            </w:tcBorders>
            <w:shd w:val="clear" w:color="auto" w:fill="D9D9D9" w:themeFill="background1" w:themeFillShade="D9"/>
          </w:tcPr>
          <w:p w14:paraId="7332955B" w14:textId="60A478D3" w:rsidR="00A56EDD" w:rsidRPr="00B40AAA" w:rsidRDefault="00A56EDD" w:rsidP="00233277">
            <w:pPr>
              <w:spacing w:after="0" w:line="240" w:lineRule="auto"/>
              <w:jc w:val="center"/>
              <w:rPr>
                <w:sz w:val="20"/>
                <w:szCs w:val="20"/>
              </w:rPr>
            </w:pPr>
            <w:r w:rsidRPr="00B40AAA">
              <w:rPr>
                <w:sz w:val="20"/>
                <w:szCs w:val="20"/>
              </w:rPr>
              <w:t xml:space="preserve">13% (total defense </w:t>
            </w:r>
            <w:r w:rsidR="00233277">
              <w:rPr>
                <w:sz w:val="20"/>
                <w:szCs w:val="20"/>
              </w:rPr>
              <w:t>and</w:t>
            </w:r>
            <w:r w:rsidRPr="00B40AAA">
              <w:rPr>
                <w:sz w:val="20"/>
                <w:szCs w:val="20"/>
              </w:rPr>
              <w:t xml:space="preserve"> civil</w:t>
            </w:r>
            <w:r w:rsidR="00233277">
              <w:rPr>
                <w:sz w:val="20"/>
                <w:szCs w:val="20"/>
              </w:rPr>
              <w:t>ian</w:t>
            </w:r>
            <w:r w:rsidRPr="00B40AAA">
              <w:rPr>
                <w:sz w:val="20"/>
                <w:szCs w:val="20"/>
              </w:rPr>
              <w:t>)</w:t>
            </w:r>
          </w:p>
          <w:p w14:paraId="7698B93E" w14:textId="77777777" w:rsidR="00A56EDD" w:rsidRPr="00B40AAA" w:rsidRDefault="00A56EDD" w:rsidP="00233277">
            <w:pPr>
              <w:spacing w:after="0" w:line="240" w:lineRule="auto"/>
              <w:jc w:val="center"/>
              <w:rPr>
                <w:sz w:val="20"/>
                <w:szCs w:val="20"/>
              </w:rPr>
            </w:pPr>
            <w:r w:rsidRPr="00B40AAA">
              <w:rPr>
                <w:sz w:val="20"/>
                <w:szCs w:val="20"/>
              </w:rPr>
              <w:t>10% (civilian)</w:t>
            </w:r>
          </w:p>
        </w:tc>
      </w:tr>
    </w:tbl>
    <w:p w14:paraId="7BCE3D0B" w14:textId="46ED17A2" w:rsidR="00A56EDD" w:rsidRPr="009122C8" w:rsidRDefault="00A56EDD" w:rsidP="00AC2C58">
      <w:pPr>
        <w:spacing w:after="0" w:line="240" w:lineRule="auto"/>
        <w:rPr>
          <w:sz w:val="20"/>
          <w:szCs w:val="20"/>
        </w:rPr>
      </w:pPr>
      <w:r w:rsidRPr="00DC1DDD">
        <w:rPr>
          <w:i/>
          <w:sz w:val="20"/>
          <w:szCs w:val="20"/>
        </w:rPr>
        <w:t>Source</w:t>
      </w:r>
      <w:r w:rsidR="00AC2C58" w:rsidRPr="009122C8">
        <w:rPr>
          <w:i/>
          <w:sz w:val="20"/>
          <w:szCs w:val="20"/>
        </w:rPr>
        <w:t>s</w:t>
      </w:r>
      <w:r w:rsidRPr="00DC1DDD">
        <w:rPr>
          <w:i/>
          <w:sz w:val="20"/>
          <w:szCs w:val="20"/>
        </w:rPr>
        <w:t>:</w:t>
      </w:r>
      <w:r w:rsidRPr="009122C8">
        <w:rPr>
          <w:sz w:val="20"/>
          <w:szCs w:val="20"/>
        </w:rPr>
        <w:t xml:space="preserve"> For Rwanda: </w:t>
      </w:r>
      <w:hyperlink r:id="rId24" w:history="1">
        <w:r w:rsidRPr="009122C8">
          <w:rPr>
            <w:rStyle w:val="Hyperlink"/>
            <w:sz w:val="20"/>
            <w:szCs w:val="20"/>
          </w:rPr>
          <w:t>http://www.mifotra.gov.rw/fileadmin/templates/downloads/IMPLIMENTATION.pdf</w:t>
        </w:r>
      </w:hyperlink>
      <w:r w:rsidRPr="009122C8">
        <w:rPr>
          <w:sz w:val="20"/>
          <w:szCs w:val="20"/>
        </w:rPr>
        <w:t xml:space="preserve"> and </w:t>
      </w:r>
      <w:r w:rsidR="009122C8">
        <w:rPr>
          <w:sz w:val="20"/>
          <w:szCs w:val="20"/>
        </w:rPr>
        <w:t>International Monetary Fund (</w:t>
      </w:r>
      <w:r w:rsidRPr="009122C8">
        <w:rPr>
          <w:sz w:val="20"/>
          <w:szCs w:val="20"/>
        </w:rPr>
        <w:t>IMF</w:t>
      </w:r>
      <w:r w:rsidR="009122C8">
        <w:rPr>
          <w:sz w:val="20"/>
          <w:szCs w:val="20"/>
        </w:rPr>
        <w:t>)</w:t>
      </w:r>
      <w:r w:rsidRPr="009122C8">
        <w:rPr>
          <w:sz w:val="20"/>
          <w:szCs w:val="20"/>
        </w:rPr>
        <w:t xml:space="preserve"> C</w:t>
      </w:r>
      <w:r w:rsidR="009122C8">
        <w:rPr>
          <w:sz w:val="20"/>
          <w:szCs w:val="20"/>
        </w:rPr>
        <w:t xml:space="preserve">ountry </w:t>
      </w:r>
      <w:r w:rsidRPr="009122C8">
        <w:rPr>
          <w:sz w:val="20"/>
          <w:szCs w:val="20"/>
        </w:rPr>
        <w:t>R</w:t>
      </w:r>
      <w:r w:rsidR="009122C8">
        <w:rPr>
          <w:sz w:val="20"/>
          <w:szCs w:val="20"/>
        </w:rPr>
        <w:t>eport</w:t>
      </w:r>
      <w:r w:rsidRPr="009122C8">
        <w:rPr>
          <w:sz w:val="20"/>
          <w:szCs w:val="20"/>
        </w:rPr>
        <w:t xml:space="preserve"> 13/372.</w:t>
      </w:r>
    </w:p>
    <w:p w14:paraId="31A50AF7" w14:textId="45C91A29" w:rsidR="00AC2C58" w:rsidRPr="009122C8" w:rsidRDefault="00A56EDD" w:rsidP="00AC2C58">
      <w:pPr>
        <w:spacing w:after="0" w:line="240" w:lineRule="auto"/>
        <w:rPr>
          <w:sz w:val="20"/>
          <w:szCs w:val="20"/>
        </w:rPr>
      </w:pPr>
      <w:r w:rsidRPr="009122C8">
        <w:rPr>
          <w:sz w:val="20"/>
          <w:szCs w:val="20"/>
        </w:rPr>
        <w:t>For S</w:t>
      </w:r>
      <w:r w:rsidR="003346EA" w:rsidRPr="009122C8">
        <w:rPr>
          <w:sz w:val="20"/>
          <w:szCs w:val="20"/>
        </w:rPr>
        <w:t>ub-</w:t>
      </w:r>
      <w:r w:rsidRPr="009122C8">
        <w:rPr>
          <w:sz w:val="20"/>
          <w:szCs w:val="20"/>
        </w:rPr>
        <w:t>S</w:t>
      </w:r>
      <w:r w:rsidR="003346EA" w:rsidRPr="009122C8">
        <w:rPr>
          <w:sz w:val="20"/>
          <w:szCs w:val="20"/>
        </w:rPr>
        <w:t xml:space="preserve">aharan </w:t>
      </w:r>
      <w:r w:rsidRPr="009122C8">
        <w:rPr>
          <w:sz w:val="20"/>
          <w:szCs w:val="20"/>
        </w:rPr>
        <w:t>A</w:t>
      </w:r>
      <w:r w:rsidR="003346EA" w:rsidRPr="009122C8">
        <w:rPr>
          <w:sz w:val="20"/>
          <w:szCs w:val="20"/>
        </w:rPr>
        <w:t>frica</w:t>
      </w:r>
      <w:r w:rsidRPr="009122C8">
        <w:rPr>
          <w:sz w:val="20"/>
          <w:szCs w:val="20"/>
        </w:rPr>
        <w:t xml:space="preserve">: </w:t>
      </w:r>
      <w:r w:rsidR="00DC1DDD">
        <w:rPr>
          <w:sz w:val="20"/>
          <w:szCs w:val="20"/>
        </w:rPr>
        <w:t>IMF 2010</w:t>
      </w:r>
      <w:r w:rsidR="009122C8">
        <w:rPr>
          <w:sz w:val="20"/>
          <w:szCs w:val="20"/>
        </w:rPr>
        <w:t>;</w:t>
      </w:r>
      <w:r w:rsidRPr="009122C8">
        <w:rPr>
          <w:sz w:val="20"/>
          <w:szCs w:val="20"/>
        </w:rPr>
        <w:t xml:space="preserve"> </w:t>
      </w:r>
      <w:r w:rsidR="009122C8">
        <w:rPr>
          <w:sz w:val="20"/>
          <w:szCs w:val="20"/>
        </w:rPr>
        <w:t>f</w:t>
      </w:r>
      <w:r w:rsidRPr="009122C8">
        <w:rPr>
          <w:sz w:val="20"/>
          <w:szCs w:val="20"/>
        </w:rPr>
        <w:t>igures refer to ‘General Government’.</w:t>
      </w:r>
    </w:p>
    <w:p w14:paraId="2BF6765C" w14:textId="47F0C75D" w:rsidR="00AC2C58" w:rsidRPr="009122C8" w:rsidRDefault="00AC2C58" w:rsidP="00AC2C58">
      <w:pPr>
        <w:spacing w:after="0" w:line="240" w:lineRule="auto"/>
        <w:rPr>
          <w:sz w:val="20"/>
          <w:szCs w:val="20"/>
        </w:rPr>
      </w:pPr>
      <w:r w:rsidRPr="00DC1DDD">
        <w:rPr>
          <w:i/>
          <w:sz w:val="20"/>
          <w:szCs w:val="20"/>
        </w:rPr>
        <w:t xml:space="preserve">Note: </w:t>
      </w:r>
      <w:r w:rsidRPr="009122C8">
        <w:rPr>
          <w:sz w:val="20"/>
          <w:szCs w:val="20"/>
        </w:rPr>
        <w:t xml:space="preserve">* </w:t>
      </w:r>
      <w:r w:rsidR="00C57E24">
        <w:rPr>
          <w:sz w:val="20"/>
          <w:szCs w:val="20"/>
        </w:rPr>
        <w:t>A</w:t>
      </w:r>
      <w:r w:rsidRPr="009122C8">
        <w:rPr>
          <w:sz w:val="20"/>
          <w:szCs w:val="20"/>
        </w:rPr>
        <w:t>ssuming a total population of 11.3</w:t>
      </w:r>
      <w:r w:rsidR="00C57E24">
        <w:rPr>
          <w:sz w:val="20"/>
          <w:szCs w:val="20"/>
        </w:rPr>
        <w:t xml:space="preserve"> </w:t>
      </w:r>
      <w:r w:rsidRPr="009122C8">
        <w:rPr>
          <w:sz w:val="20"/>
          <w:szCs w:val="20"/>
        </w:rPr>
        <w:t>m</w:t>
      </w:r>
      <w:r w:rsidR="00C57E24">
        <w:rPr>
          <w:sz w:val="20"/>
          <w:szCs w:val="20"/>
        </w:rPr>
        <w:t>illion</w:t>
      </w:r>
      <w:r w:rsidRPr="009122C8">
        <w:rPr>
          <w:sz w:val="20"/>
          <w:szCs w:val="20"/>
        </w:rPr>
        <w:t xml:space="preserve"> (a</w:t>
      </w:r>
      <w:r w:rsidR="00C57E24">
        <w:rPr>
          <w:sz w:val="20"/>
          <w:szCs w:val="20"/>
        </w:rPr>
        <w:t>ccording to</w:t>
      </w:r>
      <w:r w:rsidRPr="009122C8">
        <w:rPr>
          <w:sz w:val="20"/>
          <w:szCs w:val="20"/>
        </w:rPr>
        <w:t xml:space="preserve"> World Development Indicators) for South Sudan for 2013.</w:t>
      </w:r>
    </w:p>
    <w:p w14:paraId="3208BFFE" w14:textId="175DC037" w:rsidR="00A56EDD" w:rsidRPr="009122C8" w:rsidRDefault="00AC2C58" w:rsidP="00AC2C58">
      <w:pPr>
        <w:spacing w:after="0" w:line="240" w:lineRule="auto"/>
        <w:rPr>
          <w:sz w:val="20"/>
          <w:szCs w:val="20"/>
        </w:rPr>
      </w:pPr>
      <w:r w:rsidRPr="009122C8">
        <w:rPr>
          <w:sz w:val="20"/>
          <w:szCs w:val="20"/>
        </w:rPr>
        <w:t>** Civilian public servants include those at the national and at subnational levels</w:t>
      </w:r>
      <w:r w:rsidR="00C57E24">
        <w:rPr>
          <w:sz w:val="20"/>
          <w:szCs w:val="20"/>
        </w:rPr>
        <w:t>.</w:t>
      </w:r>
    </w:p>
    <w:p w14:paraId="14BA3A89" w14:textId="0B753DFA" w:rsidR="00A56EDD" w:rsidRPr="00B513F4" w:rsidRDefault="00A56EDD" w:rsidP="00AC2C58">
      <w:pPr>
        <w:spacing w:before="240"/>
        <w:jc w:val="both"/>
      </w:pPr>
      <w:r w:rsidRPr="00B513F4">
        <w:t>In sum, the wage bill and how to manage it remains a cause of concern</w:t>
      </w:r>
      <w:r w:rsidR="001D25F9">
        <w:t>—</w:t>
      </w:r>
      <w:r w:rsidRPr="00B513F4">
        <w:t xml:space="preserve">albeit potentially manageable at full rates of oil production at least in the short term. Crucially, a high share of the wage bill is absorbed by </w:t>
      </w:r>
      <w:r w:rsidR="001D25F9">
        <w:t xml:space="preserve">the </w:t>
      </w:r>
      <w:r w:rsidRPr="00B513F4">
        <w:t>security forces (military and organized forces) rather than the civil service</w:t>
      </w:r>
      <w:r w:rsidR="001D25F9">
        <w:t>,</w:t>
      </w:r>
      <w:r w:rsidRPr="00B513F4">
        <w:t xml:space="preserve"> with the latter accounting </w:t>
      </w:r>
      <w:r w:rsidRPr="00B513F4">
        <w:lastRenderedPageBreak/>
        <w:t>only for about 20 percent of total public sector employment by numbers of staff and for 20</w:t>
      </w:r>
      <w:r w:rsidR="001D25F9">
        <w:t>–</w:t>
      </w:r>
      <w:r w:rsidRPr="00B513F4">
        <w:t xml:space="preserve">25 percent of the total wage bill. Existing indicators assess the effectiveness of </w:t>
      </w:r>
      <w:r w:rsidR="001D25F9">
        <w:t xml:space="preserve">the </w:t>
      </w:r>
      <w:r w:rsidRPr="00B513F4">
        <w:t>government as very low</w:t>
      </w:r>
      <w:r w:rsidR="001D25F9">
        <w:t>—</w:t>
      </w:r>
      <w:r w:rsidRPr="00B513F4">
        <w:t>implying that there are limited benefits relative to the resources spent, which is likely to be due to the combination of high military and security wage expenditures relative to civilian wage expenditures, as well as weaknesses within the civilian public service itself. It is important to note that there are as yet too few data points available to allow an assessment of trends over time, so as to judge whether there is any indication of ‘catching up’ toward a higher level of performance</w:t>
      </w:r>
      <w:r w:rsidR="007F164D">
        <w:t>.</w:t>
      </w:r>
      <w:r w:rsidRPr="00B513F4">
        <w:t xml:space="preserve"> </w:t>
      </w:r>
      <w:r w:rsidR="007F164D">
        <w:t xml:space="preserve">Also, </w:t>
      </w:r>
      <w:r w:rsidRPr="00B513F4">
        <w:t xml:space="preserve">given the recurrence of conflict, standard indicators </w:t>
      </w:r>
      <w:r w:rsidR="00AF1F1B">
        <w:t>showed growing</w:t>
      </w:r>
      <w:r w:rsidRPr="00B513F4">
        <w:t xml:space="preserve"> divergence for 2013 and 2014.</w:t>
      </w:r>
      <w:r w:rsidRPr="00B513F4">
        <w:rPr>
          <w:rStyle w:val="FootnoteReference"/>
        </w:rPr>
        <w:footnoteReference w:id="18"/>
      </w:r>
      <w:r w:rsidRPr="00B513F4">
        <w:t xml:space="preserve"> The following two subsections further discuss the two specific issues: trends in public sector pay and data on the qualification of staff</w:t>
      </w:r>
      <w:r w:rsidR="007F164D">
        <w:t>.</w:t>
      </w:r>
      <w:r w:rsidRPr="00B513F4">
        <w:t xml:space="preserve"> </w:t>
      </w:r>
      <w:r w:rsidR="007F164D">
        <w:t>S</w:t>
      </w:r>
      <w:r w:rsidRPr="00B513F4">
        <w:t>ection 4 addresses the issue of trends in service delivery. The latter further explores the issue of staffing o</w:t>
      </w:r>
      <w:r w:rsidR="002B5CE3">
        <w:t>f key service delivery areas.</w:t>
      </w:r>
    </w:p>
    <w:p w14:paraId="6C75ECC2" w14:textId="77777777" w:rsidR="00A56EDD" w:rsidRPr="00B513F4" w:rsidRDefault="00A56EDD" w:rsidP="00A56EDD">
      <w:pPr>
        <w:pStyle w:val="Heading3"/>
      </w:pPr>
      <w:bookmarkStart w:id="16" w:name="_Toc447892393"/>
      <w:r w:rsidRPr="00B513F4">
        <w:t>3.2 Trends in public service pay</w:t>
      </w:r>
      <w:bookmarkEnd w:id="16"/>
      <w:r w:rsidRPr="00B513F4">
        <w:t xml:space="preserve"> </w:t>
      </w:r>
    </w:p>
    <w:p w14:paraId="0308B2E2" w14:textId="0A258B52" w:rsidR="00A56EDD" w:rsidRPr="00B513F4" w:rsidRDefault="00A56EDD" w:rsidP="00A56EDD">
      <w:pPr>
        <w:jc w:val="both"/>
      </w:pPr>
      <w:r w:rsidRPr="00B513F4">
        <w:t>Public service pay in South Sudan was revised relatively early on in line with recommendations from international consultants. While basic pay levels have been kept constant in nominal terms for a number of years, there has been considerable volatility in the value of take</w:t>
      </w:r>
      <w:r w:rsidR="00474A0D">
        <w:t>-</w:t>
      </w:r>
      <w:r w:rsidRPr="00B513F4">
        <w:t>home pay for public employees due to (</w:t>
      </w:r>
      <w:r w:rsidR="005A4B2C">
        <w:t>a</w:t>
      </w:r>
      <w:r w:rsidRPr="00B513F4">
        <w:t>) inflation eroding the value of pay and (</w:t>
      </w:r>
      <w:r w:rsidR="005A4B2C">
        <w:t>b</w:t>
      </w:r>
      <w:r w:rsidRPr="00B513F4">
        <w:t>) the granting of substantial housing allowances in 2009 to civil servants (and in 2011 to army and organized forces staff) and their subsequent partial withdrawal in 2012 due to the austerity measures adopted. Furthermore, key frontline service delivery staff ha</w:t>
      </w:r>
      <w:r w:rsidR="00474A0D">
        <w:t>ve</w:t>
      </w:r>
      <w:r w:rsidRPr="00B513F4">
        <w:t xml:space="preserve"> been offered rather low levels of pay.</w:t>
      </w:r>
    </w:p>
    <w:p w14:paraId="7FC34ADC" w14:textId="04CAA74C" w:rsidR="00A56EDD" w:rsidRPr="00B513F4" w:rsidRDefault="00A56EDD" w:rsidP="00A56EDD">
      <w:pPr>
        <w:jc w:val="both"/>
      </w:pPr>
      <w:r w:rsidRPr="00B513F4">
        <w:rPr>
          <w:b/>
        </w:rPr>
        <w:t>At the outset</w:t>
      </w:r>
      <w:r w:rsidR="00474A0D">
        <w:rPr>
          <w:b/>
        </w:rPr>
        <w:t>,</w:t>
      </w:r>
      <w:r w:rsidRPr="00B513F4">
        <w:rPr>
          <w:b/>
        </w:rPr>
        <w:t xml:space="preserve"> in 2005, South Sudan inherited the pay scales of the </w:t>
      </w:r>
      <w:r w:rsidR="00474A0D">
        <w:rPr>
          <w:b/>
        </w:rPr>
        <w:t>g</w:t>
      </w:r>
      <w:r w:rsidRPr="00B513F4">
        <w:rPr>
          <w:b/>
        </w:rPr>
        <w:t>overnment of Sudan, which were relatively compressed</w:t>
      </w:r>
      <w:r w:rsidRPr="00B513F4">
        <w:t xml:space="preserve"> </w:t>
      </w:r>
      <w:r w:rsidRPr="00A4086C">
        <w:rPr>
          <w:b/>
        </w:rPr>
        <w:t>(</w:t>
      </w:r>
      <w:r>
        <w:rPr>
          <w:b/>
        </w:rPr>
        <w:t xml:space="preserve">ranging </w:t>
      </w:r>
      <w:r w:rsidRPr="00A4086C">
        <w:rPr>
          <w:b/>
        </w:rPr>
        <w:t xml:space="preserve">from </w:t>
      </w:r>
      <w:r w:rsidR="00CF7BB4">
        <w:rPr>
          <w:b/>
        </w:rPr>
        <w:t>US$</w:t>
      </w:r>
      <w:r w:rsidRPr="00A4086C">
        <w:rPr>
          <w:b/>
        </w:rPr>
        <w:t>55</w:t>
      </w:r>
      <w:r w:rsidR="00CF7BB4">
        <w:rPr>
          <w:b/>
        </w:rPr>
        <w:t>–</w:t>
      </w:r>
      <w:r w:rsidRPr="00A4086C">
        <w:rPr>
          <w:b/>
        </w:rPr>
        <w:t>300</w:t>
      </w:r>
      <w:r>
        <w:rPr>
          <w:b/>
        </w:rPr>
        <w:t xml:space="preserve"> equivalent</w:t>
      </w:r>
      <w:r w:rsidRPr="00A4086C">
        <w:rPr>
          <w:b/>
        </w:rPr>
        <w:t>) and had a large number of allowances (39)</w:t>
      </w:r>
      <w:r w:rsidRPr="00AF1F1B">
        <w:rPr>
          <w:b/>
        </w:rPr>
        <w:t>.</w:t>
      </w:r>
      <w:r w:rsidRPr="00B513F4">
        <w:t xml:space="preserve"> With inputs from external advisers</w:t>
      </w:r>
      <w:r w:rsidR="00474A0D">
        <w:t>,</w:t>
      </w:r>
      <w:r w:rsidRPr="00B513F4">
        <w:rPr>
          <w:rStyle w:val="FootnoteReference"/>
        </w:rPr>
        <w:footnoteReference w:id="19"/>
      </w:r>
      <w:r w:rsidRPr="00B513F4">
        <w:t xml:space="preserve"> these pay scales were revised and decompressed and the number of allowances was reduced to three from 2007 onwards. At the same time, overall salaries were increased. From 2006/07, a revised pay scale was implemented ranging from grade 17</w:t>
      </w:r>
      <w:r w:rsidR="00474A0D">
        <w:t>—</w:t>
      </w:r>
      <w:r w:rsidRPr="00B513F4">
        <w:t>SSP</w:t>
      </w:r>
      <w:r w:rsidR="00B623FB">
        <w:t xml:space="preserve"> </w:t>
      </w:r>
      <w:r w:rsidRPr="00B513F4">
        <w:t>208/US$104 (plus SSP</w:t>
      </w:r>
      <w:r w:rsidR="00B623FB">
        <w:t xml:space="preserve"> </w:t>
      </w:r>
      <w:r w:rsidRPr="00B513F4">
        <w:t>25/</w:t>
      </w:r>
      <w:r w:rsidR="002E689A">
        <w:t>US</w:t>
      </w:r>
      <w:r w:rsidRPr="00B513F4">
        <w:t>$12.50 in allowances)</w:t>
      </w:r>
      <w:r w:rsidR="00474A0D">
        <w:t>—</w:t>
      </w:r>
      <w:r w:rsidRPr="00B513F4">
        <w:t>to grade 1</w:t>
      </w:r>
      <w:r w:rsidR="00474A0D" w:rsidRPr="00B5660A">
        <w:t>—</w:t>
      </w:r>
      <w:r w:rsidRPr="00B5660A">
        <w:t>SSP</w:t>
      </w:r>
      <w:r w:rsidR="00B623FB">
        <w:t xml:space="preserve"> </w:t>
      </w:r>
      <w:r w:rsidRPr="00B513F4">
        <w:t>2</w:t>
      </w:r>
      <w:r w:rsidR="00474A0D">
        <w:t>,</w:t>
      </w:r>
      <w:r w:rsidRPr="00B513F4">
        <w:t>100/US$1</w:t>
      </w:r>
      <w:r w:rsidR="00474A0D">
        <w:t>,</w:t>
      </w:r>
      <w:r w:rsidRPr="00B513F4">
        <w:t>050 (plus SSP</w:t>
      </w:r>
      <w:r w:rsidR="00B623FB">
        <w:t xml:space="preserve"> </w:t>
      </w:r>
      <w:r w:rsidRPr="00B513F4">
        <w:t>400/</w:t>
      </w:r>
      <w:r w:rsidR="002E689A">
        <w:t>US</w:t>
      </w:r>
      <w:r w:rsidRPr="00B513F4">
        <w:t>$200 in allowances), the highest regular grade, thus instituting a measure of wage decompression which is a standard recommendation.</w:t>
      </w:r>
    </w:p>
    <w:p w14:paraId="021BD410" w14:textId="256F0FBA" w:rsidR="00A56EDD" w:rsidRPr="00B513F4" w:rsidRDefault="00A56EDD" w:rsidP="00A56EDD">
      <w:pPr>
        <w:jc w:val="both"/>
      </w:pPr>
      <w:r w:rsidRPr="00B513F4">
        <w:t xml:space="preserve">Comparing </w:t>
      </w:r>
      <w:r w:rsidR="008520EE">
        <w:t>different</w:t>
      </w:r>
      <w:r w:rsidR="008520EE" w:rsidRPr="00B513F4">
        <w:t xml:space="preserve"> </w:t>
      </w:r>
      <w:r w:rsidRPr="00B513F4">
        <w:t xml:space="preserve">countries, the average </w:t>
      </w:r>
      <w:r w:rsidRPr="00B513F4">
        <w:rPr>
          <w:i/>
        </w:rPr>
        <w:t>level</w:t>
      </w:r>
      <w:r w:rsidRPr="00B513F4">
        <w:t xml:space="preserve"> of civilian public sector compensation in South Sudan was broadly in line with regional public sector salaries in the late 2000s, if we take into account that GDP is p</w:t>
      </w:r>
      <w:r w:rsidR="002B5CE3">
        <w:t>articularly volatile (</w:t>
      </w:r>
      <w:r w:rsidR="008520EE">
        <w:fldChar w:fldCharType="begin"/>
      </w:r>
      <w:r w:rsidR="008520EE">
        <w:instrText xml:space="preserve"> REF _Ref447300286 \h </w:instrText>
      </w:r>
      <w:r w:rsidR="008520EE">
        <w:fldChar w:fldCharType="separate"/>
      </w:r>
      <w:r w:rsidR="008520EE">
        <w:t xml:space="preserve">table </w:t>
      </w:r>
      <w:r w:rsidR="008520EE">
        <w:rPr>
          <w:noProof/>
        </w:rPr>
        <w:t>5</w:t>
      </w:r>
      <w:r w:rsidR="008520EE">
        <w:fldChar w:fldCharType="end"/>
      </w:r>
      <w:r w:rsidR="002B5CE3">
        <w:t>).</w:t>
      </w:r>
      <w:r w:rsidRPr="00B513F4">
        <w:t xml:space="preserve"> It must be noted that public sector compensation is very challenging to compare reliably across countries, given that benefits beyond the core salary can be significant (allowances, in kind benefits, </w:t>
      </w:r>
      <w:r w:rsidR="00D55B54">
        <w:t>and so on</w:t>
      </w:r>
      <w:r w:rsidRPr="00B513F4">
        <w:t>). Comparability crucially depends on how the ‘average’ salary is defined</w:t>
      </w:r>
      <w:r w:rsidR="00B5660A">
        <w:t xml:space="preserve"> and</w:t>
      </w:r>
      <w:r w:rsidRPr="00B513F4">
        <w:t xml:space="preserve"> on </w:t>
      </w:r>
      <w:r w:rsidR="00B5660A">
        <w:t xml:space="preserve">the </w:t>
      </w:r>
      <w:r w:rsidRPr="00B513F4">
        <w:t>exchange rates/conversions to estimate purchasing power across countries</w:t>
      </w:r>
      <w:r w:rsidRPr="00B5660A">
        <w:t>, and also</w:t>
      </w:r>
      <w:r w:rsidRPr="00B513F4">
        <w:t xml:space="preserve"> that the availability of alternative employment and earnings opportunities varies.</w:t>
      </w:r>
      <w:r w:rsidRPr="00B513F4">
        <w:rPr>
          <w:rStyle w:val="FootnoteReference"/>
        </w:rPr>
        <w:footnoteReference w:id="20"/>
      </w:r>
      <w:r w:rsidRPr="00B513F4">
        <w:t xml:space="preserve"> Rwanda, which has a </w:t>
      </w:r>
      <w:r w:rsidRPr="00B513F4">
        <w:lastRenderedPageBreak/>
        <w:t>very lean public service, has a higher relative level of compensation compared to South Sudan; but as noted above, its total wage bill is smaller relative to total spending due to strictly limited staff numbers and much smaller spending on military salaries.</w:t>
      </w:r>
    </w:p>
    <w:p w14:paraId="5FCE8E59" w14:textId="24842D1C" w:rsidR="001B0DAF" w:rsidRDefault="001B0DAF" w:rsidP="001B0DAF">
      <w:pPr>
        <w:pStyle w:val="Caption"/>
        <w:keepNext/>
      </w:pPr>
      <w:bookmarkStart w:id="17" w:name="_Ref447300286"/>
      <w:r>
        <w:t xml:space="preserve">Table </w:t>
      </w:r>
      <w:fldSimple w:instr=" SEQ Table \* ARABIC ">
        <w:r w:rsidR="00FA6F6C">
          <w:rPr>
            <w:noProof/>
          </w:rPr>
          <w:t>5</w:t>
        </w:r>
      </w:fldSimple>
      <w:bookmarkEnd w:id="17"/>
      <w:r>
        <w:t xml:space="preserve">. </w:t>
      </w:r>
      <w:r w:rsidRPr="000B2171">
        <w:t xml:space="preserve">Public Service Salary to GDP </w:t>
      </w:r>
      <w:r w:rsidR="009D7A92">
        <w:t>Per Capita</w:t>
      </w:r>
      <w:r w:rsidR="009D7A92" w:rsidRPr="000B2171">
        <w:t xml:space="preserve"> </w:t>
      </w:r>
      <w:r>
        <w:t>C</w:t>
      </w:r>
      <w:r w:rsidRPr="000B2171">
        <w:t>omparison (</w:t>
      </w:r>
      <w:r>
        <w:t>V</w:t>
      </w:r>
      <w:r w:rsidRPr="000B2171">
        <w:t xml:space="preserve">arious </w:t>
      </w:r>
      <w:r>
        <w:t>Y</w:t>
      </w:r>
      <w:r w:rsidRPr="000B2171">
        <w:t>ears)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340"/>
        <w:gridCol w:w="1620"/>
        <w:gridCol w:w="1890"/>
      </w:tblGrid>
      <w:tr w:rsidR="00A56EDD" w:rsidRPr="00B513F4" w14:paraId="71D859B3" w14:textId="77777777" w:rsidTr="005E413B">
        <w:trPr>
          <w:trHeight w:val="222"/>
          <w:jc w:val="center"/>
        </w:trPr>
        <w:tc>
          <w:tcPr>
            <w:tcW w:w="2430" w:type="dxa"/>
          </w:tcPr>
          <w:p w14:paraId="0ACA4707" w14:textId="264F0636" w:rsidR="00A56EDD" w:rsidRPr="00B40AAA" w:rsidRDefault="00A56EDD" w:rsidP="005E413B">
            <w:pPr>
              <w:pStyle w:val="Default"/>
              <w:jc w:val="center"/>
              <w:rPr>
                <w:rFonts w:asciiTheme="minorHAnsi" w:hAnsiTheme="minorHAnsi"/>
                <w:b/>
                <w:sz w:val="20"/>
                <w:szCs w:val="20"/>
              </w:rPr>
            </w:pPr>
            <w:r w:rsidRPr="00B40AAA">
              <w:rPr>
                <w:rFonts w:asciiTheme="minorHAnsi" w:hAnsiTheme="minorHAnsi"/>
                <w:b/>
                <w:bCs/>
                <w:sz w:val="20"/>
                <w:szCs w:val="20"/>
              </w:rPr>
              <w:t>Country</w:t>
            </w:r>
          </w:p>
        </w:tc>
        <w:tc>
          <w:tcPr>
            <w:tcW w:w="2340" w:type="dxa"/>
          </w:tcPr>
          <w:p w14:paraId="0D139B20" w14:textId="40474C59" w:rsidR="00A56EDD" w:rsidRPr="00B40AAA" w:rsidRDefault="00A56EDD" w:rsidP="00F97AAF">
            <w:pPr>
              <w:pStyle w:val="Default"/>
              <w:jc w:val="center"/>
              <w:rPr>
                <w:rFonts w:asciiTheme="minorHAnsi" w:hAnsiTheme="minorHAnsi"/>
                <w:b/>
                <w:sz w:val="20"/>
                <w:szCs w:val="20"/>
              </w:rPr>
            </w:pPr>
            <w:r w:rsidRPr="00B40AAA">
              <w:rPr>
                <w:rFonts w:asciiTheme="minorHAnsi" w:hAnsiTheme="minorHAnsi"/>
                <w:b/>
                <w:bCs/>
                <w:sz w:val="20"/>
                <w:szCs w:val="20"/>
              </w:rPr>
              <w:t xml:space="preserve">Average salary per </w:t>
            </w:r>
            <w:r w:rsidR="005E413B">
              <w:rPr>
                <w:rFonts w:asciiTheme="minorHAnsi" w:hAnsiTheme="minorHAnsi"/>
                <w:b/>
                <w:bCs/>
                <w:sz w:val="20"/>
                <w:szCs w:val="20"/>
              </w:rPr>
              <w:t>p</w:t>
            </w:r>
            <w:r w:rsidRPr="00B40AAA">
              <w:rPr>
                <w:rFonts w:asciiTheme="minorHAnsi" w:hAnsiTheme="minorHAnsi"/>
                <w:b/>
                <w:bCs/>
                <w:sz w:val="20"/>
                <w:szCs w:val="20"/>
              </w:rPr>
              <w:t xml:space="preserve">ublic </w:t>
            </w:r>
            <w:r w:rsidR="005E413B">
              <w:rPr>
                <w:rFonts w:asciiTheme="minorHAnsi" w:hAnsiTheme="minorHAnsi"/>
                <w:b/>
                <w:bCs/>
                <w:sz w:val="20"/>
                <w:szCs w:val="20"/>
              </w:rPr>
              <w:t>s</w:t>
            </w:r>
            <w:r w:rsidRPr="00B40AAA">
              <w:rPr>
                <w:rFonts w:asciiTheme="minorHAnsi" w:hAnsiTheme="minorHAnsi"/>
                <w:b/>
                <w:bCs/>
                <w:sz w:val="20"/>
                <w:szCs w:val="20"/>
              </w:rPr>
              <w:t xml:space="preserve">ervice employee per </w:t>
            </w:r>
            <w:r w:rsidR="005E413B">
              <w:rPr>
                <w:rFonts w:asciiTheme="minorHAnsi" w:hAnsiTheme="minorHAnsi"/>
                <w:b/>
                <w:bCs/>
                <w:sz w:val="20"/>
                <w:szCs w:val="20"/>
              </w:rPr>
              <w:t>year</w:t>
            </w:r>
            <w:r w:rsidRPr="00B40AAA">
              <w:rPr>
                <w:rFonts w:asciiTheme="minorHAnsi" w:hAnsiTheme="minorHAnsi"/>
                <w:b/>
                <w:bCs/>
                <w:sz w:val="20"/>
                <w:szCs w:val="20"/>
              </w:rPr>
              <w:t xml:space="preserve"> in US$</w:t>
            </w:r>
          </w:p>
        </w:tc>
        <w:tc>
          <w:tcPr>
            <w:tcW w:w="1620" w:type="dxa"/>
          </w:tcPr>
          <w:p w14:paraId="4432DB32" w14:textId="77777777" w:rsidR="00A56EDD" w:rsidRPr="00B40AAA" w:rsidRDefault="00A56EDD" w:rsidP="005E413B">
            <w:pPr>
              <w:pStyle w:val="Default"/>
              <w:jc w:val="center"/>
              <w:rPr>
                <w:rFonts w:asciiTheme="minorHAnsi" w:hAnsiTheme="minorHAnsi"/>
                <w:b/>
                <w:bCs/>
                <w:sz w:val="20"/>
                <w:szCs w:val="20"/>
              </w:rPr>
            </w:pPr>
            <w:r w:rsidRPr="00B40AAA">
              <w:rPr>
                <w:rFonts w:asciiTheme="minorHAnsi" w:hAnsiTheme="minorHAnsi"/>
                <w:b/>
                <w:bCs/>
                <w:sz w:val="20"/>
                <w:szCs w:val="20"/>
              </w:rPr>
              <w:t>GDP per capita current US$</w:t>
            </w:r>
          </w:p>
        </w:tc>
        <w:tc>
          <w:tcPr>
            <w:tcW w:w="1890" w:type="dxa"/>
          </w:tcPr>
          <w:p w14:paraId="6E0FDE84" w14:textId="252F6CC5" w:rsidR="00A56EDD" w:rsidRPr="00B40AAA" w:rsidRDefault="00A56EDD" w:rsidP="00F97AAF">
            <w:pPr>
              <w:pStyle w:val="Default"/>
              <w:jc w:val="center"/>
              <w:rPr>
                <w:rFonts w:asciiTheme="minorHAnsi" w:hAnsiTheme="minorHAnsi"/>
                <w:b/>
                <w:bCs/>
                <w:sz w:val="20"/>
                <w:szCs w:val="20"/>
              </w:rPr>
            </w:pPr>
            <w:r w:rsidRPr="00B40AAA">
              <w:rPr>
                <w:rFonts w:asciiTheme="minorHAnsi" w:hAnsiTheme="minorHAnsi"/>
                <w:b/>
                <w:bCs/>
                <w:sz w:val="20"/>
                <w:szCs w:val="20"/>
              </w:rPr>
              <w:t xml:space="preserve">Ratio </w:t>
            </w:r>
            <w:r w:rsidR="005E413B">
              <w:rPr>
                <w:rFonts w:asciiTheme="minorHAnsi" w:hAnsiTheme="minorHAnsi"/>
                <w:b/>
                <w:bCs/>
                <w:sz w:val="20"/>
                <w:szCs w:val="20"/>
              </w:rPr>
              <w:t>w</w:t>
            </w:r>
            <w:r w:rsidRPr="00B40AAA">
              <w:rPr>
                <w:rFonts w:asciiTheme="minorHAnsi" w:hAnsiTheme="minorHAnsi"/>
                <w:b/>
                <w:bCs/>
                <w:sz w:val="20"/>
                <w:szCs w:val="20"/>
              </w:rPr>
              <w:t>age/GDP per cap</w:t>
            </w:r>
            <w:r w:rsidR="005E413B">
              <w:rPr>
                <w:rFonts w:asciiTheme="minorHAnsi" w:hAnsiTheme="minorHAnsi"/>
                <w:b/>
                <w:bCs/>
                <w:sz w:val="20"/>
                <w:szCs w:val="20"/>
              </w:rPr>
              <w:t>ita</w:t>
            </w:r>
          </w:p>
        </w:tc>
      </w:tr>
      <w:tr w:rsidR="00A56EDD" w:rsidRPr="00B513F4" w14:paraId="164FF585" w14:textId="77777777" w:rsidTr="00B40AAA">
        <w:trPr>
          <w:trHeight w:val="92"/>
          <w:jc w:val="center"/>
        </w:trPr>
        <w:tc>
          <w:tcPr>
            <w:tcW w:w="2430" w:type="dxa"/>
          </w:tcPr>
          <w:p w14:paraId="13F609A9" w14:textId="77777777" w:rsidR="00A56EDD" w:rsidRPr="00B513F4" w:rsidRDefault="00A56EDD" w:rsidP="007857CB">
            <w:pPr>
              <w:pStyle w:val="Default"/>
              <w:rPr>
                <w:rFonts w:asciiTheme="minorHAnsi" w:hAnsiTheme="minorHAnsi"/>
                <w:bCs/>
                <w:sz w:val="20"/>
                <w:szCs w:val="20"/>
              </w:rPr>
            </w:pPr>
            <w:r w:rsidRPr="00B513F4">
              <w:rPr>
                <w:rFonts w:asciiTheme="minorHAnsi" w:hAnsiTheme="minorHAnsi"/>
                <w:bCs/>
                <w:sz w:val="20"/>
                <w:szCs w:val="20"/>
              </w:rPr>
              <w:t>South Sudan (GDP, 2011)</w:t>
            </w:r>
          </w:p>
        </w:tc>
        <w:tc>
          <w:tcPr>
            <w:tcW w:w="2340" w:type="dxa"/>
            <w:vMerge w:val="restart"/>
            <w:vAlign w:val="center"/>
          </w:tcPr>
          <w:p w14:paraId="60DD65F2" w14:textId="483A15FF" w:rsidR="00A56EDD" w:rsidRPr="00B513F4" w:rsidRDefault="00A56EDD" w:rsidP="007857CB">
            <w:pPr>
              <w:pStyle w:val="Default"/>
              <w:jc w:val="center"/>
              <w:rPr>
                <w:rFonts w:asciiTheme="minorHAnsi" w:hAnsiTheme="minorHAnsi"/>
                <w:sz w:val="20"/>
                <w:szCs w:val="20"/>
              </w:rPr>
            </w:pPr>
            <w:r w:rsidRPr="00B513F4">
              <w:rPr>
                <w:rFonts w:asciiTheme="minorHAnsi" w:hAnsiTheme="minorHAnsi"/>
                <w:sz w:val="20"/>
                <w:szCs w:val="20"/>
              </w:rPr>
              <w:t>3</w:t>
            </w:r>
            <w:r w:rsidR="001906E2">
              <w:rPr>
                <w:rFonts w:asciiTheme="minorHAnsi" w:hAnsiTheme="minorHAnsi"/>
                <w:sz w:val="20"/>
                <w:szCs w:val="20"/>
              </w:rPr>
              <w:t>,</w:t>
            </w:r>
            <w:r w:rsidRPr="00B513F4">
              <w:rPr>
                <w:rFonts w:asciiTheme="minorHAnsi" w:hAnsiTheme="minorHAnsi"/>
                <w:sz w:val="20"/>
                <w:szCs w:val="20"/>
              </w:rPr>
              <w:t>082*</w:t>
            </w:r>
          </w:p>
        </w:tc>
        <w:tc>
          <w:tcPr>
            <w:tcW w:w="1620" w:type="dxa"/>
          </w:tcPr>
          <w:p w14:paraId="289CCEAE" w14:textId="776AB658" w:rsidR="00A56EDD" w:rsidRPr="00B513F4" w:rsidRDefault="00A56EDD" w:rsidP="007857CB">
            <w:pPr>
              <w:pStyle w:val="Default"/>
              <w:jc w:val="center"/>
              <w:rPr>
                <w:rFonts w:asciiTheme="minorHAnsi" w:hAnsiTheme="minorHAnsi"/>
                <w:sz w:val="20"/>
                <w:szCs w:val="20"/>
              </w:rPr>
            </w:pPr>
            <w:r w:rsidRPr="00B513F4">
              <w:rPr>
                <w:rFonts w:asciiTheme="minorHAnsi" w:hAnsiTheme="minorHAnsi"/>
                <w:sz w:val="20"/>
                <w:szCs w:val="20"/>
              </w:rPr>
              <w:t>1</w:t>
            </w:r>
            <w:r w:rsidR="001906E2">
              <w:rPr>
                <w:rFonts w:asciiTheme="minorHAnsi" w:hAnsiTheme="minorHAnsi"/>
                <w:sz w:val="20"/>
                <w:szCs w:val="20"/>
              </w:rPr>
              <w:t>,</w:t>
            </w:r>
            <w:r w:rsidRPr="00B513F4">
              <w:rPr>
                <w:rFonts w:asciiTheme="minorHAnsi" w:hAnsiTheme="minorHAnsi"/>
                <w:sz w:val="20"/>
                <w:szCs w:val="20"/>
              </w:rPr>
              <w:t xml:space="preserve">858 </w:t>
            </w:r>
          </w:p>
        </w:tc>
        <w:tc>
          <w:tcPr>
            <w:tcW w:w="1890" w:type="dxa"/>
          </w:tcPr>
          <w:p w14:paraId="22B1B3EB" w14:textId="77777777" w:rsidR="00A56EDD" w:rsidRPr="00B513F4" w:rsidRDefault="00A56EDD" w:rsidP="007857CB">
            <w:pPr>
              <w:pStyle w:val="Default"/>
              <w:jc w:val="center"/>
              <w:rPr>
                <w:rFonts w:asciiTheme="minorHAnsi" w:hAnsiTheme="minorHAnsi"/>
                <w:sz w:val="20"/>
                <w:szCs w:val="20"/>
              </w:rPr>
            </w:pPr>
            <w:r w:rsidRPr="00B513F4">
              <w:rPr>
                <w:rFonts w:asciiTheme="minorHAnsi" w:hAnsiTheme="minorHAnsi"/>
                <w:sz w:val="20"/>
                <w:szCs w:val="20"/>
              </w:rPr>
              <w:t>1.66</w:t>
            </w:r>
          </w:p>
        </w:tc>
      </w:tr>
      <w:tr w:rsidR="00A56EDD" w:rsidRPr="00B513F4" w14:paraId="110B0551" w14:textId="77777777" w:rsidTr="00B40AAA">
        <w:trPr>
          <w:trHeight w:val="92"/>
          <w:jc w:val="center"/>
        </w:trPr>
        <w:tc>
          <w:tcPr>
            <w:tcW w:w="2430" w:type="dxa"/>
          </w:tcPr>
          <w:p w14:paraId="148ABD2B" w14:textId="77777777" w:rsidR="00A56EDD" w:rsidRPr="00B513F4" w:rsidRDefault="00A56EDD" w:rsidP="007857CB">
            <w:pPr>
              <w:pStyle w:val="Default"/>
              <w:rPr>
                <w:rFonts w:asciiTheme="minorHAnsi" w:hAnsiTheme="minorHAnsi"/>
                <w:bCs/>
                <w:sz w:val="20"/>
                <w:szCs w:val="20"/>
              </w:rPr>
            </w:pPr>
            <w:r w:rsidRPr="00B513F4">
              <w:rPr>
                <w:rFonts w:asciiTheme="minorHAnsi" w:hAnsiTheme="minorHAnsi"/>
                <w:bCs/>
                <w:sz w:val="20"/>
                <w:szCs w:val="20"/>
              </w:rPr>
              <w:t>South Sudan (GNI, 2011)</w:t>
            </w:r>
          </w:p>
        </w:tc>
        <w:tc>
          <w:tcPr>
            <w:tcW w:w="2340" w:type="dxa"/>
            <w:vMerge/>
          </w:tcPr>
          <w:p w14:paraId="2987E9E6" w14:textId="77777777" w:rsidR="00A56EDD" w:rsidRPr="00B513F4" w:rsidRDefault="00A56EDD" w:rsidP="007857CB">
            <w:pPr>
              <w:pStyle w:val="Default"/>
              <w:jc w:val="center"/>
              <w:rPr>
                <w:rFonts w:asciiTheme="minorHAnsi" w:hAnsiTheme="minorHAnsi"/>
                <w:sz w:val="20"/>
                <w:szCs w:val="20"/>
              </w:rPr>
            </w:pPr>
          </w:p>
        </w:tc>
        <w:tc>
          <w:tcPr>
            <w:tcW w:w="1620" w:type="dxa"/>
          </w:tcPr>
          <w:p w14:paraId="5E24D6C6" w14:textId="77777777" w:rsidR="00A56EDD" w:rsidRPr="00B513F4" w:rsidRDefault="00A56EDD" w:rsidP="007857CB">
            <w:pPr>
              <w:pStyle w:val="Default"/>
              <w:jc w:val="center"/>
              <w:rPr>
                <w:rFonts w:asciiTheme="minorHAnsi" w:hAnsiTheme="minorHAnsi"/>
                <w:sz w:val="20"/>
                <w:szCs w:val="20"/>
              </w:rPr>
            </w:pPr>
            <w:r w:rsidRPr="00B513F4">
              <w:rPr>
                <w:rFonts w:asciiTheme="minorHAnsi" w:hAnsiTheme="minorHAnsi"/>
                <w:sz w:val="20"/>
                <w:szCs w:val="20"/>
              </w:rPr>
              <w:t xml:space="preserve">984 </w:t>
            </w:r>
          </w:p>
        </w:tc>
        <w:tc>
          <w:tcPr>
            <w:tcW w:w="1890" w:type="dxa"/>
          </w:tcPr>
          <w:p w14:paraId="465048F0" w14:textId="77777777" w:rsidR="00A56EDD" w:rsidRPr="00B513F4" w:rsidRDefault="00A56EDD" w:rsidP="007857CB">
            <w:pPr>
              <w:pStyle w:val="Default"/>
              <w:jc w:val="center"/>
              <w:rPr>
                <w:rFonts w:asciiTheme="minorHAnsi" w:hAnsiTheme="minorHAnsi"/>
                <w:sz w:val="20"/>
                <w:szCs w:val="20"/>
              </w:rPr>
            </w:pPr>
            <w:r w:rsidRPr="00B513F4">
              <w:rPr>
                <w:rFonts w:asciiTheme="minorHAnsi" w:hAnsiTheme="minorHAnsi"/>
                <w:sz w:val="20"/>
                <w:szCs w:val="20"/>
              </w:rPr>
              <w:t>3.13</w:t>
            </w:r>
          </w:p>
        </w:tc>
      </w:tr>
      <w:tr w:rsidR="00A56EDD" w:rsidRPr="00B513F4" w14:paraId="0CF0EB09" w14:textId="77777777" w:rsidTr="00B40AAA">
        <w:trPr>
          <w:trHeight w:val="92"/>
          <w:jc w:val="center"/>
        </w:trPr>
        <w:tc>
          <w:tcPr>
            <w:tcW w:w="2430" w:type="dxa"/>
          </w:tcPr>
          <w:p w14:paraId="6ED7BE01" w14:textId="77777777" w:rsidR="00A56EDD" w:rsidRPr="00B513F4" w:rsidRDefault="00A56EDD" w:rsidP="007857CB">
            <w:pPr>
              <w:pStyle w:val="Default"/>
              <w:rPr>
                <w:rFonts w:asciiTheme="minorHAnsi" w:hAnsiTheme="minorHAnsi"/>
                <w:sz w:val="20"/>
                <w:szCs w:val="20"/>
              </w:rPr>
            </w:pPr>
            <w:r w:rsidRPr="00B513F4">
              <w:rPr>
                <w:rFonts w:asciiTheme="minorHAnsi" w:hAnsiTheme="minorHAnsi"/>
                <w:bCs/>
                <w:sz w:val="20"/>
                <w:szCs w:val="20"/>
              </w:rPr>
              <w:t xml:space="preserve">Kenya </w:t>
            </w:r>
          </w:p>
        </w:tc>
        <w:tc>
          <w:tcPr>
            <w:tcW w:w="2340" w:type="dxa"/>
          </w:tcPr>
          <w:p w14:paraId="65A11470" w14:textId="77777777" w:rsidR="00A56EDD" w:rsidRPr="00B513F4" w:rsidRDefault="00A56EDD" w:rsidP="007857CB">
            <w:pPr>
              <w:pStyle w:val="Default"/>
              <w:jc w:val="center"/>
              <w:rPr>
                <w:rFonts w:asciiTheme="minorHAnsi" w:hAnsiTheme="minorHAnsi"/>
                <w:sz w:val="20"/>
                <w:szCs w:val="20"/>
              </w:rPr>
            </w:pPr>
            <w:r w:rsidRPr="00B513F4">
              <w:rPr>
                <w:rFonts w:asciiTheme="minorHAnsi" w:hAnsiTheme="minorHAnsi"/>
                <w:sz w:val="20"/>
                <w:szCs w:val="20"/>
              </w:rPr>
              <w:t>4,065</w:t>
            </w:r>
          </w:p>
        </w:tc>
        <w:tc>
          <w:tcPr>
            <w:tcW w:w="1620" w:type="dxa"/>
          </w:tcPr>
          <w:p w14:paraId="6F99F210" w14:textId="77777777" w:rsidR="00A56EDD" w:rsidRPr="00B513F4" w:rsidRDefault="00A56EDD" w:rsidP="007857CB">
            <w:pPr>
              <w:pStyle w:val="Default"/>
              <w:jc w:val="center"/>
              <w:rPr>
                <w:rFonts w:asciiTheme="minorHAnsi" w:hAnsiTheme="minorHAnsi"/>
                <w:sz w:val="20"/>
                <w:szCs w:val="20"/>
              </w:rPr>
            </w:pPr>
            <w:r w:rsidRPr="00B513F4">
              <w:rPr>
                <w:rFonts w:asciiTheme="minorHAnsi" w:hAnsiTheme="minorHAnsi"/>
                <w:sz w:val="20"/>
                <w:szCs w:val="20"/>
              </w:rPr>
              <w:t>770</w:t>
            </w:r>
          </w:p>
        </w:tc>
        <w:tc>
          <w:tcPr>
            <w:tcW w:w="1890" w:type="dxa"/>
          </w:tcPr>
          <w:p w14:paraId="7FE846CC" w14:textId="77777777" w:rsidR="00A56EDD" w:rsidRPr="00B513F4" w:rsidRDefault="00A56EDD" w:rsidP="007857CB">
            <w:pPr>
              <w:pStyle w:val="Default"/>
              <w:jc w:val="center"/>
              <w:rPr>
                <w:rFonts w:asciiTheme="minorHAnsi" w:hAnsiTheme="minorHAnsi"/>
                <w:sz w:val="20"/>
                <w:szCs w:val="20"/>
              </w:rPr>
            </w:pPr>
            <w:r w:rsidRPr="00B513F4">
              <w:rPr>
                <w:rFonts w:asciiTheme="minorHAnsi" w:hAnsiTheme="minorHAnsi"/>
                <w:sz w:val="20"/>
                <w:szCs w:val="20"/>
              </w:rPr>
              <w:t>5.28</w:t>
            </w:r>
          </w:p>
        </w:tc>
      </w:tr>
      <w:tr w:rsidR="00A56EDD" w:rsidRPr="00B513F4" w14:paraId="10429D03" w14:textId="77777777" w:rsidTr="00B40AAA">
        <w:trPr>
          <w:trHeight w:val="92"/>
          <w:jc w:val="center"/>
        </w:trPr>
        <w:tc>
          <w:tcPr>
            <w:tcW w:w="2430" w:type="dxa"/>
          </w:tcPr>
          <w:p w14:paraId="1175738A" w14:textId="77777777" w:rsidR="00A56EDD" w:rsidRPr="00B513F4" w:rsidRDefault="00A56EDD" w:rsidP="007857CB">
            <w:pPr>
              <w:pStyle w:val="Default"/>
              <w:rPr>
                <w:rFonts w:asciiTheme="minorHAnsi" w:hAnsiTheme="minorHAnsi"/>
                <w:sz w:val="20"/>
                <w:szCs w:val="20"/>
              </w:rPr>
            </w:pPr>
            <w:r w:rsidRPr="00B513F4">
              <w:rPr>
                <w:rFonts w:asciiTheme="minorHAnsi" w:hAnsiTheme="minorHAnsi"/>
                <w:bCs/>
                <w:sz w:val="20"/>
                <w:szCs w:val="20"/>
              </w:rPr>
              <w:t xml:space="preserve">Malawi </w:t>
            </w:r>
          </w:p>
        </w:tc>
        <w:tc>
          <w:tcPr>
            <w:tcW w:w="2340" w:type="dxa"/>
          </w:tcPr>
          <w:p w14:paraId="61DE429B" w14:textId="6D11B442" w:rsidR="00A56EDD" w:rsidRPr="00B513F4" w:rsidRDefault="00A56EDD" w:rsidP="007857CB">
            <w:pPr>
              <w:pStyle w:val="Default"/>
              <w:jc w:val="center"/>
              <w:rPr>
                <w:rFonts w:asciiTheme="minorHAnsi" w:hAnsiTheme="minorHAnsi"/>
                <w:sz w:val="20"/>
                <w:szCs w:val="20"/>
              </w:rPr>
            </w:pPr>
            <w:r w:rsidRPr="00B513F4">
              <w:rPr>
                <w:rFonts w:asciiTheme="minorHAnsi" w:hAnsiTheme="minorHAnsi"/>
                <w:sz w:val="20"/>
                <w:szCs w:val="20"/>
              </w:rPr>
              <w:t>997</w:t>
            </w:r>
          </w:p>
        </w:tc>
        <w:tc>
          <w:tcPr>
            <w:tcW w:w="1620" w:type="dxa"/>
          </w:tcPr>
          <w:p w14:paraId="26AE2D78" w14:textId="77777777" w:rsidR="00A56EDD" w:rsidRPr="00B513F4" w:rsidRDefault="00A56EDD" w:rsidP="007857CB">
            <w:pPr>
              <w:pStyle w:val="Default"/>
              <w:jc w:val="center"/>
              <w:rPr>
                <w:rFonts w:asciiTheme="minorHAnsi" w:hAnsiTheme="minorHAnsi"/>
                <w:sz w:val="20"/>
                <w:szCs w:val="20"/>
              </w:rPr>
            </w:pPr>
            <w:r w:rsidRPr="00B513F4">
              <w:rPr>
                <w:rFonts w:asciiTheme="minorHAnsi" w:hAnsiTheme="minorHAnsi"/>
                <w:sz w:val="20"/>
                <w:szCs w:val="20"/>
              </w:rPr>
              <w:t>290</w:t>
            </w:r>
          </w:p>
        </w:tc>
        <w:tc>
          <w:tcPr>
            <w:tcW w:w="1890" w:type="dxa"/>
          </w:tcPr>
          <w:p w14:paraId="0313236C" w14:textId="77777777" w:rsidR="00A56EDD" w:rsidRPr="00B513F4" w:rsidRDefault="00A56EDD" w:rsidP="007857CB">
            <w:pPr>
              <w:pStyle w:val="Default"/>
              <w:jc w:val="center"/>
              <w:rPr>
                <w:rFonts w:asciiTheme="minorHAnsi" w:hAnsiTheme="minorHAnsi"/>
                <w:sz w:val="20"/>
                <w:szCs w:val="20"/>
              </w:rPr>
            </w:pPr>
            <w:r w:rsidRPr="00B513F4">
              <w:rPr>
                <w:rFonts w:asciiTheme="minorHAnsi" w:hAnsiTheme="minorHAnsi"/>
                <w:sz w:val="20"/>
                <w:szCs w:val="20"/>
              </w:rPr>
              <w:t>3.44</w:t>
            </w:r>
          </w:p>
        </w:tc>
      </w:tr>
      <w:tr w:rsidR="00A56EDD" w:rsidRPr="00B513F4" w14:paraId="69B47893" w14:textId="77777777" w:rsidTr="00B40AAA">
        <w:trPr>
          <w:trHeight w:val="92"/>
          <w:jc w:val="center"/>
        </w:trPr>
        <w:tc>
          <w:tcPr>
            <w:tcW w:w="2430" w:type="dxa"/>
          </w:tcPr>
          <w:p w14:paraId="668E2719" w14:textId="77777777" w:rsidR="00A56EDD" w:rsidRPr="00B513F4" w:rsidRDefault="00A56EDD" w:rsidP="007857CB">
            <w:pPr>
              <w:pStyle w:val="Default"/>
              <w:rPr>
                <w:rFonts w:asciiTheme="minorHAnsi" w:hAnsiTheme="minorHAnsi"/>
                <w:sz w:val="20"/>
                <w:szCs w:val="20"/>
              </w:rPr>
            </w:pPr>
            <w:r w:rsidRPr="00B513F4">
              <w:rPr>
                <w:rFonts w:asciiTheme="minorHAnsi" w:hAnsiTheme="minorHAnsi"/>
                <w:bCs/>
                <w:sz w:val="20"/>
                <w:szCs w:val="20"/>
              </w:rPr>
              <w:t xml:space="preserve">Mozambique </w:t>
            </w:r>
          </w:p>
        </w:tc>
        <w:tc>
          <w:tcPr>
            <w:tcW w:w="2340" w:type="dxa"/>
          </w:tcPr>
          <w:p w14:paraId="767EE4F6" w14:textId="77777777" w:rsidR="00A56EDD" w:rsidRPr="00B513F4" w:rsidRDefault="00A56EDD" w:rsidP="007857CB">
            <w:pPr>
              <w:pStyle w:val="Default"/>
              <w:jc w:val="center"/>
              <w:rPr>
                <w:rFonts w:asciiTheme="minorHAnsi" w:hAnsiTheme="minorHAnsi"/>
                <w:sz w:val="20"/>
                <w:szCs w:val="20"/>
              </w:rPr>
            </w:pPr>
            <w:r w:rsidRPr="00B513F4">
              <w:rPr>
                <w:rFonts w:asciiTheme="minorHAnsi" w:hAnsiTheme="minorHAnsi"/>
                <w:sz w:val="20"/>
                <w:szCs w:val="20"/>
              </w:rPr>
              <w:t>2,303</w:t>
            </w:r>
          </w:p>
        </w:tc>
        <w:tc>
          <w:tcPr>
            <w:tcW w:w="1620" w:type="dxa"/>
          </w:tcPr>
          <w:p w14:paraId="7D22AD5F" w14:textId="77777777" w:rsidR="00A56EDD" w:rsidRPr="00B513F4" w:rsidRDefault="00A56EDD" w:rsidP="007857CB">
            <w:pPr>
              <w:pStyle w:val="Default"/>
              <w:jc w:val="center"/>
              <w:rPr>
                <w:rFonts w:asciiTheme="minorHAnsi" w:hAnsiTheme="minorHAnsi"/>
                <w:sz w:val="20"/>
                <w:szCs w:val="20"/>
              </w:rPr>
            </w:pPr>
            <w:r w:rsidRPr="00B513F4">
              <w:rPr>
                <w:rFonts w:asciiTheme="minorHAnsi" w:hAnsiTheme="minorHAnsi"/>
                <w:sz w:val="20"/>
                <w:szCs w:val="20"/>
              </w:rPr>
              <w:t>370</w:t>
            </w:r>
          </w:p>
        </w:tc>
        <w:tc>
          <w:tcPr>
            <w:tcW w:w="1890" w:type="dxa"/>
          </w:tcPr>
          <w:p w14:paraId="36620707" w14:textId="77777777" w:rsidR="00A56EDD" w:rsidRPr="00B513F4" w:rsidRDefault="00A56EDD" w:rsidP="007857CB">
            <w:pPr>
              <w:pStyle w:val="Default"/>
              <w:jc w:val="center"/>
              <w:rPr>
                <w:rFonts w:asciiTheme="minorHAnsi" w:hAnsiTheme="minorHAnsi"/>
                <w:sz w:val="20"/>
                <w:szCs w:val="20"/>
              </w:rPr>
            </w:pPr>
            <w:r w:rsidRPr="00B513F4">
              <w:rPr>
                <w:rFonts w:asciiTheme="minorHAnsi" w:hAnsiTheme="minorHAnsi"/>
                <w:sz w:val="20"/>
                <w:szCs w:val="20"/>
              </w:rPr>
              <w:t>6.22</w:t>
            </w:r>
          </w:p>
        </w:tc>
      </w:tr>
      <w:tr w:rsidR="00A56EDD" w:rsidRPr="00B513F4" w14:paraId="55A1FBC0" w14:textId="77777777" w:rsidTr="00B40AAA">
        <w:trPr>
          <w:trHeight w:val="92"/>
          <w:jc w:val="center"/>
        </w:trPr>
        <w:tc>
          <w:tcPr>
            <w:tcW w:w="2430" w:type="dxa"/>
          </w:tcPr>
          <w:p w14:paraId="4B8281DC" w14:textId="77777777" w:rsidR="00A56EDD" w:rsidRPr="00B513F4" w:rsidRDefault="00A56EDD" w:rsidP="007857CB">
            <w:pPr>
              <w:pStyle w:val="Default"/>
              <w:rPr>
                <w:rFonts w:asciiTheme="minorHAnsi" w:hAnsiTheme="minorHAnsi"/>
                <w:sz w:val="20"/>
                <w:szCs w:val="20"/>
              </w:rPr>
            </w:pPr>
            <w:r w:rsidRPr="00B513F4">
              <w:rPr>
                <w:rFonts w:asciiTheme="minorHAnsi" w:hAnsiTheme="minorHAnsi"/>
                <w:bCs/>
                <w:sz w:val="20"/>
                <w:szCs w:val="20"/>
              </w:rPr>
              <w:t xml:space="preserve">Rwanda </w:t>
            </w:r>
          </w:p>
        </w:tc>
        <w:tc>
          <w:tcPr>
            <w:tcW w:w="2340" w:type="dxa"/>
          </w:tcPr>
          <w:p w14:paraId="68BCA252" w14:textId="77777777" w:rsidR="00A56EDD" w:rsidRPr="00B513F4" w:rsidRDefault="00A56EDD" w:rsidP="007857CB">
            <w:pPr>
              <w:pStyle w:val="Default"/>
              <w:jc w:val="center"/>
              <w:rPr>
                <w:rFonts w:asciiTheme="minorHAnsi" w:hAnsiTheme="minorHAnsi"/>
                <w:sz w:val="20"/>
                <w:szCs w:val="20"/>
              </w:rPr>
            </w:pPr>
            <w:r w:rsidRPr="00B513F4">
              <w:rPr>
                <w:rFonts w:asciiTheme="minorHAnsi" w:hAnsiTheme="minorHAnsi"/>
                <w:sz w:val="20"/>
                <w:szCs w:val="20"/>
              </w:rPr>
              <w:t>2,805</w:t>
            </w:r>
          </w:p>
        </w:tc>
        <w:tc>
          <w:tcPr>
            <w:tcW w:w="1620" w:type="dxa"/>
          </w:tcPr>
          <w:p w14:paraId="27AC15FB" w14:textId="77777777" w:rsidR="00A56EDD" w:rsidRPr="00B513F4" w:rsidRDefault="00A56EDD" w:rsidP="007857CB">
            <w:pPr>
              <w:pStyle w:val="Default"/>
              <w:jc w:val="center"/>
              <w:rPr>
                <w:rFonts w:asciiTheme="minorHAnsi" w:hAnsiTheme="minorHAnsi"/>
                <w:sz w:val="20"/>
                <w:szCs w:val="20"/>
              </w:rPr>
            </w:pPr>
            <w:r w:rsidRPr="00B513F4">
              <w:rPr>
                <w:rFonts w:asciiTheme="minorHAnsi" w:hAnsiTheme="minorHAnsi"/>
                <w:sz w:val="20"/>
                <w:szCs w:val="20"/>
              </w:rPr>
              <w:t>410</w:t>
            </w:r>
          </w:p>
        </w:tc>
        <w:tc>
          <w:tcPr>
            <w:tcW w:w="1890" w:type="dxa"/>
          </w:tcPr>
          <w:p w14:paraId="0FD41122" w14:textId="77777777" w:rsidR="00A56EDD" w:rsidRPr="00B513F4" w:rsidRDefault="00A56EDD" w:rsidP="007857CB">
            <w:pPr>
              <w:pStyle w:val="Default"/>
              <w:jc w:val="center"/>
              <w:rPr>
                <w:rFonts w:asciiTheme="minorHAnsi" w:hAnsiTheme="minorHAnsi"/>
                <w:sz w:val="20"/>
                <w:szCs w:val="20"/>
              </w:rPr>
            </w:pPr>
            <w:r w:rsidRPr="00B513F4">
              <w:rPr>
                <w:rFonts w:asciiTheme="minorHAnsi" w:hAnsiTheme="minorHAnsi"/>
                <w:sz w:val="20"/>
                <w:szCs w:val="20"/>
              </w:rPr>
              <w:t>6.84</w:t>
            </w:r>
          </w:p>
        </w:tc>
      </w:tr>
      <w:tr w:rsidR="00A56EDD" w:rsidRPr="00B513F4" w14:paraId="12B732A0" w14:textId="77777777" w:rsidTr="00B40AAA">
        <w:trPr>
          <w:trHeight w:val="92"/>
          <w:jc w:val="center"/>
        </w:trPr>
        <w:tc>
          <w:tcPr>
            <w:tcW w:w="2430" w:type="dxa"/>
          </w:tcPr>
          <w:p w14:paraId="4243C9A5" w14:textId="77777777" w:rsidR="00A56EDD" w:rsidRPr="00B513F4" w:rsidRDefault="00A56EDD" w:rsidP="007857CB">
            <w:pPr>
              <w:pStyle w:val="Default"/>
              <w:rPr>
                <w:rFonts w:asciiTheme="minorHAnsi" w:hAnsiTheme="minorHAnsi"/>
                <w:sz w:val="20"/>
                <w:szCs w:val="20"/>
              </w:rPr>
            </w:pPr>
            <w:r w:rsidRPr="00B513F4">
              <w:rPr>
                <w:rFonts w:asciiTheme="minorHAnsi" w:hAnsiTheme="minorHAnsi"/>
                <w:bCs/>
                <w:sz w:val="20"/>
                <w:szCs w:val="20"/>
              </w:rPr>
              <w:t xml:space="preserve">Tanzania </w:t>
            </w:r>
          </w:p>
        </w:tc>
        <w:tc>
          <w:tcPr>
            <w:tcW w:w="2340" w:type="dxa"/>
          </w:tcPr>
          <w:p w14:paraId="3D9B9110" w14:textId="77777777" w:rsidR="00A56EDD" w:rsidRPr="00B513F4" w:rsidRDefault="00A56EDD" w:rsidP="007857CB">
            <w:pPr>
              <w:pStyle w:val="Default"/>
              <w:jc w:val="center"/>
              <w:rPr>
                <w:rFonts w:asciiTheme="minorHAnsi" w:hAnsiTheme="minorHAnsi"/>
                <w:sz w:val="20"/>
                <w:szCs w:val="20"/>
              </w:rPr>
            </w:pPr>
            <w:r w:rsidRPr="00B513F4">
              <w:rPr>
                <w:rFonts w:asciiTheme="minorHAnsi" w:hAnsiTheme="minorHAnsi"/>
                <w:sz w:val="20"/>
                <w:szCs w:val="20"/>
              </w:rPr>
              <w:t>1,999</w:t>
            </w:r>
          </w:p>
        </w:tc>
        <w:tc>
          <w:tcPr>
            <w:tcW w:w="1620" w:type="dxa"/>
          </w:tcPr>
          <w:p w14:paraId="1418EFA7" w14:textId="77777777" w:rsidR="00A56EDD" w:rsidRPr="00B513F4" w:rsidRDefault="00A56EDD" w:rsidP="007857CB">
            <w:pPr>
              <w:pStyle w:val="Default"/>
              <w:jc w:val="center"/>
              <w:rPr>
                <w:rFonts w:asciiTheme="minorHAnsi" w:hAnsiTheme="minorHAnsi"/>
                <w:sz w:val="20"/>
                <w:szCs w:val="20"/>
              </w:rPr>
            </w:pPr>
            <w:r w:rsidRPr="00B513F4">
              <w:rPr>
                <w:rFonts w:asciiTheme="minorHAnsi" w:hAnsiTheme="minorHAnsi"/>
                <w:sz w:val="20"/>
                <w:szCs w:val="20"/>
              </w:rPr>
              <w:t>440</w:t>
            </w:r>
          </w:p>
        </w:tc>
        <w:tc>
          <w:tcPr>
            <w:tcW w:w="1890" w:type="dxa"/>
          </w:tcPr>
          <w:p w14:paraId="1BAE8F2B" w14:textId="77777777" w:rsidR="00A56EDD" w:rsidRPr="00B513F4" w:rsidRDefault="00A56EDD" w:rsidP="007857CB">
            <w:pPr>
              <w:pStyle w:val="Default"/>
              <w:jc w:val="center"/>
              <w:rPr>
                <w:rFonts w:asciiTheme="minorHAnsi" w:hAnsiTheme="minorHAnsi"/>
                <w:sz w:val="20"/>
                <w:szCs w:val="20"/>
              </w:rPr>
            </w:pPr>
            <w:r w:rsidRPr="00B513F4">
              <w:rPr>
                <w:rFonts w:asciiTheme="minorHAnsi" w:hAnsiTheme="minorHAnsi"/>
                <w:sz w:val="20"/>
                <w:szCs w:val="20"/>
              </w:rPr>
              <w:t>4.54</w:t>
            </w:r>
          </w:p>
        </w:tc>
      </w:tr>
      <w:tr w:rsidR="00A56EDD" w:rsidRPr="00B513F4" w14:paraId="7DF62507" w14:textId="77777777" w:rsidTr="00B40AAA">
        <w:trPr>
          <w:trHeight w:val="92"/>
          <w:jc w:val="center"/>
        </w:trPr>
        <w:tc>
          <w:tcPr>
            <w:tcW w:w="2430" w:type="dxa"/>
          </w:tcPr>
          <w:p w14:paraId="191DDAFA" w14:textId="77777777" w:rsidR="00A56EDD" w:rsidRPr="00B513F4" w:rsidRDefault="00A56EDD" w:rsidP="007857CB">
            <w:pPr>
              <w:pStyle w:val="Default"/>
              <w:rPr>
                <w:rFonts w:asciiTheme="minorHAnsi" w:hAnsiTheme="minorHAnsi"/>
                <w:sz w:val="20"/>
                <w:szCs w:val="20"/>
              </w:rPr>
            </w:pPr>
            <w:r w:rsidRPr="00B513F4">
              <w:rPr>
                <w:rFonts w:asciiTheme="minorHAnsi" w:hAnsiTheme="minorHAnsi"/>
                <w:bCs/>
                <w:sz w:val="20"/>
                <w:szCs w:val="20"/>
              </w:rPr>
              <w:t xml:space="preserve">Uganda </w:t>
            </w:r>
          </w:p>
        </w:tc>
        <w:tc>
          <w:tcPr>
            <w:tcW w:w="2340" w:type="dxa"/>
          </w:tcPr>
          <w:p w14:paraId="29665ACD" w14:textId="77777777" w:rsidR="00A56EDD" w:rsidRPr="00B513F4" w:rsidRDefault="00A56EDD" w:rsidP="007857CB">
            <w:pPr>
              <w:pStyle w:val="Default"/>
              <w:jc w:val="center"/>
              <w:rPr>
                <w:rFonts w:asciiTheme="minorHAnsi" w:hAnsiTheme="minorHAnsi"/>
                <w:sz w:val="20"/>
                <w:szCs w:val="20"/>
              </w:rPr>
            </w:pPr>
            <w:r w:rsidRPr="00B513F4">
              <w:rPr>
                <w:rFonts w:asciiTheme="minorHAnsi" w:hAnsiTheme="minorHAnsi"/>
                <w:sz w:val="20"/>
                <w:szCs w:val="20"/>
              </w:rPr>
              <w:t>1,820</w:t>
            </w:r>
          </w:p>
        </w:tc>
        <w:tc>
          <w:tcPr>
            <w:tcW w:w="1620" w:type="dxa"/>
          </w:tcPr>
          <w:p w14:paraId="56B623DE" w14:textId="77777777" w:rsidR="00A56EDD" w:rsidRPr="00B513F4" w:rsidRDefault="00A56EDD" w:rsidP="007857CB">
            <w:pPr>
              <w:pStyle w:val="Default"/>
              <w:jc w:val="center"/>
              <w:rPr>
                <w:rFonts w:asciiTheme="minorHAnsi" w:hAnsiTheme="minorHAnsi"/>
                <w:sz w:val="20"/>
                <w:szCs w:val="20"/>
              </w:rPr>
            </w:pPr>
            <w:r w:rsidRPr="00B513F4">
              <w:rPr>
                <w:rFonts w:asciiTheme="minorHAnsi" w:hAnsiTheme="minorHAnsi"/>
                <w:sz w:val="20"/>
                <w:szCs w:val="20"/>
              </w:rPr>
              <w:t>420</w:t>
            </w:r>
          </w:p>
        </w:tc>
        <w:tc>
          <w:tcPr>
            <w:tcW w:w="1890" w:type="dxa"/>
          </w:tcPr>
          <w:p w14:paraId="248ADABC" w14:textId="77777777" w:rsidR="00A56EDD" w:rsidRPr="00B513F4" w:rsidRDefault="00A56EDD" w:rsidP="007857CB">
            <w:pPr>
              <w:pStyle w:val="Default"/>
              <w:jc w:val="center"/>
              <w:rPr>
                <w:rFonts w:asciiTheme="minorHAnsi" w:hAnsiTheme="minorHAnsi"/>
                <w:sz w:val="20"/>
                <w:szCs w:val="20"/>
              </w:rPr>
            </w:pPr>
            <w:r w:rsidRPr="00B513F4">
              <w:rPr>
                <w:rFonts w:asciiTheme="minorHAnsi" w:hAnsiTheme="minorHAnsi"/>
                <w:sz w:val="20"/>
                <w:szCs w:val="20"/>
              </w:rPr>
              <w:t>4.33</w:t>
            </w:r>
          </w:p>
        </w:tc>
      </w:tr>
      <w:tr w:rsidR="00A56EDD" w:rsidRPr="00B513F4" w14:paraId="3BC14C78" w14:textId="77777777" w:rsidTr="00B40AAA">
        <w:trPr>
          <w:trHeight w:val="92"/>
          <w:jc w:val="center"/>
        </w:trPr>
        <w:tc>
          <w:tcPr>
            <w:tcW w:w="2430" w:type="dxa"/>
          </w:tcPr>
          <w:p w14:paraId="66F7695D" w14:textId="77777777" w:rsidR="00A56EDD" w:rsidRPr="00B513F4" w:rsidRDefault="00A56EDD" w:rsidP="007857CB">
            <w:pPr>
              <w:pStyle w:val="Default"/>
              <w:rPr>
                <w:rFonts w:asciiTheme="minorHAnsi" w:hAnsiTheme="minorHAnsi"/>
                <w:sz w:val="20"/>
                <w:szCs w:val="20"/>
              </w:rPr>
            </w:pPr>
            <w:r w:rsidRPr="00B513F4">
              <w:rPr>
                <w:rFonts w:asciiTheme="minorHAnsi" w:hAnsiTheme="minorHAnsi"/>
                <w:bCs/>
                <w:sz w:val="20"/>
                <w:szCs w:val="20"/>
              </w:rPr>
              <w:t xml:space="preserve">Zambia </w:t>
            </w:r>
          </w:p>
        </w:tc>
        <w:tc>
          <w:tcPr>
            <w:tcW w:w="2340" w:type="dxa"/>
          </w:tcPr>
          <w:p w14:paraId="3C91FD50" w14:textId="77777777" w:rsidR="00A56EDD" w:rsidRPr="00B513F4" w:rsidRDefault="00A56EDD" w:rsidP="007857CB">
            <w:pPr>
              <w:pStyle w:val="Default"/>
              <w:jc w:val="center"/>
              <w:rPr>
                <w:rFonts w:asciiTheme="minorHAnsi" w:hAnsiTheme="minorHAnsi"/>
                <w:sz w:val="20"/>
                <w:szCs w:val="20"/>
              </w:rPr>
            </w:pPr>
            <w:r w:rsidRPr="00B513F4">
              <w:rPr>
                <w:rFonts w:asciiTheme="minorHAnsi" w:hAnsiTheme="minorHAnsi"/>
                <w:sz w:val="20"/>
                <w:szCs w:val="20"/>
              </w:rPr>
              <w:t>3,855</w:t>
            </w:r>
          </w:p>
        </w:tc>
        <w:tc>
          <w:tcPr>
            <w:tcW w:w="1620" w:type="dxa"/>
          </w:tcPr>
          <w:p w14:paraId="47AFA873" w14:textId="77777777" w:rsidR="00A56EDD" w:rsidRPr="00B513F4" w:rsidRDefault="00A56EDD" w:rsidP="007857CB">
            <w:pPr>
              <w:pStyle w:val="Default"/>
              <w:jc w:val="center"/>
              <w:rPr>
                <w:rFonts w:asciiTheme="minorHAnsi" w:hAnsiTheme="minorHAnsi"/>
                <w:sz w:val="20"/>
                <w:szCs w:val="20"/>
              </w:rPr>
            </w:pPr>
            <w:r w:rsidRPr="00B513F4">
              <w:rPr>
                <w:rFonts w:asciiTheme="minorHAnsi" w:hAnsiTheme="minorHAnsi"/>
                <w:sz w:val="20"/>
                <w:szCs w:val="20"/>
              </w:rPr>
              <w:t>920</w:t>
            </w:r>
          </w:p>
        </w:tc>
        <w:tc>
          <w:tcPr>
            <w:tcW w:w="1890" w:type="dxa"/>
          </w:tcPr>
          <w:p w14:paraId="38DE1B12" w14:textId="77777777" w:rsidR="00A56EDD" w:rsidRPr="00B513F4" w:rsidRDefault="00A56EDD" w:rsidP="007857CB">
            <w:pPr>
              <w:pStyle w:val="Default"/>
              <w:jc w:val="center"/>
              <w:rPr>
                <w:rFonts w:asciiTheme="minorHAnsi" w:hAnsiTheme="minorHAnsi"/>
                <w:sz w:val="20"/>
                <w:szCs w:val="20"/>
              </w:rPr>
            </w:pPr>
            <w:r w:rsidRPr="00B513F4">
              <w:rPr>
                <w:rFonts w:asciiTheme="minorHAnsi" w:hAnsiTheme="minorHAnsi"/>
                <w:sz w:val="20"/>
                <w:szCs w:val="20"/>
              </w:rPr>
              <w:t>4.19</w:t>
            </w:r>
          </w:p>
        </w:tc>
      </w:tr>
    </w:tbl>
    <w:p w14:paraId="746C2CFB" w14:textId="0BFA5D50" w:rsidR="002A1586" w:rsidRPr="00B5660A" w:rsidRDefault="00A56EDD" w:rsidP="00A56EDD">
      <w:pPr>
        <w:pStyle w:val="ListParagraph"/>
        <w:spacing w:after="0" w:line="240" w:lineRule="auto"/>
        <w:ind w:left="0"/>
        <w:jc w:val="both"/>
        <w:rPr>
          <w:rFonts w:cs="Times New Roman"/>
          <w:sz w:val="20"/>
          <w:szCs w:val="20"/>
        </w:rPr>
      </w:pPr>
      <w:r w:rsidRPr="00B5660A">
        <w:rPr>
          <w:rFonts w:cs="Times New Roman"/>
          <w:i/>
          <w:sz w:val="20"/>
          <w:szCs w:val="20"/>
        </w:rPr>
        <w:t>Source:</w:t>
      </w:r>
      <w:r w:rsidRPr="00B5660A">
        <w:rPr>
          <w:rFonts w:cs="Times New Roman"/>
          <w:sz w:val="20"/>
          <w:szCs w:val="20"/>
        </w:rPr>
        <w:t xml:space="preserve"> Estimates by Theodore Valentine, Bank </w:t>
      </w:r>
      <w:r w:rsidR="001906E2" w:rsidRPr="00B5660A">
        <w:rPr>
          <w:rFonts w:cs="Times New Roman"/>
          <w:sz w:val="20"/>
          <w:szCs w:val="20"/>
        </w:rPr>
        <w:t>c</w:t>
      </w:r>
      <w:r w:rsidRPr="00B5660A">
        <w:rPr>
          <w:rFonts w:cs="Times New Roman"/>
          <w:sz w:val="20"/>
          <w:szCs w:val="20"/>
        </w:rPr>
        <w:t xml:space="preserve">onsultant, 2013; </w:t>
      </w:r>
      <w:r w:rsidR="00BB24E5" w:rsidRPr="00B5660A">
        <w:rPr>
          <w:rFonts w:cs="Times New Roman"/>
          <w:sz w:val="20"/>
          <w:szCs w:val="20"/>
        </w:rPr>
        <w:t>government of South Sudan (</w:t>
      </w:r>
      <w:r w:rsidRPr="00B5660A">
        <w:rPr>
          <w:rFonts w:cs="Times New Roman"/>
          <w:sz w:val="20"/>
          <w:szCs w:val="20"/>
        </w:rPr>
        <w:t>GOSS</w:t>
      </w:r>
      <w:r w:rsidR="00BB24E5" w:rsidRPr="00B5660A">
        <w:rPr>
          <w:rFonts w:cs="Times New Roman"/>
          <w:sz w:val="20"/>
          <w:szCs w:val="20"/>
        </w:rPr>
        <w:t>)</w:t>
      </w:r>
      <w:r w:rsidRPr="00B5660A">
        <w:rPr>
          <w:rFonts w:cs="Times New Roman"/>
          <w:sz w:val="20"/>
          <w:szCs w:val="20"/>
        </w:rPr>
        <w:t>: Budget Document 2011; W</w:t>
      </w:r>
      <w:r w:rsidR="00F722FF" w:rsidRPr="00B5660A">
        <w:rPr>
          <w:rFonts w:cs="Times New Roman"/>
          <w:sz w:val="20"/>
          <w:szCs w:val="20"/>
        </w:rPr>
        <w:t xml:space="preserve">orld </w:t>
      </w:r>
      <w:r w:rsidRPr="00B5660A">
        <w:rPr>
          <w:rFonts w:cs="Times New Roman"/>
          <w:sz w:val="20"/>
          <w:szCs w:val="20"/>
        </w:rPr>
        <w:t>B</w:t>
      </w:r>
      <w:r w:rsidR="00F722FF" w:rsidRPr="00B5660A">
        <w:rPr>
          <w:rFonts w:cs="Times New Roman"/>
          <w:sz w:val="20"/>
          <w:szCs w:val="20"/>
        </w:rPr>
        <w:t>ank</w:t>
      </w:r>
      <w:r w:rsidRPr="00B5660A">
        <w:rPr>
          <w:rFonts w:cs="Times New Roman"/>
          <w:sz w:val="20"/>
          <w:szCs w:val="20"/>
        </w:rPr>
        <w:t xml:space="preserve"> database 2010. </w:t>
      </w:r>
    </w:p>
    <w:p w14:paraId="22E7CD26" w14:textId="77777777" w:rsidR="005E413B" w:rsidRPr="00B5660A" w:rsidRDefault="00B40AAA" w:rsidP="005E413B">
      <w:pPr>
        <w:pStyle w:val="ListParagraph"/>
        <w:spacing w:after="0" w:line="240" w:lineRule="auto"/>
        <w:ind w:left="0"/>
        <w:jc w:val="both"/>
        <w:rPr>
          <w:rFonts w:cs="Times New Roman"/>
          <w:sz w:val="20"/>
          <w:szCs w:val="20"/>
        </w:rPr>
      </w:pPr>
      <w:r w:rsidRPr="00AF1F1B">
        <w:rPr>
          <w:rFonts w:cs="Times New Roman"/>
          <w:i/>
          <w:sz w:val="20"/>
          <w:szCs w:val="20"/>
        </w:rPr>
        <w:t>Note:</w:t>
      </w:r>
      <w:r w:rsidRPr="00B5660A">
        <w:rPr>
          <w:rFonts w:cs="Times New Roman"/>
          <w:sz w:val="20"/>
          <w:szCs w:val="20"/>
        </w:rPr>
        <w:t xml:space="preserve"> </w:t>
      </w:r>
      <w:r w:rsidR="005E413B" w:rsidRPr="00B5660A">
        <w:rPr>
          <w:rFonts w:cs="Times New Roman"/>
          <w:sz w:val="20"/>
          <w:szCs w:val="20"/>
        </w:rPr>
        <w:t xml:space="preserve">GNI = Gross national income. </w:t>
      </w:r>
    </w:p>
    <w:p w14:paraId="1DCF95D8" w14:textId="656EED37" w:rsidR="005E413B" w:rsidRPr="00B5660A" w:rsidRDefault="00A56EDD" w:rsidP="00A56EDD">
      <w:pPr>
        <w:pStyle w:val="ListParagraph"/>
        <w:spacing w:after="0" w:line="240" w:lineRule="auto"/>
        <w:ind w:left="0"/>
        <w:jc w:val="both"/>
        <w:rPr>
          <w:rFonts w:cs="Times New Roman"/>
          <w:sz w:val="20"/>
          <w:szCs w:val="20"/>
        </w:rPr>
      </w:pPr>
      <w:r w:rsidRPr="00B5660A">
        <w:rPr>
          <w:rFonts w:cs="Times New Roman"/>
          <w:sz w:val="20"/>
          <w:szCs w:val="20"/>
        </w:rPr>
        <w:t>*Grade 11 base salary (SSP</w:t>
      </w:r>
      <w:r w:rsidR="00B623FB" w:rsidRPr="00B5660A">
        <w:rPr>
          <w:rFonts w:cs="Times New Roman"/>
          <w:sz w:val="20"/>
          <w:szCs w:val="20"/>
        </w:rPr>
        <w:t xml:space="preserve"> </w:t>
      </w:r>
      <w:r w:rsidRPr="00B5660A">
        <w:rPr>
          <w:rFonts w:cs="Times New Roman"/>
          <w:sz w:val="20"/>
          <w:szCs w:val="20"/>
        </w:rPr>
        <w:t>533</w:t>
      </w:r>
      <w:r w:rsidR="00F722FF" w:rsidRPr="00B5660A">
        <w:rPr>
          <w:rFonts w:cs="Times New Roman"/>
          <w:sz w:val="20"/>
          <w:szCs w:val="20"/>
        </w:rPr>
        <w:t xml:space="preserve"> per </w:t>
      </w:r>
      <w:r w:rsidRPr="00B5660A">
        <w:rPr>
          <w:rFonts w:cs="Times New Roman"/>
          <w:sz w:val="20"/>
          <w:szCs w:val="20"/>
        </w:rPr>
        <w:t xml:space="preserve">month) at the 2008 exchange rate. At an exchange rate of </w:t>
      </w:r>
      <w:r w:rsidR="00B623FB" w:rsidRPr="00B5660A">
        <w:rPr>
          <w:rFonts w:cs="Times New Roman"/>
          <w:sz w:val="20"/>
          <w:szCs w:val="20"/>
        </w:rPr>
        <w:t xml:space="preserve">SSP </w:t>
      </w:r>
      <w:r w:rsidRPr="00B5660A">
        <w:rPr>
          <w:rFonts w:cs="Times New Roman"/>
          <w:sz w:val="20"/>
          <w:szCs w:val="20"/>
        </w:rPr>
        <w:t>3</w:t>
      </w:r>
      <w:r w:rsidR="00F722FF" w:rsidRPr="00B5660A">
        <w:rPr>
          <w:rFonts w:cs="Times New Roman"/>
          <w:sz w:val="20"/>
          <w:szCs w:val="20"/>
        </w:rPr>
        <w:t xml:space="preserve"> per </w:t>
      </w:r>
      <w:r w:rsidR="00CF7BB4" w:rsidRPr="00B5660A">
        <w:rPr>
          <w:rFonts w:cs="Times New Roman"/>
          <w:sz w:val="20"/>
          <w:szCs w:val="20"/>
        </w:rPr>
        <w:t>US$</w:t>
      </w:r>
      <w:r w:rsidRPr="00B5660A">
        <w:rPr>
          <w:rFonts w:cs="Times New Roman"/>
          <w:sz w:val="20"/>
          <w:szCs w:val="20"/>
        </w:rPr>
        <w:t>1</w:t>
      </w:r>
      <w:r w:rsidR="00F722FF" w:rsidRPr="00B5660A">
        <w:rPr>
          <w:rFonts w:cs="Times New Roman"/>
          <w:sz w:val="20"/>
          <w:szCs w:val="20"/>
        </w:rPr>
        <w:t>,</w:t>
      </w:r>
      <w:r w:rsidRPr="00B5660A">
        <w:rPr>
          <w:rFonts w:cs="Times New Roman"/>
          <w:sz w:val="20"/>
          <w:szCs w:val="20"/>
        </w:rPr>
        <w:t xml:space="preserve"> the value drops to </w:t>
      </w:r>
      <w:r w:rsidR="00CF7BB4" w:rsidRPr="00B5660A">
        <w:rPr>
          <w:rFonts w:cs="Times New Roman"/>
          <w:sz w:val="20"/>
          <w:szCs w:val="20"/>
        </w:rPr>
        <w:t>US$</w:t>
      </w:r>
      <w:r w:rsidRPr="00B5660A">
        <w:rPr>
          <w:rFonts w:cs="Times New Roman"/>
          <w:sz w:val="20"/>
          <w:szCs w:val="20"/>
        </w:rPr>
        <w:t>2</w:t>
      </w:r>
      <w:r w:rsidR="00CF7BB4" w:rsidRPr="00B5660A">
        <w:rPr>
          <w:rFonts w:cs="Times New Roman"/>
          <w:sz w:val="20"/>
          <w:szCs w:val="20"/>
        </w:rPr>
        <w:t>,</w:t>
      </w:r>
      <w:r w:rsidRPr="00B5660A">
        <w:rPr>
          <w:rFonts w:cs="Times New Roman"/>
          <w:sz w:val="20"/>
          <w:szCs w:val="20"/>
        </w:rPr>
        <w:t>132.</w:t>
      </w:r>
    </w:p>
    <w:p w14:paraId="5CF87425" w14:textId="2CB19861" w:rsidR="00A56EDD" w:rsidRPr="00B513F4" w:rsidRDefault="00A56EDD" w:rsidP="002A1586">
      <w:pPr>
        <w:spacing w:before="240"/>
        <w:jc w:val="both"/>
      </w:pPr>
      <w:r w:rsidRPr="00B513F4">
        <w:t xml:space="preserve">Though initially broadly in line with regional salaries, subsequently, basic pay in South Sudan has been kept at the same </w:t>
      </w:r>
      <w:r w:rsidRPr="00B513F4">
        <w:rPr>
          <w:i/>
        </w:rPr>
        <w:t>nominal</w:t>
      </w:r>
      <w:r w:rsidRPr="00B513F4">
        <w:t xml:space="preserve"> level between 2007 and </w:t>
      </w:r>
      <w:r>
        <w:t>2014</w:t>
      </w:r>
      <w:r w:rsidRPr="00B513F4">
        <w:t>, and was not adjusted for inflation in those years. The regular monthly allowances were likewise kept at unchanged levels between 2007 and 2013/14. Thus, inflation and depreciation against the U</w:t>
      </w:r>
      <w:r w:rsidR="00CF7BB4">
        <w:t>.</w:t>
      </w:r>
      <w:r w:rsidRPr="00B513F4">
        <w:t>S</w:t>
      </w:r>
      <w:r w:rsidR="00CF7BB4">
        <w:t>. dollar</w:t>
      </w:r>
      <w:r w:rsidRPr="00B513F4">
        <w:t xml:space="preserve"> continuously eroded the purchasing power of wages (see </w:t>
      </w:r>
      <w:r w:rsidR="00F722FF">
        <w:fldChar w:fldCharType="begin"/>
      </w:r>
      <w:r w:rsidR="00F722FF">
        <w:instrText xml:space="preserve"> REF _Ref447302232 \h </w:instrText>
      </w:r>
      <w:r w:rsidR="00F722FF">
        <w:fldChar w:fldCharType="separate"/>
      </w:r>
      <w:r w:rsidR="00F722FF">
        <w:t xml:space="preserve">figure </w:t>
      </w:r>
      <w:r w:rsidR="00F722FF">
        <w:rPr>
          <w:noProof/>
        </w:rPr>
        <w:t>6</w:t>
      </w:r>
      <w:r w:rsidR="00F722FF">
        <w:fldChar w:fldCharType="end"/>
      </w:r>
      <w:r w:rsidRPr="00B513F4">
        <w:t xml:space="preserve">). By </w:t>
      </w:r>
      <w:r>
        <w:t>2014</w:t>
      </w:r>
      <w:r w:rsidRPr="00B513F4">
        <w:t>, the U</w:t>
      </w:r>
      <w:r w:rsidR="00CF7BB4">
        <w:t>.</w:t>
      </w:r>
      <w:r w:rsidRPr="00B513F4">
        <w:t>S</w:t>
      </w:r>
      <w:r w:rsidR="00CF7BB4">
        <w:t>. dollar</w:t>
      </w:r>
      <w:r w:rsidRPr="00B513F4">
        <w:t xml:space="preserve"> equivalent of grade 17 basic pay had been eroded to US</w:t>
      </w:r>
      <w:r w:rsidR="00CF7BB4">
        <w:t>$</w:t>
      </w:r>
      <w:r w:rsidRPr="00B513F4">
        <w:t>60, and at grade 1 to US</w:t>
      </w:r>
      <w:r w:rsidR="00CF7BB4">
        <w:t>$</w:t>
      </w:r>
      <w:r w:rsidRPr="00B513F4">
        <w:t>603.</w:t>
      </w:r>
      <w:r w:rsidRPr="00B513F4">
        <w:rPr>
          <w:rStyle w:val="FootnoteReference"/>
        </w:rPr>
        <w:footnoteReference w:id="21"/>
      </w:r>
    </w:p>
    <w:p w14:paraId="49BC4D8F" w14:textId="14A07857" w:rsidR="002A1586" w:rsidRDefault="002A1586" w:rsidP="002A1586">
      <w:pPr>
        <w:pStyle w:val="Caption"/>
        <w:keepNext/>
      </w:pPr>
      <w:r>
        <w:lastRenderedPageBreak/>
        <w:t xml:space="preserve">Figure </w:t>
      </w:r>
      <w:fldSimple w:instr=" SEQ Figure \* ARABIC ">
        <w:r w:rsidR="00807923">
          <w:rPr>
            <w:noProof/>
          </w:rPr>
          <w:t>5</w:t>
        </w:r>
      </w:fldSimple>
      <w:r>
        <w:t>. M</w:t>
      </w:r>
      <w:r w:rsidRPr="0009250B">
        <w:t xml:space="preserve">onthly </w:t>
      </w:r>
      <w:r>
        <w:t>T</w:t>
      </w:r>
      <w:r w:rsidRPr="0009250B">
        <w:t xml:space="preserve">otal </w:t>
      </w:r>
      <w:r>
        <w:t>P</w:t>
      </w:r>
      <w:r w:rsidRPr="0009250B">
        <w:t>ay in US</w:t>
      </w:r>
      <w:r w:rsidR="00CF7BB4">
        <w:t>$</w:t>
      </w:r>
      <w:r w:rsidRPr="0009250B">
        <w:t xml:space="preserve"> for </w:t>
      </w:r>
      <w:r>
        <w:t>N</w:t>
      </w:r>
      <w:r w:rsidRPr="0009250B">
        <w:t>ational</w:t>
      </w:r>
      <w:r>
        <w:t>-</w:t>
      </w:r>
      <w:r w:rsidRPr="0009250B">
        <w:t xml:space="preserve">level </w:t>
      </w:r>
      <w:r>
        <w:t>P</w:t>
      </w:r>
      <w:r w:rsidRPr="0009250B">
        <w:t xml:space="preserve">ublic </w:t>
      </w:r>
      <w:r>
        <w:t>S</w:t>
      </w:r>
      <w:r w:rsidRPr="0009250B">
        <w:t xml:space="preserve">ector </w:t>
      </w:r>
      <w:r>
        <w:t>S</w:t>
      </w:r>
      <w:r w:rsidRPr="0009250B">
        <w:t xml:space="preserve">taff </w:t>
      </w:r>
      <w:r>
        <w:t>R</w:t>
      </w:r>
      <w:r w:rsidRPr="0009250B">
        <w:t xml:space="preserve">eceiving </w:t>
      </w:r>
      <w:r>
        <w:t>M</w:t>
      </w:r>
      <w:r w:rsidRPr="0009250B">
        <w:t xml:space="preserve">onthly </w:t>
      </w:r>
      <w:r>
        <w:t>and</w:t>
      </w:r>
      <w:r w:rsidRPr="0009250B">
        <w:t xml:space="preserve"> </w:t>
      </w:r>
      <w:r>
        <w:t>H</w:t>
      </w:r>
      <w:r w:rsidRPr="0009250B">
        <w:t xml:space="preserve">ousing </w:t>
      </w:r>
      <w:r>
        <w:t>A</w:t>
      </w:r>
      <w:r w:rsidRPr="0009250B">
        <w:t>llowances</w:t>
      </w:r>
    </w:p>
    <w:p w14:paraId="25A093A4" w14:textId="77777777" w:rsidR="00A56EDD" w:rsidRPr="00B513F4" w:rsidRDefault="00A56EDD" w:rsidP="002A1586">
      <w:pPr>
        <w:spacing w:after="0"/>
        <w:jc w:val="center"/>
      </w:pPr>
      <w:r w:rsidRPr="00B513F4">
        <w:rPr>
          <w:noProof/>
        </w:rPr>
        <w:drawing>
          <wp:inline distT="0" distB="0" distL="0" distR="0" wp14:anchorId="670EEEA7" wp14:editId="742508CE">
            <wp:extent cx="4505325" cy="261937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E9776EE" w14:textId="77777777" w:rsidR="000D00DE" w:rsidRPr="00B51E7B" w:rsidRDefault="000D00DE" w:rsidP="000D00DE">
      <w:pPr>
        <w:spacing w:after="0" w:line="240" w:lineRule="auto"/>
        <w:rPr>
          <w:sz w:val="20"/>
        </w:rPr>
      </w:pPr>
      <w:r w:rsidRPr="00B51E7B">
        <w:rPr>
          <w:i/>
          <w:sz w:val="20"/>
        </w:rPr>
        <w:t>Source:</w:t>
      </w:r>
      <w:r w:rsidRPr="00B51E7B">
        <w:rPr>
          <w:sz w:val="20"/>
        </w:rPr>
        <w:t xml:space="preserve"> Budgets for various years.</w:t>
      </w:r>
    </w:p>
    <w:p w14:paraId="31622A1E" w14:textId="793BAAB8" w:rsidR="00A56EDD" w:rsidRPr="00B51E7B" w:rsidRDefault="00A56EDD" w:rsidP="000D00DE">
      <w:pPr>
        <w:spacing w:after="0" w:line="240" w:lineRule="auto"/>
        <w:rPr>
          <w:sz w:val="20"/>
        </w:rPr>
      </w:pPr>
      <w:r w:rsidRPr="00AF1F1B">
        <w:rPr>
          <w:sz w:val="18"/>
        </w:rPr>
        <w:t>Note:</w:t>
      </w:r>
      <w:r w:rsidRPr="00B51E7B">
        <w:rPr>
          <w:sz w:val="20"/>
        </w:rPr>
        <w:t xml:space="preserve"> </w:t>
      </w:r>
      <w:r w:rsidR="00F722FF" w:rsidRPr="00B51E7B">
        <w:rPr>
          <w:sz w:val="20"/>
        </w:rPr>
        <w:t>T</w:t>
      </w:r>
      <w:r w:rsidRPr="00B51E7B">
        <w:rPr>
          <w:sz w:val="20"/>
        </w:rPr>
        <w:t xml:space="preserve">otal pay includes monthly and housing allowances. Conversion into </w:t>
      </w:r>
      <w:r w:rsidR="00CF7BB4" w:rsidRPr="00B51E7B">
        <w:rPr>
          <w:sz w:val="20"/>
        </w:rPr>
        <w:t>US$</w:t>
      </w:r>
      <w:r w:rsidRPr="00B51E7B">
        <w:rPr>
          <w:sz w:val="20"/>
        </w:rPr>
        <w:t>1 at SSP</w:t>
      </w:r>
      <w:r w:rsidR="00B623FB" w:rsidRPr="00B51E7B">
        <w:rPr>
          <w:sz w:val="20"/>
        </w:rPr>
        <w:t xml:space="preserve"> </w:t>
      </w:r>
      <w:r w:rsidRPr="00B51E7B">
        <w:rPr>
          <w:sz w:val="20"/>
        </w:rPr>
        <w:t>2.09 for 2008, SSP</w:t>
      </w:r>
      <w:r w:rsidR="00B623FB" w:rsidRPr="00B51E7B">
        <w:rPr>
          <w:sz w:val="20"/>
        </w:rPr>
        <w:t xml:space="preserve"> </w:t>
      </w:r>
      <w:r w:rsidRPr="00B51E7B">
        <w:rPr>
          <w:sz w:val="20"/>
        </w:rPr>
        <w:t xml:space="preserve">2.31 for 2009, </w:t>
      </w:r>
      <w:r w:rsidR="00F722FF" w:rsidRPr="00B51E7B">
        <w:rPr>
          <w:sz w:val="20"/>
        </w:rPr>
        <w:t xml:space="preserve">SSP </w:t>
      </w:r>
      <w:r w:rsidRPr="00B51E7B">
        <w:rPr>
          <w:sz w:val="20"/>
        </w:rPr>
        <w:t>2.3 for 2010, SSP</w:t>
      </w:r>
      <w:r w:rsidR="00B623FB" w:rsidRPr="00B51E7B">
        <w:rPr>
          <w:sz w:val="20"/>
        </w:rPr>
        <w:t xml:space="preserve"> </w:t>
      </w:r>
      <w:r w:rsidRPr="00B51E7B">
        <w:rPr>
          <w:sz w:val="20"/>
        </w:rPr>
        <w:t>2.83 for 2011, SSP</w:t>
      </w:r>
      <w:r w:rsidR="00B623FB" w:rsidRPr="00B51E7B">
        <w:rPr>
          <w:sz w:val="20"/>
        </w:rPr>
        <w:t xml:space="preserve"> </w:t>
      </w:r>
      <w:r w:rsidRPr="00B51E7B">
        <w:rPr>
          <w:sz w:val="20"/>
        </w:rPr>
        <w:t>2.95 for 2012/13</w:t>
      </w:r>
      <w:r w:rsidR="00F722FF" w:rsidRPr="00B51E7B">
        <w:rPr>
          <w:sz w:val="20"/>
        </w:rPr>
        <w:t>,</w:t>
      </w:r>
      <w:r w:rsidRPr="00B51E7B">
        <w:rPr>
          <w:sz w:val="20"/>
        </w:rPr>
        <w:t xml:space="preserve"> and SSP</w:t>
      </w:r>
      <w:r w:rsidR="00B623FB" w:rsidRPr="00B51E7B">
        <w:rPr>
          <w:sz w:val="20"/>
        </w:rPr>
        <w:t xml:space="preserve"> </w:t>
      </w:r>
      <w:r w:rsidRPr="00B51E7B">
        <w:rPr>
          <w:sz w:val="20"/>
        </w:rPr>
        <w:t>3.48 for 20</w:t>
      </w:r>
      <w:r w:rsidR="002B5CE3" w:rsidRPr="00B51E7B">
        <w:rPr>
          <w:sz w:val="20"/>
        </w:rPr>
        <w:t>13/14 (official average rates).</w:t>
      </w:r>
    </w:p>
    <w:p w14:paraId="1DF6951F" w14:textId="6C535456" w:rsidR="00A56EDD" w:rsidRPr="00C747F0" w:rsidRDefault="00565797" w:rsidP="000D00DE">
      <w:pPr>
        <w:spacing w:before="240"/>
        <w:jc w:val="both"/>
      </w:pPr>
      <w:r>
        <w:fldChar w:fldCharType="begin"/>
      </w:r>
      <w:r>
        <w:instrText xml:space="preserve"> REF _Ref447302232 \h </w:instrText>
      </w:r>
      <w:r>
        <w:fldChar w:fldCharType="separate"/>
      </w:r>
      <w:r>
        <w:t xml:space="preserve">Figure </w:t>
      </w:r>
      <w:r>
        <w:rPr>
          <w:noProof/>
        </w:rPr>
        <w:t>6</w:t>
      </w:r>
      <w:r>
        <w:fldChar w:fldCharType="end"/>
      </w:r>
      <w:r w:rsidR="00A56EDD" w:rsidRPr="00B513F4">
        <w:t xml:space="preserve"> shows the trend in the erosion of the value of salaries and the temporary boosts received through allowances by main public employment categories.</w:t>
      </w:r>
      <w:r w:rsidR="00A56EDD">
        <w:t xml:space="preserve"> As the chart indicates, average salaries for these groups have differed between employment categories from the outset. From late 2008 onwards, </w:t>
      </w:r>
      <w:r>
        <w:t xml:space="preserve">the </w:t>
      </w:r>
      <w:r w:rsidR="00A56EDD">
        <w:t>government introduced significant allowances, especially for housing, to shore up the purchasing power of salaries</w:t>
      </w:r>
      <w:r>
        <w:t>—</w:t>
      </w:r>
      <w:r w:rsidR="00A56EDD">
        <w:t xml:space="preserve">while presumably allowing for greater flexibility relative to the option of increasing base salaries. Allowances were reduced to 50 percent from April 2012 to December 2013 during the initial austerity period and were increased to 100 percent from January 2014 onwards. The main housing allowance has been given to national civil servants and then subsequently to the armed forces and the organized forces, but not to subnational civil servants. </w:t>
      </w:r>
    </w:p>
    <w:p w14:paraId="06716771" w14:textId="0363307C" w:rsidR="000D00DE" w:rsidRDefault="000D00DE" w:rsidP="000D00DE">
      <w:pPr>
        <w:pStyle w:val="Caption"/>
        <w:keepNext/>
      </w:pPr>
      <w:bookmarkStart w:id="18" w:name="_Ref447302232"/>
      <w:r>
        <w:lastRenderedPageBreak/>
        <w:t xml:space="preserve">Figure </w:t>
      </w:r>
      <w:fldSimple w:instr=" SEQ Figure \* ARABIC ">
        <w:r w:rsidR="00807923">
          <w:rPr>
            <w:noProof/>
          </w:rPr>
          <w:t>6</w:t>
        </w:r>
      </w:fldSimple>
      <w:bookmarkEnd w:id="18"/>
      <w:r>
        <w:t>. E</w:t>
      </w:r>
      <w:r w:rsidRPr="0062144A">
        <w:t xml:space="preserve">stimates of </w:t>
      </w:r>
      <w:r>
        <w:t>W</w:t>
      </w:r>
      <w:r w:rsidRPr="0062144A">
        <w:t xml:space="preserve">age </w:t>
      </w:r>
      <w:r>
        <w:t>T</w:t>
      </w:r>
      <w:r w:rsidRPr="0062144A">
        <w:t xml:space="preserve">rends </w:t>
      </w:r>
      <w:r>
        <w:t>A</w:t>
      </w:r>
      <w:r w:rsidRPr="0062144A">
        <w:t xml:space="preserve">djusted for </w:t>
      </w:r>
      <w:r>
        <w:t>I</w:t>
      </w:r>
      <w:r w:rsidRPr="0062144A">
        <w:t>nflation 2007</w:t>
      </w:r>
      <w:r>
        <w:t>–</w:t>
      </w:r>
      <w:r w:rsidRPr="0062144A">
        <w:t>2014</w:t>
      </w:r>
    </w:p>
    <w:p w14:paraId="034D6A17" w14:textId="77777777" w:rsidR="00A56EDD" w:rsidRDefault="00A56EDD" w:rsidP="00A56EDD">
      <w:pPr>
        <w:spacing w:after="0" w:line="240" w:lineRule="auto"/>
        <w:rPr>
          <w:sz w:val="20"/>
        </w:rPr>
      </w:pPr>
      <w:r>
        <w:rPr>
          <w:noProof/>
        </w:rPr>
        <w:drawing>
          <wp:inline distT="0" distB="0" distL="0" distR="0" wp14:anchorId="1CA80756" wp14:editId="752E32E0">
            <wp:extent cx="5762625" cy="287655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BEB9553" w14:textId="77777777" w:rsidR="00A56EDD" w:rsidRDefault="00A56EDD" w:rsidP="00A56EDD">
      <w:pPr>
        <w:spacing w:after="0" w:line="240" w:lineRule="auto"/>
        <w:rPr>
          <w:sz w:val="20"/>
        </w:rPr>
      </w:pPr>
    </w:p>
    <w:p w14:paraId="67BE801F" w14:textId="1C967F0C" w:rsidR="00A56EDD" w:rsidRPr="00BE3CB5" w:rsidRDefault="00A56EDD" w:rsidP="00BE3CB5">
      <w:pPr>
        <w:spacing w:after="0" w:line="240" w:lineRule="auto"/>
        <w:rPr>
          <w:sz w:val="20"/>
        </w:rPr>
      </w:pPr>
      <w:r w:rsidRPr="00AF1F1B">
        <w:rPr>
          <w:i/>
          <w:sz w:val="20"/>
        </w:rPr>
        <w:t>Source:</w:t>
      </w:r>
      <w:r w:rsidRPr="00B513F4">
        <w:rPr>
          <w:sz w:val="20"/>
        </w:rPr>
        <w:t xml:space="preserve"> </w:t>
      </w:r>
      <w:r w:rsidR="00565797">
        <w:rPr>
          <w:sz w:val="20"/>
        </w:rPr>
        <w:t>C</w:t>
      </w:r>
      <w:r w:rsidRPr="00B513F4">
        <w:rPr>
          <w:sz w:val="20"/>
        </w:rPr>
        <w:t>alculations by Peter Lilford, based on budget date and inflation estimates. Up to January 2009, all salaries follow the same trend, then different groups successively receive allowances</w:t>
      </w:r>
      <w:r w:rsidR="00565797">
        <w:rPr>
          <w:sz w:val="20"/>
        </w:rPr>
        <w:t>,</w:t>
      </w:r>
      <w:r w:rsidRPr="00B513F4">
        <w:rPr>
          <w:sz w:val="20"/>
        </w:rPr>
        <w:t xml:space="preserve"> increasing the value of their pay.</w:t>
      </w:r>
    </w:p>
    <w:p w14:paraId="124600FA" w14:textId="5875207C" w:rsidR="00A56EDD" w:rsidRPr="00B513F4" w:rsidRDefault="00A56EDD" w:rsidP="00BE3CB5">
      <w:pPr>
        <w:spacing w:before="240"/>
        <w:jc w:val="both"/>
      </w:pPr>
      <w:r w:rsidRPr="00B513F4">
        <w:t>Frontline service delivery staff, and in particular teachers, receive relatively low levels of pay, and hence are particularly affected by a significant decline in purchasing power.</w:t>
      </w:r>
      <w:r w:rsidRPr="00B513F4">
        <w:rPr>
          <w:rStyle w:val="FootnoteReference"/>
        </w:rPr>
        <w:footnoteReference w:id="22"/>
      </w:r>
      <w:r w:rsidRPr="00B513F4">
        <w:t xml:space="preserve"> According to the Bank’s 2012 analysis of the education sector, most primary school teachers were paid according to salary grades 15 or 16, </w:t>
      </w:r>
      <w:r w:rsidR="0093206E">
        <w:t>that is,</w:t>
      </w:r>
      <w:r w:rsidRPr="00B513F4">
        <w:t xml:space="preserve"> the equivalent of unskilled or semiskilled workers (World Bank 2012</w:t>
      </w:r>
      <w:r w:rsidR="004D4079">
        <w:t>b</w:t>
      </w:r>
      <w:r w:rsidR="00715854">
        <w:t>,</w:t>
      </w:r>
      <w:r w:rsidRPr="00B513F4">
        <w:t xml:space="preserve"> 115);</w:t>
      </w:r>
      <w:r w:rsidRPr="00B513F4">
        <w:rPr>
          <w:rStyle w:val="FootnoteReference"/>
        </w:rPr>
        <w:footnoteReference w:id="23"/>
      </w:r>
      <w:r w:rsidRPr="00B513F4">
        <w:t xml:space="preserve"> while the main grade used subsequently shifted to grade 14. According to the report, the average monthly salary for primary school teachers has been </w:t>
      </w:r>
      <w:r w:rsidR="00B623FB">
        <w:t xml:space="preserve">SSP </w:t>
      </w:r>
      <w:r w:rsidRPr="00B513F4">
        <w:t>411 (</w:t>
      </w:r>
      <w:r w:rsidRPr="00B513F4">
        <w:rPr>
          <w:color w:val="000000" w:themeColor="text1"/>
        </w:rPr>
        <w:t>US</w:t>
      </w:r>
      <w:r w:rsidR="00CF7BB4">
        <w:rPr>
          <w:color w:val="000000" w:themeColor="text1"/>
        </w:rPr>
        <w:t>$</w:t>
      </w:r>
      <w:r w:rsidRPr="00B513F4">
        <w:rPr>
          <w:color w:val="000000" w:themeColor="text1"/>
        </w:rPr>
        <w:t>137 at a 3:1 exchange rate</w:t>
      </w:r>
      <w:r w:rsidRPr="00B513F4">
        <w:t>)</w:t>
      </w:r>
      <w:r w:rsidR="00565797">
        <w:t>—</w:t>
      </w:r>
      <w:r w:rsidRPr="00B513F4">
        <w:t>with substantial differences between states (World Bank 2012</w:t>
      </w:r>
      <w:r w:rsidR="00804277">
        <w:t>b</w:t>
      </w:r>
      <w:r w:rsidR="00715854">
        <w:t>,</w:t>
      </w:r>
      <w:r w:rsidR="005E017F">
        <w:t xml:space="preserve"> 102)</w:t>
      </w:r>
      <w:r w:rsidRPr="00B513F4">
        <w:t xml:space="preserve">. In the health sector, reliance on development partners and </w:t>
      </w:r>
      <w:r w:rsidR="00CD4BE8">
        <w:t>nongovernmental organizations (</w:t>
      </w:r>
      <w:r w:rsidRPr="00B513F4">
        <w:t>NGOs</w:t>
      </w:r>
      <w:r w:rsidR="00CD4BE8">
        <w:t>)</w:t>
      </w:r>
      <w:r w:rsidRPr="00B513F4">
        <w:t xml:space="preserve"> has been higher compared to the education sector (Downie 2012) and the share of nongovernment</w:t>
      </w:r>
      <w:r w:rsidR="00921EEA">
        <w:t xml:space="preserve"> </w:t>
      </w:r>
      <w:r w:rsidRPr="00B513F4">
        <w:t>paid staff is higher relative to government</w:t>
      </w:r>
      <w:r w:rsidR="00921EEA">
        <w:t xml:space="preserve"> </w:t>
      </w:r>
      <w:r w:rsidRPr="00B513F4">
        <w:t>paid staff (Booz and Company 2010).</w:t>
      </w:r>
      <w:r w:rsidRPr="00B513F4">
        <w:rPr>
          <w:rStyle w:val="FootnoteReference"/>
        </w:rPr>
        <w:footnoteReference w:id="24"/>
      </w:r>
      <w:r w:rsidRPr="00B513F4">
        <w:t xml:space="preserve"> NGOs have also topped up the pay of qualified health sector staff. Discussions between the government, </w:t>
      </w:r>
      <w:r w:rsidR="001A6BC2">
        <w:t>development partner</w:t>
      </w:r>
      <w:r w:rsidRPr="00B513F4">
        <w:t>s</w:t>
      </w:r>
      <w:r w:rsidR="001A6BC2">
        <w:t>,</w:t>
      </w:r>
      <w:r w:rsidRPr="00B513F4">
        <w:t xml:space="preserve"> and NGOs over pay levels in the sector have been contentious. </w:t>
      </w:r>
      <w:r>
        <w:t>An ‘infection allowance’ was newly introduced for primary health</w:t>
      </w:r>
      <w:r w:rsidR="001A6BC2">
        <w:t xml:space="preserve"> </w:t>
      </w:r>
      <w:r>
        <w:t>care workers (</w:t>
      </w:r>
      <w:r w:rsidR="0093206E">
        <w:t>that is,</w:t>
      </w:r>
      <w:r>
        <w:t xml:space="preserve"> at subnational levels) for the 2014</w:t>
      </w:r>
      <w:r w:rsidR="001A6BC2">
        <w:t>–</w:t>
      </w:r>
      <w:r>
        <w:t>15 budget to begin reducing the disparity in pay between government</w:t>
      </w:r>
      <w:r w:rsidR="001A6BC2">
        <w:t>-</w:t>
      </w:r>
      <w:r>
        <w:t xml:space="preserve">employed and NGO-employed health workers at </w:t>
      </w:r>
      <w:r w:rsidR="001A6BC2">
        <w:t xml:space="preserve">the </w:t>
      </w:r>
      <w:r>
        <w:t>local levels.</w:t>
      </w:r>
    </w:p>
    <w:p w14:paraId="22A036E3" w14:textId="05493720" w:rsidR="00A56EDD" w:rsidRPr="00B513F4" w:rsidRDefault="00A56EDD" w:rsidP="00A56EDD">
      <w:pPr>
        <w:jc w:val="both"/>
      </w:pPr>
      <w:r w:rsidRPr="00B513F4">
        <w:rPr>
          <w:b/>
        </w:rPr>
        <w:lastRenderedPageBreak/>
        <w:t>With regard to working conditions beyond pay, the key problems are related to state</w:t>
      </w:r>
      <w:r w:rsidR="00C0377E">
        <w:rPr>
          <w:b/>
        </w:rPr>
        <w:t>-</w:t>
      </w:r>
      <w:r w:rsidRPr="00B513F4">
        <w:rPr>
          <w:b/>
        </w:rPr>
        <w:t xml:space="preserve"> and county</w:t>
      </w:r>
      <w:r w:rsidR="00C0377E">
        <w:rPr>
          <w:b/>
        </w:rPr>
        <w:t>-</w:t>
      </w:r>
      <w:r w:rsidRPr="00B513F4">
        <w:rPr>
          <w:b/>
        </w:rPr>
        <w:t>level frontline service delivery staff</w:t>
      </w:r>
      <w:r w:rsidRPr="005E017F">
        <w:rPr>
          <w:b/>
        </w:rPr>
        <w:t>.</w:t>
      </w:r>
      <w:r w:rsidRPr="00B513F4">
        <w:t xml:space="preserve"> Incentivizing qualified, health</w:t>
      </w:r>
      <w:r w:rsidR="00C0377E">
        <w:t>,</w:t>
      </w:r>
      <w:r w:rsidRPr="00B513F4">
        <w:t xml:space="preserve"> and similar staff to work in rural and remote locations is a challenge in most countries. In South Sudan, added challenges include particularly limited infrastructure, and especially for county</w:t>
      </w:r>
      <w:r w:rsidR="00C0377E">
        <w:t>-</w:t>
      </w:r>
      <w:r w:rsidRPr="00B513F4">
        <w:t>level staff, a lack of adequate housing and access to services such as health care and schools for their families. Security concerns also affect the allocation of frontline service delivery staff and appear to reduce staff mobility across locations.</w:t>
      </w:r>
      <w:r w:rsidRPr="00B513F4">
        <w:rPr>
          <w:rStyle w:val="FootnoteReference"/>
        </w:rPr>
        <w:footnoteReference w:id="25"/>
      </w:r>
      <w:r w:rsidRPr="00B513F4">
        <w:t xml:space="preserve"> </w:t>
      </w:r>
    </w:p>
    <w:p w14:paraId="2DB95C2E" w14:textId="4609ACDE" w:rsidR="00A56EDD" w:rsidRPr="00B513F4" w:rsidRDefault="00A56EDD" w:rsidP="00A56EDD">
      <w:pPr>
        <w:jc w:val="both"/>
      </w:pPr>
      <w:r w:rsidRPr="00B513F4">
        <w:t xml:space="preserve">The erosion in the value of wages suggests some ‘effort’ by the government to limit the wage bill by letting the value of salaries and allowances erode in the face of expanding numbers of overall staff on public payroll. While this may have been necessary to an extent, it is a trend that also entails risks principally that of replicating a poorly paid and demotivated public service that has been present in a number of Sub-Saharan African countries; compounded by the fact that in South Sudan, public employment is concentrated in the security rather than the civil sectors. In addition, wage volatility and erosion is likely to generate discontent and resentment. </w:t>
      </w:r>
    </w:p>
    <w:p w14:paraId="3B12113A" w14:textId="77777777" w:rsidR="00A56EDD" w:rsidRPr="00B513F4" w:rsidRDefault="00A56EDD" w:rsidP="00A56EDD">
      <w:pPr>
        <w:pStyle w:val="Heading3"/>
      </w:pPr>
      <w:bookmarkStart w:id="19" w:name="_Toc447892394"/>
      <w:r w:rsidRPr="00B513F4">
        <w:t>3.3 Data on the qualifications of staff</w:t>
      </w:r>
      <w:bookmarkEnd w:id="19"/>
    </w:p>
    <w:p w14:paraId="3F2BA09B" w14:textId="6EF40E4C" w:rsidR="00A56EDD" w:rsidRPr="00B513F4" w:rsidRDefault="00A56EDD" w:rsidP="00A56EDD">
      <w:pPr>
        <w:tabs>
          <w:tab w:val="left" w:pos="8013"/>
        </w:tabs>
        <w:jc w:val="both"/>
      </w:pPr>
      <w:r w:rsidRPr="00B513F4">
        <w:t>Staff qualifications are a key bottleneck in South Sudan. As has been pointed out by existing comparative studies (World Bank 2012c), developing public sector capacity in a postconflict setting has typically been facilitated in middle</w:t>
      </w:r>
      <w:r w:rsidR="00C0377E">
        <w:t>-</w:t>
      </w:r>
      <w:r w:rsidRPr="00B513F4">
        <w:t>income countries that have significant pools of qualified citizens to draw from, such as Kosovo and West Bank and Gaza. The task of building public sector capacity is more challenging in low</w:t>
      </w:r>
      <w:r w:rsidR="00C0377E">
        <w:t>-</w:t>
      </w:r>
      <w:r w:rsidRPr="00B513F4">
        <w:t xml:space="preserve">income countries and countries with overall low human development. </w:t>
      </w:r>
    </w:p>
    <w:p w14:paraId="07BD3F8A" w14:textId="6A97B0B6" w:rsidR="00A56EDD" w:rsidRPr="00B513F4" w:rsidRDefault="00A56EDD" w:rsidP="00A56EDD">
      <w:pPr>
        <w:tabs>
          <w:tab w:val="left" w:pos="8013"/>
        </w:tabs>
        <w:jc w:val="both"/>
        <w:rPr>
          <w:b/>
        </w:rPr>
      </w:pPr>
      <w:r w:rsidRPr="00B513F4">
        <w:t xml:space="preserve">According to an early 2005 survey of public servants (including civilian civil servants and organized forces), 65 percent had no/unspecified or only early education and a further 15 percent had completed secondary school (see </w:t>
      </w:r>
      <w:r w:rsidR="00F01EBA">
        <w:fldChar w:fldCharType="begin"/>
      </w:r>
      <w:r w:rsidR="00F01EBA">
        <w:instrText xml:space="preserve"> REF _Ref447304403 \h </w:instrText>
      </w:r>
      <w:r w:rsidR="00F01EBA">
        <w:fldChar w:fldCharType="separate"/>
      </w:r>
      <w:r w:rsidR="00F01EBA">
        <w:t xml:space="preserve">figure </w:t>
      </w:r>
      <w:r w:rsidR="00F01EBA">
        <w:rPr>
          <w:noProof/>
        </w:rPr>
        <w:t>7</w:t>
      </w:r>
      <w:r w:rsidR="00F01EBA">
        <w:fldChar w:fldCharType="end"/>
      </w:r>
      <w:r w:rsidRPr="00B513F4">
        <w:t xml:space="preserve">). Only 20 percent of those employed in the public service had any form of post-secondary education. No similar comprehensive census of the public service has been undertaken since 2005, and as an HRMIS is still under development, aggregate administrative data on qualification is not yet readily available. </w:t>
      </w:r>
    </w:p>
    <w:p w14:paraId="54548872" w14:textId="287583B8" w:rsidR="00833B48" w:rsidRDefault="00833B48" w:rsidP="00833B48">
      <w:pPr>
        <w:pStyle w:val="Caption"/>
        <w:keepNext/>
      </w:pPr>
      <w:bookmarkStart w:id="20" w:name="_Ref447304403"/>
      <w:r>
        <w:lastRenderedPageBreak/>
        <w:t xml:space="preserve">Figure </w:t>
      </w:r>
      <w:fldSimple w:instr=" SEQ Figure \* ARABIC ">
        <w:r w:rsidR="00807923">
          <w:rPr>
            <w:noProof/>
          </w:rPr>
          <w:t>7</w:t>
        </w:r>
      </w:fldSimple>
      <w:bookmarkEnd w:id="20"/>
      <w:r>
        <w:t>.</w:t>
      </w:r>
      <w:r w:rsidRPr="00D95330">
        <w:t xml:space="preserve">Educational </w:t>
      </w:r>
      <w:r>
        <w:t>L</w:t>
      </w:r>
      <w:r w:rsidRPr="00D95330">
        <w:t xml:space="preserve">evel of </w:t>
      </w:r>
      <w:r>
        <w:t>P</w:t>
      </w:r>
      <w:r w:rsidRPr="00D95330">
        <w:t xml:space="preserve">ublic </w:t>
      </w:r>
      <w:r>
        <w:t>S</w:t>
      </w:r>
      <w:r w:rsidRPr="00D95330">
        <w:t>ervants, 2005</w:t>
      </w:r>
    </w:p>
    <w:p w14:paraId="063E8F2B" w14:textId="77777777" w:rsidR="00A56EDD" w:rsidRPr="00B513F4" w:rsidRDefault="00A56EDD" w:rsidP="00833B48">
      <w:pPr>
        <w:spacing w:after="0"/>
        <w:jc w:val="center"/>
      </w:pPr>
      <w:r w:rsidRPr="00B513F4">
        <w:rPr>
          <w:noProof/>
          <w:szCs w:val="20"/>
        </w:rPr>
        <w:drawing>
          <wp:inline distT="0" distB="0" distL="0" distR="0" wp14:anchorId="0862A3E7" wp14:editId="4B369761">
            <wp:extent cx="4152900" cy="3001508"/>
            <wp:effectExtent l="0" t="0" r="0" b="889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srcRect/>
                    <a:stretch>
                      <a:fillRect/>
                    </a:stretch>
                  </pic:blipFill>
                  <pic:spPr bwMode="auto">
                    <a:xfrm>
                      <a:off x="0" y="0"/>
                      <a:ext cx="4207221" cy="3040769"/>
                    </a:xfrm>
                    <a:prstGeom prst="rect">
                      <a:avLst/>
                    </a:prstGeom>
                    <a:noFill/>
                    <a:ln w="9525">
                      <a:noFill/>
                      <a:miter lim="800000"/>
                      <a:headEnd/>
                      <a:tailEnd/>
                    </a:ln>
                  </pic:spPr>
                </pic:pic>
              </a:graphicData>
            </a:graphic>
          </wp:inline>
        </w:drawing>
      </w:r>
    </w:p>
    <w:p w14:paraId="290722D0" w14:textId="77777777" w:rsidR="00A56EDD" w:rsidRDefault="00A56EDD" w:rsidP="003B015E">
      <w:pPr>
        <w:tabs>
          <w:tab w:val="left" w:pos="8013"/>
        </w:tabs>
        <w:spacing w:after="0" w:line="240" w:lineRule="auto"/>
      </w:pPr>
      <w:r w:rsidRPr="005E017F">
        <w:rPr>
          <w:i/>
          <w:sz w:val="20"/>
        </w:rPr>
        <w:t>Source:</w:t>
      </w:r>
      <w:r w:rsidRPr="00B513F4">
        <w:rPr>
          <w:sz w:val="20"/>
        </w:rPr>
        <w:t xml:space="preserve"> Public service survey 2005. </w:t>
      </w:r>
    </w:p>
    <w:p w14:paraId="22AD08C7" w14:textId="3FAE30CD" w:rsidR="00A56EDD" w:rsidRDefault="00A56EDD" w:rsidP="0092058A">
      <w:pPr>
        <w:tabs>
          <w:tab w:val="left" w:pos="8013"/>
        </w:tabs>
        <w:spacing w:before="240"/>
        <w:jc w:val="both"/>
        <w:rPr>
          <w:b/>
        </w:rPr>
      </w:pPr>
      <w:r w:rsidRPr="00B513F4">
        <w:t>There are some indications that qualifications are relatively higher in the civilian public service than in the organized forces (and the military)</w:t>
      </w:r>
      <w:r>
        <w:t xml:space="preserve"> and are gradually rising</w:t>
      </w:r>
      <w:r w:rsidRPr="00B513F4">
        <w:t>. According t</w:t>
      </w:r>
      <w:r>
        <w:t>o government statistics, by 2013</w:t>
      </w:r>
      <w:r w:rsidR="00F01EBA">
        <w:t>,</w:t>
      </w:r>
      <w:r w:rsidRPr="00B513F4">
        <w:t xml:space="preserve"> the level of qualification of primary and secondary teachers was considerably higher compared to this early data, with </w:t>
      </w:r>
      <w:r>
        <w:t>almost 62 percent</w:t>
      </w:r>
      <w:r w:rsidRPr="00B513F4">
        <w:t xml:space="preserve"> of all primary teachers having completed secondary school and the share of unspecified </w:t>
      </w:r>
      <w:r>
        <w:t>falling to near zero</w:t>
      </w:r>
      <w:r w:rsidRPr="00B513F4">
        <w:t xml:space="preserve"> (</w:t>
      </w:r>
      <w:r w:rsidR="00F01EBA">
        <w:fldChar w:fldCharType="begin"/>
      </w:r>
      <w:r w:rsidR="00F01EBA">
        <w:instrText xml:space="preserve"> REF _Ref447304538 \h </w:instrText>
      </w:r>
      <w:r w:rsidR="00F01EBA">
        <w:fldChar w:fldCharType="separate"/>
      </w:r>
      <w:r w:rsidR="00F01EBA">
        <w:t xml:space="preserve">figure </w:t>
      </w:r>
      <w:r w:rsidR="00F01EBA">
        <w:rPr>
          <w:noProof/>
        </w:rPr>
        <w:t>8</w:t>
      </w:r>
      <w:r w:rsidR="00F01EBA">
        <w:fldChar w:fldCharType="end"/>
      </w:r>
      <w:r w:rsidRPr="00B513F4">
        <w:t>). Among the much smaller group of secondar</w:t>
      </w:r>
      <w:r>
        <w:t>y teachers, more than half (57</w:t>
      </w:r>
      <w:r w:rsidRPr="00B513F4">
        <w:t xml:space="preserve"> percent) are reported to have completed university-level education </w:t>
      </w:r>
      <w:r w:rsidR="004E6B1C">
        <w:t>or above</w:t>
      </w:r>
      <w:r w:rsidR="002B5CE3">
        <w:t>.</w:t>
      </w:r>
    </w:p>
    <w:p w14:paraId="529CA190" w14:textId="7383EA33" w:rsidR="00857869" w:rsidRDefault="00857869" w:rsidP="00857869">
      <w:pPr>
        <w:pStyle w:val="Caption"/>
        <w:keepNext/>
      </w:pPr>
      <w:bookmarkStart w:id="21" w:name="_Ref447304538"/>
      <w:r>
        <w:t xml:space="preserve">Figure </w:t>
      </w:r>
      <w:fldSimple w:instr=" SEQ Figure \* ARABIC ">
        <w:r w:rsidR="00807923">
          <w:rPr>
            <w:noProof/>
          </w:rPr>
          <w:t>8</w:t>
        </w:r>
      </w:fldSimple>
      <w:bookmarkEnd w:id="21"/>
      <w:r>
        <w:t xml:space="preserve">. </w:t>
      </w:r>
      <w:r w:rsidRPr="00273251">
        <w:t xml:space="preserve">Primary </w:t>
      </w:r>
      <w:r>
        <w:t>S</w:t>
      </w:r>
      <w:r w:rsidRPr="00273251">
        <w:t xml:space="preserve">chool </w:t>
      </w:r>
      <w:r>
        <w:t>T</w:t>
      </w:r>
      <w:r w:rsidRPr="00273251">
        <w:t xml:space="preserve">eachers by </w:t>
      </w:r>
      <w:r>
        <w:t>A</w:t>
      </w:r>
      <w:r w:rsidRPr="00273251">
        <w:t xml:space="preserve">cademic </w:t>
      </w:r>
      <w:r>
        <w:t>Q</w:t>
      </w:r>
      <w:r w:rsidRPr="00273251">
        <w:t>ualification, 2010</w:t>
      </w:r>
      <w:r>
        <w:t>–</w:t>
      </w:r>
      <w:r w:rsidRPr="00273251">
        <w:t>2013</w:t>
      </w:r>
    </w:p>
    <w:p w14:paraId="3B6B613D" w14:textId="77777777" w:rsidR="00A56EDD" w:rsidRDefault="00A56EDD" w:rsidP="00857869">
      <w:pPr>
        <w:tabs>
          <w:tab w:val="left" w:pos="8013"/>
        </w:tabs>
        <w:spacing w:after="0" w:line="240" w:lineRule="auto"/>
        <w:jc w:val="center"/>
        <w:rPr>
          <w:sz w:val="20"/>
        </w:rPr>
      </w:pPr>
      <w:r>
        <w:rPr>
          <w:noProof/>
        </w:rPr>
        <w:drawing>
          <wp:inline distT="0" distB="0" distL="0" distR="0" wp14:anchorId="085A4280" wp14:editId="09B5EF50">
            <wp:extent cx="4572000" cy="2743200"/>
            <wp:effectExtent l="0" t="0" r="0" b="0"/>
            <wp:docPr id="68"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17E28DE" w14:textId="47CC723F" w:rsidR="00A56EDD" w:rsidRPr="004344D2" w:rsidRDefault="00A56EDD" w:rsidP="00857869">
      <w:pPr>
        <w:tabs>
          <w:tab w:val="left" w:pos="8013"/>
        </w:tabs>
        <w:spacing w:after="0" w:line="240" w:lineRule="auto"/>
        <w:jc w:val="both"/>
        <w:rPr>
          <w:sz w:val="20"/>
        </w:rPr>
      </w:pPr>
      <w:r w:rsidRPr="00857869">
        <w:rPr>
          <w:i/>
          <w:sz w:val="20"/>
        </w:rPr>
        <w:t>Source:</w:t>
      </w:r>
      <w:r w:rsidRPr="00B513F4">
        <w:rPr>
          <w:sz w:val="20"/>
        </w:rPr>
        <w:t xml:space="preserve"> EMIS</w:t>
      </w:r>
      <w:r w:rsidR="00921EEA">
        <w:rPr>
          <w:sz w:val="20"/>
        </w:rPr>
        <w:t>.</w:t>
      </w:r>
    </w:p>
    <w:p w14:paraId="7FF29FF7" w14:textId="0839CE9D" w:rsidR="00A56EDD" w:rsidRPr="00B513F4" w:rsidRDefault="00A56EDD" w:rsidP="00857869">
      <w:pPr>
        <w:tabs>
          <w:tab w:val="left" w:pos="8013"/>
        </w:tabs>
        <w:spacing w:before="240"/>
        <w:jc w:val="both"/>
      </w:pPr>
      <w:r w:rsidRPr="00B513F4">
        <w:lastRenderedPageBreak/>
        <w:t>A 2012/13 survey of public service staff in grades 12 and above showed that for the three states covered (Northern Bahr El Ghazal, Jonglei</w:t>
      </w:r>
      <w:r w:rsidR="00441744">
        <w:t>,</w:t>
      </w:r>
      <w:r w:rsidRPr="00B513F4">
        <w:t xml:space="preserve"> and Western Equatoria), on average 30 percent were secondary school graduates, 21 percent had completed high school, 29 percent held a diploma, and close to 14 percent </w:t>
      </w:r>
      <w:r w:rsidR="00441744">
        <w:t xml:space="preserve">held </w:t>
      </w:r>
      <w:r w:rsidRPr="00B513F4">
        <w:t xml:space="preserve">a further degree (such as a master’s) (PALAMA 2013). </w:t>
      </w:r>
    </w:p>
    <w:p w14:paraId="19EFC656" w14:textId="10573E05" w:rsidR="00A56EDD" w:rsidRPr="00B513F4" w:rsidRDefault="00A56EDD" w:rsidP="00A56EDD">
      <w:pPr>
        <w:tabs>
          <w:tab w:val="left" w:pos="8013"/>
        </w:tabs>
        <w:jc w:val="both"/>
      </w:pPr>
      <w:r w:rsidRPr="00B513F4">
        <w:t xml:space="preserve">As section 5 will explore in greater detail, South Sudan has faced not only a challenge of a relatively limited pool of educated citizens, but also the fact that many have received education in various locations. This means that educational quality and content </w:t>
      </w:r>
      <w:r w:rsidR="000561A9">
        <w:t>is</w:t>
      </w:r>
      <w:r w:rsidRPr="00B513F4">
        <w:t xml:space="preserve"> also varied, and can be more challenging to verify. The low</w:t>
      </w:r>
      <w:r w:rsidR="000561A9">
        <w:t>-</w:t>
      </w:r>
      <w:r w:rsidRPr="00B513F4">
        <w:t xml:space="preserve">level and highly varied qualifications of staff has rendered efforts by development partners toward capacity building more challenging, since staff working in certain positions (such as accountants) may have widely varying levels of prior training. It also makes a significant reliance on technical assistants in certain key positions more tempting and challenging to phase out. </w:t>
      </w:r>
    </w:p>
    <w:p w14:paraId="1E98919C" w14:textId="5311A488" w:rsidR="00A56EDD" w:rsidRPr="00B513F4" w:rsidRDefault="000561A9" w:rsidP="00A56EDD">
      <w:pPr>
        <w:tabs>
          <w:tab w:val="left" w:pos="8013"/>
        </w:tabs>
        <w:jc w:val="both"/>
      </w:pPr>
      <w:r>
        <w:rPr>
          <w:b/>
        </w:rPr>
        <w:t>T</w:t>
      </w:r>
      <w:r w:rsidR="00A56EDD" w:rsidRPr="00B513F4">
        <w:rPr>
          <w:b/>
        </w:rPr>
        <w:t>o be able to address the issue of qualifications more broadly, both the government and development partners need better and continuously updated information about the qualification of staff in various posts</w:t>
      </w:r>
      <w:r w:rsidR="00A56EDD" w:rsidRPr="00236A76">
        <w:rPr>
          <w:b/>
        </w:rPr>
        <w:t>.</w:t>
      </w:r>
      <w:r w:rsidR="00A56EDD" w:rsidRPr="00B513F4">
        <w:t xml:space="preserve"> However, as discussed further in </w:t>
      </w:r>
      <w:r>
        <w:t>s</w:t>
      </w:r>
      <w:r w:rsidR="00A56EDD" w:rsidRPr="00B513F4">
        <w:t>ection 5, there has been considerable resistance within the public sector against a deliberate screening of public servants, and to an extent even against capturing qualifications of each public servant in a</w:t>
      </w:r>
      <w:r>
        <w:t>n</w:t>
      </w:r>
      <w:r w:rsidR="00A56EDD" w:rsidRPr="00B513F4">
        <w:t xml:space="preserve"> HRMIS.</w:t>
      </w:r>
      <w:r w:rsidR="00A56EDD" w:rsidRPr="00B513F4">
        <w:rPr>
          <w:rStyle w:val="FootnoteReference"/>
        </w:rPr>
        <w:footnoteReference w:id="26"/>
      </w:r>
      <w:r w:rsidR="00A56EDD" w:rsidRPr="00B513F4">
        <w:t xml:space="preserve"> </w:t>
      </w:r>
    </w:p>
    <w:p w14:paraId="51C57612" w14:textId="77777777" w:rsidR="00A56EDD" w:rsidRPr="00B513F4" w:rsidRDefault="00A56EDD" w:rsidP="00A56EDD">
      <w:pPr>
        <w:jc w:val="both"/>
        <w:sectPr w:rsidR="00A56EDD" w:rsidRPr="00B513F4">
          <w:pgSz w:w="12240" w:h="15840"/>
          <w:pgMar w:top="1440" w:right="1440" w:bottom="1440" w:left="1440" w:header="720" w:footer="720" w:gutter="0"/>
          <w:cols w:space="720"/>
          <w:docGrid w:linePitch="360"/>
        </w:sectPr>
      </w:pPr>
    </w:p>
    <w:p w14:paraId="1F4F6463" w14:textId="6CF054C9" w:rsidR="00A56EDD" w:rsidRPr="00B513F4" w:rsidRDefault="00A56EDD" w:rsidP="00A56EDD">
      <w:pPr>
        <w:pStyle w:val="Heading2"/>
        <w:numPr>
          <w:ilvl w:val="0"/>
          <w:numId w:val="4"/>
        </w:numPr>
      </w:pPr>
      <w:bookmarkStart w:id="22" w:name="_Toc447892395"/>
      <w:r w:rsidRPr="00B513F4">
        <w:lastRenderedPageBreak/>
        <w:t>The ‘</w:t>
      </w:r>
      <w:r w:rsidR="00857869">
        <w:t>D</w:t>
      </w:r>
      <w:r w:rsidRPr="00B513F4">
        <w:t xml:space="preserve">ownstream’ </w:t>
      </w:r>
      <w:r w:rsidR="00857869">
        <w:t>S</w:t>
      </w:r>
      <w:r w:rsidRPr="00B513F4">
        <w:t xml:space="preserve">ituation of </w:t>
      </w:r>
      <w:r w:rsidR="00857869">
        <w:t>S</w:t>
      </w:r>
      <w:r w:rsidRPr="00B513F4">
        <w:t xml:space="preserve">ervice </w:t>
      </w:r>
      <w:r w:rsidR="00857869">
        <w:t>D</w:t>
      </w:r>
      <w:r w:rsidRPr="00B513F4">
        <w:t>elivery</w:t>
      </w:r>
      <w:bookmarkEnd w:id="22"/>
    </w:p>
    <w:p w14:paraId="43CAE742" w14:textId="5CC272C8" w:rsidR="00A56EDD" w:rsidRPr="00B513F4" w:rsidRDefault="00A56EDD" w:rsidP="00A56EDD">
      <w:pPr>
        <w:jc w:val="both"/>
      </w:pPr>
      <w:r w:rsidRPr="00B513F4">
        <w:rPr>
          <w:color w:val="000000" w:themeColor="text1"/>
        </w:rPr>
        <w:t>As set out in section 1.1, there is a growing sense that it is important to focus on the linkages between (re)building capabilities for public service delivery and developing the core capabilities of the state in postconflict situations.</w:t>
      </w:r>
      <w:r w:rsidRPr="00B513F4">
        <w:rPr>
          <w:rStyle w:val="FootnoteReference"/>
        </w:rPr>
        <w:footnoteReference w:id="27"/>
      </w:r>
      <w:r w:rsidRPr="00B513F4">
        <w:t xml:space="preserve"> </w:t>
      </w:r>
      <w:r w:rsidRPr="00B513F4">
        <w:rPr>
          <w:color w:val="000000" w:themeColor="text1"/>
        </w:rPr>
        <w:t xml:space="preserve">This is also linked to a wider recognition that the identification of ‘the problem’ with upstream public </w:t>
      </w:r>
      <w:r w:rsidRPr="00B513F4">
        <w:t xml:space="preserve">service composition, cost, and management needs to be informed by considerations about how well or how poorly a country or a subnational entity is performing </w:t>
      </w:r>
      <w:r w:rsidR="00813CF1">
        <w:t>with regard to</w:t>
      </w:r>
      <w:r w:rsidRPr="00B513F4">
        <w:t xml:space="preserve"> downstream service delivery</w:t>
      </w:r>
      <w:r w:rsidR="00813CF1">
        <w:t>—</w:t>
      </w:r>
      <w:r w:rsidRPr="00B513F4">
        <w:t>which improved overall public sector management is expected to enhance (World Bank 2012</w:t>
      </w:r>
      <w:r w:rsidR="00236A76">
        <w:t>c</w:t>
      </w:r>
      <w:r w:rsidRPr="00B513F4">
        <w:t>).</w:t>
      </w:r>
      <w:r w:rsidRPr="00B513F4">
        <w:rPr>
          <w:rStyle w:val="FootnoteReference"/>
        </w:rPr>
        <w:footnoteReference w:id="28"/>
      </w:r>
      <w:r w:rsidRPr="00B513F4">
        <w:t xml:space="preserve"> </w:t>
      </w:r>
    </w:p>
    <w:p w14:paraId="5A1698C8" w14:textId="007EF3BE" w:rsidR="00A56EDD" w:rsidRPr="00B513F4" w:rsidRDefault="00A56EDD" w:rsidP="00A56EDD">
      <w:pPr>
        <w:jc w:val="both"/>
      </w:pPr>
      <w:r w:rsidRPr="00B513F4">
        <w:t xml:space="preserve">From a state-building perspective, it is crucial to consider how the output domains, </w:t>
      </w:r>
      <w:r w:rsidR="0093206E">
        <w:t>that is,</w:t>
      </w:r>
      <w:r w:rsidRPr="00B513F4">
        <w:t xml:space="preserve"> the delivery of social services, justice, economic management and so on, are linked to the core of the state and its fiscal and administrative capabilities. This touches </w:t>
      </w:r>
      <w:r w:rsidR="001E3A6E">
        <w:t>up</w:t>
      </w:r>
      <w:r w:rsidRPr="00B513F4">
        <w:t>on the question about the ‘role of the state’ and about whether and which frontline service delivery functions should be undertaken by the public sector directly (and by government employed staff) versus being outsourced or contracted in some form. One branch of this debate focuses specifically on fragile and postconflict countries (OECD 2011). Because state-organized service delivery may be particularly challenged in such settings, outsourcing/contracting has been sugg</w:t>
      </w:r>
      <w:r w:rsidR="002B5CE3">
        <w:t xml:space="preserve">ested as a potential solution. </w:t>
      </w:r>
      <w:r w:rsidRPr="00B513F4">
        <w:t>The rest of this section explores both the status of public service delivery provision in South Sudan</w:t>
      </w:r>
      <w:r w:rsidR="00813CF1">
        <w:t xml:space="preserve"> and</w:t>
      </w:r>
      <w:r w:rsidRPr="00B513F4">
        <w:t xml:space="preserve"> the issues around </w:t>
      </w:r>
      <w:r w:rsidR="00584290">
        <w:t xml:space="preserve">it </w:t>
      </w:r>
      <w:r w:rsidRPr="00B513F4">
        <w:t xml:space="preserve">and </w:t>
      </w:r>
      <w:r w:rsidR="00584290">
        <w:t xml:space="preserve">the </w:t>
      </w:r>
      <w:r w:rsidRPr="00B513F4">
        <w:t>potential for private delivery of services.</w:t>
      </w:r>
    </w:p>
    <w:p w14:paraId="2FF00746" w14:textId="77777777" w:rsidR="00A56EDD" w:rsidRPr="00B513F4" w:rsidRDefault="00A56EDD" w:rsidP="00A56EDD">
      <w:pPr>
        <w:pStyle w:val="Heading3"/>
      </w:pPr>
      <w:bookmarkStart w:id="23" w:name="_Toc447892396"/>
      <w:r w:rsidRPr="00B513F4">
        <w:t>4.1 The status of service delivery provision and allocation of staff</w:t>
      </w:r>
      <w:bookmarkEnd w:id="23"/>
    </w:p>
    <w:p w14:paraId="2653E15F" w14:textId="7BE895F9" w:rsidR="00A56EDD" w:rsidRPr="00B513F4" w:rsidRDefault="00A56EDD" w:rsidP="00A56EDD">
      <w:pPr>
        <w:jc w:val="both"/>
      </w:pPr>
      <w:r w:rsidRPr="00B513F4">
        <w:rPr>
          <w:b/>
        </w:rPr>
        <w:t>Service delivery in South Sudan started from a very low level in the early 2000s and available data suggest some expansion since then</w:t>
      </w:r>
      <w:r w:rsidRPr="00EC5702">
        <w:rPr>
          <w:b/>
        </w:rPr>
        <w:t>.</w:t>
      </w:r>
      <w:r w:rsidRPr="00B513F4">
        <w:t xml:space="preserve"> The low starting levels are seen to be the result of neglect both by the Sudanese government and by the SPLA in territories under their respective control, as well as of the </w:t>
      </w:r>
      <w:r w:rsidR="003733B5">
        <w:t>n</w:t>
      </w:r>
      <w:r w:rsidRPr="00B513F4">
        <w:t>orth-</w:t>
      </w:r>
      <w:r w:rsidR="003733B5">
        <w:t>s</w:t>
      </w:r>
      <w:r w:rsidRPr="00B513F4">
        <w:t xml:space="preserve">outh conflict. Significant gains in basic service delivery indicators, as observed in South Sudan since 2005, are typical of postconflict countries, especially those engaging with the international community. However, there is a challenge of attribution for these gains, since services are provided both by the government as well as through (I)NGOs and </w:t>
      </w:r>
      <w:r w:rsidR="00531C55">
        <w:t>faith-based organizations (</w:t>
      </w:r>
      <w:r w:rsidRPr="00B513F4">
        <w:t>FBOs</w:t>
      </w:r>
      <w:r w:rsidR="00531C55">
        <w:t>)</w:t>
      </w:r>
      <w:r w:rsidRPr="00B513F4">
        <w:t xml:space="preserve">. For the two social service sectors with </w:t>
      </w:r>
      <w:r w:rsidR="00834078">
        <w:t xml:space="preserve">the </w:t>
      </w:r>
      <w:r w:rsidRPr="00B513F4">
        <w:t>highest levels of public sector employment—education and health—</w:t>
      </w:r>
      <w:r w:rsidR="00834078">
        <w:t xml:space="preserve">the </w:t>
      </w:r>
      <w:r w:rsidRPr="00B513F4">
        <w:t>government has become the main provider of education services, while in the health sector, direct donor</w:t>
      </w:r>
      <w:r w:rsidR="00834078">
        <w:t>-</w:t>
      </w:r>
      <w:r w:rsidRPr="00B513F4">
        <w:t xml:space="preserve">funded provision has remained more prevalent. </w:t>
      </w:r>
    </w:p>
    <w:p w14:paraId="7AF9C449" w14:textId="58158082" w:rsidR="00A56EDD" w:rsidRPr="00B513F4" w:rsidRDefault="00A56EDD" w:rsidP="00A56EDD">
      <w:pPr>
        <w:jc w:val="both"/>
      </w:pPr>
      <w:r w:rsidRPr="00B513F4">
        <w:rPr>
          <w:b/>
        </w:rPr>
        <w:t>Data on service delivery for South Sudan is still limited and mainly captures basic quantitative aspects of service delivery</w:t>
      </w:r>
      <w:r w:rsidRPr="00B513F4">
        <w:t xml:space="preserve"> (</w:t>
      </w:r>
      <w:r w:rsidR="0093206E">
        <w:t>that is,</w:t>
      </w:r>
      <w:r w:rsidRPr="00B513F4">
        <w:t xml:space="preserve"> what share of primary school children are enrolled in school, but not whether they r</w:t>
      </w:r>
      <w:r w:rsidR="002B5CE3">
        <w:t xml:space="preserve">eceive an adequate education). </w:t>
      </w:r>
      <w:r w:rsidRPr="00B513F4">
        <w:t>Yet there are many important links between the quality of public service and the quality of service delivery outputs (</w:t>
      </w:r>
      <w:r w:rsidR="0093206E">
        <w:t>for example,</w:t>
      </w:r>
      <w:r w:rsidRPr="00B513F4">
        <w:t xml:space="preserve"> adequately trained teachers, nurses, </w:t>
      </w:r>
      <w:r w:rsidRPr="00B513F4">
        <w:lastRenderedPageBreak/>
        <w:t>midwives</w:t>
      </w:r>
      <w:r w:rsidR="00834078">
        <w:t>,</w:t>
      </w:r>
      <w:r w:rsidRPr="00B513F4">
        <w:t xml:space="preserve"> and doctors are likely to provide better education and health care than those with minimal or no training). Thus, it is not easy to draw clear linkages between this limited output data and upstream issues of public service composition and management. However, it is worth considering the information that is available to better gauge the current situation.</w:t>
      </w:r>
      <w:r w:rsidRPr="00B513F4">
        <w:rPr>
          <w:rStyle w:val="FootnoteReference"/>
        </w:rPr>
        <w:footnoteReference w:id="29"/>
      </w:r>
      <w:r w:rsidRPr="00B513F4">
        <w:t xml:space="preserve"> </w:t>
      </w:r>
    </w:p>
    <w:p w14:paraId="5AEC2F5C" w14:textId="64E3F4FE" w:rsidR="00A56EDD" w:rsidRPr="00B513F4" w:rsidRDefault="00A56EDD" w:rsidP="00A56EDD">
      <w:pPr>
        <w:jc w:val="both"/>
      </w:pPr>
      <w:r w:rsidRPr="00B513F4">
        <w:t>With regard to the education sector, the primary school gross enrolment rate for 2010 was reported at 69 percent, indicating an expansion of about 50 percent since 2003 (</w:t>
      </w:r>
      <w:r w:rsidR="00834078">
        <w:t>t</w:t>
      </w:r>
      <w:r w:rsidRPr="00B513F4">
        <w:t>able 6)</w:t>
      </w:r>
      <w:r>
        <w:t>, rising further to 86 percent by 2011</w:t>
      </w:r>
      <w:r w:rsidRPr="00B513F4">
        <w:t xml:space="preserve">. However, the </w:t>
      </w:r>
      <w:r w:rsidRPr="00B513F4">
        <w:rPr>
          <w:i/>
        </w:rPr>
        <w:t>net</w:t>
      </w:r>
      <w:r w:rsidRPr="00B513F4">
        <w:t xml:space="preserve"> primary enrolment rate and the primary </w:t>
      </w:r>
      <w:r w:rsidRPr="00B513F4">
        <w:rPr>
          <w:i/>
        </w:rPr>
        <w:t>completion</w:t>
      </w:r>
      <w:r w:rsidRPr="00B513F4">
        <w:t xml:space="preserve"> rates remained far lower, at 44 percent and only 10 percent</w:t>
      </w:r>
      <w:r w:rsidR="00834078">
        <w:t>,</w:t>
      </w:r>
      <w:r w:rsidRPr="00B513F4">
        <w:t xml:space="preserve"> respectively</w:t>
      </w:r>
      <w:r w:rsidR="00834078">
        <w:t>,</w:t>
      </w:r>
      <w:r w:rsidRPr="00B513F4">
        <w:t xml:space="preserve"> for South Sudan in 2010 (see </w:t>
      </w:r>
      <w:r w:rsidR="00834078">
        <w:t>t</w:t>
      </w:r>
      <w:r w:rsidRPr="00B513F4">
        <w:t>able 7), with a continuation of major gender disparities. Still, progress is being made in expanding literacy relative to its low initia</w:t>
      </w:r>
      <w:r w:rsidR="002B5CE3">
        <w:t xml:space="preserve">l level of 27 percent in 2005. </w:t>
      </w:r>
      <w:r w:rsidRPr="00B513F4">
        <w:t xml:space="preserve">According to the Bank’s 2012 sector assessment, at the primary level, about 4 percent of students attended private schools, 8 percent attended community schools, and 1 percent </w:t>
      </w:r>
      <w:r w:rsidR="00834078">
        <w:t xml:space="preserve">attended </w:t>
      </w:r>
      <w:r w:rsidRPr="00B513F4">
        <w:t>NGO-run schools, while 87 percent attended government or government-supported schools (World Bank 2012b</w:t>
      </w:r>
      <w:r w:rsidR="00715854">
        <w:t>,</w:t>
      </w:r>
      <w:r w:rsidRPr="00B513F4">
        <w:t xml:space="preserve"> 30). This data, drawn from government databases, may underestimate a parallel growth of private sector provision at least in major urban centers, as is discussed in section 4.2; which may mean that the de facto expansion of basic education is even greater. </w:t>
      </w:r>
    </w:p>
    <w:p w14:paraId="427AC30F" w14:textId="2D8492C7" w:rsidR="00C46703" w:rsidRDefault="00C46703" w:rsidP="00C46703">
      <w:pPr>
        <w:pStyle w:val="Caption"/>
        <w:keepNext/>
      </w:pPr>
      <w:bookmarkStart w:id="24" w:name="_Ref447468991"/>
      <w:r>
        <w:t xml:space="preserve">Table </w:t>
      </w:r>
      <w:fldSimple w:instr=" SEQ Table \* ARABIC ">
        <w:r w:rsidR="00FA6F6C">
          <w:rPr>
            <w:noProof/>
          </w:rPr>
          <w:t>6</w:t>
        </w:r>
      </w:fldSimple>
      <w:bookmarkEnd w:id="24"/>
      <w:r>
        <w:t xml:space="preserve">. </w:t>
      </w:r>
      <w:r w:rsidRPr="00A86973">
        <w:t xml:space="preserve">Primary </w:t>
      </w:r>
      <w:r>
        <w:t>S</w:t>
      </w:r>
      <w:r w:rsidRPr="00A86973">
        <w:t xml:space="preserve">chool </w:t>
      </w:r>
      <w:r>
        <w:t>G</w:t>
      </w:r>
      <w:r w:rsidRPr="00A86973">
        <w:t xml:space="preserve">ross </w:t>
      </w:r>
      <w:r>
        <w:t>E</w:t>
      </w:r>
      <w:r w:rsidRPr="00A86973">
        <w:t xml:space="preserve">nrolment </w:t>
      </w:r>
      <w:r>
        <w:t>R</w:t>
      </w:r>
      <w:r w:rsidRPr="00A86973">
        <w:t>ates</w:t>
      </w:r>
    </w:p>
    <w:tbl>
      <w:tblPr>
        <w:tblW w:w="9000" w:type="dxa"/>
        <w:jc w:val="center"/>
        <w:tblLayout w:type="fixed"/>
        <w:tblLook w:val="04A0" w:firstRow="1" w:lastRow="0" w:firstColumn="1" w:lastColumn="0" w:noHBand="0" w:noVBand="1"/>
      </w:tblPr>
      <w:tblGrid>
        <w:gridCol w:w="1530"/>
        <w:gridCol w:w="747"/>
        <w:gridCol w:w="747"/>
        <w:gridCol w:w="747"/>
        <w:gridCol w:w="747"/>
        <w:gridCol w:w="747"/>
        <w:gridCol w:w="747"/>
        <w:gridCol w:w="747"/>
        <w:gridCol w:w="747"/>
        <w:gridCol w:w="747"/>
        <w:gridCol w:w="747"/>
      </w:tblGrid>
      <w:tr w:rsidR="00941BA9" w:rsidRPr="00636E49" w14:paraId="219677C1" w14:textId="77777777" w:rsidTr="00801B24">
        <w:trPr>
          <w:trHeight w:val="300"/>
          <w:jc w:val="center"/>
        </w:trPr>
        <w:tc>
          <w:tcPr>
            <w:tcW w:w="1530" w:type="dxa"/>
            <w:tcBorders>
              <w:bottom w:val="single" w:sz="4" w:space="0" w:color="auto"/>
            </w:tcBorders>
            <w:shd w:val="clear" w:color="000000" w:fill="FFFFFF"/>
            <w:vAlign w:val="center"/>
            <w:hideMark/>
          </w:tcPr>
          <w:p w14:paraId="2BCF8AF5" w14:textId="77777777" w:rsidR="00941BA9" w:rsidRPr="00636E49" w:rsidRDefault="00941BA9" w:rsidP="00636E49">
            <w:pPr>
              <w:spacing w:after="0" w:line="240" w:lineRule="auto"/>
              <w:jc w:val="center"/>
              <w:rPr>
                <w:rFonts w:eastAsia="Times New Roman" w:cs="Times New Roman"/>
                <w:b/>
                <w:bCs/>
                <w:color w:val="000000"/>
                <w:sz w:val="20"/>
                <w:szCs w:val="20"/>
              </w:rPr>
            </w:pPr>
            <w:r w:rsidRPr="00636E49">
              <w:rPr>
                <w:rFonts w:eastAsia="Times New Roman" w:cs="Times New Roman"/>
                <w:b/>
                <w:bCs/>
                <w:color w:val="000000"/>
                <w:sz w:val="20"/>
                <w:szCs w:val="20"/>
              </w:rPr>
              <w:t xml:space="preserve">           </w:t>
            </w:r>
          </w:p>
        </w:tc>
        <w:tc>
          <w:tcPr>
            <w:tcW w:w="747" w:type="dxa"/>
            <w:tcBorders>
              <w:bottom w:val="single" w:sz="4" w:space="0" w:color="auto"/>
            </w:tcBorders>
            <w:shd w:val="clear" w:color="000000" w:fill="FFFFFF"/>
            <w:noWrap/>
            <w:vAlign w:val="center"/>
            <w:hideMark/>
          </w:tcPr>
          <w:p w14:paraId="54129159" w14:textId="77777777" w:rsidR="00941BA9" w:rsidRPr="00636E49" w:rsidRDefault="00941BA9" w:rsidP="00636E49">
            <w:pPr>
              <w:spacing w:after="0" w:line="240" w:lineRule="auto"/>
              <w:jc w:val="center"/>
              <w:rPr>
                <w:rFonts w:eastAsia="Times New Roman" w:cs="Times New Roman"/>
                <w:b/>
                <w:bCs/>
                <w:color w:val="000000"/>
                <w:sz w:val="20"/>
                <w:szCs w:val="20"/>
              </w:rPr>
            </w:pPr>
            <w:r w:rsidRPr="00636E49">
              <w:rPr>
                <w:rFonts w:eastAsia="Times New Roman" w:cs="Times New Roman"/>
                <w:b/>
                <w:bCs/>
                <w:color w:val="000000"/>
                <w:sz w:val="20"/>
                <w:szCs w:val="20"/>
              </w:rPr>
              <w:t>1994</w:t>
            </w:r>
          </w:p>
        </w:tc>
        <w:tc>
          <w:tcPr>
            <w:tcW w:w="747" w:type="dxa"/>
            <w:tcBorders>
              <w:bottom w:val="single" w:sz="4" w:space="0" w:color="auto"/>
            </w:tcBorders>
            <w:shd w:val="clear" w:color="000000" w:fill="FFFFFF"/>
            <w:noWrap/>
            <w:vAlign w:val="center"/>
            <w:hideMark/>
          </w:tcPr>
          <w:p w14:paraId="675EF3F2" w14:textId="77777777" w:rsidR="00941BA9" w:rsidRPr="00636E49" w:rsidRDefault="00941BA9" w:rsidP="00636E49">
            <w:pPr>
              <w:spacing w:after="0" w:line="240" w:lineRule="auto"/>
              <w:jc w:val="center"/>
              <w:rPr>
                <w:rFonts w:eastAsia="Times New Roman" w:cs="Times New Roman"/>
                <w:b/>
                <w:bCs/>
                <w:color w:val="000000"/>
                <w:sz w:val="20"/>
                <w:szCs w:val="20"/>
              </w:rPr>
            </w:pPr>
            <w:r w:rsidRPr="00636E49">
              <w:rPr>
                <w:rFonts w:eastAsia="Times New Roman" w:cs="Times New Roman"/>
                <w:b/>
                <w:bCs/>
                <w:color w:val="000000"/>
                <w:sz w:val="20"/>
                <w:szCs w:val="20"/>
              </w:rPr>
              <w:t>1997</w:t>
            </w:r>
          </w:p>
        </w:tc>
        <w:tc>
          <w:tcPr>
            <w:tcW w:w="747" w:type="dxa"/>
            <w:tcBorders>
              <w:bottom w:val="single" w:sz="4" w:space="0" w:color="auto"/>
            </w:tcBorders>
            <w:shd w:val="clear" w:color="000000" w:fill="FFFFFF"/>
            <w:noWrap/>
            <w:vAlign w:val="center"/>
            <w:hideMark/>
          </w:tcPr>
          <w:p w14:paraId="40C18B57" w14:textId="77777777" w:rsidR="00941BA9" w:rsidRPr="00636E49" w:rsidRDefault="00941BA9" w:rsidP="00636E49">
            <w:pPr>
              <w:spacing w:after="0" w:line="240" w:lineRule="auto"/>
              <w:jc w:val="center"/>
              <w:rPr>
                <w:rFonts w:eastAsia="Times New Roman" w:cs="Times New Roman"/>
                <w:b/>
                <w:bCs/>
                <w:color w:val="000000"/>
                <w:sz w:val="20"/>
                <w:szCs w:val="20"/>
              </w:rPr>
            </w:pPr>
            <w:r w:rsidRPr="00636E49">
              <w:rPr>
                <w:rFonts w:eastAsia="Times New Roman" w:cs="Times New Roman"/>
                <w:b/>
                <w:bCs/>
                <w:color w:val="000000"/>
                <w:sz w:val="20"/>
                <w:szCs w:val="20"/>
              </w:rPr>
              <w:t>2000</w:t>
            </w:r>
          </w:p>
        </w:tc>
        <w:tc>
          <w:tcPr>
            <w:tcW w:w="747" w:type="dxa"/>
            <w:tcBorders>
              <w:bottom w:val="single" w:sz="4" w:space="0" w:color="auto"/>
            </w:tcBorders>
            <w:shd w:val="clear" w:color="000000" w:fill="FFFFFF"/>
            <w:noWrap/>
            <w:vAlign w:val="center"/>
            <w:hideMark/>
          </w:tcPr>
          <w:p w14:paraId="5C0B6F2E" w14:textId="77777777" w:rsidR="00941BA9" w:rsidRPr="00636E49" w:rsidRDefault="00941BA9" w:rsidP="00636E49">
            <w:pPr>
              <w:spacing w:after="0" w:line="240" w:lineRule="auto"/>
              <w:jc w:val="center"/>
              <w:rPr>
                <w:rFonts w:eastAsia="Times New Roman" w:cs="Times New Roman"/>
                <w:b/>
                <w:bCs/>
                <w:color w:val="000000"/>
                <w:sz w:val="20"/>
                <w:szCs w:val="20"/>
              </w:rPr>
            </w:pPr>
            <w:r w:rsidRPr="00636E49">
              <w:rPr>
                <w:rFonts w:eastAsia="Times New Roman" w:cs="Times New Roman"/>
                <w:b/>
                <w:bCs/>
                <w:color w:val="000000"/>
                <w:sz w:val="20"/>
                <w:szCs w:val="20"/>
              </w:rPr>
              <w:t>2002</w:t>
            </w:r>
          </w:p>
        </w:tc>
        <w:tc>
          <w:tcPr>
            <w:tcW w:w="747" w:type="dxa"/>
            <w:tcBorders>
              <w:bottom w:val="single" w:sz="4" w:space="0" w:color="auto"/>
            </w:tcBorders>
            <w:shd w:val="clear" w:color="000000" w:fill="FFFFFF"/>
            <w:noWrap/>
            <w:vAlign w:val="center"/>
            <w:hideMark/>
          </w:tcPr>
          <w:p w14:paraId="3DB52B1A" w14:textId="77777777" w:rsidR="00941BA9" w:rsidRPr="00636E49" w:rsidRDefault="00941BA9" w:rsidP="00636E49">
            <w:pPr>
              <w:spacing w:after="0" w:line="240" w:lineRule="auto"/>
              <w:jc w:val="center"/>
              <w:rPr>
                <w:rFonts w:eastAsia="Times New Roman" w:cs="Times New Roman"/>
                <w:b/>
                <w:bCs/>
                <w:color w:val="000000"/>
                <w:sz w:val="20"/>
                <w:szCs w:val="20"/>
              </w:rPr>
            </w:pPr>
            <w:r w:rsidRPr="00636E49">
              <w:rPr>
                <w:rFonts w:eastAsia="Times New Roman" w:cs="Times New Roman"/>
                <w:b/>
                <w:bCs/>
                <w:color w:val="000000"/>
                <w:sz w:val="20"/>
                <w:szCs w:val="20"/>
              </w:rPr>
              <w:t>2003</w:t>
            </w:r>
          </w:p>
        </w:tc>
        <w:tc>
          <w:tcPr>
            <w:tcW w:w="747" w:type="dxa"/>
            <w:tcBorders>
              <w:bottom w:val="single" w:sz="4" w:space="0" w:color="auto"/>
            </w:tcBorders>
            <w:shd w:val="clear" w:color="000000" w:fill="FFFFFF"/>
            <w:noWrap/>
            <w:vAlign w:val="center"/>
            <w:hideMark/>
          </w:tcPr>
          <w:p w14:paraId="6A4353CB" w14:textId="77777777" w:rsidR="00941BA9" w:rsidRPr="00636E49" w:rsidRDefault="00941BA9" w:rsidP="00636E49">
            <w:pPr>
              <w:spacing w:after="0" w:line="240" w:lineRule="auto"/>
              <w:jc w:val="center"/>
              <w:rPr>
                <w:rFonts w:eastAsia="Times New Roman" w:cs="Times New Roman"/>
                <w:b/>
                <w:bCs/>
                <w:color w:val="000000"/>
                <w:sz w:val="20"/>
                <w:szCs w:val="20"/>
              </w:rPr>
            </w:pPr>
            <w:r w:rsidRPr="00636E49">
              <w:rPr>
                <w:rFonts w:eastAsia="Times New Roman" w:cs="Times New Roman"/>
                <w:b/>
                <w:bCs/>
                <w:color w:val="000000"/>
                <w:sz w:val="20"/>
                <w:szCs w:val="20"/>
              </w:rPr>
              <w:t>2005</w:t>
            </w:r>
          </w:p>
        </w:tc>
        <w:tc>
          <w:tcPr>
            <w:tcW w:w="747" w:type="dxa"/>
            <w:tcBorders>
              <w:bottom w:val="single" w:sz="4" w:space="0" w:color="auto"/>
            </w:tcBorders>
            <w:shd w:val="clear" w:color="000000" w:fill="FFFFFF"/>
            <w:noWrap/>
            <w:vAlign w:val="center"/>
            <w:hideMark/>
          </w:tcPr>
          <w:p w14:paraId="33F27A4C" w14:textId="77777777" w:rsidR="00941BA9" w:rsidRPr="00636E49" w:rsidRDefault="00941BA9" w:rsidP="00636E49">
            <w:pPr>
              <w:spacing w:after="0" w:line="240" w:lineRule="auto"/>
              <w:jc w:val="center"/>
              <w:rPr>
                <w:rFonts w:eastAsia="Times New Roman" w:cs="Times New Roman"/>
                <w:b/>
                <w:bCs/>
                <w:color w:val="000000"/>
                <w:sz w:val="20"/>
                <w:szCs w:val="20"/>
              </w:rPr>
            </w:pPr>
            <w:r w:rsidRPr="00636E49">
              <w:rPr>
                <w:rFonts w:eastAsia="Times New Roman" w:cs="Times New Roman"/>
                <w:b/>
                <w:bCs/>
                <w:color w:val="000000"/>
                <w:sz w:val="20"/>
                <w:szCs w:val="20"/>
              </w:rPr>
              <w:t>2008</w:t>
            </w:r>
          </w:p>
        </w:tc>
        <w:tc>
          <w:tcPr>
            <w:tcW w:w="747" w:type="dxa"/>
            <w:tcBorders>
              <w:bottom w:val="single" w:sz="4" w:space="0" w:color="auto"/>
            </w:tcBorders>
            <w:shd w:val="clear" w:color="000000" w:fill="FFFFFF"/>
            <w:noWrap/>
            <w:vAlign w:val="center"/>
            <w:hideMark/>
          </w:tcPr>
          <w:p w14:paraId="784A907F" w14:textId="77777777" w:rsidR="00941BA9" w:rsidRPr="00636E49" w:rsidRDefault="00941BA9" w:rsidP="00636E49">
            <w:pPr>
              <w:spacing w:after="0" w:line="240" w:lineRule="auto"/>
              <w:jc w:val="center"/>
              <w:rPr>
                <w:rFonts w:eastAsia="Times New Roman" w:cs="Times New Roman"/>
                <w:b/>
                <w:bCs/>
                <w:color w:val="000000"/>
                <w:sz w:val="20"/>
                <w:szCs w:val="20"/>
              </w:rPr>
            </w:pPr>
            <w:r w:rsidRPr="00636E49">
              <w:rPr>
                <w:rFonts w:eastAsia="Times New Roman" w:cs="Times New Roman"/>
                <w:b/>
                <w:bCs/>
                <w:color w:val="000000"/>
                <w:sz w:val="20"/>
                <w:szCs w:val="20"/>
              </w:rPr>
              <w:t>2010</w:t>
            </w:r>
          </w:p>
        </w:tc>
        <w:tc>
          <w:tcPr>
            <w:tcW w:w="747" w:type="dxa"/>
            <w:tcBorders>
              <w:bottom w:val="single" w:sz="4" w:space="0" w:color="auto"/>
            </w:tcBorders>
            <w:shd w:val="clear" w:color="000000" w:fill="FFFFFF"/>
            <w:vAlign w:val="center"/>
            <w:hideMark/>
          </w:tcPr>
          <w:p w14:paraId="5F963EA3" w14:textId="77777777" w:rsidR="00941BA9" w:rsidRPr="00636E49" w:rsidRDefault="00941BA9" w:rsidP="00636E49">
            <w:pPr>
              <w:spacing w:after="0" w:line="240" w:lineRule="auto"/>
              <w:jc w:val="center"/>
              <w:rPr>
                <w:rFonts w:eastAsia="Times New Roman" w:cs="Times New Roman"/>
                <w:b/>
                <w:bCs/>
                <w:color w:val="000000"/>
                <w:sz w:val="20"/>
                <w:szCs w:val="20"/>
              </w:rPr>
            </w:pPr>
            <w:r w:rsidRPr="00636E49">
              <w:rPr>
                <w:rFonts w:eastAsia="Times New Roman" w:cs="Times New Roman"/>
                <w:b/>
                <w:bCs/>
                <w:color w:val="000000"/>
                <w:sz w:val="20"/>
                <w:szCs w:val="20"/>
              </w:rPr>
              <w:t>2011</w:t>
            </w:r>
          </w:p>
        </w:tc>
        <w:tc>
          <w:tcPr>
            <w:tcW w:w="747" w:type="dxa"/>
            <w:tcBorders>
              <w:bottom w:val="single" w:sz="4" w:space="0" w:color="auto"/>
            </w:tcBorders>
            <w:shd w:val="clear" w:color="000000" w:fill="FFFFFF"/>
            <w:noWrap/>
            <w:vAlign w:val="center"/>
            <w:hideMark/>
          </w:tcPr>
          <w:p w14:paraId="21EDDFA3" w14:textId="77777777" w:rsidR="00941BA9" w:rsidRPr="00636E49" w:rsidRDefault="00941BA9" w:rsidP="00636E49">
            <w:pPr>
              <w:spacing w:after="0" w:line="240" w:lineRule="auto"/>
              <w:jc w:val="center"/>
              <w:rPr>
                <w:rFonts w:eastAsia="Times New Roman" w:cs="Times New Roman"/>
                <w:b/>
                <w:bCs/>
                <w:color w:val="000000"/>
                <w:sz w:val="20"/>
                <w:szCs w:val="20"/>
              </w:rPr>
            </w:pPr>
            <w:r w:rsidRPr="00636E49">
              <w:rPr>
                <w:rFonts w:eastAsia="Times New Roman" w:cs="Times New Roman"/>
                <w:b/>
                <w:bCs/>
                <w:color w:val="000000"/>
                <w:sz w:val="20"/>
                <w:szCs w:val="20"/>
              </w:rPr>
              <w:t>2012</w:t>
            </w:r>
          </w:p>
        </w:tc>
      </w:tr>
      <w:tr w:rsidR="00941BA9" w:rsidRPr="00636E49" w14:paraId="2A97163F" w14:textId="77777777" w:rsidTr="00801B24">
        <w:trPr>
          <w:trHeight w:val="287"/>
          <w:jc w:val="center"/>
        </w:trPr>
        <w:tc>
          <w:tcPr>
            <w:tcW w:w="1530" w:type="dxa"/>
            <w:tcBorders>
              <w:top w:val="single" w:sz="4" w:space="0" w:color="auto"/>
              <w:bottom w:val="single" w:sz="4" w:space="0" w:color="auto"/>
            </w:tcBorders>
            <w:shd w:val="clear" w:color="000000" w:fill="FFFFFF"/>
            <w:vAlign w:val="center"/>
            <w:hideMark/>
          </w:tcPr>
          <w:p w14:paraId="247CDF29" w14:textId="77777777" w:rsidR="00941BA9" w:rsidRPr="00636E49" w:rsidRDefault="00941BA9" w:rsidP="00636E49">
            <w:pPr>
              <w:spacing w:after="0" w:line="240" w:lineRule="auto"/>
              <w:jc w:val="both"/>
              <w:rPr>
                <w:rFonts w:eastAsia="Times New Roman" w:cs="Times New Roman"/>
                <w:color w:val="000000"/>
                <w:sz w:val="20"/>
                <w:szCs w:val="20"/>
              </w:rPr>
            </w:pPr>
            <w:r w:rsidRPr="00636E49">
              <w:rPr>
                <w:rFonts w:eastAsia="Times New Roman" w:cs="Times New Roman"/>
                <w:color w:val="000000"/>
                <w:sz w:val="20"/>
                <w:szCs w:val="20"/>
              </w:rPr>
              <w:t>South Sudan</w:t>
            </w:r>
          </w:p>
        </w:tc>
        <w:tc>
          <w:tcPr>
            <w:tcW w:w="747" w:type="dxa"/>
            <w:tcBorders>
              <w:top w:val="single" w:sz="4" w:space="0" w:color="auto"/>
              <w:bottom w:val="single" w:sz="4" w:space="0" w:color="auto"/>
            </w:tcBorders>
            <w:shd w:val="clear" w:color="000000" w:fill="FFFFFF"/>
            <w:noWrap/>
            <w:vAlign w:val="center"/>
            <w:hideMark/>
          </w:tcPr>
          <w:p w14:paraId="6589FCA3" w14:textId="760E137C" w:rsidR="00941BA9" w:rsidRPr="00636E49" w:rsidRDefault="00941BA9" w:rsidP="00636E49">
            <w:pPr>
              <w:spacing w:after="0" w:line="240" w:lineRule="auto"/>
              <w:jc w:val="center"/>
              <w:rPr>
                <w:rFonts w:eastAsia="Times New Roman" w:cs="Times New Roman"/>
                <w:color w:val="000000"/>
                <w:sz w:val="20"/>
                <w:szCs w:val="20"/>
              </w:rPr>
            </w:pPr>
          </w:p>
        </w:tc>
        <w:tc>
          <w:tcPr>
            <w:tcW w:w="747" w:type="dxa"/>
            <w:tcBorders>
              <w:top w:val="single" w:sz="4" w:space="0" w:color="auto"/>
              <w:bottom w:val="single" w:sz="4" w:space="0" w:color="auto"/>
            </w:tcBorders>
            <w:shd w:val="clear" w:color="000000" w:fill="FFFFFF"/>
            <w:noWrap/>
            <w:vAlign w:val="center"/>
            <w:hideMark/>
          </w:tcPr>
          <w:p w14:paraId="79ADE3C2" w14:textId="150E645A" w:rsidR="00941BA9" w:rsidRPr="00636E49" w:rsidRDefault="00941BA9" w:rsidP="00636E49">
            <w:pPr>
              <w:spacing w:after="0" w:line="240" w:lineRule="auto"/>
              <w:jc w:val="center"/>
              <w:rPr>
                <w:rFonts w:eastAsia="Times New Roman" w:cs="Times New Roman"/>
                <w:color w:val="000000"/>
                <w:sz w:val="20"/>
                <w:szCs w:val="20"/>
              </w:rPr>
            </w:pPr>
          </w:p>
        </w:tc>
        <w:tc>
          <w:tcPr>
            <w:tcW w:w="747" w:type="dxa"/>
            <w:tcBorders>
              <w:top w:val="single" w:sz="4" w:space="0" w:color="auto"/>
              <w:bottom w:val="single" w:sz="4" w:space="0" w:color="auto"/>
            </w:tcBorders>
            <w:shd w:val="clear" w:color="000000" w:fill="FFFFFF"/>
            <w:noWrap/>
            <w:vAlign w:val="center"/>
            <w:hideMark/>
          </w:tcPr>
          <w:p w14:paraId="1F0794EC"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21</w:t>
            </w:r>
          </w:p>
        </w:tc>
        <w:tc>
          <w:tcPr>
            <w:tcW w:w="747" w:type="dxa"/>
            <w:tcBorders>
              <w:top w:val="single" w:sz="4" w:space="0" w:color="auto"/>
              <w:bottom w:val="single" w:sz="4" w:space="0" w:color="auto"/>
            </w:tcBorders>
            <w:shd w:val="clear" w:color="000000" w:fill="FFFFFF"/>
            <w:noWrap/>
            <w:vAlign w:val="center"/>
            <w:hideMark/>
          </w:tcPr>
          <w:p w14:paraId="00E8D690" w14:textId="51FFA3B3" w:rsidR="00941BA9" w:rsidRPr="00636E49" w:rsidRDefault="002B4532" w:rsidP="00636E4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747" w:type="dxa"/>
            <w:tcBorders>
              <w:top w:val="single" w:sz="4" w:space="0" w:color="auto"/>
              <w:bottom w:val="single" w:sz="4" w:space="0" w:color="auto"/>
            </w:tcBorders>
            <w:shd w:val="clear" w:color="000000" w:fill="FFFFFF"/>
            <w:noWrap/>
            <w:vAlign w:val="center"/>
            <w:hideMark/>
          </w:tcPr>
          <w:p w14:paraId="7F7C07F5"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20#</w:t>
            </w:r>
          </w:p>
        </w:tc>
        <w:tc>
          <w:tcPr>
            <w:tcW w:w="747" w:type="dxa"/>
            <w:tcBorders>
              <w:top w:val="single" w:sz="4" w:space="0" w:color="auto"/>
              <w:bottom w:val="single" w:sz="4" w:space="0" w:color="auto"/>
            </w:tcBorders>
            <w:shd w:val="clear" w:color="000000" w:fill="D9D9D9"/>
            <w:noWrap/>
            <w:vAlign w:val="center"/>
            <w:hideMark/>
          </w:tcPr>
          <w:p w14:paraId="544A444E" w14:textId="642C7E2D" w:rsidR="00941BA9" w:rsidRPr="00636E49" w:rsidRDefault="00941BA9" w:rsidP="00636E49">
            <w:pPr>
              <w:spacing w:after="0" w:line="240" w:lineRule="auto"/>
              <w:jc w:val="center"/>
              <w:rPr>
                <w:rFonts w:eastAsia="Times New Roman" w:cs="Times New Roman"/>
                <w:color w:val="000000"/>
                <w:sz w:val="20"/>
                <w:szCs w:val="20"/>
              </w:rPr>
            </w:pPr>
          </w:p>
        </w:tc>
        <w:tc>
          <w:tcPr>
            <w:tcW w:w="747" w:type="dxa"/>
            <w:tcBorders>
              <w:top w:val="single" w:sz="4" w:space="0" w:color="auto"/>
              <w:bottom w:val="single" w:sz="4" w:space="0" w:color="auto"/>
            </w:tcBorders>
            <w:shd w:val="clear" w:color="000000" w:fill="FFFFFF"/>
            <w:noWrap/>
            <w:vAlign w:val="center"/>
            <w:hideMark/>
          </w:tcPr>
          <w:p w14:paraId="402B44EB" w14:textId="5737E7D6" w:rsidR="00941BA9" w:rsidRPr="00636E49" w:rsidRDefault="002B4532" w:rsidP="00636E4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747" w:type="dxa"/>
            <w:tcBorders>
              <w:top w:val="single" w:sz="4" w:space="0" w:color="auto"/>
              <w:bottom w:val="single" w:sz="4" w:space="0" w:color="auto"/>
            </w:tcBorders>
            <w:shd w:val="clear" w:color="000000" w:fill="FFFFFF"/>
            <w:noWrap/>
            <w:vAlign w:val="center"/>
            <w:hideMark/>
          </w:tcPr>
          <w:p w14:paraId="56FFCA61"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69##</w:t>
            </w:r>
          </w:p>
        </w:tc>
        <w:tc>
          <w:tcPr>
            <w:tcW w:w="747" w:type="dxa"/>
            <w:tcBorders>
              <w:top w:val="single" w:sz="4" w:space="0" w:color="auto"/>
              <w:bottom w:val="single" w:sz="4" w:space="0" w:color="auto"/>
            </w:tcBorders>
            <w:shd w:val="clear" w:color="000000" w:fill="FFFFFF"/>
            <w:vAlign w:val="center"/>
            <w:hideMark/>
          </w:tcPr>
          <w:p w14:paraId="2E03D15E"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86</w:t>
            </w:r>
          </w:p>
        </w:tc>
        <w:tc>
          <w:tcPr>
            <w:tcW w:w="747" w:type="dxa"/>
            <w:tcBorders>
              <w:top w:val="single" w:sz="4" w:space="0" w:color="auto"/>
              <w:bottom w:val="single" w:sz="4" w:space="0" w:color="auto"/>
            </w:tcBorders>
            <w:shd w:val="clear" w:color="auto" w:fill="auto"/>
            <w:noWrap/>
            <w:vAlign w:val="center"/>
            <w:hideMark/>
          </w:tcPr>
          <w:p w14:paraId="6383CCBA" w14:textId="16C5E678" w:rsidR="00941BA9" w:rsidRPr="00636E49" w:rsidRDefault="002B4532" w:rsidP="00636E4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r>
      <w:tr w:rsidR="00941BA9" w:rsidRPr="00636E49" w14:paraId="278F6A34" w14:textId="77777777" w:rsidTr="00801B24">
        <w:trPr>
          <w:trHeight w:val="350"/>
          <w:jc w:val="center"/>
        </w:trPr>
        <w:tc>
          <w:tcPr>
            <w:tcW w:w="1530" w:type="dxa"/>
            <w:tcBorders>
              <w:top w:val="single" w:sz="4" w:space="0" w:color="auto"/>
              <w:bottom w:val="single" w:sz="4" w:space="0" w:color="auto"/>
            </w:tcBorders>
            <w:shd w:val="clear" w:color="000000" w:fill="FFFFFF"/>
            <w:vAlign w:val="center"/>
            <w:hideMark/>
          </w:tcPr>
          <w:p w14:paraId="013D388C" w14:textId="77777777" w:rsidR="00941BA9" w:rsidRPr="00636E49" w:rsidRDefault="00941BA9" w:rsidP="00636E49">
            <w:pPr>
              <w:spacing w:after="0" w:line="240" w:lineRule="auto"/>
              <w:jc w:val="both"/>
              <w:rPr>
                <w:rFonts w:eastAsia="Times New Roman" w:cs="Times New Roman"/>
                <w:color w:val="000000"/>
                <w:sz w:val="20"/>
                <w:szCs w:val="20"/>
              </w:rPr>
            </w:pPr>
            <w:r w:rsidRPr="00636E49">
              <w:rPr>
                <w:rFonts w:eastAsia="Times New Roman" w:cs="Times New Roman"/>
                <w:color w:val="000000"/>
                <w:sz w:val="20"/>
                <w:szCs w:val="20"/>
              </w:rPr>
              <w:t>Afghanistan</w:t>
            </w:r>
          </w:p>
        </w:tc>
        <w:tc>
          <w:tcPr>
            <w:tcW w:w="747" w:type="dxa"/>
            <w:tcBorders>
              <w:top w:val="single" w:sz="4" w:space="0" w:color="auto"/>
              <w:bottom w:val="single" w:sz="4" w:space="0" w:color="auto"/>
            </w:tcBorders>
            <w:shd w:val="clear" w:color="000000" w:fill="FFFFFF"/>
            <w:noWrap/>
            <w:vAlign w:val="center"/>
            <w:hideMark/>
          </w:tcPr>
          <w:p w14:paraId="24AEF52E"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42</w:t>
            </w:r>
          </w:p>
        </w:tc>
        <w:tc>
          <w:tcPr>
            <w:tcW w:w="747" w:type="dxa"/>
            <w:tcBorders>
              <w:top w:val="single" w:sz="4" w:space="0" w:color="auto"/>
              <w:bottom w:val="single" w:sz="4" w:space="0" w:color="auto"/>
            </w:tcBorders>
            <w:shd w:val="clear" w:color="000000" w:fill="FFFFFF"/>
            <w:noWrap/>
            <w:vAlign w:val="center"/>
            <w:hideMark/>
          </w:tcPr>
          <w:p w14:paraId="6700A087" w14:textId="41274862" w:rsidR="00941BA9" w:rsidRPr="00636E49" w:rsidRDefault="002B4532" w:rsidP="00636E4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747" w:type="dxa"/>
            <w:tcBorders>
              <w:top w:val="single" w:sz="4" w:space="0" w:color="auto"/>
              <w:bottom w:val="single" w:sz="4" w:space="0" w:color="auto"/>
            </w:tcBorders>
            <w:shd w:val="clear" w:color="000000" w:fill="FFFFFF"/>
            <w:noWrap/>
            <w:vAlign w:val="center"/>
            <w:hideMark/>
          </w:tcPr>
          <w:p w14:paraId="1E1B56F0"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19</w:t>
            </w:r>
          </w:p>
        </w:tc>
        <w:tc>
          <w:tcPr>
            <w:tcW w:w="747" w:type="dxa"/>
            <w:tcBorders>
              <w:top w:val="single" w:sz="4" w:space="0" w:color="auto"/>
              <w:bottom w:val="single" w:sz="4" w:space="0" w:color="auto"/>
            </w:tcBorders>
            <w:shd w:val="clear" w:color="000000" w:fill="D9D9D9"/>
            <w:noWrap/>
            <w:vAlign w:val="center"/>
            <w:hideMark/>
          </w:tcPr>
          <w:p w14:paraId="19E308F6"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64</w:t>
            </w:r>
          </w:p>
        </w:tc>
        <w:tc>
          <w:tcPr>
            <w:tcW w:w="747" w:type="dxa"/>
            <w:tcBorders>
              <w:top w:val="single" w:sz="4" w:space="0" w:color="auto"/>
              <w:bottom w:val="single" w:sz="4" w:space="0" w:color="auto"/>
            </w:tcBorders>
            <w:shd w:val="clear" w:color="000000" w:fill="FFFFFF"/>
            <w:noWrap/>
            <w:vAlign w:val="center"/>
            <w:hideMark/>
          </w:tcPr>
          <w:p w14:paraId="35DB7BB1"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86</w:t>
            </w:r>
          </w:p>
        </w:tc>
        <w:tc>
          <w:tcPr>
            <w:tcW w:w="747" w:type="dxa"/>
            <w:tcBorders>
              <w:top w:val="single" w:sz="4" w:space="0" w:color="auto"/>
              <w:bottom w:val="single" w:sz="4" w:space="0" w:color="auto"/>
            </w:tcBorders>
            <w:shd w:val="clear" w:color="000000" w:fill="FFFFFF"/>
            <w:noWrap/>
            <w:vAlign w:val="center"/>
            <w:hideMark/>
          </w:tcPr>
          <w:p w14:paraId="4025033A"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90</w:t>
            </w:r>
          </w:p>
        </w:tc>
        <w:tc>
          <w:tcPr>
            <w:tcW w:w="747" w:type="dxa"/>
            <w:tcBorders>
              <w:top w:val="single" w:sz="4" w:space="0" w:color="auto"/>
              <w:bottom w:val="single" w:sz="4" w:space="0" w:color="auto"/>
            </w:tcBorders>
            <w:shd w:val="clear" w:color="000000" w:fill="FFFFFF"/>
            <w:noWrap/>
            <w:vAlign w:val="center"/>
            <w:hideMark/>
          </w:tcPr>
          <w:p w14:paraId="66F99E50"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95</w:t>
            </w:r>
          </w:p>
        </w:tc>
        <w:tc>
          <w:tcPr>
            <w:tcW w:w="747" w:type="dxa"/>
            <w:tcBorders>
              <w:top w:val="single" w:sz="4" w:space="0" w:color="auto"/>
              <w:bottom w:val="single" w:sz="4" w:space="0" w:color="auto"/>
            </w:tcBorders>
            <w:shd w:val="clear" w:color="000000" w:fill="FFFFFF"/>
            <w:noWrap/>
            <w:vAlign w:val="center"/>
            <w:hideMark/>
          </w:tcPr>
          <w:p w14:paraId="113B3F87"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97</w:t>
            </w:r>
          </w:p>
        </w:tc>
        <w:tc>
          <w:tcPr>
            <w:tcW w:w="747" w:type="dxa"/>
            <w:tcBorders>
              <w:top w:val="single" w:sz="4" w:space="0" w:color="auto"/>
              <w:bottom w:val="single" w:sz="4" w:space="0" w:color="auto"/>
            </w:tcBorders>
            <w:shd w:val="clear" w:color="000000" w:fill="FFFFFF"/>
            <w:vAlign w:val="center"/>
            <w:hideMark/>
          </w:tcPr>
          <w:p w14:paraId="2900D711"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97</w:t>
            </w:r>
          </w:p>
        </w:tc>
        <w:tc>
          <w:tcPr>
            <w:tcW w:w="747" w:type="dxa"/>
            <w:tcBorders>
              <w:top w:val="single" w:sz="4" w:space="0" w:color="auto"/>
              <w:bottom w:val="single" w:sz="4" w:space="0" w:color="auto"/>
            </w:tcBorders>
            <w:shd w:val="clear" w:color="000000" w:fill="FFFFFF"/>
            <w:noWrap/>
            <w:vAlign w:val="center"/>
            <w:hideMark/>
          </w:tcPr>
          <w:p w14:paraId="2047636C"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104</w:t>
            </w:r>
          </w:p>
        </w:tc>
      </w:tr>
      <w:tr w:rsidR="00941BA9" w:rsidRPr="00636E49" w14:paraId="7BF41C6D" w14:textId="77777777" w:rsidTr="00801B24">
        <w:trPr>
          <w:trHeight w:val="350"/>
          <w:jc w:val="center"/>
        </w:trPr>
        <w:tc>
          <w:tcPr>
            <w:tcW w:w="1530" w:type="dxa"/>
            <w:tcBorders>
              <w:top w:val="single" w:sz="4" w:space="0" w:color="auto"/>
              <w:bottom w:val="single" w:sz="4" w:space="0" w:color="auto"/>
            </w:tcBorders>
            <w:shd w:val="clear" w:color="000000" w:fill="FFFFFF"/>
            <w:vAlign w:val="center"/>
            <w:hideMark/>
          </w:tcPr>
          <w:p w14:paraId="43EA20BC" w14:textId="77777777" w:rsidR="00941BA9" w:rsidRPr="00636E49" w:rsidRDefault="00941BA9" w:rsidP="00636E49">
            <w:pPr>
              <w:spacing w:after="0" w:line="240" w:lineRule="auto"/>
              <w:jc w:val="both"/>
              <w:rPr>
                <w:rFonts w:eastAsia="Times New Roman" w:cs="Times New Roman"/>
                <w:color w:val="000000"/>
                <w:sz w:val="20"/>
                <w:szCs w:val="20"/>
              </w:rPr>
            </w:pPr>
            <w:r w:rsidRPr="00636E49">
              <w:rPr>
                <w:rFonts w:eastAsia="Times New Roman" w:cs="Times New Roman"/>
                <w:color w:val="000000"/>
                <w:sz w:val="20"/>
                <w:szCs w:val="20"/>
              </w:rPr>
              <w:t>Cambodia</w:t>
            </w:r>
          </w:p>
        </w:tc>
        <w:tc>
          <w:tcPr>
            <w:tcW w:w="747" w:type="dxa"/>
            <w:tcBorders>
              <w:top w:val="single" w:sz="4" w:space="0" w:color="auto"/>
              <w:bottom w:val="single" w:sz="4" w:space="0" w:color="auto"/>
            </w:tcBorders>
            <w:shd w:val="diagStripe" w:color="A6A6A6" w:fill="C1C1C1"/>
            <w:noWrap/>
            <w:vAlign w:val="center"/>
            <w:hideMark/>
          </w:tcPr>
          <w:p w14:paraId="07F6AFF5"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98*</w:t>
            </w:r>
          </w:p>
        </w:tc>
        <w:tc>
          <w:tcPr>
            <w:tcW w:w="747" w:type="dxa"/>
            <w:tcBorders>
              <w:top w:val="single" w:sz="4" w:space="0" w:color="auto"/>
              <w:bottom w:val="single" w:sz="4" w:space="0" w:color="auto"/>
            </w:tcBorders>
            <w:shd w:val="clear" w:color="000000" w:fill="FFFFFF"/>
            <w:noWrap/>
            <w:vAlign w:val="center"/>
            <w:hideMark/>
          </w:tcPr>
          <w:p w14:paraId="1DC8ED73"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90</w:t>
            </w:r>
          </w:p>
        </w:tc>
        <w:tc>
          <w:tcPr>
            <w:tcW w:w="747" w:type="dxa"/>
            <w:tcBorders>
              <w:top w:val="single" w:sz="4" w:space="0" w:color="auto"/>
              <w:bottom w:val="single" w:sz="4" w:space="0" w:color="auto"/>
            </w:tcBorders>
            <w:shd w:val="clear" w:color="000000" w:fill="FFFFFF"/>
            <w:noWrap/>
            <w:vAlign w:val="center"/>
            <w:hideMark/>
          </w:tcPr>
          <w:p w14:paraId="404A0508"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106</w:t>
            </w:r>
          </w:p>
        </w:tc>
        <w:tc>
          <w:tcPr>
            <w:tcW w:w="747" w:type="dxa"/>
            <w:tcBorders>
              <w:top w:val="single" w:sz="4" w:space="0" w:color="auto"/>
              <w:bottom w:val="single" w:sz="4" w:space="0" w:color="auto"/>
            </w:tcBorders>
            <w:shd w:val="clear" w:color="000000" w:fill="FFFFFF"/>
            <w:noWrap/>
            <w:vAlign w:val="center"/>
            <w:hideMark/>
          </w:tcPr>
          <w:p w14:paraId="72AFDCD8"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125</w:t>
            </w:r>
          </w:p>
        </w:tc>
        <w:tc>
          <w:tcPr>
            <w:tcW w:w="747" w:type="dxa"/>
            <w:tcBorders>
              <w:top w:val="single" w:sz="4" w:space="0" w:color="auto"/>
              <w:bottom w:val="single" w:sz="4" w:space="0" w:color="auto"/>
            </w:tcBorders>
            <w:shd w:val="clear" w:color="000000" w:fill="FFFFFF"/>
            <w:noWrap/>
            <w:vAlign w:val="center"/>
            <w:hideMark/>
          </w:tcPr>
          <w:p w14:paraId="5FB83B9C"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128</w:t>
            </w:r>
          </w:p>
        </w:tc>
        <w:tc>
          <w:tcPr>
            <w:tcW w:w="747" w:type="dxa"/>
            <w:tcBorders>
              <w:top w:val="single" w:sz="4" w:space="0" w:color="auto"/>
              <w:bottom w:val="single" w:sz="4" w:space="0" w:color="auto"/>
            </w:tcBorders>
            <w:shd w:val="clear" w:color="000000" w:fill="FFFFFF"/>
            <w:noWrap/>
            <w:vAlign w:val="center"/>
            <w:hideMark/>
          </w:tcPr>
          <w:p w14:paraId="39D3B44D"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130</w:t>
            </w:r>
          </w:p>
        </w:tc>
        <w:tc>
          <w:tcPr>
            <w:tcW w:w="747" w:type="dxa"/>
            <w:tcBorders>
              <w:top w:val="single" w:sz="4" w:space="0" w:color="auto"/>
              <w:bottom w:val="single" w:sz="4" w:space="0" w:color="auto"/>
            </w:tcBorders>
            <w:shd w:val="clear" w:color="000000" w:fill="FFFFFF"/>
            <w:noWrap/>
            <w:vAlign w:val="center"/>
            <w:hideMark/>
          </w:tcPr>
          <w:p w14:paraId="09B8C5A4"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126</w:t>
            </w:r>
          </w:p>
        </w:tc>
        <w:tc>
          <w:tcPr>
            <w:tcW w:w="747" w:type="dxa"/>
            <w:tcBorders>
              <w:top w:val="single" w:sz="4" w:space="0" w:color="auto"/>
              <w:bottom w:val="single" w:sz="4" w:space="0" w:color="auto"/>
            </w:tcBorders>
            <w:shd w:val="clear" w:color="000000" w:fill="FFFFFF"/>
            <w:noWrap/>
            <w:vAlign w:val="center"/>
            <w:hideMark/>
          </w:tcPr>
          <w:p w14:paraId="1082EBFD"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127</w:t>
            </w:r>
          </w:p>
        </w:tc>
        <w:tc>
          <w:tcPr>
            <w:tcW w:w="747" w:type="dxa"/>
            <w:tcBorders>
              <w:top w:val="single" w:sz="4" w:space="0" w:color="auto"/>
              <w:bottom w:val="single" w:sz="4" w:space="0" w:color="auto"/>
            </w:tcBorders>
            <w:shd w:val="clear" w:color="000000" w:fill="FFFFFF"/>
            <w:vAlign w:val="center"/>
            <w:hideMark/>
          </w:tcPr>
          <w:p w14:paraId="09A4005C"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126</w:t>
            </w:r>
          </w:p>
        </w:tc>
        <w:tc>
          <w:tcPr>
            <w:tcW w:w="747" w:type="dxa"/>
            <w:tcBorders>
              <w:top w:val="single" w:sz="4" w:space="0" w:color="auto"/>
              <w:bottom w:val="single" w:sz="4" w:space="0" w:color="auto"/>
            </w:tcBorders>
            <w:shd w:val="clear" w:color="000000" w:fill="FFFFFF"/>
            <w:noWrap/>
            <w:vAlign w:val="center"/>
            <w:hideMark/>
          </w:tcPr>
          <w:p w14:paraId="73AE8CC8"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124</w:t>
            </w:r>
          </w:p>
        </w:tc>
      </w:tr>
      <w:tr w:rsidR="00941BA9" w:rsidRPr="00636E49" w14:paraId="41C5E0C6" w14:textId="77777777" w:rsidTr="00801B24">
        <w:trPr>
          <w:trHeight w:val="350"/>
          <w:jc w:val="center"/>
        </w:trPr>
        <w:tc>
          <w:tcPr>
            <w:tcW w:w="1530" w:type="dxa"/>
            <w:tcBorders>
              <w:top w:val="single" w:sz="4" w:space="0" w:color="auto"/>
              <w:bottom w:val="single" w:sz="4" w:space="0" w:color="auto"/>
            </w:tcBorders>
            <w:shd w:val="clear" w:color="000000" w:fill="FFFFFF"/>
            <w:vAlign w:val="center"/>
            <w:hideMark/>
          </w:tcPr>
          <w:p w14:paraId="5EF386D2" w14:textId="77777777" w:rsidR="00941BA9" w:rsidRPr="00636E49" w:rsidRDefault="00941BA9" w:rsidP="00636E49">
            <w:pPr>
              <w:spacing w:after="0" w:line="240" w:lineRule="auto"/>
              <w:jc w:val="both"/>
              <w:rPr>
                <w:rFonts w:eastAsia="Times New Roman" w:cs="Times New Roman"/>
                <w:color w:val="000000"/>
                <w:sz w:val="20"/>
                <w:szCs w:val="20"/>
              </w:rPr>
            </w:pPr>
            <w:r w:rsidRPr="00636E49">
              <w:rPr>
                <w:rFonts w:eastAsia="Times New Roman" w:cs="Times New Roman"/>
                <w:color w:val="000000"/>
                <w:sz w:val="20"/>
                <w:szCs w:val="20"/>
              </w:rPr>
              <w:t>Congo, Dem. Rep.</w:t>
            </w:r>
          </w:p>
        </w:tc>
        <w:tc>
          <w:tcPr>
            <w:tcW w:w="747" w:type="dxa"/>
            <w:tcBorders>
              <w:top w:val="single" w:sz="4" w:space="0" w:color="auto"/>
              <w:bottom w:val="single" w:sz="4" w:space="0" w:color="auto"/>
            </w:tcBorders>
            <w:shd w:val="clear" w:color="000000" w:fill="FFFFFF"/>
            <w:noWrap/>
            <w:vAlign w:val="center"/>
            <w:hideMark/>
          </w:tcPr>
          <w:p w14:paraId="3F87FEA1"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68</w:t>
            </w:r>
          </w:p>
        </w:tc>
        <w:tc>
          <w:tcPr>
            <w:tcW w:w="747" w:type="dxa"/>
            <w:tcBorders>
              <w:top w:val="single" w:sz="4" w:space="0" w:color="auto"/>
              <w:bottom w:val="single" w:sz="4" w:space="0" w:color="auto"/>
            </w:tcBorders>
            <w:shd w:val="clear" w:color="000000" w:fill="FFFFFF"/>
            <w:noWrap/>
            <w:vAlign w:val="center"/>
            <w:hideMark/>
          </w:tcPr>
          <w:p w14:paraId="5F40463F" w14:textId="1B10B9AF" w:rsidR="00941BA9" w:rsidRPr="00636E49" w:rsidRDefault="002B4532" w:rsidP="00636E4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747" w:type="dxa"/>
            <w:tcBorders>
              <w:top w:val="single" w:sz="4" w:space="0" w:color="auto"/>
              <w:bottom w:val="single" w:sz="4" w:space="0" w:color="auto"/>
            </w:tcBorders>
            <w:shd w:val="clear" w:color="000000" w:fill="FFFFFF"/>
            <w:noWrap/>
            <w:vAlign w:val="center"/>
            <w:hideMark/>
          </w:tcPr>
          <w:p w14:paraId="3FD3BDF9" w14:textId="6BB03F7F" w:rsidR="00941BA9" w:rsidRPr="00636E49" w:rsidRDefault="002B4532" w:rsidP="00636E4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747" w:type="dxa"/>
            <w:tcBorders>
              <w:top w:val="single" w:sz="4" w:space="0" w:color="auto"/>
              <w:bottom w:val="single" w:sz="4" w:space="0" w:color="auto"/>
            </w:tcBorders>
            <w:shd w:val="clear" w:color="000000" w:fill="FFFFFF"/>
            <w:noWrap/>
            <w:vAlign w:val="center"/>
            <w:hideMark/>
          </w:tcPr>
          <w:p w14:paraId="392BC031"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60</w:t>
            </w:r>
          </w:p>
        </w:tc>
        <w:tc>
          <w:tcPr>
            <w:tcW w:w="747" w:type="dxa"/>
            <w:tcBorders>
              <w:top w:val="single" w:sz="4" w:space="0" w:color="auto"/>
              <w:bottom w:val="single" w:sz="4" w:space="0" w:color="auto"/>
            </w:tcBorders>
            <w:shd w:val="clear" w:color="000000" w:fill="D9D9D9"/>
            <w:noWrap/>
            <w:vAlign w:val="center"/>
            <w:hideMark/>
          </w:tcPr>
          <w:p w14:paraId="5E78DD42" w14:textId="6380CB91" w:rsidR="00941BA9" w:rsidRPr="00636E49" w:rsidRDefault="002B4532" w:rsidP="00636E4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747" w:type="dxa"/>
            <w:tcBorders>
              <w:top w:val="single" w:sz="4" w:space="0" w:color="auto"/>
              <w:bottom w:val="single" w:sz="4" w:space="0" w:color="auto"/>
            </w:tcBorders>
            <w:shd w:val="clear" w:color="000000" w:fill="FFFFFF"/>
            <w:noWrap/>
            <w:vAlign w:val="center"/>
            <w:hideMark/>
          </w:tcPr>
          <w:p w14:paraId="5DCD156D" w14:textId="5F0E712F" w:rsidR="00941BA9" w:rsidRPr="00636E49" w:rsidRDefault="002561FC" w:rsidP="00636E4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747" w:type="dxa"/>
            <w:tcBorders>
              <w:top w:val="single" w:sz="4" w:space="0" w:color="auto"/>
              <w:bottom w:val="single" w:sz="4" w:space="0" w:color="auto"/>
            </w:tcBorders>
            <w:shd w:val="clear" w:color="000000" w:fill="FFFFFF"/>
            <w:noWrap/>
            <w:vAlign w:val="center"/>
            <w:hideMark/>
          </w:tcPr>
          <w:p w14:paraId="1FBBD862"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93</w:t>
            </w:r>
          </w:p>
        </w:tc>
        <w:tc>
          <w:tcPr>
            <w:tcW w:w="747" w:type="dxa"/>
            <w:tcBorders>
              <w:top w:val="single" w:sz="4" w:space="0" w:color="auto"/>
              <w:bottom w:val="single" w:sz="4" w:space="0" w:color="auto"/>
            </w:tcBorders>
            <w:shd w:val="clear" w:color="000000" w:fill="FFFFFF"/>
            <w:noWrap/>
            <w:vAlign w:val="center"/>
            <w:hideMark/>
          </w:tcPr>
          <w:p w14:paraId="0468DCA8"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102.7</w:t>
            </w:r>
          </w:p>
        </w:tc>
        <w:tc>
          <w:tcPr>
            <w:tcW w:w="747" w:type="dxa"/>
            <w:tcBorders>
              <w:top w:val="single" w:sz="4" w:space="0" w:color="auto"/>
              <w:bottom w:val="single" w:sz="4" w:space="0" w:color="auto"/>
            </w:tcBorders>
            <w:shd w:val="clear" w:color="000000" w:fill="FFFFFF"/>
            <w:vAlign w:val="center"/>
            <w:hideMark/>
          </w:tcPr>
          <w:p w14:paraId="45E5BD39"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105</w:t>
            </w:r>
          </w:p>
        </w:tc>
        <w:tc>
          <w:tcPr>
            <w:tcW w:w="747" w:type="dxa"/>
            <w:tcBorders>
              <w:top w:val="single" w:sz="4" w:space="0" w:color="auto"/>
              <w:bottom w:val="single" w:sz="4" w:space="0" w:color="auto"/>
            </w:tcBorders>
            <w:shd w:val="clear" w:color="000000" w:fill="FFFFFF"/>
            <w:noWrap/>
            <w:vAlign w:val="center"/>
            <w:hideMark/>
          </w:tcPr>
          <w:p w14:paraId="19990349"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111</w:t>
            </w:r>
          </w:p>
        </w:tc>
      </w:tr>
      <w:tr w:rsidR="00941BA9" w:rsidRPr="00636E49" w14:paraId="337DC2D6" w14:textId="77777777" w:rsidTr="00801B24">
        <w:trPr>
          <w:trHeight w:val="350"/>
          <w:jc w:val="center"/>
        </w:trPr>
        <w:tc>
          <w:tcPr>
            <w:tcW w:w="1530" w:type="dxa"/>
            <w:tcBorders>
              <w:top w:val="single" w:sz="4" w:space="0" w:color="auto"/>
              <w:bottom w:val="single" w:sz="4" w:space="0" w:color="auto"/>
            </w:tcBorders>
            <w:shd w:val="clear" w:color="000000" w:fill="FFFFFF"/>
            <w:vAlign w:val="center"/>
            <w:hideMark/>
          </w:tcPr>
          <w:p w14:paraId="5F4CF38E" w14:textId="77777777" w:rsidR="00941BA9" w:rsidRPr="00636E49" w:rsidRDefault="00941BA9" w:rsidP="00636E49">
            <w:pPr>
              <w:spacing w:after="0" w:line="240" w:lineRule="auto"/>
              <w:jc w:val="both"/>
              <w:rPr>
                <w:rFonts w:eastAsia="Times New Roman" w:cs="Times New Roman"/>
                <w:color w:val="000000"/>
                <w:sz w:val="20"/>
                <w:szCs w:val="20"/>
              </w:rPr>
            </w:pPr>
            <w:r w:rsidRPr="00636E49">
              <w:rPr>
                <w:rFonts w:eastAsia="Times New Roman" w:cs="Times New Roman"/>
                <w:color w:val="000000"/>
                <w:sz w:val="20"/>
                <w:szCs w:val="20"/>
              </w:rPr>
              <w:t>Liberia</w:t>
            </w:r>
          </w:p>
        </w:tc>
        <w:tc>
          <w:tcPr>
            <w:tcW w:w="747" w:type="dxa"/>
            <w:tcBorders>
              <w:top w:val="single" w:sz="4" w:space="0" w:color="auto"/>
              <w:bottom w:val="single" w:sz="4" w:space="0" w:color="auto"/>
            </w:tcBorders>
            <w:shd w:val="clear" w:color="000000" w:fill="FFFFFF"/>
            <w:noWrap/>
            <w:vAlign w:val="center"/>
            <w:hideMark/>
          </w:tcPr>
          <w:p w14:paraId="26287072" w14:textId="48190D69" w:rsidR="00941BA9" w:rsidRPr="00636E49" w:rsidRDefault="002561FC" w:rsidP="00636E4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747" w:type="dxa"/>
            <w:tcBorders>
              <w:top w:val="single" w:sz="4" w:space="0" w:color="auto"/>
              <w:bottom w:val="single" w:sz="4" w:space="0" w:color="auto"/>
            </w:tcBorders>
            <w:shd w:val="clear" w:color="000000" w:fill="FFFFFF"/>
            <w:noWrap/>
            <w:vAlign w:val="center"/>
            <w:hideMark/>
          </w:tcPr>
          <w:p w14:paraId="786E816E" w14:textId="04246039" w:rsidR="00941BA9" w:rsidRPr="00636E49" w:rsidRDefault="002561FC" w:rsidP="00636E4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747" w:type="dxa"/>
            <w:tcBorders>
              <w:top w:val="single" w:sz="4" w:space="0" w:color="auto"/>
              <w:bottom w:val="single" w:sz="4" w:space="0" w:color="auto"/>
            </w:tcBorders>
            <w:shd w:val="clear" w:color="000000" w:fill="FFFFFF"/>
            <w:noWrap/>
            <w:vAlign w:val="center"/>
            <w:hideMark/>
          </w:tcPr>
          <w:p w14:paraId="426845C2"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112</w:t>
            </w:r>
          </w:p>
        </w:tc>
        <w:tc>
          <w:tcPr>
            <w:tcW w:w="747" w:type="dxa"/>
            <w:tcBorders>
              <w:top w:val="single" w:sz="4" w:space="0" w:color="auto"/>
              <w:bottom w:val="single" w:sz="4" w:space="0" w:color="auto"/>
            </w:tcBorders>
            <w:shd w:val="clear" w:color="000000" w:fill="FFFFFF"/>
            <w:noWrap/>
            <w:vAlign w:val="center"/>
            <w:hideMark/>
          </w:tcPr>
          <w:p w14:paraId="3548F36D" w14:textId="028C0D7A" w:rsidR="00941BA9" w:rsidRPr="00636E49" w:rsidRDefault="002561FC" w:rsidP="00636E4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747" w:type="dxa"/>
            <w:tcBorders>
              <w:top w:val="single" w:sz="4" w:space="0" w:color="auto"/>
              <w:bottom w:val="single" w:sz="4" w:space="0" w:color="auto"/>
            </w:tcBorders>
            <w:shd w:val="clear" w:color="000000" w:fill="D9D9D9"/>
            <w:noWrap/>
            <w:vAlign w:val="center"/>
            <w:hideMark/>
          </w:tcPr>
          <w:p w14:paraId="4AAF6F2B" w14:textId="51EDBF96" w:rsidR="00941BA9" w:rsidRPr="00636E49" w:rsidRDefault="002561FC" w:rsidP="00636E4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747" w:type="dxa"/>
            <w:tcBorders>
              <w:top w:val="single" w:sz="4" w:space="0" w:color="auto"/>
              <w:bottom w:val="single" w:sz="4" w:space="0" w:color="auto"/>
            </w:tcBorders>
            <w:shd w:val="clear" w:color="000000" w:fill="FFFFFF"/>
            <w:noWrap/>
            <w:vAlign w:val="center"/>
            <w:hideMark/>
          </w:tcPr>
          <w:p w14:paraId="4748A4E7" w14:textId="28DBB52A" w:rsidR="00941BA9" w:rsidRPr="00636E49" w:rsidRDefault="002561FC" w:rsidP="00636E4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747" w:type="dxa"/>
            <w:tcBorders>
              <w:top w:val="single" w:sz="4" w:space="0" w:color="auto"/>
              <w:bottom w:val="single" w:sz="4" w:space="0" w:color="auto"/>
            </w:tcBorders>
            <w:shd w:val="clear" w:color="000000" w:fill="FFFFFF"/>
            <w:noWrap/>
            <w:vAlign w:val="center"/>
            <w:hideMark/>
          </w:tcPr>
          <w:p w14:paraId="48EB1B6B"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96</w:t>
            </w:r>
          </w:p>
        </w:tc>
        <w:tc>
          <w:tcPr>
            <w:tcW w:w="747" w:type="dxa"/>
            <w:tcBorders>
              <w:top w:val="single" w:sz="4" w:space="0" w:color="auto"/>
              <w:bottom w:val="single" w:sz="4" w:space="0" w:color="auto"/>
            </w:tcBorders>
            <w:shd w:val="clear" w:color="000000" w:fill="FFFFFF"/>
            <w:noWrap/>
            <w:vAlign w:val="center"/>
            <w:hideMark/>
          </w:tcPr>
          <w:p w14:paraId="7E87A81E" w14:textId="0FC1C44F" w:rsidR="00941BA9" w:rsidRPr="00636E49" w:rsidRDefault="002561FC" w:rsidP="00636E4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747" w:type="dxa"/>
            <w:tcBorders>
              <w:top w:val="single" w:sz="4" w:space="0" w:color="auto"/>
              <w:bottom w:val="single" w:sz="4" w:space="0" w:color="auto"/>
            </w:tcBorders>
            <w:shd w:val="clear" w:color="000000" w:fill="FFFFFF"/>
            <w:vAlign w:val="center"/>
            <w:hideMark/>
          </w:tcPr>
          <w:p w14:paraId="35497558"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102</w:t>
            </w:r>
          </w:p>
        </w:tc>
        <w:tc>
          <w:tcPr>
            <w:tcW w:w="747" w:type="dxa"/>
            <w:tcBorders>
              <w:top w:val="single" w:sz="4" w:space="0" w:color="auto"/>
              <w:bottom w:val="single" w:sz="4" w:space="0" w:color="auto"/>
            </w:tcBorders>
            <w:shd w:val="clear" w:color="000000" w:fill="FFFFFF"/>
            <w:noWrap/>
            <w:vAlign w:val="center"/>
            <w:hideMark/>
          </w:tcPr>
          <w:p w14:paraId="5E2780EA" w14:textId="1794B915" w:rsidR="00941BA9" w:rsidRPr="00636E49" w:rsidRDefault="002561FC" w:rsidP="00636E4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r>
      <w:tr w:rsidR="00941BA9" w:rsidRPr="00636E49" w14:paraId="67300856" w14:textId="77777777" w:rsidTr="00801B24">
        <w:trPr>
          <w:trHeight w:val="350"/>
          <w:jc w:val="center"/>
        </w:trPr>
        <w:tc>
          <w:tcPr>
            <w:tcW w:w="1530" w:type="dxa"/>
            <w:tcBorders>
              <w:top w:val="single" w:sz="4" w:space="0" w:color="auto"/>
              <w:bottom w:val="single" w:sz="4" w:space="0" w:color="auto"/>
            </w:tcBorders>
            <w:shd w:val="clear" w:color="000000" w:fill="FFFFFF"/>
            <w:vAlign w:val="center"/>
            <w:hideMark/>
          </w:tcPr>
          <w:p w14:paraId="7AA84EE0" w14:textId="77777777" w:rsidR="00941BA9" w:rsidRPr="00636E49" w:rsidRDefault="00941BA9" w:rsidP="00636E49">
            <w:pPr>
              <w:spacing w:after="0" w:line="240" w:lineRule="auto"/>
              <w:jc w:val="both"/>
              <w:rPr>
                <w:rFonts w:eastAsia="Times New Roman" w:cs="Times New Roman"/>
                <w:color w:val="000000"/>
                <w:sz w:val="20"/>
                <w:szCs w:val="20"/>
              </w:rPr>
            </w:pPr>
            <w:r w:rsidRPr="00636E49">
              <w:rPr>
                <w:rFonts w:eastAsia="Times New Roman" w:cs="Times New Roman"/>
                <w:color w:val="000000"/>
                <w:sz w:val="20"/>
                <w:szCs w:val="20"/>
              </w:rPr>
              <w:t>Sierra Leone</w:t>
            </w:r>
          </w:p>
        </w:tc>
        <w:tc>
          <w:tcPr>
            <w:tcW w:w="747" w:type="dxa"/>
            <w:tcBorders>
              <w:top w:val="single" w:sz="4" w:space="0" w:color="auto"/>
              <w:bottom w:val="single" w:sz="4" w:space="0" w:color="auto"/>
            </w:tcBorders>
            <w:shd w:val="clear" w:color="000000" w:fill="FFFFFF"/>
            <w:noWrap/>
            <w:vAlign w:val="center"/>
            <w:hideMark/>
          </w:tcPr>
          <w:p w14:paraId="25E6DDFD" w14:textId="3F8D1ED0" w:rsidR="00941BA9" w:rsidRPr="00636E49" w:rsidRDefault="002561FC" w:rsidP="00636E4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747" w:type="dxa"/>
            <w:tcBorders>
              <w:top w:val="single" w:sz="4" w:space="0" w:color="auto"/>
              <w:bottom w:val="single" w:sz="4" w:space="0" w:color="auto"/>
            </w:tcBorders>
            <w:shd w:val="clear" w:color="000000" w:fill="FFFFFF"/>
            <w:noWrap/>
            <w:vAlign w:val="center"/>
            <w:hideMark/>
          </w:tcPr>
          <w:p w14:paraId="24DEFB11" w14:textId="23E3F6A5" w:rsidR="00941BA9" w:rsidRPr="00636E49" w:rsidRDefault="002561FC" w:rsidP="00636E4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747" w:type="dxa"/>
            <w:tcBorders>
              <w:top w:val="single" w:sz="4" w:space="0" w:color="auto"/>
              <w:bottom w:val="single" w:sz="4" w:space="0" w:color="auto"/>
            </w:tcBorders>
            <w:shd w:val="clear" w:color="000000" w:fill="FFFFFF"/>
            <w:noWrap/>
            <w:vAlign w:val="center"/>
            <w:hideMark/>
          </w:tcPr>
          <w:p w14:paraId="195291F2"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70</w:t>
            </w:r>
          </w:p>
        </w:tc>
        <w:tc>
          <w:tcPr>
            <w:tcW w:w="747" w:type="dxa"/>
            <w:tcBorders>
              <w:top w:val="single" w:sz="4" w:space="0" w:color="auto"/>
              <w:bottom w:val="single" w:sz="4" w:space="0" w:color="auto"/>
            </w:tcBorders>
            <w:shd w:val="clear" w:color="000000" w:fill="D9D9D9"/>
            <w:noWrap/>
            <w:vAlign w:val="center"/>
            <w:hideMark/>
          </w:tcPr>
          <w:p w14:paraId="0FB5B16E" w14:textId="7B79CCB0" w:rsidR="00941BA9" w:rsidRPr="00636E49" w:rsidRDefault="005D2348" w:rsidP="00636E4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747" w:type="dxa"/>
            <w:tcBorders>
              <w:top w:val="single" w:sz="4" w:space="0" w:color="auto"/>
              <w:bottom w:val="single" w:sz="4" w:space="0" w:color="auto"/>
            </w:tcBorders>
            <w:shd w:val="clear" w:color="000000" w:fill="FFFFFF"/>
            <w:noWrap/>
            <w:vAlign w:val="center"/>
            <w:hideMark/>
          </w:tcPr>
          <w:p w14:paraId="48648B7F" w14:textId="0AAE7759" w:rsidR="00941BA9" w:rsidRPr="00636E49" w:rsidRDefault="005D2348" w:rsidP="00636E4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747" w:type="dxa"/>
            <w:tcBorders>
              <w:top w:val="single" w:sz="4" w:space="0" w:color="auto"/>
              <w:bottom w:val="single" w:sz="4" w:space="0" w:color="auto"/>
            </w:tcBorders>
            <w:shd w:val="clear" w:color="000000" w:fill="FFFFFF"/>
            <w:noWrap/>
            <w:vAlign w:val="center"/>
            <w:hideMark/>
          </w:tcPr>
          <w:p w14:paraId="54486C5D" w14:textId="4BBF0002" w:rsidR="00941BA9" w:rsidRPr="00636E49" w:rsidRDefault="00891092" w:rsidP="00636E4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xml:space="preserve"> –</w:t>
            </w:r>
          </w:p>
        </w:tc>
        <w:tc>
          <w:tcPr>
            <w:tcW w:w="747" w:type="dxa"/>
            <w:tcBorders>
              <w:top w:val="single" w:sz="4" w:space="0" w:color="auto"/>
              <w:bottom w:val="single" w:sz="4" w:space="0" w:color="auto"/>
            </w:tcBorders>
            <w:shd w:val="clear" w:color="000000" w:fill="FFFFFF"/>
            <w:noWrap/>
            <w:vAlign w:val="center"/>
            <w:hideMark/>
          </w:tcPr>
          <w:p w14:paraId="797214D5" w14:textId="79702537" w:rsidR="00941BA9" w:rsidRPr="00636E49" w:rsidRDefault="00891092" w:rsidP="00636E4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747" w:type="dxa"/>
            <w:tcBorders>
              <w:top w:val="single" w:sz="4" w:space="0" w:color="auto"/>
              <w:bottom w:val="single" w:sz="4" w:space="0" w:color="auto"/>
            </w:tcBorders>
            <w:shd w:val="clear" w:color="000000" w:fill="FFFFFF"/>
            <w:noWrap/>
            <w:vAlign w:val="center"/>
            <w:hideMark/>
          </w:tcPr>
          <w:p w14:paraId="2896228C" w14:textId="5E509CAD" w:rsidR="00941BA9" w:rsidRPr="00636E49" w:rsidRDefault="00891092" w:rsidP="00636E4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747" w:type="dxa"/>
            <w:tcBorders>
              <w:top w:val="single" w:sz="4" w:space="0" w:color="auto"/>
              <w:bottom w:val="single" w:sz="4" w:space="0" w:color="auto"/>
            </w:tcBorders>
            <w:shd w:val="clear" w:color="000000" w:fill="FFFFFF"/>
            <w:vAlign w:val="center"/>
            <w:hideMark/>
          </w:tcPr>
          <w:p w14:paraId="22B80F61"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128</w:t>
            </w:r>
          </w:p>
        </w:tc>
        <w:tc>
          <w:tcPr>
            <w:tcW w:w="747" w:type="dxa"/>
            <w:tcBorders>
              <w:top w:val="single" w:sz="4" w:space="0" w:color="auto"/>
              <w:bottom w:val="single" w:sz="4" w:space="0" w:color="auto"/>
            </w:tcBorders>
            <w:shd w:val="clear" w:color="000000" w:fill="FFFFFF"/>
            <w:noWrap/>
            <w:vAlign w:val="center"/>
            <w:hideMark/>
          </w:tcPr>
          <w:p w14:paraId="0A32D0C3"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132</w:t>
            </w:r>
          </w:p>
        </w:tc>
      </w:tr>
      <w:tr w:rsidR="00941BA9" w:rsidRPr="00636E49" w14:paraId="007244E0" w14:textId="77777777" w:rsidTr="00801B24">
        <w:trPr>
          <w:trHeight w:val="350"/>
          <w:jc w:val="center"/>
        </w:trPr>
        <w:tc>
          <w:tcPr>
            <w:tcW w:w="1530" w:type="dxa"/>
            <w:tcBorders>
              <w:top w:val="single" w:sz="4" w:space="0" w:color="auto"/>
              <w:bottom w:val="single" w:sz="4" w:space="0" w:color="auto"/>
            </w:tcBorders>
            <w:shd w:val="clear" w:color="000000" w:fill="FFFFFF"/>
            <w:vAlign w:val="center"/>
            <w:hideMark/>
          </w:tcPr>
          <w:p w14:paraId="38BCCB98" w14:textId="77777777" w:rsidR="00941BA9" w:rsidRPr="00636E49" w:rsidRDefault="00941BA9" w:rsidP="00636E49">
            <w:pPr>
              <w:spacing w:after="0" w:line="240" w:lineRule="auto"/>
              <w:jc w:val="both"/>
              <w:rPr>
                <w:rFonts w:eastAsia="Times New Roman" w:cs="Times New Roman"/>
                <w:color w:val="000000"/>
                <w:sz w:val="20"/>
                <w:szCs w:val="20"/>
              </w:rPr>
            </w:pPr>
            <w:r w:rsidRPr="00636E49">
              <w:rPr>
                <w:rFonts w:eastAsia="Times New Roman" w:cs="Times New Roman"/>
                <w:color w:val="000000"/>
                <w:sz w:val="20"/>
                <w:szCs w:val="20"/>
              </w:rPr>
              <w:t>Tajikistan</w:t>
            </w:r>
          </w:p>
        </w:tc>
        <w:tc>
          <w:tcPr>
            <w:tcW w:w="747" w:type="dxa"/>
            <w:tcBorders>
              <w:top w:val="single" w:sz="4" w:space="0" w:color="auto"/>
              <w:bottom w:val="single" w:sz="4" w:space="0" w:color="auto"/>
            </w:tcBorders>
            <w:shd w:val="clear" w:color="000000" w:fill="FFFFFF"/>
            <w:noWrap/>
            <w:vAlign w:val="center"/>
            <w:hideMark/>
          </w:tcPr>
          <w:p w14:paraId="3DDB65D4"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90</w:t>
            </w:r>
          </w:p>
        </w:tc>
        <w:tc>
          <w:tcPr>
            <w:tcW w:w="747" w:type="dxa"/>
            <w:tcBorders>
              <w:top w:val="single" w:sz="4" w:space="0" w:color="auto"/>
              <w:bottom w:val="single" w:sz="4" w:space="0" w:color="auto"/>
            </w:tcBorders>
            <w:shd w:val="clear" w:color="000000" w:fill="D9D9D9"/>
            <w:noWrap/>
            <w:vAlign w:val="center"/>
            <w:hideMark/>
          </w:tcPr>
          <w:p w14:paraId="24DE472A"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93</w:t>
            </w:r>
          </w:p>
        </w:tc>
        <w:tc>
          <w:tcPr>
            <w:tcW w:w="747" w:type="dxa"/>
            <w:tcBorders>
              <w:top w:val="single" w:sz="4" w:space="0" w:color="auto"/>
              <w:bottom w:val="single" w:sz="4" w:space="0" w:color="auto"/>
            </w:tcBorders>
            <w:shd w:val="clear" w:color="000000" w:fill="FFFFFF"/>
            <w:noWrap/>
            <w:vAlign w:val="center"/>
            <w:hideMark/>
          </w:tcPr>
          <w:p w14:paraId="7E5CE53B"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97</w:t>
            </w:r>
          </w:p>
        </w:tc>
        <w:tc>
          <w:tcPr>
            <w:tcW w:w="747" w:type="dxa"/>
            <w:tcBorders>
              <w:top w:val="single" w:sz="4" w:space="0" w:color="auto"/>
              <w:bottom w:val="single" w:sz="4" w:space="0" w:color="auto"/>
            </w:tcBorders>
            <w:shd w:val="clear" w:color="000000" w:fill="FFFFFF"/>
            <w:noWrap/>
            <w:vAlign w:val="center"/>
            <w:hideMark/>
          </w:tcPr>
          <w:p w14:paraId="4CD2F381"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98</w:t>
            </w:r>
          </w:p>
        </w:tc>
        <w:tc>
          <w:tcPr>
            <w:tcW w:w="747" w:type="dxa"/>
            <w:tcBorders>
              <w:top w:val="single" w:sz="4" w:space="0" w:color="auto"/>
              <w:bottom w:val="single" w:sz="4" w:space="0" w:color="auto"/>
            </w:tcBorders>
            <w:shd w:val="clear" w:color="000000" w:fill="FFFFFF"/>
            <w:noWrap/>
            <w:vAlign w:val="center"/>
            <w:hideMark/>
          </w:tcPr>
          <w:p w14:paraId="53D48B6E"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100</w:t>
            </w:r>
          </w:p>
        </w:tc>
        <w:tc>
          <w:tcPr>
            <w:tcW w:w="747" w:type="dxa"/>
            <w:tcBorders>
              <w:top w:val="single" w:sz="4" w:space="0" w:color="auto"/>
              <w:bottom w:val="single" w:sz="4" w:space="0" w:color="auto"/>
            </w:tcBorders>
            <w:shd w:val="clear" w:color="000000" w:fill="FFFFFF"/>
            <w:noWrap/>
            <w:vAlign w:val="center"/>
            <w:hideMark/>
          </w:tcPr>
          <w:p w14:paraId="1BF5E68F"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101</w:t>
            </w:r>
          </w:p>
        </w:tc>
        <w:tc>
          <w:tcPr>
            <w:tcW w:w="747" w:type="dxa"/>
            <w:tcBorders>
              <w:top w:val="single" w:sz="4" w:space="0" w:color="auto"/>
              <w:bottom w:val="single" w:sz="4" w:space="0" w:color="auto"/>
            </w:tcBorders>
            <w:shd w:val="clear" w:color="000000" w:fill="FFFFFF"/>
            <w:noWrap/>
            <w:vAlign w:val="center"/>
            <w:hideMark/>
          </w:tcPr>
          <w:p w14:paraId="439ACF7F"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102</w:t>
            </w:r>
          </w:p>
        </w:tc>
        <w:tc>
          <w:tcPr>
            <w:tcW w:w="747" w:type="dxa"/>
            <w:tcBorders>
              <w:top w:val="single" w:sz="4" w:space="0" w:color="auto"/>
              <w:bottom w:val="single" w:sz="4" w:space="0" w:color="auto"/>
            </w:tcBorders>
            <w:shd w:val="clear" w:color="000000" w:fill="FFFFFF"/>
            <w:noWrap/>
            <w:vAlign w:val="center"/>
            <w:hideMark/>
          </w:tcPr>
          <w:p w14:paraId="251702EC"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102</w:t>
            </w:r>
          </w:p>
        </w:tc>
        <w:tc>
          <w:tcPr>
            <w:tcW w:w="747" w:type="dxa"/>
            <w:tcBorders>
              <w:top w:val="single" w:sz="4" w:space="0" w:color="auto"/>
              <w:bottom w:val="single" w:sz="4" w:space="0" w:color="auto"/>
            </w:tcBorders>
            <w:shd w:val="clear" w:color="000000" w:fill="FFFFFF"/>
            <w:vAlign w:val="center"/>
            <w:hideMark/>
          </w:tcPr>
          <w:p w14:paraId="7ED7CBA8"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100</w:t>
            </w:r>
          </w:p>
        </w:tc>
        <w:tc>
          <w:tcPr>
            <w:tcW w:w="747" w:type="dxa"/>
            <w:tcBorders>
              <w:top w:val="single" w:sz="4" w:space="0" w:color="auto"/>
              <w:bottom w:val="single" w:sz="4" w:space="0" w:color="auto"/>
            </w:tcBorders>
            <w:shd w:val="clear" w:color="000000" w:fill="FFFFFF"/>
            <w:noWrap/>
            <w:vAlign w:val="center"/>
            <w:hideMark/>
          </w:tcPr>
          <w:p w14:paraId="37ACE784"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100</w:t>
            </w:r>
          </w:p>
        </w:tc>
      </w:tr>
      <w:tr w:rsidR="00941BA9" w:rsidRPr="00636E49" w14:paraId="7CACFA70" w14:textId="77777777" w:rsidTr="00801B24">
        <w:trPr>
          <w:trHeight w:val="350"/>
          <w:jc w:val="center"/>
        </w:trPr>
        <w:tc>
          <w:tcPr>
            <w:tcW w:w="1530" w:type="dxa"/>
            <w:tcBorders>
              <w:top w:val="single" w:sz="4" w:space="0" w:color="auto"/>
              <w:bottom w:val="single" w:sz="4" w:space="0" w:color="auto"/>
            </w:tcBorders>
            <w:shd w:val="clear" w:color="000000" w:fill="FFFFFF"/>
            <w:vAlign w:val="center"/>
            <w:hideMark/>
          </w:tcPr>
          <w:p w14:paraId="3AC8FC26" w14:textId="77777777" w:rsidR="00941BA9" w:rsidRPr="00636E49" w:rsidRDefault="00941BA9" w:rsidP="00636E49">
            <w:pPr>
              <w:spacing w:after="0" w:line="240" w:lineRule="auto"/>
              <w:jc w:val="both"/>
              <w:rPr>
                <w:rFonts w:eastAsia="Times New Roman" w:cs="Times New Roman"/>
                <w:color w:val="000000"/>
                <w:sz w:val="20"/>
                <w:szCs w:val="20"/>
              </w:rPr>
            </w:pPr>
            <w:r w:rsidRPr="00636E49">
              <w:rPr>
                <w:rFonts w:eastAsia="Times New Roman" w:cs="Times New Roman"/>
                <w:color w:val="000000"/>
                <w:sz w:val="20"/>
                <w:szCs w:val="20"/>
              </w:rPr>
              <w:t>Tanzania</w:t>
            </w:r>
          </w:p>
        </w:tc>
        <w:tc>
          <w:tcPr>
            <w:tcW w:w="747" w:type="dxa"/>
            <w:tcBorders>
              <w:top w:val="single" w:sz="4" w:space="0" w:color="auto"/>
              <w:bottom w:val="single" w:sz="4" w:space="0" w:color="auto"/>
            </w:tcBorders>
            <w:shd w:val="clear" w:color="000000" w:fill="FFFFFF"/>
            <w:noWrap/>
            <w:vAlign w:val="center"/>
            <w:hideMark/>
          </w:tcPr>
          <w:p w14:paraId="4B7E0F2D"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69</w:t>
            </w:r>
          </w:p>
        </w:tc>
        <w:tc>
          <w:tcPr>
            <w:tcW w:w="747" w:type="dxa"/>
            <w:tcBorders>
              <w:top w:val="single" w:sz="4" w:space="0" w:color="auto"/>
              <w:bottom w:val="single" w:sz="4" w:space="0" w:color="auto"/>
            </w:tcBorders>
            <w:shd w:val="clear" w:color="000000" w:fill="FFFFFF"/>
            <w:noWrap/>
            <w:vAlign w:val="center"/>
            <w:hideMark/>
          </w:tcPr>
          <w:p w14:paraId="3E1920B1"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68</w:t>
            </w:r>
          </w:p>
        </w:tc>
        <w:tc>
          <w:tcPr>
            <w:tcW w:w="747" w:type="dxa"/>
            <w:tcBorders>
              <w:top w:val="single" w:sz="4" w:space="0" w:color="auto"/>
              <w:bottom w:val="single" w:sz="4" w:space="0" w:color="auto"/>
            </w:tcBorders>
            <w:shd w:val="clear" w:color="000000" w:fill="FFFFFF"/>
            <w:noWrap/>
            <w:vAlign w:val="center"/>
            <w:hideMark/>
          </w:tcPr>
          <w:p w14:paraId="6507FCFE"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68</w:t>
            </w:r>
          </w:p>
        </w:tc>
        <w:tc>
          <w:tcPr>
            <w:tcW w:w="747" w:type="dxa"/>
            <w:tcBorders>
              <w:top w:val="single" w:sz="4" w:space="0" w:color="auto"/>
              <w:bottom w:val="single" w:sz="4" w:space="0" w:color="auto"/>
            </w:tcBorders>
            <w:shd w:val="clear" w:color="000000" w:fill="FFFFFF"/>
            <w:noWrap/>
            <w:vAlign w:val="center"/>
            <w:hideMark/>
          </w:tcPr>
          <w:p w14:paraId="7E817C2E"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89</w:t>
            </w:r>
          </w:p>
        </w:tc>
        <w:tc>
          <w:tcPr>
            <w:tcW w:w="747" w:type="dxa"/>
            <w:tcBorders>
              <w:top w:val="single" w:sz="4" w:space="0" w:color="auto"/>
              <w:bottom w:val="single" w:sz="4" w:space="0" w:color="auto"/>
            </w:tcBorders>
            <w:shd w:val="clear" w:color="000000" w:fill="FFFFFF"/>
            <w:noWrap/>
            <w:vAlign w:val="center"/>
            <w:hideMark/>
          </w:tcPr>
          <w:p w14:paraId="4885DDBB"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96</w:t>
            </w:r>
          </w:p>
        </w:tc>
        <w:tc>
          <w:tcPr>
            <w:tcW w:w="747" w:type="dxa"/>
            <w:tcBorders>
              <w:top w:val="single" w:sz="4" w:space="0" w:color="auto"/>
              <w:bottom w:val="single" w:sz="4" w:space="0" w:color="auto"/>
            </w:tcBorders>
            <w:shd w:val="clear" w:color="000000" w:fill="FFFFFF"/>
            <w:noWrap/>
            <w:vAlign w:val="center"/>
            <w:hideMark/>
          </w:tcPr>
          <w:p w14:paraId="529833DC"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105</w:t>
            </w:r>
          </w:p>
        </w:tc>
        <w:tc>
          <w:tcPr>
            <w:tcW w:w="747" w:type="dxa"/>
            <w:tcBorders>
              <w:top w:val="single" w:sz="4" w:space="0" w:color="auto"/>
              <w:bottom w:val="single" w:sz="4" w:space="0" w:color="auto"/>
            </w:tcBorders>
            <w:shd w:val="clear" w:color="000000" w:fill="FFFFFF"/>
            <w:noWrap/>
            <w:vAlign w:val="center"/>
            <w:hideMark/>
          </w:tcPr>
          <w:p w14:paraId="340A7276"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111</w:t>
            </w:r>
          </w:p>
        </w:tc>
        <w:tc>
          <w:tcPr>
            <w:tcW w:w="747" w:type="dxa"/>
            <w:tcBorders>
              <w:top w:val="single" w:sz="4" w:space="0" w:color="auto"/>
              <w:bottom w:val="single" w:sz="4" w:space="0" w:color="auto"/>
            </w:tcBorders>
            <w:shd w:val="clear" w:color="000000" w:fill="FFFFFF"/>
            <w:noWrap/>
            <w:vAlign w:val="center"/>
            <w:hideMark/>
          </w:tcPr>
          <w:p w14:paraId="0FD5F628"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102</w:t>
            </w:r>
          </w:p>
        </w:tc>
        <w:tc>
          <w:tcPr>
            <w:tcW w:w="747" w:type="dxa"/>
            <w:tcBorders>
              <w:top w:val="single" w:sz="4" w:space="0" w:color="auto"/>
              <w:bottom w:val="single" w:sz="4" w:space="0" w:color="auto"/>
            </w:tcBorders>
            <w:shd w:val="clear" w:color="000000" w:fill="FFFFFF"/>
            <w:vAlign w:val="center"/>
            <w:hideMark/>
          </w:tcPr>
          <w:p w14:paraId="1E51157B" w14:textId="55976FB0" w:rsidR="00941BA9" w:rsidRPr="00636E49" w:rsidRDefault="00677DF6" w:rsidP="00636E4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747" w:type="dxa"/>
            <w:tcBorders>
              <w:top w:val="single" w:sz="4" w:space="0" w:color="auto"/>
              <w:bottom w:val="single" w:sz="4" w:space="0" w:color="auto"/>
            </w:tcBorders>
            <w:shd w:val="clear" w:color="000000" w:fill="FFFFFF"/>
            <w:noWrap/>
            <w:vAlign w:val="center"/>
            <w:hideMark/>
          </w:tcPr>
          <w:p w14:paraId="27B1C4F6"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93</w:t>
            </w:r>
          </w:p>
        </w:tc>
      </w:tr>
      <w:tr w:rsidR="00941BA9" w:rsidRPr="00636E49" w14:paraId="33EB9B6F" w14:textId="77777777" w:rsidTr="00801B24">
        <w:trPr>
          <w:trHeight w:val="350"/>
          <w:jc w:val="center"/>
        </w:trPr>
        <w:tc>
          <w:tcPr>
            <w:tcW w:w="1530" w:type="dxa"/>
            <w:tcBorders>
              <w:top w:val="single" w:sz="4" w:space="0" w:color="auto"/>
              <w:bottom w:val="single" w:sz="4" w:space="0" w:color="auto"/>
            </w:tcBorders>
            <w:shd w:val="clear" w:color="000000" w:fill="FFFFFF"/>
            <w:vAlign w:val="center"/>
            <w:hideMark/>
          </w:tcPr>
          <w:p w14:paraId="13109845" w14:textId="77777777" w:rsidR="00941BA9" w:rsidRPr="00636E49" w:rsidRDefault="00941BA9" w:rsidP="00636E49">
            <w:pPr>
              <w:spacing w:after="0" w:line="240" w:lineRule="auto"/>
              <w:jc w:val="both"/>
              <w:rPr>
                <w:rFonts w:eastAsia="Times New Roman" w:cs="Times New Roman"/>
                <w:color w:val="000000"/>
                <w:sz w:val="20"/>
                <w:szCs w:val="20"/>
              </w:rPr>
            </w:pPr>
            <w:r w:rsidRPr="00636E49">
              <w:rPr>
                <w:rFonts w:eastAsia="Times New Roman" w:cs="Times New Roman"/>
                <w:color w:val="000000"/>
                <w:sz w:val="20"/>
                <w:szCs w:val="20"/>
              </w:rPr>
              <w:t>Timor-Leste</w:t>
            </w:r>
          </w:p>
        </w:tc>
        <w:tc>
          <w:tcPr>
            <w:tcW w:w="747" w:type="dxa"/>
            <w:tcBorders>
              <w:top w:val="single" w:sz="4" w:space="0" w:color="auto"/>
              <w:bottom w:val="single" w:sz="4" w:space="0" w:color="auto"/>
            </w:tcBorders>
            <w:shd w:val="clear" w:color="000000" w:fill="FFFFFF"/>
            <w:noWrap/>
            <w:vAlign w:val="center"/>
            <w:hideMark/>
          </w:tcPr>
          <w:p w14:paraId="7EAE5306" w14:textId="2DA4A0C9" w:rsidR="00941BA9" w:rsidRPr="00636E49" w:rsidRDefault="00891092" w:rsidP="00636E4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747" w:type="dxa"/>
            <w:tcBorders>
              <w:top w:val="single" w:sz="4" w:space="0" w:color="auto"/>
              <w:bottom w:val="single" w:sz="4" w:space="0" w:color="auto"/>
            </w:tcBorders>
            <w:shd w:val="clear" w:color="000000" w:fill="FFFFFF"/>
            <w:noWrap/>
            <w:vAlign w:val="center"/>
            <w:hideMark/>
          </w:tcPr>
          <w:p w14:paraId="00B403B8" w14:textId="1FB8FD70" w:rsidR="00941BA9" w:rsidRPr="00636E49" w:rsidRDefault="00891092" w:rsidP="00636E4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747" w:type="dxa"/>
            <w:tcBorders>
              <w:top w:val="single" w:sz="4" w:space="0" w:color="auto"/>
              <w:bottom w:val="single" w:sz="4" w:space="0" w:color="auto"/>
            </w:tcBorders>
            <w:shd w:val="clear" w:color="000000" w:fill="FFFFFF"/>
            <w:noWrap/>
            <w:vAlign w:val="center"/>
            <w:hideMark/>
          </w:tcPr>
          <w:p w14:paraId="14FF6B1C" w14:textId="16DF70EE" w:rsidR="00941BA9" w:rsidRPr="00636E49" w:rsidRDefault="00891092" w:rsidP="00636E4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747" w:type="dxa"/>
            <w:tcBorders>
              <w:top w:val="single" w:sz="4" w:space="0" w:color="auto"/>
              <w:bottom w:val="single" w:sz="4" w:space="0" w:color="auto"/>
            </w:tcBorders>
            <w:shd w:val="clear" w:color="000000" w:fill="FFFFFF"/>
            <w:noWrap/>
            <w:vAlign w:val="center"/>
            <w:hideMark/>
          </w:tcPr>
          <w:p w14:paraId="25BCCCAB"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117</w:t>
            </w:r>
          </w:p>
        </w:tc>
        <w:tc>
          <w:tcPr>
            <w:tcW w:w="747" w:type="dxa"/>
            <w:tcBorders>
              <w:top w:val="single" w:sz="4" w:space="0" w:color="auto"/>
              <w:bottom w:val="single" w:sz="4" w:space="0" w:color="auto"/>
            </w:tcBorders>
            <w:shd w:val="clear" w:color="000000" w:fill="FFFFFF"/>
            <w:noWrap/>
            <w:vAlign w:val="center"/>
            <w:hideMark/>
          </w:tcPr>
          <w:p w14:paraId="570483A4"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111</w:t>
            </w:r>
          </w:p>
        </w:tc>
        <w:tc>
          <w:tcPr>
            <w:tcW w:w="747" w:type="dxa"/>
            <w:tcBorders>
              <w:top w:val="single" w:sz="4" w:space="0" w:color="auto"/>
              <w:bottom w:val="single" w:sz="4" w:space="0" w:color="auto"/>
            </w:tcBorders>
            <w:shd w:val="clear" w:color="000000" w:fill="FFFFFF"/>
            <w:noWrap/>
            <w:vAlign w:val="center"/>
            <w:hideMark/>
          </w:tcPr>
          <w:p w14:paraId="633AFFA8"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97</w:t>
            </w:r>
          </w:p>
        </w:tc>
        <w:tc>
          <w:tcPr>
            <w:tcW w:w="747" w:type="dxa"/>
            <w:tcBorders>
              <w:top w:val="single" w:sz="4" w:space="0" w:color="auto"/>
              <w:bottom w:val="single" w:sz="4" w:space="0" w:color="auto"/>
            </w:tcBorders>
            <w:shd w:val="clear" w:color="000000" w:fill="FFFFFF"/>
            <w:noWrap/>
            <w:vAlign w:val="center"/>
            <w:hideMark/>
          </w:tcPr>
          <w:p w14:paraId="696EC6B7"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103</w:t>
            </w:r>
          </w:p>
        </w:tc>
        <w:tc>
          <w:tcPr>
            <w:tcW w:w="747" w:type="dxa"/>
            <w:tcBorders>
              <w:top w:val="single" w:sz="4" w:space="0" w:color="auto"/>
              <w:bottom w:val="single" w:sz="4" w:space="0" w:color="auto"/>
            </w:tcBorders>
            <w:shd w:val="clear" w:color="000000" w:fill="FFFFFF"/>
            <w:noWrap/>
            <w:vAlign w:val="center"/>
            <w:hideMark/>
          </w:tcPr>
          <w:p w14:paraId="59CA4FE4"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117</w:t>
            </w:r>
          </w:p>
        </w:tc>
        <w:tc>
          <w:tcPr>
            <w:tcW w:w="747" w:type="dxa"/>
            <w:tcBorders>
              <w:top w:val="single" w:sz="4" w:space="0" w:color="auto"/>
              <w:bottom w:val="single" w:sz="4" w:space="0" w:color="auto"/>
            </w:tcBorders>
            <w:shd w:val="clear" w:color="000000" w:fill="FFFFFF"/>
            <w:vAlign w:val="center"/>
            <w:hideMark/>
          </w:tcPr>
          <w:p w14:paraId="4167CFDF"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125</w:t>
            </w:r>
          </w:p>
        </w:tc>
        <w:tc>
          <w:tcPr>
            <w:tcW w:w="747" w:type="dxa"/>
            <w:tcBorders>
              <w:top w:val="single" w:sz="4" w:space="0" w:color="auto"/>
              <w:bottom w:val="single" w:sz="4" w:space="0" w:color="auto"/>
            </w:tcBorders>
            <w:shd w:val="clear" w:color="auto" w:fill="auto"/>
            <w:noWrap/>
            <w:vAlign w:val="center"/>
            <w:hideMark/>
          </w:tcPr>
          <w:p w14:paraId="469E6305" w14:textId="14FC19A1" w:rsidR="00941BA9" w:rsidRPr="00636E49" w:rsidRDefault="00677DF6" w:rsidP="00636E4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r>
      <w:tr w:rsidR="00941BA9" w:rsidRPr="00636E49" w14:paraId="46D03FA2" w14:textId="77777777" w:rsidTr="00801B24">
        <w:trPr>
          <w:trHeight w:val="332"/>
          <w:jc w:val="center"/>
        </w:trPr>
        <w:tc>
          <w:tcPr>
            <w:tcW w:w="1530" w:type="dxa"/>
            <w:tcBorders>
              <w:top w:val="single" w:sz="4" w:space="0" w:color="auto"/>
            </w:tcBorders>
            <w:shd w:val="clear" w:color="000000" w:fill="FFFFFF"/>
            <w:vAlign w:val="center"/>
            <w:hideMark/>
          </w:tcPr>
          <w:p w14:paraId="70B6CA7C" w14:textId="77777777" w:rsidR="00941BA9" w:rsidRPr="00636E49" w:rsidRDefault="00941BA9" w:rsidP="00636E49">
            <w:pPr>
              <w:spacing w:after="0" w:line="240" w:lineRule="auto"/>
              <w:jc w:val="both"/>
              <w:rPr>
                <w:rFonts w:eastAsia="Times New Roman" w:cs="Times New Roman"/>
                <w:color w:val="000000"/>
                <w:sz w:val="20"/>
                <w:szCs w:val="20"/>
              </w:rPr>
            </w:pPr>
            <w:r w:rsidRPr="00636E49">
              <w:rPr>
                <w:rFonts w:eastAsia="Times New Roman" w:cs="Times New Roman"/>
                <w:color w:val="000000"/>
                <w:sz w:val="20"/>
                <w:szCs w:val="20"/>
              </w:rPr>
              <w:t>Uganda</w:t>
            </w:r>
          </w:p>
        </w:tc>
        <w:tc>
          <w:tcPr>
            <w:tcW w:w="747" w:type="dxa"/>
            <w:tcBorders>
              <w:top w:val="single" w:sz="4" w:space="0" w:color="auto"/>
            </w:tcBorders>
            <w:shd w:val="clear" w:color="000000" w:fill="FFFFFF"/>
            <w:noWrap/>
            <w:vAlign w:val="center"/>
            <w:hideMark/>
          </w:tcPr>
          <w:p w14:paraId="2F82FD18"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67</w:t>
            </w:r>
          </w:p>
        </w:tc>
        <w:tc>
          <w:tcPr>
            <w:tcW w:w="747" w:type="dxa"/>
            <w:tcBorders>
              <w:top w:val="single" w:sz="4" w:space="0" w:color="auto"/>
            </w:tcBorders>
            <w:shd w:val="clear" w:color="000000" w:fill="FFFFFF"/>
            <w:noWrap/>
            <w:vAlign w:val="center"/>
            <w:hideMark/>
          </w:tcPr>
          <w:p w14:paraId="4F3459E9"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115</w:t>
            </w:r>
          </w:p>
        </w:tc>
        <w:tc>
          <w:tcPr>
            <w:tcW w:w="747" w:type="dxa"/>
            <w:tcBorders>
              <w:top w:val="single" w:sz="4" w:space="0" w:color="auto"/>
            </w:tcBorders>
            <w:shd w:val="clear" w:color="000000" w:fill="FFFFFF"/>
            <w:noWrap/>
            <w:vAlign w:val="center"/>
            <w:hideMark/>
          </w:tcPr>
          <w:p w14:paraId="266A1178"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131</w:t>
            </w:r>
          </w:p>
        </w:tc>
        <w:tc>
          <w:tcPr>
            <w:tcW w:w="747" w:type="dxa"/>
            <w:tcBorders>
              <w:top w:val="single" w:sz="4" w:space="0" w:color="auto"/>
            </w:tcBorders>
            <w:shd w:val="clear" w:color="000000" w:fill="FFFFFF"/>
            <w:noWrap/>
            <w:vAlign w:val="center"/>
            <w:hideMark/>
          </w:tcPr>
          <w:p w14:paraId="4E2CE98E"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138</w:t>
            </w:r>
          </w:p>
        </w:tc>
        <w:tc>
          <w:tcPr>
            <w:tcW w:w="747" w:type="dxa"/>
            <w:tcBorders>
              <w:top w:val="single" w:sz="4" w:space="0" w:color="auto"/>
            </w:tcBorders>
            <w:shd w:val="clear" w:color="000000" w:fill="FFFFFF"/>
            <w:noWrap/>
            <w:vAlign w:val="center"/>
            <w:hideMark/>
          </w:tcPr>
          <w:p w14:paraId="2C08D8EF"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138</w:t>
            </w:r>
          </w:p>
        </w:tc>
        <w:tc>
          <w:tcPr>
            <w:tcW w:w="747" w:type="dxa"/>
            <w:tcBorders>
              <w:top w:val="single" w:sz="4" w:space="0" w:color="auto"/>
            </w:tcBorders>
            <w:shd w:val="clear" w:color="000000" w:fill="FFFFFF"/>
            <w:noWrap/>
            <w:vAlign w:val="center"/>
            <w:hideMark/>
          </w:tcPr>
          <w:p w14:paraId="6A771553"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123</w:t>
            </w:r>
          </w:p>
        </w:tc>
        <w:tc>
          <w:tcPr>
            <w:tcW w:w="747" w:type="dxa"/>
            <w:tcBorders>
              <w:top w:val="single" w:sz="4" w:space="0" w:color="auto"/>
            </w:tcBorders>
            <w:shd w:val="clear" w:color="000000" w:fill="FFFFFF"/>
            <w:noWrap/>
            <w:vAlign w:val="center"/>
            <w:hideMark/>
          </w:tcPr>
          <w:p w14:paraId="7579FC72"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123</w:t>
            </w:r>
          </w:p>
        </w:tc>
        <w:tc>
          <w:tcPr>
            <w:tcW w:w="747" w:type="dxa"/>
            <w:tcBorders>
              <w:top w:val="single" w:sz="4" w:space="0" w:color="auto"/>
            </w:tcBorders>
            <w:shd w:val="clear" w:color="000000" w:fill="FFFFFF"/>
            <w:noWrap/>
            <w:vAlign w:val="center"/>
            <w:hideMark/>
          </w:tcPr>
          <w:p w14:paraId="63D6A5CF"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121</w:t>
            </w:r>
          </w:p>
        </w:tc>
        <w:tc>
          <w:tcPr>
            <w:tcW w:w="747" w:type="dxa"/>
            <w:tcBorders>
              <w:top w:val="single" w:sz="4" w:space="0" w:color="auto"/>
            </w:tcBorders>
            <w:shd w:val="clear" w:color="000000" w:fill="FFFFFF"/>
            <w:vAlign w:val="center"/>
            <w:hideMark/>
          </w:tcPr>
          <w:p w14:paraId="3CA3F4E7" w14:textId="77777777" w:rsidR="00941BA9" w:rsidRPr="00636E49" w:rsidRDefault="00941BA9" w:rsidP="00636E49">
            <w:pPr>
              <w:spacing w:after="0" w:line="240" w:lineRule="auto"/>
              <w:jc w:val="center"/>
              <w:rPr>
                <w:rFonts w:eastAsia="Times New Roman" w:cs="Times New Roman"/>
                <w:color w:val="000000"/>
                <w:sz w:val="20"/>
                <w:szCs w:val="20"/>
              </w:rPr>
            </w:pPr>
            <w:r w:rsidRPr="00636E49">
              <w:rPr>
                <w:rFonts w:eastAsia="Times New Roman" w:cs="Times New Roman"/>
                <w:color w:val="000000"/>
                <w:sz w:val="20"/>
                <w:szCs w:val="20"/>
              </w:rPr>
              <w:t>110</w:t>
            </w:r>
          </w:p>
        </w:tc>
        <w:tc>
          <w:tcPr>
            <w:tcW w:w="747" w:type="dxa"/>
            <w:tcBorders>
              <w:top w:val="single" w:sz="4" w:space="0" w:color="auto"/>
            </w:tcBorders>
            <w:shd w:val="clear" w:color="auto" w:fill="auto"/>
            <w:noWrap/>
            <w:vAlign w:val="center"/>
            <w:hideMark/>
          </w:tcPr>
          <w:p w14:paraId="78F721AC" w14:textId="266FEDB0" w:rsidR="00941BA9" w:rsidRPr="00636E49" w:rsidRDefault="00677DF6" w:rsidP="00636E4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r>
    </w:tbl>
    <w:p w14:paraId="72BF9A1F" w14:textId="2EFE3542" w:rsidR="00E45822" w:rsidRDefault="00A56EDD" w:rsidP="00A56EDD">
      <w:pPr>
        <w:spacing w:after="0" w:line="240" w:lineRule="auto"/>
        <w:rPr>
          <w:sz w:val="20"/>
        </w:rPr>
      </w:pPr>
      <w:r w:rsidRPr="00EC5702">
        <w:rPr>
          <w:i/>
          <w:sz w:val="20"/>
        </w:rPr>
        <w:t>Note:</w:t>
      </w:r>
      <w:r w:rsidRPr="00E42393">
        <w:rPr>
          <w:sz w:val="20"/>
        </w:rPr>
        <w:t xml:space="preserve"> Postconflict starting years are marked in grey. </w:t>
      </w:r>
    </w:p>
    <w:p w14:paraId="672D776C" w14:textId="694DE0EB" w:rsidR="00E45822" w:rsidRDefault="00A56EDD" w:rsidP="00A56EDD">
      <w:pPr>
        <w:spacing w:after="0" w:line="240" w:lineRule="auto"/>
        <w:rPr>
          <w:sz w:val="20"/>
        </w:rPr>
      </w:pPr>
      <w:r w:rsidRPr="00E42393">
        <w:rPr>
          <w:sz w:val="20"/>
        </w:rPr>
        <w:t>*</w:t>
      </w:r>
      <w:r w:rsidR="00E45822">
        <w:rPr>
          <w:sz w:val="20"/>
        </w:rPr>
        <w:t xml:space="preserve"> </w:t>
      </w:r>
      <w:r w:rsidRPr="00E42393">
        <w:rPr>
          <w:sz w:val="20"/>
        </w:rPr>
        <w:t>Figure closest to postconflict starting date (1991).</w:t>
      </w:r>
    </w:p>
    <w:p w14:paraId="5B1CB553" w14:textId="3138D157" w:rsidR="00E45822" w:rsidRDefault="00A56EDD" w:rsidP="00A56EDD">
      <w:pPr>
        <w:spacing w:after="0" w:line="240" w:lineRule="auto"/>
        <w:rPr>
          <w:sz w:val="20"/>
        </w:rPr>
      </w:pPr>
      <w:r w:rsidRPr="00E42393">
        <w:rPr>
          <w:sz w:val="20"/>
        </w:rPr>
        <w:t xml:space="preserve"># According to </w:t>
      </w:r>
      <w:r w:rsidR="00EC5702">
        <w:rPr>
          <w:sz w:val="20"/>
        </w:rPr>
        <w:t>Joint Assessment Mission (</w:t>
      </w:r>
      <w:r w:rsidRPr="00E42393">
        <w:rPr>
          <w:sz w:val="20"/>
        </w:rPr>
        <w:t>JAM</w:t>
      </w:r>
      <w:r w:rsidR="00EC5702">
        <w:rPr>
          <w:sz w:val="20"/>
        </w:rPr>
        <w:t>)</w:t>
      </w:r>
      <w:r w:rsidRPr="00E42393">
        <w:rPr>
          <w:sz w:val="20"/>
        </w:rPr>
        <w:t xml:space="preserve"> 2005 (vol 1, p. 19)</w:t>
      </w:r>
      <w:r w:rsidR="008E2BBF">
        <w:rPr>
          <w:sz w:val="20"/>
        </w:rPr>
        <w:t>.</w:t>
      </w:r>
    </w:p>
    <w:p w14:paraId="3E25F647" w14:textId="725F3BE3" w:rsidR="00A56EDD" w:rsidRPr="00E42393" w:rsidRDefault="00A56EDD" w:rsidP="00A56EDD">
      <w:pPr>
        <w:spacing w:after="0" w:line="240" w:lineRule="auto"/>
        <w:rPr>
          <w:sz w:val="20"/>
        </w:rPr>
      </w:pPr>
      <w:r w:rsidRPr="00E42393">
        <w:rPr>
          <w:sz w:val="20"/>
        </w:rPr>
        <w:t>##</w:t>
      </w:r>
      <w:r w:rsidR="001A7CE7">
        <w:rPr>
          <w:sz w:val="20"/>
        </w:rPr>
        <w:t xml:space="preserve"> </w:t>
      </w:r>
      <w:r w:rsidRPr="00E42393">
        <w:rPr>
          <w:sz w:val="20"/>
        </w:rPr>
        <w:t>According to UNICEF 2011.</w:t>
      </w:r>
    </w:p>
    <w:p w14:paraId="5165E61F" w14:textId="77777777" w:rsidR="00A56EDD" w:rsidRDefault="00A56EDD" w:rsidP="00A56EDD">
      <w:pPr>
        <w:spacing w:after="0" w:line="240" w:lineRule="auto"/>
        <w:rPr>
          <w:b/>
        </w:rPr>
      </w:pPr>
    </w:p>
    <w:p w14:paraId="556778C8" w14:textId="77777777" w:rsidR="001A6941" w:rsidRDefault="001A6941" w:rsidP="00A56EDD">
      <w:pPr>
        <w:spacing w:after="0" w:line="240" w:lineRule="auto"/>
        <w:rPr>
          <w:b/>
        </w:rPr>
      </w:pPr>
    </w:p>
    <w:p w14:paraId="7D917189" w14:textId="77777777" w:rsidR="001A6941" w:rsidRDefault="001A6941" w:rsidP="00A56EDD">
      <w:pPr>
        <w:spacing w:after="0" w:line="240" w:lineRule="auto"/>
        <w:rPr>
          <w:b/>
        </w:rPr>
      </w:pPr>
    </w:p>
    <w:p w14:paraId="4FBD8FA7" w14:textId="77777777" w:rsidR="001A6941" w:rsidRPr="00B513F4" w:rsidRDefault="001A6941" w:rsidP="00A56EDD">
      <w:pPr>
        <w:spacing w:after="0" w:line="240" w:lineRule="auto"/>
        <w:rPr>
          <w:b/>
        </w:rPr>
      </w:pPr>
    </w:p>
    <w:p w14:paraId="3B04F064" w14:textId="7E4DFF34" w:rsidR="003149AD" w:rsidRDefault="003149AD" w:rsidP="00231A65">
      <w:pPr>
        <w:pStyle w:val="Caption"/>
        <w:keepNext/>
      </w:pPr>
      <w:r>
        <w:lastRenderedPageBreak/>
        <w:t xml:space="preserve">Table </w:t>
      </w:r>
      <w:fldSimple w:instr=" SEQ Table \* ARABIC ">
        <w:r w:rsidR="00FA6F6C">
          <w:rPr>
            <w:noProof/>
          </w:rPr>
          <w:t>7</w:t>
        </w:r>
      </w:fldSimple>
      <w:r>
        <w:t xml:space="preserve">. </w:t>
      </w:r>
      <w:r w:rsidRPr="00A54C15">
        <w:t xml:space="preserve">Primary </w:t>
      </w:r>
      <w:r>
        <w:t>C</w:t>
      </w:r>
      <w:r w:rsidRPr="00A54C15">
        <w:t xml:space="preserve">ompletion </w:t>
      </w:r>
      <w:r>
        <w:t>R</w:t>
      </w:r>
      <w:r w:rsidRPr="00A54C15">
        <w:t xml:space="preserve">ates </w:t>
      </w:r>
      <w:r w:rsidR="00231A65">
        <w:t>-</w:t>
      </w:r>
      <w:r w:rsidRPr="00A54C15">
        <w:t xml:space="preserve"> South Sudan, Sudan</w:t>
      </w:r>
      <w:r w:rsidR="00231A65">
        <w:t>,</w:t>
      </w:r>
      <w:r w:rsidRPr="00A54C15">
        <w:t xml:space="preserve"> and Sub-Saharan Africa 2010/11</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8"/>
        <w:gridCol w:w="4410"/>
      </w:tblGrid>
      <w:tr w:rsidR="00231A65" w:rsidRPr="00B513F4" w14:paraId="3B1BBA0C" w14:textId="77777777" w:rsidTr="00231A65">
        <w:trPr>
          <w:tblHeader/>
          <w:jc w:val="center"/>
        </w:trPr>
        <w:tc>
          <w:tcPr>
            <w:tcW w:w="4788" w:type="dxa"/>
          </w:tcPr>
          <w:p w14:paraId="74CF1E53" w14:textId="1221EFDD" w:rsidR="00231A65" w:rsidRPr="00231A65" w:rsidRDefault="00231A65" w:rsidP="00231A65">
            <w:pPr>
              <w:keepNext/>
              <w:spacing w:after="0" w:line="240" w:lineRule="auto"/>
              <w:jc w:val="center"/>
              <w:rPr>
                <w:b/>
                <w:sz w:val="20"/>
              </w:rPr>
            </w:pPr>
            <w:r w:rsidRPr="00231A65">
              <w:rPr>
                <w:b/>
                <w:sz w:val="20"/>
              </w:rPr>
              <w:t>Country/Region</w:t>
            </w:r>
          </w:p>
        </w:tc>
        <w:tc>
          <w:tcPr>
            <w:tcW w:w="4410" w:type="dxa"/>
          </w:tcPr>
          <w:p w14:paraId="48CB5229" w14:textId="3AFBA177" w:rsidR="00231A65" w:rsidRPr="00231A65" w:rsidRDefault="00231A65" w:rsidP="00231A65">
            <w:pPr>
              <w:keepNext/>
              <w:spacing w:after="0" w:line="240" w:lineRule="auto"/>
              <w:jc w:val="center"/>
              <w:rPr>
                <w:b/>
                <w:sz w:val="20"/>
              </w:rPr>
            </w:pPr>
            <w:r w:rsidRPr="00231A65">
              <w:rPr>
                <w:b/>
                <w:sz w:val="20"/>
              </w:rPr>
              <w:t>Primary Completion Rate</w:t>
            </w:r>
          </w:p>
        </w:tc>
      </w:tr>
      <w:tr w:rsidR="00A56EDD" w:rsidRPr="00B513F4" w14:paraId="2510939E" w14:textId="77777777" w:rsidTr="003149AD">
        <w:trPr>
          <w:jc w:val="center"/>
        </w:trPr>
        <w:tc>
          <w:tcPr>
            <w:tcW w:w="4788" w:type="dxa"/>
          </w:tcPr>
          <w:p w14:paraId="485481C3" w14:textId="77777777" w:rsidR="00A56EDD" w:rsidRPr="00B513F4" w:rsidRDefault="00A56EDD" w:rsidP="00231A65">
            <w:pPr>
              <w:spacing w:after="0" w:line="240" w:lineRule="auto"/>
              <w:rPr>
                <w:sz w:val="20"/>
              </w:rPr>
            </w:pPr>
            <w:r w:rsidRPr="00B513F4">
              <w:rPr>
                <w:sz w:val="20"/>
              </w:rPr>
              <w:t>South Sudan (2010/11)</w:t>
            </w:r>
          </w:p>
        </w:tc>
        <w:tc>
          <w:tcPr>
            <w:tcW w:w="4410" w:type="dxa"/>
          </w:tcPr>
          <w:p w14:paraId="6D02F226" w14:textId="77777777" w:rsidR="00A56EDD" w:rsidRPr="00B513F4" w:rsidRDefault="00A56EDD" w:rsidP="00231A65">
            <w:pPr>
              <w:spacing w:after="0" w:line="240" w:lineRule="auto"/>
              <w:rPr>
                <w:sz w:val="20"/>
              </w:rPr>
            </w:pPr>
            <w:r w:rsidRPr="00B513F4">
              <w:rPr>
                <w:sz w:val="20"/>
              </w:rPr>
              <w:t>10 (26% for grade 6 and 8% for grade 8)*</w:t>
            </w:r>
          </w:p>
        </w:tc>
      </w:tr>
      <w:tr w:rsidR="00A56EDD" w:rsidRPr="00B513F4" w14:paraId="33EB2AD2" w14:textId="77777777" w:rsidTr="006F6CBB">
        <w:trPr>
          <w:jc w:val="center"/>
        </w:trPr>
        <w:tc>
          <w:tcPr>
            <w:tcW w:w="4788" w:type="dxa"/>
            <w:tcBorders>
              <w:bottom w:val="single" w:sz="4" w:space="0" w:color="auto"/>
            </w:tcBorders>
          </w:tcPr>
          <w:p w14:paraId="07FBD8F6" w14:textId="77777777" w:rsidR="00A56EDD" w:rsidRPr="00B513F4" w:rsidRDefault="00A56EDD" w:rsidP="00231A65">
            <w:pPr>
              <w:spacing w:after="0" w:line="240" w:lineRule="auto"/>
              <w:rPr>
                <w:sz w:val="20"/>
              </w:rPr>
            </w:pPr>
            <w:r w:rsidRPr="00B513F4">
              <w:rPr>
                <w:sz w:val="20"/>
              </w:rPr>
              <w:t>Sudan (2010)</w:t>
            </w:r>
          </w:p>
        </w:tc>
        <w:tc>
          <w:tcPr>
            <w:tcW w:w="4410" w:type="dxa"/>
            <w:tcBorders>
              <w:bottom w:val="single" w:sz="4" w:space="0" w:color="auto"/>
            </w:tcBorders>
          </w:tcPr>
          <w:p w14:paraId="63BF108F" w14:textId="77777777" w:rsidR="00A56EDD" w:rsidRPr="00B513F4" w:rsidRDefault="00A56EDD" w:rsidP="00231A65">
            <w:pPr>
              <w:spacing w:after="0" w:line="240" w:lineRule="auto"/>
              <w:rPr>
                <w:sz w:val="20"/>
              </w:rPr>
            </w:pPr>
            <w:r w:rsidRPr="00B513F4">
              <w:rPr>
                <w:sz w:val="20"/>
              </w:rPr>
              <w:t>52</w:t>
            </w:r>
          </w:p>
        </w:tc>
      </w:tr>
      <w:tr w:rsidR="00A56EDD" w:rsidRPr="00B513F4" w14:paraId="5D90160C" w14:textId="77777777" w:rsidTr="006F6CBB">
        <w:trPr>
          <w:jc w:val="center"/>
        </w:trPr>
        <w:tc>
          <w:tcPr>
            <w:tcW w:w="4788" w:type="dxa"/>
            <w:tcBorders>
              <w:top w:val="single" w:sz="4" w:space="0" w:color="auto"/>
              <w:bottom w:val="single" w:sz="4" w:space="0" w:color="auto"/>
            </w:tcBorders>
          </w:tcPr>
          <w:p w14:paraId="5FD69134" w14:textId="77777777" w:rsidR="00A56EDD" w:rsidRPr="00B513F4" w:rsidRDefault="00A56EDD" w:rsidP="00231A65">
            <w:pPr>
              <w:spacing w:after="0" w:line="240" w:lineRule="auto"/>
              <w:rPr>
                <w:sz w:val="20"/>
              </w:rPr>
            </w:pPr>
            <w:r w:rsidRPr="00B513F4">
              <w:rPr>
                <w:sz w:val="20"/>
              </w:rPr>
              <w:t>Sub-Saharan Africa (WDI 2011)</w:t>
            </w:r>
          </w:p>
        </w:tc>
        <w:tc>
          <w:tcPr>
            <w:tcW w:w="4410" w:type="dxa"/>
            <w:tcBorders>
              <w:top w:val="single" w:sz="4" w:space="0" w:color="auto"/>
              <w:bottom w:val="single" w:sz="4" w:space="0" w:color="auto"/>
            </w:tcBorders>
          </w:tcPr>
          <w:p w14:paraId="458D6CB4" w14:textId="77777777" w:rsidR="00A56EDD" w:rsidRPr="00B513F4" w:rsidRDefault="00A56EDD" w:rsidP="00231A65">
            <w:pPr>
              <w:spacing w:after="0" w:line="240" w:lineRule="auto"/>
              <w:rPr>
                <w:sz w:val="20"/>
              </w:rPr>
            </w:pPr>
            <w:r w:rsidRPr="00B513F4">
              <w:rPr>
                <w:sz w:val="20"/>
              </w:rPr>
              <w:t>62</w:t>
            </w:r>
          </w:p>
        </w:tc>
      </w:tr>
    </w:tbl>
    <w:p w14:paraId="7BAAB055" w14:textId="363CCF50" w:rsidR="00A56EDD" w:rsidRPr="006F6CBB" w:rsidRDefault="00A56EDD" w:rsidP="00A56EDD">
      <w:pPr>
        <w:spacing w:after="0" w:line="240" w:lineRule="auto"/>
        <w:rPr>
          <w:sz w:val="20"/>
        </w:rPr>
      </w:pPr>
      <w:r w:rsidRPr="006F6CBB">
        <w:rPr>
          <w:i/>
          <w:sz w:val="20"/>
        </w:rPr>
        <w:t>Source:</w:t>
      </w:r>
      <w:r w:rsidRPr="006F6CBB">
        <w:rPr>
          <w:sz w:val="20"/>
        </w:rPr>
        <w:t xml:space="preserve"> http://www.imf.org/external/pubs/ft/survey/so/2011/car071811a.htm, table 2</w:t>
      </w:r>
      <w:r w:rsidR="004B270B" w:rsidRPr="006F6CBB">
        <w:rPr>
          <w:sz w:val="20"/>
        </w:rPr>
        <w:t>.</w:t>
      </w:r>
    </w:p>
    <w:p w14:paraId="5E3BB53F" w14:textId="0C546E12" w:rsidR="00A56EDD" w:rsidRPr="006F6CBB" w:rsidRDefault="003149AD" w:rsidP="00A56EDD">
      <w:pPr>
        <w:spacing w:after="0" w:line="240" w:lineRule="auto"/>
        <w:rPr>
          <w:sz w:val="20"/>
        </w:rPr>
      </w:pPr>
      <w:r w:rsidRPr="001A6941">
        <w:rPr>
          <w:i/>
          <w:sz w:val="20"/>
        </w:rPr>
        <w:t>Note:</w:t>
      </w:r>
      <w:r w:rsidRPr="006F6CBB">
        <w:rPr>
          <w:sz w:val="20"/>
        </w:rPr>
        <w:t xml:space="preserve"> </w:t>
      </w:r>
      <w:r w:rsidR="00A56EDD" w:rsidRPr="006F6CBB">
        <w:rPr>
          <w:sz w:val="20"/>
        </w:rPr>
        <w:t>*</w:t>
      </w:r>
      <w:r w:rsidR="004B270B" w:rsidRPr="006F6CBB">
        <w:rPr>
          <w:sz w:val="20"/>
        </w:rPr>
        <w:t xml:space="preserve"> </w:t>
      </w:r>
      <w:r w:rsidR="00A56EDD" w:rsidRPr="006F6CBB">
        <w:rPr>
          <w:sz w:val="20"/>
        </w:rPr>
        <w:t>World Bank (2012b); according to the report, about 70</w:t>
      </w:r>
      <w:r w:rsidR="0093206E" w:rsidRPr="006F6CBB">
        <w:rPr>
          <w:sz w:val="20"/>
        </w:rPr>
        <w:t xml:space="preserve"> percent</w:t>
      </w:r>
      <w:r w:rsidR="00A56EDD" w:rsidRPr="006F6CBB">
        <w:rPr>
          <w:sz w:val="20"/>
        </w:rPr>
        <w:t xml:space="preserve"> of those originally enrolled complete grade 4</w:t>
      </w:r>
      <w:r w:rsidR="004B270B" w:rsidRPr="006F6CBB">
        <w:rPr>
          <w:sz w:val="20"/>
        </w:rPr>
        <w:t>,</w:t>
      </w:r>
      <w:r w:rsidR="00A56EDD" w:rsidRPr="006F6CBB">
        <w:rPr>
          <w:sz w:val="20"/>
        </w:rPr>
        <w:t xml:space="preserve"> after this, continuation drops steeply.</w:t>
      </w:r>
    </w:p>
    <w:p w14:paraId="611E0971" w14:textId="4F272D2B" w:rsidR="00A56EDD" w:rsidRPr="00B513F4" w:rsidRDefault="00A56EDD" w:rsidP="004723BC">
      <w:pPr>
        <w:tabs>
          <w:tab w:val="left" w:pos="8013"/>
        </w:tabs>
        <w:spacing w:before="240"/>
        <w:jc w:val="both"/>
      </w:pPr>
      <w:r w:rsidRPr="00B513F4">
        <w:t>The Bank’s 2012 report on the Education Sector in South Sudan notes: “Since April 2005, when the Joint Assessment Mission for Sudan prepared a framework that described the capacity building necessary in South Sudan to provide adequate services and improve progress toward the Millennium Development Goals, the G</w:t>
      </w:r>
      <w:r w:rsidR="00BB24E5">
        <w:t>O</w:t>
      </w:r>
      <w:r w:rsidRPr="00B513F4">
        <w:t xml:space="preserve">SS has made remarkable progress in building institutions and improving service delivery, including in education.” (World Bank 2012b, xiv). </w:t>
      </w:r>
    </w:p>
    <w:p w14:paraId="585D2B1C" w14:textId="42545F91" w:rsidR="00A56EDD" w:rsidRPr="00B513F4" w:rsidRDefault="00A56EDD" w:rsidP="00A56EDD">
      <w:pPr>
        <w:tabs>
          <w:tab w:val="left" w:pos="8013"/>
        </w:tabs>
        <w:jc w:val="both"/>
      </w:pPr>
      <w:r w:rsidRPr="00B513F4">
        <w:t>School enrolment is estimated to have grown from 0.7</w:t>
      </w:r>
      <w:r w:rsidR="00FB0D2E">
        <w:t xml:space="preserve"> </w:t>
      </w:r>
      <w:r w:rsidRPr="00B513F4">
        <w:t>m</w:t>
      </w:r>
      <w:r w:rsidR="00FB0D2E">
        <w:t>illion</w:t>
      </w:r>
      <w:r w:rsidRPr="00B513F4">
        <w:t xml:space="preserve"> children at the signing of the CPA in 2005 to 1.4</w:t>
      </w:r>
      <w:r w:rsidR="00FB0D2E">
        <w:t xml:space="preserve"> </w:t>
      </w:r>
      <w:r w:rsidRPr="00B513F4">
        <w:t>m</w:t>
      </w:r>
      <w:r w:rsidR="00FB0D2E">
        <w:t>illion</w:t>
      </w:r>
      <w:r w:rsidRPr="00B513F4">
        <w:t xml:space="preserve"> children by 2009</w:t>
      </w:r>
      <w:r w:rsidRPr="00B513F4">
        <w:rPr>
          <w:rStyle w:val="FootnoteReference"/>
        </w:rPr>
        <w:footnoteReference w:id="30"/>
      </w:r>
      <w:r w:rsidRPr="00B513F4">
        <w:t xml:space="preserve"> and 1.42</w:t>
      </w:r>
      <w:r w:rsidR="00FB0D2E">
        <w:t xml:space="preserve"> </w:t>
      </w:r>
      <w:r w:rsidRPr="00B513F4">
        <w:t>m</w:t>
      </w:r>
      <w:r w:rsidR="00FB0D2E">
        <w:t>illion</w:t>
      </w:r>
      <w:r w:rsidRPr="00B513F4">
        <w:t xml:space="preserve"> as of 2012 (1.366</w:t>
      </w:r>
      <w:r w:rsidR="00FB0D2E">
        <w:t xml:space="preserve"> </w:t>
      </w:r>
      <w:r w:rsidRPr="00B513F4">
        <w:t>m</w:t>
      </w:r>
      <w:r w:rsidR="00FB0D2E">
        <w:t>illion</w:t>
      </w:r>
      <w:r w:rsidRPr="00B513F4">
        <w:t xml:space="preserve"> primary and 56</w:t>
      </w:r>
      <w:r w:rsidR="00FB0D2E">
        <w:t>,000</w:t>
      </w:r>
      <w:r w:rsidRPr="00B513F4">
        <w:t xml:space="preserve"> secondary). For </w:t>
      </w:r>
      <w:r w:rsidR="00F6264F">
        <w:t>FY</w:t>
      </w:r>
      <w:r w:rsidRPr="00B513F4">
        <w:t xml:space="preserve">2012/13, 29,466 staff were on the payroll of the Ministry of General Education at </w:t>
      </w:r>
      <w:r w:rsidR="00F6264F">
        <w:t xml:space="preserve">the </w:t>
      </w:r>
      <w:r w:rsidRPr="00B513F4">
        <w:t>subnational levels. Assuming that three-quarters of employees actually work as teachers and that enrolment had expanded further to 1.8</w:t>
      </w:r>
      <w:r w:rsidR="00F6264F">
        <w:t xml:space="preserve"> </w:t>
      </w:r>
      <w:r w:rsidRPr="00B513F4">
        <w:t>m</w:t>
      </w:r>
      <w:r w:rsidR="00F6264F">
        <w:t>illion</w:t>
      </w:r>
      <w:r w:rsidRPr="00B513F4">
        <w:t>, this implies a student to teacher ratio of around 80:1. This indicates the scale of the challenge of adequately staffing frontline delivery of services. In addition to regular teachers, many schools employ ‘voluntary’ teachers who are hired by local comm</w:t>
      </w:r>
      <w:r w:rsidR="002B5CE3">
        <w:t xml:space="preserve">unities and school principals. </w:t>
      </w:r>
      <w:r w:rsidRPr="00B513F4">
        <w:t>These ‘volunteer teachers’ receive whatever pay can be made available, while expecting eventual regularization. Recent EMIS data show about 7,000 volunteer teachers.</w:t>
      </w:r>
      <w:r w:rsidRPr="00B513F4">
        <w:rPr>
          <w:rStyle w:val="FootnoteReference"/>
        </w:rPr>
        <w:footnoteReference w:id="31"/>
      </w:r>
      <w:r w:rsidRPr="00B513F4">
        <w:t xml:space="preserve"> Therefore, the de facto teacher-student ratio is estimated to be closer to 50:1 (World Bank 2012</w:t>
      </w:r>
      <w:r w:rsidR="001A6941">
        <w:t>b</w:t>
      </w:r>
      <w:r w:rsidRPr="00B513F4">
        <w:t>, 6</w:t>
      </w:r>
      <w:r w:rsidR="00F6264F">
        <w:t>—</w:t>
      </w:r>
      <w:r w:rsidRPr="00B513F4">
        <w:t xml:space="preserve">based on 2009 data); however, as noted and reflected in </w:t>
      </w:r>
      <w:r w:rsidR="00AF7882">
        <w:fldChar w:fldCharType="begin"/>
      </w:r>
      <w:r w:rsidR="00AF7882">
        <w:instrText xml:space="preserve"> REF _Ref447468991 \h </w:instrText>
      </w:r>
      <w:r w:rsidR="00AF7882">
        <w:fldChar w:fldCharType="separate"/>
      </w:r>
      <w:r w:rsidR="00AF7882">
        <w:t xml:space="preserve">table </w:t>
      </w:r>
      <w:r w:rsidR="00AF7882">
        <w:rPr>
          <w:noProof/>
        </w:rPr>
        <w:t>6</w:t>
      </w:r>
      <w:r w:rsidR="00AF7882">
        <w:fldChar w:fldCharType="end"/>
      </w:r>
      <w:r w:rsidRPr="00B513F4">
        <w:t>, enrolment should still be expected to grow further over the coming years. Furthermore, there is considerable variation across states: teacher-student ratios range from 88:1 in Jonglei to 33:1 in Eastern Equatoria</w:t>
      </w:r>
      <w:r w:rsidR="00AF7882">
        <w:t>,</w:t>
      </w:r>
      <w:r w:rsidRPr="00B513F4">
        <w:t xml:space="preserve"> according to government statistics for 2012.</w:t>
      </w:r>
      <w:r w:rsidRPr="00B513F4">
        <w:rPr>
          <w:rStyle w:val="FootnoteReference"/>
        </w:rPr>
        <w:footnoteReference w:id="32"/>
      </w:r>
    </w:p>
    <w:p w14:paraId="094BC311" w14:textId="4C99C2E6" w:rsidR="00A56EDD" w:rsidRPr="00B513F4" w:rsidRDefault="00A56EDD" w:rsidP="00A56EDD">
      <w:pPr>
        <w:tabs>
          <w:tab w:val="left" w:pos="8013"/>
        </w:tabs>
        <w:jc w:val="both"/>
      </w:pPr>
      <w:r w:rsidRPr="00B513F4">
        <w:rPr>
          <w:b/>
        </w:rPr>
        <w:t>As the example of the education sector illustrates, a significant expansion of public sector employment and of fiscal resources for wage and nonwage expenditures will be needed to pursue key sector goals, such as universal primary education (MDG 2)</w:t>
      </w:r>
      <w:r w:rsidRPr="001A6941">
        <w:rPr>
          <w:b/>
        </w:rPr>
        <w:t>.</w:t>
      </w:r>
      <w:r w:rsidRPr="00B513F4">
        <w:t xml:space="preserve"> </w:t>
      </w:r>
      <w:r w:rsidRPr="00B513F4">
        <w:rPr>
          <w:color w:val="000000" w:themeColor="text1"/>
        </w:rPr>
        <w:t xml:space="preserve">Teachers are typically offered a starting salary of </w:t>
      </w:r>
      <w:r w:rsidR="00B623FB">
        <w:rPr>
          <w:color w:val="000000" w:themeColor="text1"/>
        </w:rPr>
        <w:t xml:space="preserve">SSP </w:t>
      </w:r>
      <w:r w:rsidRPr="00B513F4">
        <w:rPr>
          <w:color w:val="000000" w:themeColor="text1"/>
        </w:rPr>
        <w:t xml:space="preserve">320 per month (~ </w:t>
      </w:r>
      <w:r w:rsidR="00CF7BB4">
        <w:rPr>
          <w:color w:val="000000" w:themeColor="text1"/>
        </w:rPr>
        <w:t>US$</w:t>
      </w:r>
      <w:r w:rsidRPr="00B513F4">
        <w:rPr>
          <w:color w:val="000000" w:themeColor="text1"/>
        </w:rPr>
        <w:t xml:space="preserve">91 as of 2013 at grade 14 of </w:t>
      </w:r>
      <w:r w:rsidRPr="00B513F4">
        <w:t>the public sector pay scale).</w:t>
      </w:r>
      <w:r w:rsidRPr="00B513F4">
        <w:rPr>
          <w:rStyle w:val="FootnoteReference"/>
        </w:rPr>
        <w:footnoteReference w:id="33"/>
      </w:r>
      <w:r w:rsidRPr="00B513F4">
        <w:t xml:space="preserve"> As part of the discussions </w:t>
      </w:r>
      <w:r w:rsidR="00DF1918">
        <w:t>on</w:t>
      </w:r>
      <w:r w:rsidR="00DF1918" w:rsidRPr="00B513F4">
        <w:t xml:space="preserve"> </w:t>
      </w:r>
      <w:r w:rsidRPr="00B513F4">
        <w:t>how to strengthen subnational service delivery, it has been suggested that up to around 10,000 teachers should be considered for being moved to higher grade levels, or should be brought onto the public sector payroll (from being ‘volunteer’ teachers). Furthermore, the Ministry of Education with support from donors has initiated programs to improve the qualifications of existing teachers; and about 2</w:t>
      </w:r>
      <w:r w:rsidR="00DF1918">
        <w:t>,</w:t>
      </w:r>
      <w:r w:rsidRPr="00B513F4">
        <w:t xml:space="preserve">500 students </w:t>
      </w:r>
      <w:r w:rsidRPr="00B513F4">
        <w:lastRenderedPageBreak/>
        <w:t>were enrolled in public and private teacher preparation classes in 2009. However, the 27 government</w:t>
      </w:r>
      <w:r w:rsidR="002C0699">
        <w:t>-</w:t>
      </w:r>
      <w:r w:rsidRPr="00B513F4">
        <w:t xml:space="preserve">funded </w:t>
      </w:r>
      <w:r w:rsidR="00945E37">
        <w:t xml:space="preserve">Teacher Training Institutes </w:t>
      </w:r>
      <w:r w:rsidRPr="00B513F4">
        <w:t>re</w:t>
      </w:r>
      <w:r w:rsidR="00945E37">
        <w:t>main underfunded (Dom 2013</w:t>
      </w:r>
      <w:r w:rsidRPr="00B513F4">
        <w:t xml:space="preserve">). </w:t>
      </w:r>
    </w:p>
    <w:p w14:paraId="6C06D021" w14:textId="4E9FFE91" w:rsidR="00A56EDD" w:rsidRPr="007667B4" w:rsidRDefault="00A56EDD" w:rsidP="007667B4">
      <w:pPr>
        <w:tabs>
          <w:tab w:val="left" w:pos="8013"/>
        </w:tabs>
        <w:jc w:val="both"/>
      </w:pPr>
      <w:r w:rsidRPr="00B513F4">
        <w:t xml:space="preserve">The health sector in South Sudan is also at an early stage of development as reflected in the basic indicators shown in </w:t>
      </w:r>
      <w:r w:rsidR="00C209B2">
        <w:fldChar w:fldCharType="begin"/>
      </w:r>
      <w:r w:rsidR="00C209B2">
        <w:instrText xml:space="preserve"> REF _Ref447469761 \h </w:instrText>
      </w:r>
      <w:r w:rsidR="00C209B2">
        <w:fldChar w:fldCharType="separate"/>
      </w:r>
      <w:r w:rsidR="00C209B2">
        <w:t xml:space="preserve">table </w:t>
      </w:r>
      <w:r w:rsidR="00C209B2">
        <w:rPr>
          <w:noProof/>
        </w:rPr>
        <w:t>8</w:t>
      </w:r>
      <w:r w:rsidR="00C209B2">
        <w:fldChar w:fldCharType="end"/>
      </w:r>
      <w:r w:rsidRPr="00B513F4">
        <w:t xml:space="preserve">. According to the 2005 </w:t>
      </w:r>
      <w:r w:rsidR="00CC4BA3">
        <w:t>Joint Assessment Mission (</w:t>
      </w:r>
      <w:r w:rsidRPr="00B513F4">
        <w:t>JAM</w:t>
      </w:r>
      <w:r w:rsidR="00CC4BA3">
        <w:t>)</w:t>
      </w:r>
      <w:r w:rsidRPr="00B513F4">
        <w:t xml:space="preserve"> Report, South Sudan had less than 1 physician per 100,000 people, </w:t>
      </w:r>
      <w:r w:rsidR="0093206E">
        <w:t>that is,</w:t>
      </w:r>
      <w:r w:rsidRPr="00B513F4">
        <w:t xml:space="preserve"> less than 100 physicians for the entire country (JAM 2005</w:t>
      </w:r>
      <w:r w:rsidR="00CC4BA3">
        <w:t>,</w:t>
      </w:r>
      <w:r w:rsidRPr="00B513F4">
        <w:t xml:space="preserve"> vol. 1, 19) at the time. By the end of the decade, the ratio rose to about 1.5 doctors and 2 nurses per 100,000 p</w:t>
      </w:r>
      <w:r w:rsidR="00CC4BA3">
        <w:t>eople—</w:t>
      </w:r>
      <w:r w:rsidRPr="00B513F4">
        <w:t xml:space="preserve">which remains extremely low by regional standards (see </w:t>
      </w:r>
      <w:r w:rsidR="00CC4BA3">
        <w:fldChar w:fldCharType="begin"/>
      </w:r>
      <w:r w:rsidR="00CC4BA3">
        <w:instrText xml:space="preserve"> REF _Ref447471647 \h </w:instrText>
      </w:r>
      <w:r w:rsidR="00CC4BA3">
        <w:fldChar w:fldCharType="separate"/>
      </w:r>
      <w:r w:rsidR="00CC4BA3">
        <w:t xml:space="preserve">table </w:t>
      </w:r>
      <w:r w:rsidR="00CC4BA3">
        <w:rPr>
          <w:noProof/>
        </w:rPr>
        <w:t>10</w:t>
      </w:r>
      <w:r w:rsidR="00CC4BA3">
        <w:fldChar w:fldCharType="end"/>
      </w:r>
      <w:r w:rsidRPr="00B513F4">
        <w:t>; MoH 2012</w:t>
      </w:r>
      <w:r w:rsidR="005A3E74">
        <w:t>, 11</w:t>
      </w:r>
      <w:r w:rsidRPr="00B513F4">
        <w:t xml:space="preserve">). As noted, current health care provision is bolstered by significant engagement of development partners in the sector. In 2014, the </w:t>
      </w:r>
      <w:r w:rsidR="007667B4">
        <w:t>g</w:t>
      </w:r>
      <w:r w:rsidRPr="00B513F4">
        <w:t>overnment and development partners initiated a strategy for harmonizing the pay</w:t>
      </w:r>
      <w:r w:rsidR="007667B4">
        <w:t xml:space="preserve"> </w:t>
      </w:r>
      <w:r w:rsidRPr="00B513F4">
        <w:t>scales for health sector workers (among donor-funded NGOs and between these</w:t>
      </w:r>
      <w:r w:rsidR="002B5CE3">
        <w:t xml:space="preserve"> and government</w:t>
      </w:r>
      <w:r w:rsidR="007667B4">
        <w:t>-</w:t>
      </w:r>
      <w:r w:rsidR="002B5CE3">
        <w:t>funded staff).</w:t>
      </w:r>
    </w:p>
    <w:p w14:paraId="1010574B" w14:textId="6188E1A6" w:rsidR="00636E49" w:rsidRDefault="00636E49" w:rsidP="00636E49">
      <w:pPr>
        <w:pStyle w:val="Caption"/>
        <w:keepNext/>
      </w:pPr>
      <w:bookmarkStart w:id="25" w:name="_Ref447469761"/>
      <w:r>
        <w:t xml:space="preserve">Table </w:t>
      </w:r>
      <w:fldSimple w:instr=" SEQ Table \* ARABIC ">
        <w:r w:rsidR="00FA6F6C">
          <w:rPr>
            <w:noProof/>
          </w:rPr>
          <w:t>8</w:t>
        </w:r>
      </w:fldSimple>
      <w:bookmarkEnd w:id="25"/>
      <w:r>
        <w:t xml:space="preserve">. </w:t>
      </w:r>
      <w:r w:rsidRPr="00FB7557">
        <w:t xml:space="preserve">Indicators </w:t>
      </w:r>
      <w:r w:rsidR="000277D5">
        <w:t xml:space="preserve">of </w:t>
      </w:r>
      <w:r w:rsidRPr="00FB7557">
        <w:t>Health Status</w:t>
      </w:r>
      <w:r w:rsidR="000277D5">
        <w:t>,</w:t>
      </w:r>
      <w:r w:rsidR="00CB3DFC">
        <w:t xml:space="preserve"> South</w:t>
      </w:r>
      <w:r w:rsidRPr="00FB7557">
        <w:t xml:space="preserve"> Sudan</w:t>
      </w:r>
    </w:p>
    <w:tbl>
      <w:tblPr>
        <w:tblW w:w="0" w:type="auto"/>
        <w:jc w:val="center"/>
        <w:tblBorders>
          <w:top w:val="nil"/>
          <w:left w:val="nil"/>
          <w:bottom w:val="nil"/>
          <w:right w:val="nil"/>
        </w:tblBorders>
        <w:tblLook w:val="0000" w:firstRow="0" w:lastRow="0" w:firstColumn="0" w:lastColumn="0" w:noHBand="0" w:noVBand="0"/>
      </w:tblPr>
      <w:tblGrid>
        <w:gridCol w:w="2179"/>
        <w:gridCol w:w="1421"/>
        <w:gridCol w:w="1440"/>
        <w:gridCol w:w="3420"/>
      </w:tblGrid>
      <w:tr w:rsidR="00636E49" w:rsidRPr="00636E49" w14:paraId="45615DD1" w14:textId="77777777" w:rsidTr="00EC0B37">
        <w:trPr>
          <w:trHeight w:val="172"/>
          <w:jc w:val="center"/>
        </w:trPr>
        <w:tc>
          <w:tcPr>
            <w:tcW w:w="2179" w:type="dxa"/>
            <w:tcBorders>
              <w:bottom w:val="single" w:sz="4" w:space="0" w:color="auto"/>
              <w:right w:val="single" w:sz="4" w:space="0" w:color="auto"/>
            </w:tcBorders>
          </w:tcPr>
          <w:p w14:paraId="5DF18919" w14:textId="7672E87C" w:rsidR="00636E49" w:rsidRPr="00636E49" w:rsidRDefault="00636E49" w:rsidP="00F84485">
            <w:pPr>
              <w:pStyle w:val="Default"/>
              <w:pBdr>
                <w:between w:val="single" w:sz="4" w:space="1" w:color="auto"/>
              </w:pBdr>
              <w:jc w:val="center"/>
              <w:rPr>
                <w:rFonts w:asciiTheme="minorHAnsi" w:hAnsiTheme="minorHAnsi"/>
                <w:b/>
                <w:sz w:val="20"/>
                <w:szCs w:val="20"/>
              </w:rPr>
            </w:pPr>
            <w:r w:rsidRPr="00636E49">
              <w:rPr>
                <w:rFonts w:asciiTheme="minorHAnsi" w:hAnsiTheme="minorHAnsi"/>
                <w:b/>
                <w:sz w:val="20"/>
                <w:szCs w:val="20"/>
              </w:rPr>
              <w:t>Indicator</w:t>
            </w:r>
          </w:p>
        </w:tc>
        <w:tc>
          <w:tcPr>
            <w:tcW w:w="1421" w:type="dxa"/>
            <w:tcBorders>
              <w:left w:val="single" w:sz="4" w:space="0" w:color="auto"/>
              <w:bottom w:val="single" w:sz="4" w:space="0" w:color="auto"/>
              <w:right w:val="single" w:sz="4" w:space="0" w:color="auto"/>
            </w:tcBorders>
          </w:tcPr>
          <w:p w14:paraId="16256E68" w14:textId="314DE2A5" w:rsidR="00636E49" w:rsidRPr="00636E49" w:rsidRDefault="00636E49" w:rsidP="00F84485">
            <w:pPr>
              <w:pStyle w:val="Default"/>
              <w:pBdr>
                <w:between w:val="single" w:sz="4" w:space="1" w:color="auto"/>
              </w:pBdr>
              <w:jc w:val="center"/>
              <w:rPr>
                <w:rFonts w:asciiTheme="minorHAnsi" w:hAnsiTheme="minorHAnsi"/>
                <w:sz w:val="20"/>
                <w:szCs w:val="20"/>
              </w:rPr>
            </w:pPr>
            <w:r w:rsidRPr="00636E49">
              <w:rPr>
                <w:rFonts w:asciiTheme="minorHAnsi" w:hAnsiTheme="minorHAnsi"/>
                <w:b/>
                <w:bCs/>
                <w:sz w:val="20"/>
                <w:szCs w:val="20"/>
              </w:rPr>
              <w:t>South Sudan</w:t>
            </w:r>
          </w:p>
        </w:tc>
        <w:tc>
          <w:tcPr>
            <w:tcW w:w="1440" w:type="dxa"/>
            <w:tcBorders>
              <w:left w:val="single" w:sz="4" w:space="0" w:color="auto"/>
              <w:bottom w:val="single" w:sz="4" w:space="0" w:color="auto"/>
              <w:right w:val="single" w:sz="4" w:space="0" w:color="auto"/>
            </w:tcBorders>
          </w:tcPr>
          <w:p w14:paraId="35095BF5" w14:textId="16962E79" w:rsidR="00636E49" w:rsidRPr="00636E49" w:rsidRDefault="00636E49" w:rsidP="00CB3DFC">
            <w:pPr>
              <w:pStyle w:val="Default"/>
              <w:pBdr>
                <w:between w:val="single" w:sz="4" w:space="1" w:color="auto"/>
              </w:pBdr>
              <w:jc w:val="center"/>
              <w:rPr>
                <w:rFonts w:asciiTheme="minorHAnsi" w:hAnsiTheme="minorHAnsi"/>
                <w:b/>
                <w:sz w:val="20"/>
                <w:szCs w:val="20"/>
              </w:rPr>
            </w:pPr>
            <w:r w:rsidRPr="00636E49">
              <w:rPr>
                <w:rFonts w:asciiTheme="minorHAnsi" w:hAnsiTheme="minorHAnsi"/>
                <w:b/>
                <w:sz w:val="20"/>
                <w:szCs w:val="20"/>
              </w:rPr>
              <w:t xml:space="preserve">Regional </w:t>
            </w:r>
            <w:r w:rsidR="000277D5">
              <w:rPr>
                <w:rFonts w:asciiTheme="minorHAnsi" w:hAnsiTheme="minorHAnsi"/>
                <w:b/>
                <w:sz w:val="20"/>
                <w:szCs w:val="20"/>
              </w:rPr>
              <w:t>L</w:t>
            </w:r>
            <w:r w:rsidRPr="00636E49">
              <w:rPr>
                <w:rFonts w:asciiTheme="minorHAnsi" w:hAnsiTheme="minorHAnsi"/>
                <w:b/>
                <w:sz w:val="20"/>
                <w:szCs w:val="20"/>
              </w:rPr>
              <w:t xml:space="preserve">evel </w:t>
            </w:r>
            <w:r w:rsidR="000277D5">
              <w:rPr>
                <w:rFonts w:asciiTheme="minorHAnsi" w:hAnsiTheme="minorHAnsi"/>
                <w:b/>
                <w:sz w:val="20"/>
                <w:szCs w:val="20"/>
              </w:rPr>
              <w:t>A</w:t>
            </w:r>
            <w:r w:rsidRPr="00636E49">
              <w:rPr>
                <w:rFonts w:asciiTheme="minorHAnsi" w:hAnsiTheme="minorHAnsi"/>
                <w:b/>
                <w:sz w:val="20"/>
                <w:szCs w:val="20"/>
              </w:rPr>
              <w:t>verages</w:t>
            </w:r>
          </w:p>
        </w:tc>
        <w:tc>
          <w:tcPr>
            <w:tcW w:w="3420" w:type="dxa"/>
            <w:tcBorders>
              <w:left w:val="single" w:sz="4" w:space="0" w:color="auto"/>
              <w:bottom w:val="single" w:sz="4" w:space="0" w:color="auto"/>
            </w:tcBorders>
          </w:tcPr>
          <w:p w14:paraId="4319871E" w14:textId="5EE02C1F" w:rsidR="00636E49" w:rsidRPr="00636E49" w:rsidRDefault="00636E49" w:rsidP="00F84485">
            <w:pPr>
              <w:pStyle w:val="Default"/>
              <w:pBdr>
                <w:between w:val="single" w:sz="4" w:space="1" w:color="auto"/>
              </w:pBdr>
              <w:jc w:val="center"/>
              <w:rPr>
                <w:rFonts w:asciiTheme="minorHAnsi" w:hAnsiTheme="minorHAnsi"/>
                <w:b/>
                <w:sz w:val="20"/>
                <w:szCs w:val="20"/>
              </w:rPr>
            </w:pPr>
            <w:r w:rsidRPr="00636E49">
              <w:rPr>
                <w:rFonts w:asciiTheme="minorHAnsi" w:hAnsiTheme="minorHAnsi"/>
                <w:b/>
                <w:sz w:val="20"/>
                <w:szCs w:val="20"/>
              </w:rPr>
              <w:t>Indicator Key</w:t>
            </w:r>
          </w:p>
        </w:tc>
      </w:tr>
      <w:tr w:rsidR="00636E49" w:rsidRPr="00636E49" w14:paraId="0DAB715F" w14:textId="77777777" w:rsidTr="00EC0B37">
        <w:trPr>
          <w:trHeight w:val="76"/>
          <w:jc w:val="center"/>
        </w:trPr>
        <w:tc>
          <w:tcPr>
            <w:tcW w:w="2179" w:type="dxa"/>
            <w:tcBorders>
              <w:top w:val="single" w:sz="4" w:space="0" w:color="auto"/>
              <w:bottom w:val="single" w:sz="4" w:space="0" w:color="auto"/>
              <w:right w:val="single" w:sz="4" w:space="0" w:color="auto"/>
            </w:tcBorders>
          </w:tcPr>
          <w:p w14:paraId="4359058D" w14:textId="77777777" w:rsidR="00636E49" w:rsidRPr="00636E49" w:rsidRDefault="00636E49" w:rsidP="005F7B70">
            <w:pPr>
              <w:pStyle w:val="Default"/>
              <w:pBdr>
                <w:between w:val="single" w:sz="4" w:space="1" w:color="auto"/>
              </w:pBdr>
              <w:rPr>
                <w:rFonts w:asciiTheme="minorHAnsi" w:hAnsiTheme="minorHAnsi"/>
                <w:sz w:val="20"/>
                <w:szCs w:val="20"/>
              </w:rPr>
            </w:pPr>
            <w:r w:rsidRPr="00636E49">
              <w:rPr>
                <w:rFonts w:asciiTheme="minorHAnsi" w:hAnsiTheme="minorHAnsi"/>
                <w:sz w:val="20"/>
                <w:szCs w:val="20"/>
              </w:rPr>
              <w:t xml:space="preserve">Maternal Mortality Rate </w:t>
            </w:r>
          </w:p>
        </w:tc>
        <w:tc>
          <w:tcPr>
            <w:tcW w:w="1421" w:type="dxa"/>
            <w:tcBorders>
              <w:top w:val="single" w:sz="4" w:space="0" w:color="auto"/>
              <w:left w:val="single" w:sz="4" w:space="0" w:color="auto"/>
              <w:bottom w:val="single" w:sz="4" w:space="0" w:color="auto"/>
              <w:right w:val="single" w:sz="4" w:space="0" w:color="auto"/>
            </w:tcBorders>
          </w:tcPr>
          <w:p w14:paraId="4936B7E8" w14:textId="7658D18A" w:rsidR="00636E49" w:rsidRPr="00636E49" w:rsidRDefault="00636E49" w:rsidP="00665FEC">
            <w:pPr>
              <w:pStyle w:val="Default"/>
              <w:pBdr>
                <w:between w:val="single" w:sz="4" w:space="1" w:color="auto"/>
              </w:pBdr>
              <w:jc w:val="center"/>
              <w:rPr>
                <w:rFonts w:asciiTheme="minorHAnsi" w:hAnsiTheme="minorHAnsi"/>
                <w:sz w:val="20"/>
                <w:szCs w:val="20"/>
              </w:rPr>
            </w:pPr>
            <w:r w:rsidRPr="00636E49">
              <w:rPr>
                <w:rFonts w:asciiTheme="minorHAnsi" w:hAnsiTheme="minorHAnsi"/>
                <w:b/>
                <w:bCs/>
                <w:sz w:val="20"/>
                <w:szCs w:val="20"/>
              </w:rPr>
              <w:t>2,054</w:t>
            </w:r>
          </w:p>
        </w:tc>
        <w:tc>
          <w:tcPr>
            <w:tcW w:w="1440" w:type="dxa"/>
            <w:tcBorders>
              <w:top w:val="single" w:sz="4" w:space="0" w:color="auto"/>
              <w:left w:val="single" w:sz="4" w:space="0" w:color="auto"/>
              <w:bottom w:val="single" w:sz="4" w:space="0" w:color="auto"/>
              <w:right w:val="single" w:sz="4" w:space="0" w:color="auto"/>
            </w:tcBorders>
          </w:tcPr>
          <w:p w14:paraId="533A1646" w14:textId="3BCBAC98" w:rsidR="00636E49" w:rsidRPr="00636E49" w:rsidRDefault="00636E49" w:rsidP="00665FEC">
            <w:pPr>
              <w:pStyle w:val="Default"/>
              <w:pBdr>
                <w:between w:val="single" w:sz="4" w:space="1" w:color="auto"/>
              </w:pBdr>
              <w:jc w:val="center"/>
              <w:rPr>
                <w:rFonts w:asciiTheme="minorHAnsi" w:hAnsiTheme="minorHAnsi"/>
                <w:sz w:val="20"/>
                <w:szCs w:val="20"/>
              </w:rPr>
            </w:pPr>
            <w:r w:rsidRPr="00636E49">
              <w:rPr>
                <w:rFonts w:asciiTheme="minorHAnsi" w:hAnsiTheme="minorHAnsi"/>
                <w:sz w:val="20"/>
                <w:szCs w:val="20"/>
              </w:rPr>
              <w:t>210</w:t>
            </w:r>
          </w:p>
        </w:tc>
        <w:tc>
          <w:tcPr>
            <w:tcW w:w="3420" w:type="dxa"/>
            <w:tcBorders>
              <w:top w:val="single" w:sz="4" w:space="0" w:color="auto"/>
              <w:left w:val="single" w:sz="4" w:space="0" w:color="auto"/>
              <w:bottom w:val="single" w:sz="4" w:space="0" w:color="auto"/>
            </w:tcBorders>
          </w:tcPr>
          <w:p w14:paraId="767550D8" w14:textId="77777777" w:rsidR="00636E49" w:rsidRPr="00636E49" w:rsidRDefault="00636E49" w:rsidP="005F7B70">
            <w:pPr>
              <w:pStyle w:val="Default"/>
              <w:pBdr>
                <w:between w:val="single" w:sz="4" w:space="1" w:color="auto"/>
              </w:pBdr>
              <w:rPr>
                <w:rFonts w:asciiTheme="minorHAnsi" w:hAnsiTheme="minorHAnsi"/>
                <w:sz w:val="20"/>
                <w:szCs w:val="20"/>
              </w:rPr>
            </w:pPr>
            <w:r w:rsidRPr="00636E49">
              <w:rPr>
                <w:rFonts w:asciiTheme="minorHAnsi" w:hAnsiTheme="minorHAnsi"/>
                <w:sz w:val="20"/>
                <w:szCs w:val="20"/>
              </w:rPr>
              <w:t xml:space="preserve">Deaths per 100,000 live births </w:t>
            </w:r>
          </w:p>
        </w:tc>
      </w:tr>
      <w:tr w:rsidR="00636E49" w:rsidRPr="00636E49" w14:paraId="0441FA3E" w14:textId="77777777" w:rsidTr="00EC0B37">
        <w:trPr>
          <w:trHeight w:val="76"/>
          <w:jc w:val="center"/>
        </w:trPr>
        <w:tc>
          <w:tcPr>
            <w:tcW w:w="2179" w:type="dxa"/>
            <w:tcBorders>
              <w:top w:val="single" w:sz="4" w:space="0" w:color="auto"/>
              <w:bottom w:val="single" w:sz="4" w:space="0" w:color="auto"/>
              <w:right w:val="single" w:sz="4" w:space="0" w:color="auto"/>
            </w:tcBorders>
          </w:tcPr>
          <w:p w14:paraId="05290994" w14:textId="77777777" w:rsidR="00636E49" w:rsidRPr="00636E49" w:rsidRDefault="00636E49" w:rsidP="005F7B70">
            <w:pPr>
              <w:pStyle w:val="Default"/>
              <w:pBdr>
                <w:between w:val="single" w:sz="4" w:space="1" w:color="auto"/>
              </w:pBdr>
              <w:rPr>
                <w:rFonts w:asciiTheme="minorHAnsi" w:hAnsiTheme="minorHAnsi"/>
                <w:sz w:val="20"/>
                <w:szCs w:val="20"/>
              </w:rPr>
            </w:pPr>
            <w:r w:rsidRPr="00636E49">
              <w:rPr>
                <w:rFonts w:asciiTheme="minorHAnsi" w:hAnsiTheme="minorHAnsi"/>
                <w:sz w:val="20"/>
                <w:szCs w:val="20"/>
              </w:rPr>
              <w:t xml:space="preserve">Infant Mortality Rate </w:t>
            </w:r>
          </w:p>
        </w:tc>
        <w:tc>
          <w:tcPr>
            <w:tcW w:w="1421" w:type="dxa"/>
            <w:tcBorders>
              <w:top w:val="single" w:sz="4" w:space="0" w:color="auto"/>
              <w:left w:val="single" w:sz="4" w:space="0" w:color="auto"/>
              <w:bottom w:val="single" w:sz="4" w:space="0" w:color="auto"/>
              <w:right w:val="single" w:sz="4" w:space="0" w:color="auto"/>
            </w:tcBorders>
          </w:tcPr>
          <w:p w14:paraId="126131DC" w14:textId="486B9857" w:rsidR="00636E49" w:rsidRPr="00636E49" w:rsidRDefault="00636E49" w:rsidP="00665FEC">
            <w:pPr>
              <w:pStyle w:val="Default"/>
              <w:pBdr>
                <w:between w:val="single" w:sz="4" w:space="1" w:color="auto"/>
              </w:pBdr>
              <w:jc w:val="center"/>
              <w:rPr>
                <w:rFonts w:asciiTheme="minorHAnsi" w:hAnsiTheme="minorHAnsi"/>
                <w:sz w:val="20"/>
                <w:szCs w:val="20"/>
              </w:rPr>
            </w:pPr>
            <w:r w:rsidRPr="00636E49">
              <w:rPr>
                <w:rFonts w:asciiTheme="minorHAnsi" w:hAnsiTheme="minorHAnsi"/>
                <w:b/>
                <w:bCs/>
                <w:sz w:val="20"/>
                <w:szCs w:val="20"/>
              </w:rPr>
              <w:t>102</w:t>
            </w:r>
          </w:p>
        </w:tc>
        <w:tc>
          <w:tcPr>
            <w:tcW w:w="1440" w:type="dxa"/>
            <w:tcBorders>
              <w:top w:val="single" w:sz="4" w:space="0" w:color="auto"/>
              <w:left w:val="single" w:sz="4" w:space="0" w:color="auto"/>
              <w:bottom w:val="single" w:sz="4" w:space="0" w:color="auto"/>
              <w:right w:val="single" w:sz="4" w:space="0" w:color="auto"/>
            </w:tcBorders>
          </w:tcPr>
          <w:p w14:paraId="35C27627" w14:textId="0FA90A41" w:rsidR="00636E49" w:rsidRPr="00636E49" w:rsidRDefault="00636E49" w:rsidP="00665FEC">
            <w:pPr>
              <w:pStyle w:val="Default"/>
              <w:pBdr>
                <w:between w:val="single" w:sz="4" w:space="1" w:color="auto"/>
              </w:pBdr>
              <w:jc w:val="center"/>
              <w:rPr>
                <w:rFonts w:asciiTheme="minorHAnsi" w:hAnsiTheme="minorHAnsi"/>
                <w:sz w:val="20"/>
                <w:szCs w:val="20"/>
              </w:rPr>
            </w:pPr>
            <w:r w:rsidRPr="00636E49">
              <w:rPr>
                <w:rFonts w:asciiTheme="minorHAnsi" w:hAnsiTheme="minorHAnsi"/>
                <w:sz w:val="20"/>
                <w:szCs w:val="20"/>
              </w:rPr>
              <w:t>33</w:t>
            </w:r>
          </w:p>
        </w:tc>
        <w:tc>
          <w:tcPr>
            <w:tcW w:w="3420" w:type="dxa"/>
            <w:tcBorders>
              <w:top w:val="single" w:sz="4" w:space="0" w:color="auto"/>
              <w:left w:val="single" w:sz="4" w:space="0" w:color="auto"/>
              <w:bottom w:val="single" w:sz="4" w:space="0" w:color="auto"/>
            </w:tcBorders>
          </w:tcPr>
          <w:p w14:paraId="003B769C" w14:textId="4DE0BED0" w:rsidR="00636E49" w:rsidRPr="00636E49" w:rsidRDefault="00636E49" w:rsidP="005F7B70">
            <w:pPr>
              <w:pStyle w:val="Default"/>
              <w:pBdr>
                <w:between w:val="single" w:sz="4" w:space="1" w:color="auto"/>
              </w:pBdr>
              <w:rPr>
                <w:rFonts w:asciiTheme="minorHAnsi" w:hAnsiTheme="minorHAnsi"/>
                <w:sz w:val="20"/>
                <w:szCs w:val="20"/>
              </w:rPr>
            </w:pPr>
            <w:r w:rsidRPr="00636E49">
              <w:rPr>
                <w:rFonts w:asciiTheme="minorHAnsi" w:hAnsiTheme="minorHAnsi"/>
                <w:sz w:val="20"/>
                <w:szCs w:val="20"/>
              </w:rPr>
              <w:t>Deaths per 1</w:t>
            </w:r>
            <w:r w:rsidR="000277D5">
              <w:rPr>
                <w:rFonts w:asciiTheme="minorHAnsi" w:hAnsiTheme="minorHAnsi"/>
                <w:sz w:val="20"/>
                <w:szCs w:val="20"/>
              </w:rPr>
              <w:t>,</w:t>
            </w:r>
            <w:r w:rsidRPr="00636E49">
              <w:rPr>
                <w:rFonts w:asciiTheme="minorHAnsi" w:hAnsiTheme="minorHAnsi"/>
                <w:sz w:val="20"/>
                <w:szCs w:val="20"/>
              </w:rPr>
              <w:t xml:space="preserve">000 live births </w:t>
            </w:r>
          </w:p>
        </w:tc>
      </w:tr>
      <w:tr w:rsidR="00636E49" w:rsidRPr="00636E49" w14:paraId="7411EA4C" w14:textId="77777777" w:rsidTr="00EC0B37">
        <w:trPr>
          <w:trHeight w:val="76"/>
          <w:jc w:val="center"/>
        </w:trPr>
        <w:tc>
          <w:tcPr>
            <w:tcW w:w="2179" w:type="dxa"/>
            <w:tcBorders>
              <w:top w:val="single" w:sz="4" w:space="0" w:color="auto"/>
              <w:bottom w:val="single" w:sz="4" w:space="0" w:color="auto"/>
              <w:right w:val="single" w:sz="4" w:space="0" w:color="auto"/>
            </w:tcBorders>
          </w:tcPr>
          <w:p w14:paraId="7229DF82" w14:textId="77777777" w:rsidR="00636E49" w:rsidRPr="00636E49" w:rsidRDefault="00636E49" w:rsidP="005F7B70">
            <w:pPr>
              <w:pStyle w:val="Default"/>
              <w:pBdr>
                <w:between w:val="single" w:sz="4" w:space="1" w:color="auto"/>
              </w:pBdr>
              <w:rPr>
                <w:rFonts w:asciiTheme="minorHAnsi" w:hAnsiTheme="minorHAnsi"/>
                <w:sz w:val="20"/>
                <w:szCs w:val="20"/>
              </w:rPr>
            </w:pPr>
            <w:r w:rsidRPr="00636E49">
              <w:rPr>
                <w:rFonts w:asciiTheme="minorHAnsi" w:hAnsiTheme="minorHAnsi"/>
                <w:sz w:val="20"/>
                <w:szCs w:val="20"/>
              </w:rPr>
              <w:t xml:space="preserve">U5 Mortality Rate </w:t>
            </w:r>
          </w:p>
        </w:tc>
        <w:tc>
          <w:tcPr>
            <w:tcW w:w="1421" w:type="dxa"/>
            <w:tcBorders>
              <w:top w:val="single" w:sz="4" w:space="0" w:color="auto"/>
              <w:left w:val="single" w:sz="4" w:space="0" w:color="auto"/>
              <w:bottom w:val="single" w:sz="4" w:space="0" w:color="auto"/>
              <w:right w:val="single" w:sz="4" w:space="0" w:color="auto"/>
            </w:tcBorders>
          </w:tcPr>
          <w:p w14:paraId="4B707546" w14:textId="62C016CC" w:rsidR="00636E49" w:rsidRPr="00636E49" w:rsidRDefault="00636E49" w:rsidP="00665FEC">
            <w:pPr>
              <w:pStyle w:val="Default"/>
              <w:pBdr>
                <w:between w:val="single" w:sz="4" w:space="1" w:color="auto"/>
              </w:pBdr>
              <w:jc w:val="center"/>
              <w:rPr>
                <w:rFonts w:asciiTheme="minorHAnsi" w:hAnsiTheme="minorHAnsi"/>
                <w:sz w:val="20"/>
                <w:szCs w:val="20"/>
              </w:rPr>
            </w:pPr>
            <w:r w:rsidRPr="00636E49">
              <w:rPr>
                <w:rFonts w:asciiTheme="minorHAnsi" w:hAnsiTheme="minorHAnsi"/>
                <w:b/>
                <w:bCs/>
                <w:sz w:val="20"/>
                <w:szCs w:val="20"/>
              </w:rPr>
              <w:t>135</w:t>
            </w:r>
          </w:p>
        </w:tc>
        <w:tc>
          <w:tcPr>
            <w:tcW w:w="1440" w:type="dxa"/>
            <w:tcBorders>
              <w:top w:val="single" w:sz="4" w:space="0" w:color="auto"/>
              <w:left w:val="single" w:sz="4" w:space="0" w:color="auto"/>
              <w:bottom w:val="single" w:sz="4" w:space="0" w:color="auto"/>
              <w:right w:val="single" w:sz="4" w:space="0" w:color="auto"/>
            </w:tcBorders>
          </w:tcPr>
          <w:p w14:paraId="344FD978" w14:textId="62FB1A94" w:rsidR="00636E49" w:rsidRPr="00636E49" w:rsidRDefault="00636E49" w:rsidP="00665FEC">
            <w:pPr>
              <w:pStyle w:val="Default"/>
              <w:pBdr>
                <w:between w:val="single" w:sz="4" w:space="1" w:color="auto"/>
              </w:pBdr>
              <w:jc w:val="center"/>
              <w:rPr>
                <w:rFonts w:asciiTheme="minorHAnsi" w:hAnsiTheme="minorHAnsi"/>
                <w:sz w:val="20"/>
                <w:szCs w:val="20"/>
              </w:rPr>
            </w:pPr>
            <w:r w:rsidRPr="00636E49">
              <w:rPr>
                <w:rFonts w:asciiTheme="minorHAnsi" w:hAnsiTheme="minorHAnsi"/>
                <w:sz w:val="20"/>
                <w:szCs w:val="20"/>
              </w:rPr>
              <w:t>43</w:t>
            </w:r>
          </w:p>
        </w:tc>
        <w:tc>
          <w:tcPr>
            <w:tcW w:w="3420" w:type="dxa"/>
            <w:tcBorders>
              <w:top w:val="single" w:sz="4" w:space="0" w:color="auto"/>
              <w:left w:val="single" w:sz="4" w:space="0" w:color="auto"/>
              <w:bottom w:val="single" w:sz="4" w:space="0" w:color="auto"/>
            </w:tcBorders>
          </w:tcPr>
          <w:p w14:paraId="76569EAB" w14:textId="420513F2" w:rsidR="00636E49" w:rsidRPr="00636E49" w:rsidRDefault="00636E49" w:rsidP="005F7B70">
            <w:pPr>
              <w:pStyle w:val="Default"/>
              <w:pBdr>
                <w:between w:val="single" w:sz="4" w:space="1" w:color="auto"/>
              </w:pBdr>
              <w:rPr>
                <w:rFonts w:asciiTheme="minorHAnsi" w:hAnsiTheme="minorHAnsi"/>
                <w:sz w:val="20"/>
                <w:szCs w:val="20"/>
              </w:rPr>
            </w:pPr>
            <w:r w:rsidRPr="00636E49">
              <w:rPr>
                <w:rFonts w:asciiTheme="minorHAnsi" w:hAnsiTheme="minorHAnsi"/>
                <w:sz w:val="20"/>
                <w:szCs w:val="20"/>
              </w:rPr>
              <w:t>Deaths per 1</w:t>
            </w:r>
            <w:r w:rsidR="000277D5">
              <w:rPr>
                <w:rFonts w:asciiTheme="minorHAnsi" w:hAnsiTheme="minorHAnsi"/>
                <w:sz w:val="20"/>
                <w:szCs w:val="20"/>
              </w:rPr>
              <w:t>,</w:t>
            </w:r>
            <w:r w:rsidRPr="00636E49">
              <w:rPr>
                <w:rFonts w:asciiTheme="minorHAnsi" w:hAnsiTheme="minorHAnsi"/>
                <w:sz w:val="20"/>
                <w:szCs w:val="20"/>
              </w:rPr>
              <w:t xml:space="preserve">000 live births </w:t>
            </w:r>
          </w:p>
        </w:tc>
      </w:tr>
      <w:tr w:rsidR="00636E49" w:rsidRPr="00636E49" w14:paraId="20E8AD4E" w14:textId="77777777" w:rsidTr="00EC0B37">
        <w:trPr>
          <w:trHeight w:val="76"/>
          <w:jc w:val="center"/>
        </w:trPr>
        <w:tc>
          <w:tcPr>
            <w:tcW w:w="2179" w:type="dxa"/>
            <w:tcBorders>
              <w:top w:val="single" w:sz="4" w:space="0" w:color="auto"/>
              <w:bottom w:val="single" w:sz="4" w:space="0" w:color="auto"/>
              <w:right w:val="single" w:sz="4" w:space="0" w:color="auto"/>
            </w:tcBorders>
          </w:tcPr>
          <w:p w14:paraId="6E566044" w14:textId="77777777" w:rsidR="00636E49" w:rsidRPr="00636E49" w:rsidRDefault="00636E49" w:rsidP="005F7B70">
            <w:pPr>
              <w:pStyle w:val="Default"/>
              <w:pBdr>
                <w:between w:val="single" w:sz="4" w:space="1" w:color="auto"/>
              </w:pBdr>
              <w:rPr>
                <w:rFonts w:asciiTheme="minorHAnsi" w:hAnsiTheme="minorHAnsi"/>
                <w:sz w:val="20"/>
                <w:szCs w:val="20"/>
              </w:rPr>
            </w:pPr>
            <w:r w:rsidRPr="00636E49">
              <w:rPr>
                <w:rFonts w:asciiTheme="minorHAnsi" w:hAnsiTheme="minorHAnsi"/>
                <w:sz w:val="20"/>
                <w:szCs w:val="20"/>
              </w:rPr>
              <w:t xml:space="preserve">Total Fertility Rate </w:t>
            </w:r>
          </w:p>
        </w:tc>
        <w:tc>
          <w:tcPr>
            <w:tcW w:w="1421" w:type="dxa"/>
            <w:tcBorders>
              <w:top w:val="single" w:sz="4" w:space="0" w:color="auto"/>
              <w:left w:val="single" w:sz="4" w:space="0" w:color="auto"/>
              <w:bottom w:val="single" w:sz="4" w:space="0" w:color="auto"/>
              <w:right w:val="single" w:sz="4" w:space="0" w:color="auto"/>
            </w:tcBorders>
          </w:tcPr>
          <w:p w14:paraId="02B7F7E2" w14:textId="7E377E1A" w:rsidR="00636E49" w:rsidRPr="00636E49" w:rsidRDefault="00636E49" w:rsidP="00665FEC">
            <w:pPr>
              <w:pStyle w:val="Default"/>
              <w:pBdr>
                <w:between w:val="single" w:sz="4" w:space="1" w:color="auto"/>
              </w:pBdr>
              <w:jc w:val="center"/>
              <w:rPr>
                <w:rFonts w:asciiTheme="minorHAnsi" w:hAnsiTheme="minorHAnsi"/>
                <w:sz w:val="20"/>
                <w:szCs w:val="20"/>
              </w:rPr>
            </w:pPr>
            <w:r w:rsidRPr="00636E49">
              <w:rPr>
                <w:rFonts w:asciiTheme="minorHAnsi" w:hAnsiTheme="minorHAnsi"/>
                <w:b/>
                <w:bCs/>
                <w:sz w:val="20"/>
                <w:szCs w:val="20"/>
              </w:rPr>
              <w:t>6.7</w:t>
            </w:r>
          </w:p>
        </w:tc>
        <w:tc>
          <w:tcPr>
            <w:tcW w:w="1440" w:type="dxa"/>
            <w:tcBorders>
              <w:top w:val="single" w:sz="4" w:space="0" w:color="auto"/>
              <w:left w:val="single" w:sz="4" w:space="0" w:color="auto"/>
              <w:bottom w:val="single" w:sz="4" w:space="0" w:color="auto"/>
              <w:right w:val="single" w:sz="4" w:space="0" w:color="auto"/>
            </w:tcBorders>
          </w:tcPr>
          <w:p w14:paraId="66AD5139" w14:textId="56379E18" w:rsidR="00636E49" w:rsidRPr="00636E49" w:rsidRDefault="00636E49" w:rsidP="00665FEC">
            <w:pPr>
              <w:pStyle w:val="Default"/>
              <w:pBdr>
                <w:between w:val="single" w:sz="4" w:space="1" w:color="auto"/>
              </w:pBdr>
              <w:jc w:val="center"/>
              <w:rPr>
                <w:rFonts w:asciiTheme="minorHAnsi" w:hAnsiTheme="minorHAnsi"/>
                <w:sz w:val="20"/>
                <w:szCs w:val="20"/>
              </w:rPr>
            </w:pPr>
            <w:r w:rsidRPr="00636E49">
              <w:rPr>
                <w:rFonts w:asciiTheme="minorHAnsi" w:hAnsiTheme="minorHAnsi"/>
                <w:sz w:val="20"/>
                <w:szCs w:val="20"/>
              </w:rPr>
              <w:t>2.9</w:t>
            </w:r>
          </w:p>
        </w:tc>
        <w:tc>
          <w:tcPr>
            <w:tcW w:w="3420" w:type="dxa"/>
            <w:tcBorders>
              <w:top w:val="single" w:sz="4" w:space="0" w:color="auto"/>
              <w:left w:val="single" w:sz="4" w:space="0" w:color="auto"/>
              <w:bottom w:val="single" w:sz="4" w:space="0" w:color="auto"/>
            </w:tcBorders>
          </w:tcPr>
          <w:p w14:paraId="2211D36C" w14:textId="77777777" w:rsidR="00636E49" w:rsidRPr="00636E49" w:rsidRDefault="00636E49" w:rsidP="005F7B70">
            <w:pPr>
              <w:pStyle w:val="Default"/>
              <w:pBdr>
                <w:between w:val="single" w:sz="4" w:space="1" w:color="auto"/>
              </w:pBdr>
              <w:rPr>
                <w:rFonts w:asciiTheme="minorHAnsi" w:hAnsiTheme="minorHAnsi"/>
                <w:sz w:val="20"/>
                <w:szCs w:val="20"/>
              </w:rPr>
            </w:pPr>
            <w:r w:rsidRPr="00636E49">
              <w:rPr>
                <w:rFonts w:asciiTheme="minorHAnsi" w:hAnsiTheme="minorHAnsi"/>
                <w:sz w:val="20"/>
                <w:szCs w:val="20"/>
              </w:rPr>
              <w:t xml:space="preserve">Births per women </w:t>
            </w:r>
          </w:p>
        </w:tc>
      </w:tr>
      <w:tr w:rsidR="00636E49" w:rsidRPr="00636E49" w14:paraId="3F373F0E" w14:textId="77777777" w:rsidTr="00EC0B37">
        <w:trPr>
          <w:trHeight w:val="76"/>
          <w:jc w:val="center"/>
        </w:trPr>
        <w:tc>
          <w:tcPr>
            <w:tcW w:w="2179" w:type="dxa"/>
            <w:tcBorders>
              <w:top w:val="single" w:sz="4" w:space="0" w:color="auto"/>
              <w:bottom w:val="single" w:sz="4" w:space="0" w:color="auto"/>
              <w:right w:val="single" w:sz="4" w:space="0" w:color="auto"/>
            </w:tcBorders>
          </w:tcPr>
          <w:p w14:paraId="194D3F5D" w14:textId="1A819AB9" w:rsidR="00636E49" w:rsidRPr="00636E49" w:rsidRDefault="00636E49" w:rsidP="00D05B80">
            <w:pPr>
              <w:pStyle w:val="Default"/>
              <w:pBdr>
                <w:between w:val="single" w:sz="4" w:space="1" w:color="auto"/>
              </w:pBdr>
              <w:rPr>
                <w:rFonts w:asciiTheme="minorHAnsi" w:hAnsiTheme="minorHAnsi"/>
                <w:sz w:val="20"/>
                <w:szCs w:val="20"/>
              </w:rPr>
            </w:pPr>
            <w:r w:rsidRPr="00636E49">
              <w:rPr>
                <w:rFonts w:asciiTheme="minorHAnsi" w:hAnsiTheme="minorHAnsi"/>
                <w:sz w:val="20"/>
                <w:szCs w:val="20"/>
              </w:rPr>
              <w:t xml:space="preserve">First Antenatal </w:t>
            </w:r>
            <w:r w:rsidR="00C653EF">
              <w:rPr>
                <w:rFonts w:asciiTheme="minorHAnsi" w:hAnsiTheme="minorHAnsi"/>
                <w:sz w:val="20"/>
                <w:szCs w:val="20"/>
              </w:rPr>
              <w:t>V</w:t>
            </w:r>
            <w:r w:rsidRPr="00636E49">
              <w:rPr>
                <w:rFonts w:asciiTheme="minorHAnsi" w:hAnsiTheme="minorHAnsi"/>
                <w:sz w:val="20"/>
                <w:szCs w:val="20"/>
              </w:rPr>
              <w:t xml:space="preserve">isit </w:t>
            </w:r>
          </w:p>
        </w:tc>
        <w:tc>
          <w:tcPr>
            <w:tcW w:w="1421" w:type="dxa"/>
            <w:tcBorders>
              <w:top w:val="single" w:sz="4" w:space="0" w:color="auto"/>
              <w:left w:val="single" w:sz="4" w:space="0" w:color="auto"/>
              <w:bottom w:val="single" w:sz="4" w:space="0" w:color="auto"/>
              <w:right w:val="single" w:sz="4" w:space="0" w:color="auto"/>
            </w:tcBorders>
          </w:tcPr>
          <w:p w14:paraId="438484D6" w14:textId="31ED9E29" w:rsidR="00636E49" w:rsidRPr="00636E49" w:rsidRDefault="00636E49" w:rsidP="00665FEC">
            <w:pPr>
              <w:pStyle w:val="Default"/>
              <w:pBdr>
                <w:between w:val="single" w:sz="4" w:space="1" w:color="auto"/>
              </w:pBdr>
              <w:jc w:val="center"/>
              <w:rPr>
                <w:rFonts w:asciiTheme="minorHAnsi" w:hAnsiTheme="minorHAnsi"/>
                <w:sz w:val="20"/>
                <w:szCs w:val="20"/>
              </w:rPr>
            </w:pPr>
            <w:r w:rsidRPr="00636E49">
              <w:rPr>
                <w:rFonts w:asciiTheme="minorHAnsi" w:hAnsiTheme="minorHAnsi"/>
                <w:b/>
                <w:bCs/>
                <w:sz w:val="20"/>
                <w:szCs w:val="20"/>
              </w:rPr>
              <w:t>48%</w:t>
            </w:r>
          </w:p>
        </w:tc>
        <w:tc>
          <w:tcPr>
            <w:tcW w:w="1440" w:type="dxa"/>
            <w:tcBorders>
              <w:top w:val="single" w:sz="4" w:space="0" w:color="auto"/>
              <w:left w:val="single" w:sz="4" w:space="0" w:color="auto"/>
              <w:bottom w:val="single" w:sz="4" w:space="0" w:color="auto"/>
              <w:right w:val="single" w:sz="4" w:space="0" w:color="auto"/>
            </w:tcBorders>
          </w:tcPr>
          <w:p w14:paraId="4DE8EC78" w14:textId="2EB8E200" w:rsidR="00636E49" w:rsidRPr="00636E49" w:rsidRDefault="00636E49" w:rsidP="00665FEC">
            <w:pPr>
              <w:pStyle w:val="Default"/>
              <w:pBdr>
                <w:between w:val="single" w:sz="4" w:space="1" w:color="auto"/>
              </w:pBdr>
              <w:jc w:val="center"/>
              <w:rPr>
                <w:rFonts w:asciiTheme="minorHAnsi" w:hAnsiTheme="minorHAnsi"/>
                <w:sz w:val="20"/>
                <w:szCs w:val="20"/>
              </w:rPr>
            </w:pPr>
            <w:r w:rsidRPr="00636E49">
              <w:rPr>
                <w:rFonts w:asciiTheme="minorHAnsi" w:hAnsiTheme="minorHAnsi"/>
                <w:sz w:val="20"/>
                <w:szCs w:val="20"/>
              </w:rPr>
              <w:t>78%</w:t>
            </w:r>
          </w:p>
        </w:tc>
        <w:tc>
          <w:tcPr>
            <w:tcW w:w="3420" w:type="dxa"/>
            <w:tcBorders>
              <w:top w:val="single" w:sz="4" w:space="0" w:color="auto"/>
              <w:left w:val="single" w:sz="4" w:space="0" w:color="auto"/>
              <w:bottom w:val="single" w:sz="4" w:space="0" w:color="auto"/>
            </w:tcBorders>
          </w:tcPr>
          <w:p w14:paraId="7BC4928E" w14:textId="77777777" w:rsidR="00636E49" w:rsidRPr="00636E49" w:rsidRDefault="00636E49" w:rsidP="005F7B70">
            <w:pPr>
              <w:pStyle w:val="Default"/>
              <w:pBdr>
                <w:between w:val="single" w:sz="4" w:space="1" w:color="auto"/>
              </w:pBdr>
              <w:rPr>
                <w:rFonts w:asciiTheme="minorHAnsi" w:hAnsiTheme="minorHAnsi"/>
                <w:sz w:val="20"/>
                <w:szCs w:val="20"/>
              </w:rPr>
            </w:pPr>
            <w:r w:rsidRPr="00636E49">
              <w:rPr>
                <w:rFonts w:asciiTheme="minorHAnsi" w:hAnsiTheme="minorHAnsi"/>
                <w:sz w:val="20"/>
                <w:szCs w:val="20"/>
              </w:rPr>
              <w:t xml:space="preserve">Visit during pregnancy </w:t>
            </w:r>
          </w:p>
        </w:tc>
      </w:tr>
      <w:tr w:rsidR="00636E49" w:rsidRPr="00636E49" w14:paraId="37B285C6" w14:textId="77777777" w:rsidTr="00EC0B37">
        <w:trPr>
          <w:trHeight w:val="76"/>
          <w:jc w:val="center"/>
        </w:trPr>
        <w:tc>
          <w:tcPr>
            <w:tcW w:w="2179" w:type="dxa"/>
            <w:tcBorders>
              <w:top w:val="single" w:sz="4" w:space="0" w:color="auto"/>
              <w:bottom w:val="single" w:sz="4" w:space="0" w:color="auto"/>
              <w:right w:val="single" w:sz="4" w:space="0" w:color="auto"/>
            </w:tcBorders>
          </w:tcPr>
          <w:p w14:paraId="457AE476" w14:textId="7919589C" w:rsidR="00636E49" w:rsidRPr="00636E49" w:rsidRDefault="00636E49" w:rsidP="00D05B80">
            <w:pPr>
              <w:pStyle w:val="Default"/>
              <w:pBdr>
                <w:between w:val="single" w:sz="4" w:space="1" w:color="auto"/>
              </w:pBdr>
              <w:rPr>
                <w:rFonts w:asciiTheme="minorHAnsi" w:hAnsiTheme="minorHAnsi"/>
                <w:sz w:val="20"/>
                <w:szCs w:val="20"/>
              </w:rPr>
            </w:pPr>
            <w:r w:rsidRPr="00636E49">
              <w:rPr>
                <w:rFonts w:asciiTheme="minorHAnsi" w:hAnsiTheme="minorHAnsi"/>
                <w:sz w:val="20"/>
                <w:szCs w:val="20"/>
              </w:rPr>
              <w:t xml:space="preserve">Institutional </w:t>
            </w:r>
            <w:r w:rsidR="00C653EF">
              <w:rPr>
                <w:rFonts w:asciiTheme="minorHAnsi" w:hAnsiTheme="minorHAnsi"/>
                <w:sz w:val="20"/>
                <w:szCs w:val="20"/>
              </w:rPr>
              <w:t>D</w:t>
            </w:r>
            <w:r w:rsidRPr="00636E49">
              <w:rPr>
                <w:rFonts w:asciiTheme="minorHAnsi" w:hAnsiTheme="minorHAnsi"/>
                <w:sz w:val="20"/>
                <w:szCs w:val="20"/>
              </w:rPr>
              <w:t xml:space="preserve">eliveries </w:t>
            </w:r>
          </w:p>
        </w:tc>
        <w:tc>
          <w:tcPr>
            <w:tcW w:w="1421" w:type="dxa"/>
            <w:tcBorders>
              <w:top w:val="single" w:sz="4" w:space="0" w:color="auto"/>
              <w:left w:val="single" w:sz="4" w:space="0" w:color="auto"/>
              <w:bottom w:val="single" w:sz="4" w:space="0" w:color="auto"/>
              <w:right w:val="single" w:sz="4" w:space="0" w:color="auto"/>
            </w:tcBorders>
          </w:tcPr>
          <w:p w14:paraId="169B5DAF" w14:textId="042D7EE7" w:rsidR="00636E49" w:rsidRPr="00636E49" w:rsidRDefault="00CB3DFC" w:rsidP="00665FEC">
            <w:pPr>
              <w:pStyle w:val="Default"/>
              <w:pBdr>
                <w:between w:val="single" w:sz="4" w:space="1" w:color="auto"/>
              </w:pBdr>
              <w:jc w:val="center"/>
              <w:rPr>
                <w:rFonts w:asciiTheme="minorHAnsi" w:hAnsiTheme="minorHAnsi"/>
                <w:sz w:val="20"/>
                <w:szCs w:val="20"/>
              </w:rPr>
            </w:pPr>
            <w:r>
              <w:rPr>
                <w:rFonts w:asciiTheme="minorHAnsi" w:hAnsiTheme="minorHAnsi"/>
                <w:b/>
                <w:bCs/>
                <w:sz w:val="20"/>
                <w:szCs w:val="20"/>
              </w:rPr>
              <w:t>13.6</w:t>
            </w:r>
          </w:p>
        </w:tc>
        <w:tc>
          <w:tcPr>
            <w:tcW w:w="1440" w:type="dxa"/>
            <w:tcBorders>
              <w:top w:val="single" w:sz="4" w:space="0" w:color="auto"/>
              <w:left w:val="single" w:sz="4" w:space="0" w:color="auto"/>
              <w:bottom w:val="single" w:sz="4" w:space="0" w:color="auto"/>
              <w:right w:val="single" w:sz="4" w:space="0" w:color="auto"/>
            </w:tcBorders>
          </w:tcPr>
          <w:p w14:paraId="6165BBBE" w14:textId="05C2E754" w:rsidR="00636E49" w:rsidRPr="00636E49" w:rsidRDefault="00636E49" w:rsidP="00665FEC">
            <w:pPr>
              <w:pStyle w:val="Default"/>
              <w:pBdr>
                <w:between w:val="single" w:sz="4" w:space="1" w:color="auto"/>
              </w:pBdr>
              <w:jc w:val="center"/>
              <w:rPr>
                <w:rFonts w:asciiTheme="minorHAnsi" w:hAnsiTheme="minorHAnsi"/>
                <w:sz w:val="20"/>
                <w:szCs w:val="20"/>
              </w:rPr>
            </w:pPr>
            <w:r w:rsidRPr="00636E49">
              <w:rPr>
                <w:rFonts w:asciiTheme="minorHAnsi" w:hAnsiTheme="minorHAnsi"/>
                <w:sz w:val="20"/>
                <w:szCs w:val="20"/>
              </w:rPr>
              <w:t>65</w:t>
            </w:r>
          </w:p>
        </w:tc>
        <w:tc>
          <w:tcPr>
            <w:tcW w:w="3420" w:type="dxa"/>
            <w:tcBorders>
              <w:top w:val="single" w:sz="4" w:space="0" w:color="auto"/>
              <w:left w:val="single" w:sz="4" w:space="0" w:color="auto"/>
              <w:bottom w:val="single" w:sz="4" w:space="0" w:color="auto"/>
            </w:tcBorders>
          </w:tcPr>
          <w:p w14:paraId="16E05892" w14:textId="53C064EC" w:rsidR="00636E49" w:rsidRPr="00636E49" w:rsidRDefault="00CB3DFC" w:rsidP="005F7B70">
            <w:pPr>
              <w:pStyle w:val="Default"/>
              <w:pBdr>
                <w:between w:val="single" w:sz="4" w:space="1" w:color="auto"/>
              </w:pBdr>
              <w:rPr>
                <w:rFonts w:asciiTheme="minorHAnsi" w:hAnsiTheme="minorHAnsi"/>
                <w:sz w:val="20"/>
                <w:szCs w:val="20"/>
              </w:rPr>
            </w:pPr>
            <w:r>
              <w:rPr>
                <w:rFonts w:asciiTheme="minorHAnsi" w:hAnsiTheme="minorHAnsi"/>
                <w:sz w:val="20"/>
                <w:szCs w:val="20"/>
              </w:rPr>
              <w:t>Deliveries attended at Health Facilities</w:t>
            </w:r>
          </w:p>
        </w:tc>
      </w:tr>
      <w:tr w:rsidR="00636E49" w:rsidRPr="00636E49" w14:paraId="1E9D75A1" w14:textId="77777777" w:rsidTr="00EC0B37">
        <w:trPr>
          <w:trHeight w:val="76"/>
          <w:jc w:val="center"/>
        </w:trPr>
        <w:tc>
          <w:tcPr>
            <w:tcW w:w="2179" w:type="dxa"/>
            <w:tcBorders>
              <w:top w:val="single" w:sz="4" w:space="0" w:color="auto"/>
              <w:bottom w:val="single" w:sz="4" w:space="0" w:color="auto"/>
              <w:right w:val="single" w:sz="4" w:space="0" w:color="auto"/>
            </w:tcBorders>
          </w:tcPr>
          <w:p w14:paraId="56C2C143" w14:textId="77777777" w:rsidR="00636E49" w:rsidRPr="00636E49" w:rsidRDefault="00636E49" w:rsidP="005F7B70">
            <w:pPr>
              <w:pStyle w:val="Default"/>
              <w:pBdr>
                <w:between w:val="single" w:sz="4" w:space="1" w:color="auto"/>
              </w:pBdr>
              <w:rPr>
                <w:rFonts w:asciiTheme="minorHAnsi" w:hAnsiTheme="minorHAnsi"/>
                <w:sz w:val="20"/>
                <w:szCs w:val="20"/>
              </w:rPr>
            </w:pPr>
            <w:r w:rsidRPr="00636E49">
              <w:rPr>
                <w:rFonts w:asciiTheme="minorHAnsi" w:hAnsiTheme="minorHAnsi"/>
                <w:sz w:val="20"/>
                <w:szCs w:val="20"/>
              </w:rPr>
              <w:t xml:space="preserve">Skilled Birth Attendance </w:t>
            </w:r>
          </w:p>
        </w:tc>
        <w:tc>
          <w:tcPr>
            <w:tcW w:w="1421" w:type="dxa"/>
            <w:tcBorders>
              <w:top w:val="single" w:sz="4" w:space="0" w:color="auto"/>
              <w:left w:val="single" w:sz="4" w:space="0" w:color="auto"/>
              <w:bottom w:val="single" w:sz="4" w:space="0" w:color="auto"/>
              <w:right w:val="single" w:sz="4" w:space="0" w:color="auto"/>
            </w:tcBorders>
          </w:tcPr>
          <w:p w14:paraId="087D1A5C" w14:textId="46844BC3" w:rsidR="00636E49" w:rsidRPr="00636E49" w:rsidRDefault="00636E49" w:rsidP="00665FEC">
            <w:pPr>
              <w:pStyle w:val="Default"/>
              <w:pBdr>
                <w:between w:val="single" w:sz="4" w:space="1" w:color="auto"/>
              </w:pBdr>
              <w:jc w:val="center"/>
              <w:rPr>
                <w:rFonts w:asciiTheme="minorHAnsi" w:hAnsiTheme="minorHAnsi"/>
                <w:sz w:val="20"/>
                <w:szCs w:val="20"/>
              </w:rPr>
            </w:pPr>
            <w:r w:rsidRPr="00636E49">
              <w:rPr>
                <w:rFonts w:asciiTheme="minorHAnsi" w:hAnsiTheme="minorHAnsi"/>
                <w:b/>
                <w:bCs/>
                <w:sz w:val="20"/>
                <w:szCs w:val="20"/>
              </w:rPr>
              <w:t>10%</w:t>
            </w:r>
          </w:p>
        </w:tc>
        <w:tc>
          <w:tcPr>
            <w:tcW w:w="1440" w:type="dxa"/>
            <w:tcBorders>
              <w:top w:val="single" w:sz="4" w:space="0" w:color="auto"/>
              <w:left w:val="single" w:sz="4" w:space="0" w:color="auto"/>
              <w:bottom w:val="single" w:sz="4" w:space="0" w:color="auto"/>
              <w:right w:val="single" w:sz="4" w:space="0" w:color="auto"/>
            </w:tcBorders>
          </w:tcPr>
          <w:p w14:paraId="4268E7EE" w14:textId="21314660" w:rsidR="00636E49" w:rsidRPr="00636E49" w:rsidRDefault="00636E49" w:rsidP="00665FEC">
            <w:pPr>
              <w:pStyle w:val="Default"/>
              <w:pBdr>
                <w:between w:val="single" w:sz="4" w:space="1" w:color="auto"/>
              </w:pBdr>
              <w:jc w:val="center"/>
              <w:rPr>
                <w:rFonts w:asciiTheme="minorHAnsi" w:hAnsiTheme="minorHAnsi"/>
                <w:sz w:val="20"/>
                <w:szCs w:val="20"/>
              </w:rPr>
            </w:pPr>
            <w:r w:rsidRPr="00636E49">
              <w:rPr>
                <w:rFonts w:asciiTheme="minorHAnsi" w:hAnsiTheme="minorHAnsi"/>
                <w:sz w:val="20"/>
                <w:szCs w:val="20"/>
              </w:rPr>
              <w:t>76</w:t>
            </w:r>
          </w:p>
        </w:tc>
        <w:tc>
          <w:tcPr>
            <w:tcW w:w="3420" w:type="dxa"/>
            <w:tcBorders>
              <w:top w:val="single" w:sz="4" w:space="0" w:color="auto"/>
              <w:left w:val="single" w:sz="4" w:space="0" w:color="auto"/>
              <w:bottom w:val="single" w:sz="4" w:space="0" w:color="auto"/>
            </w:tcBorders>
          </w:tcPr>
          <w:p w14:paraId="4D966B41" w14:textId="6A7639EA" w:rsidR="00636E49" w:rsidRPr="00636E49" w:rsidRDefault="00636E49" w:rsidP="00EC0B37">
            <w:pPr>
              <w:pStyle w:val="Default"/>
              <w:pBdr>
                <w:between w:val="single" w:sz="4" w:space="1" w:color="auto"/>
              </w:pBdr>
              <w:rPr>
                <w:rFonts w:asciiTheme="minorHAnsi" w:hAnsiTheme="minorHAnsi"/>
                <w:sz w:val="20"/>
                <w:szCs w:val="20"/>
              </w:rPr>
            </w:pPr>
            <w:r w:rsidRPr="00636E49">
              <w:rPr>
                <w:rFonts w:asciiTheme="minorHAnsi" w:hAnsiTheme="minorHAnsi"/>
                <w:sz w:val="20"/>
                <w:szCs w:val="20"/>
              </w:rPr>
              <w:t>All deliveries attended by skilled H</w:t>
            </w:r>
            <w:r w:rsidR="00EC0B37">
              <w:rPr>
                <w:rFonts w:asciiTheme="minorHAnsi" w:hAnsiTheme="minorHAnsi"/>
                <w:sz w:val="20"/>
                <w:szCs w:val="20"/>
              </w:rPr>
              <w:t>uman Resources for Health (HRH)</w:t>
            </w:r>
          </w:p>
        </w:tc>
      </w:tr>
      <w:tr w:rsidR="00636E49" w:rsidRPr="00636E49" w14:paraId="74542958" w14:textId="77777777" w:rsidTr="00EC0B37">
        <w:trPr>
          <w:trHeight w:val="76"/>
          <w:jc w:val="center"/>
        </w:trPr>
        <w:tc>
          <w:tcPr>
            <w:tcW w:w="2179" w:type="dxa"/>
            <w:tcBorders>
              <w:top w:val="single" w:sz="4" w:space="0" w:color="auto"/>
              <w:bottom w:val="single" w:sz="4" w:space="0" w:color="auto"/>
              <w:right w:val="single" w:sz="4" w:space="0" w:color="auto"/>
            </w:tcBorders>
          </w:tcPr>
          <w:p w14:paraId="49D197E0" w14:textId="50F09635" w:rsidR="00636E49" w:rsidRPr="00636E49" w:rsidRDefault="00636E49" w:rsidP="00D05B80">
            <w:pPr>
              <w:pStyle w:val="Default"/>
              <w:pBdr>
                <w:between w:val="single" w:sz="4" w:space="1" w:color="auto"/>
              </w:pBdr>
              <w:rPr>
                <w:rFonts w:asciiTheme="minorHAnsi" w:hAnsiTheme="minorHAnsi"/>
                <w:sz w:val="20"/>
                <w:szCs w:val="20"/>
              </w:rPr>
            </w:pPr>
            <w:r w:rsidRPr="00636E49">
              <w:rPr>
                <w:rFonts w:asciiTheme="minorHAnsi" w:hAnsiTheme="minorHAnsi"/>
                <w:sz w:val="20"/>
                <w:szCs w:val="20"/>
              </w:rPr>
              <w:t xml:space="preserve">DTP3 </w:t>
            </w:r>
            <w:r w:rsidR="00C653EF">
              <w:rPr>
                <w:rFonts w:asciiTheme="minorHAnsi" w:hAnsiTheme="minorHAnsi"/>
                <w:sz w:val="20"/>
                <w:szCs w:val="20"/>
              </w:rPr>
              <w:t>C</w:t>
            </w:r>
            <w:r w:rsidRPr="00636E49">
              <w:rPr>
                <w:rFonts w:asciiTheme="minorHAnsi" w:hAnsiTheme="minorHAnsi"/>
                <w:sz w:val="20"/>
                <w:szCs w:val="20"/>
              </w:rPr>
              <w:t xml:space="preserve">overage (routine) </w:t>
            </w:r>
          </w:p>
        </w:tc>
        <w:tc>
          <w:tcPr>
            <w:tcW w:w="1421" w:type="dxa"/>
            <w:tcBorders>
              <w:top w:val="single" w:sz="4" w:space="0" w:color="auto"/>
              <w:left w:val="single" w:sz="4" w:space="0" w:color="auto"/>
              <w:bottom w:val="single" w:sz="4" w:space="0" w:color="auto"/>
              <w:right w:val="single" w:sz="4" w:space="0" w:color="auto"/>
            </w:tcBorders>
          </w:tcPr>
          <w:p w14:paraId="08BC42C5" w14:textId="35621D01" w:rsidR="00636E49" w:rsidRPr="00636E49" w:rsidRDefault="00636E49" w:rsidP="00665FEC">
            <w:pPr>
              <w:pStyle w:val="Default"/>
              <w:pBdr>
                <w:between w:val="single" w:sz="4" w:space="1" w:color="auto"/>
              </w:pBdr>
              <w:jc w:val="center"/>
              <w:rPr>
                <w:rFonts w:asciiTheme="minorHAnsi" w:hAnsiTheme="minorHAnsi"/>
                <w:sz w:val="20"/>
                <w:szCs w:val="20"/>
              </w:rPr>
            </w:pPr>
            <w:r w:rsidRPr="00636E49">
              <w:rPr>
                <w:rFonts w:asciiTheme="minorHAnsi" w:hAnsiTheme="minorHAnsi"/>
                <w:b/>
                <w:bCs/>
                <w:sz w:val="20"/>
                <w:szCs w:val="20"/>
              </w:rPr>
              <w:t>71 (routine)</w:t>
            </w:r>
          </w:p>
        </w:tc>
        <w:tc>
          <w:tcPr>
            <w:tcW w:w="1440" w:type="dxa"/>
            <w:tcBorders>
              <w:top w:val="single" w:sz="4" w:space="0" w:color="auto"/>
              <w:left w:val="single" w:sz="4" w:space="0" w:color="auto"/>
              <w:bottom w:val="single" w:sz="4" w:space="0" w:color="auto"/>
              <w:right w:val="single" w:sz="4" w:space="0" w:color="auto"/>
            </w:tcBorders>
          </w:tcPr>
          <w:p w14:paraId="395A439A" w14:textId="28E8A4F0" w:rsidR="00636E49" w:rsidRPr="00636E49" w:rsidRDefault="00636E49" w:rsidP="00665FEC">
            <w:pPr>
              <w:pStyle w:val="Default"/>
              <w:pBdr>
                <w:between w:val="single" w:sz="4" w:space="1" w:color="auto"/>
              </w:pBdr>
              <w:jc w:val="center"/>
              <w:rPr>
                <w:rFonts w:asciiTheme="minorHAnsi" w:hAnsiTheme="minorHAnsi"/>
                <w:sz w:val="20"/>
                <w:szCs w:val="20"/>
              </w:rPr>
            </w:pPr>
            <w:r w:rsidRPr="00636E49">
              <w:rPr>
                <w:rFonts w:asciiTheme="minorHAnsi" w:hAnsiTheme="minorHAnsi"/>
                <w:sz w:val="20"/>
                <w:szCs w:val="20"/>
              </w:rPr>
              <w:t>89</w:t>
            </w:r>
          </w:p>
        </w:tc>
        <w:tc>
          <w:tcPr>
            <w:tcW w:w="3420" w:type="dxa"/>
            <w:tcBorders>
              <w:top w:val="single" w:sz="4" w:space="0" w:color="auto"/>
              <w:left w:val="single" w:sz="4" w:space="0" w:color="auto"/>
              <w:bottom w:val="single" w:sz="4" w:space="0" w:color="auto"/>
            </w:tcBorders>
          </w:tcPr>
          <w:p w14:paraId="56E04216" w14:textId="77777777" w:rsidR="00636E49" w:rsidRPr="00636E49" w:rsidRDefault="00636E49" w:rsidP="005F7B70">
            <w:pPr>
              <w:pStyle w:val="Default"/>
              <w:pBdr>
                <w:between w:val="single" w:sz="4" w:space="1" w:color="auto"/>
              </w:pBdr>
              <w:rPr>
                <w:rFonts w:asciiTheme="minorHAnsi" w:hAnsiTheme="minorHAnsi"/>
                <w:sz w:val="20"/>
                <w:szCs w:val="20"/>
              </w:rPr>
            </w:pPr>
            <w:r w:rsidRPr="00636E49">
              <w:rPr>
                <w:rFonts w:asciiTheme="minorHAnsi" w:hAnsiTheme="minorHAnsi"/>
                <w:sz w:val="20"/>
                <w:szCs w:val="20"/>
              </w:rPr>
              <w:t xml:space="preserve">% of children vaccinated </w:t>
            </w:r>
          </w:p>
        </w:tc>
      </w:tr>
      <w:tr w:rsidR="00636E49" w:rsidRPr="00636E49" w14:paraId="7C6B5A83" w14:textId="77777777" w:rsidTr="00EC0B37">
        <w:trPr>
          <w:trHeight w:val="76"/>
          <w:jc w:val="center"/>
        </w:trPr>
        <w:tc>
          <w:tcPr>
            <w:tcW w:w="2179" w:type="dxa"/>
            <w:tcBorders>
              <w:top w:val="single" w:sz="4" w:space="0" w:color="auto"/>
              <w:right w:val="single" w:sz="4" w:space="0" w:color="auto"/>
            </w:tcBorders>
          </w:tcPr>
          <w:p w14:paraId="5BC30FA0" w14:textId="1DE54993" w:rsidR="00636E49" w:rsidRPr="00636E49" w:rsidRDefault="00636E49" w:rsidP="00D05B80">
            <w:pPr>
              <w:pStyle w:val="Default"/>
              <w:pBdr>
                <w:between w:val="single" w:sz="4" w:space="1" w:color="auto"/>
              </w:pBdr>
              <w:rPr>
                <w:rFonts w:asciiTheme="minorHAnsi" w:hAnsiTheme="minorHAnsi"/>
                <w:sz w:val="20"/>
                <w:szCs w:val="20"/>
              </w:rPr>
            </w:pPr>
            <w:r w:rsidRPr="00636E49">
              <w:rPr>
                <w:rFonts w:asciiTheme="minorHAnsi" w:hAnsiTheme="minorHAnsi"/>
                <w:sz w:val="20"/>
                <w:szCs w:val="20"/>
              </w:rPr>
              <w:t xml:space="preserve">Access to </w:t>
            </w:r>
            <w:r w:rsidR="00C653EF">
              <w:rPr>
                <w:rFonts w:asciiTheme="minorHAnsi" w:hAnsiTheme="minorHAnsi"/>
                <w:sz w:val="20"/>
                <w:szCs w:val="20"/>
              </w:rPr>
              <w:t>H</w:t>
            </w:r>
            <w:r w:rsidRPr="00636E49">
              <w:rPr>
                <w:rFonts w:asciiTheme="minorHAnsi" w:hAnsiTheme="minorHAnsi"/>
                <w:sz w:val="20"/>
                <w:szCs w:val="20"/>
              </w:rPr>
              <w:t xml:space="preserve">ealth </w:t>
            </w:r>
            <w:r w:rsidR="00C653EF">
              <w:rPr>
                <w:rFonts w:asciiTheme="minorHAnsi" w:hAnsiTheme="minorHAnsi"/>
                <w:sz w:val="20"/>
                <w:szCs w:val="20"/>
              </w:rPr>
              <w:t>C</w:t>
            </w:r>
            <w:r w:rsidRPr="00636E49">
              <w:rPr>
                <w:rFonts w:asciiTheme="minorHAnsi" w:hAnsiTheme="minorHAnsi"/>
                <w:sz w:val="20"/>
                <w:szCs w:val="20"/>
              </w:rPr>
              <w:t xml:space="preserve">are (%) </w:t>
            </w:r>
          </w:p>
        </w:tc>
        <w:tc>
          <w:tcPr>
            <w:tcW w:w="1421" w:type="dxa"/>
            <w:tcBorders>
              <w:top w:val="single" w:sz="4" w:space="0" w:color="auto"/>
              <w:left w:val="single" w:sz="4" w:space="0" w:color="auto"/>
              <w:right w:val="single" w:sz="4" w:space="0" w:color="auto"/>
            </w:tcBorders>
          </w:tcPr>
          <w:p w14:paraId="653B544D" w14:textId="0FFF91E6" w:rsidR="00636E49" w:rsidRPr="00636E49" w:rsidRDefault="00636E49" w:rsidP="00665FEC">
            <w:pPr>
              <w:pStyle w:val="Default"/>
              <w:pBdr>
                <w:between w:val="single" w:sz="4" w:space="1" w:color="auto"/>
              </w:pBdr>
              <w:jc w:val="center"/>
              <w:rPr>
                <w:rFonts w:asciiTheme="minorHAnsi" w:hAnsiTheme="minorHAnsi"/>
                <w:sz w:val="20"/>
                <w:szCs w:val="20"/>
              </w:rPr>
            </w:pPr>
            <w:r w:rsidRPr="00636E49">
              <w:rPr>
                <w:rFonts w:asciiTheme="minorHAnsi" w:hAnsiTheme="minorHAnsi"/>
                <w:b/>
                <w:bCs/>
                <w:sz w:val="20"/>
                <w:szCs w:val="20"/>
              </w:rPr>
              <w:t>0.2 (&lt;</w:t>
            </w:r>
            <w:r w:rsidR="00C653EF">
              <w:rPr>
                <w:rFonts w:asciiTheme="minorHAnsi" w:hAnsiTheme="minorHAnsi"/>
                <w:b/>
                <w:bCs/>
                <w:sz w:val="20"/>
                <w:szCs w:val="20"/>
              </w:rPr>
              <w:t xml:space="preserve"> </w:t>
            </w:r>
            <w:r w:rsidRPr="00636E49">
              <w:rPr>
                <w:rFonts w:asciiTheme="minorHAnsi" w:hAnsiTheme="minorHAnsi"/>
                <w:b/>
                <w:bCs/>
                <w:sz w:val="20"/>
                <w:szCs w:val="20"/>
              </w:rPr>
              <w:t>25%)</w:t>
            </w:r>
          </w:p>
        </w:tc>
        <w:tc>
          <w:tcPr>
            <w:tcW w:w="1440" w:type="dxa"/>
            <w:tcBorders>
              <w:top w:val="single" w:sz="4" w:space="0" w:color="auto"/>
              <w:left w:val="single" w:sz="4" w:space="0" w:color="auto"/>
              <w:right w:val="single" w:sz="4" w:space="0" w:color="auto"/>
            </w:tcBorders>
          </w:tcPr>
          <w:p w14:paraId="301DEC62" w14:textId="004445CD" w:rsidR="00636E49" w:rsidRPr="00636E49" w:rsidRDefault="00C653EF" w:rsidP="00665FEC">
            <w:pPr>
              <w:pStyle w:val="Default"/>
              <w:pBdr>
                <w:between w:val="single" w:sz="4" w:space="1" w:color="auto"/>
              </w:pBdr>
              <w:jc w:val="center"/>
              <w:rPr>
                <w:rFonts w:asciiTheme="minorHAnsi" w:hAnsiTheme="minorHAnsi"/>
                <w:sz w:val="20"/>
                <w:szCs w:val="20"/>
              </w:rPr>
            </w:pPr>
            <w:r>
              <w:rPr>
                <w:rFonts w:asciiTheme="minorHAnsi" w:hAnsiTheme="minorHAnsi"/>
                <w:sz w:val="20"/>
                <w:szCs w:val="20"/>
              </w:rPr>
              <w:t>n.a.</w:t>
            </w:r>
          </w:p>
        </w:tc>
        <w:tc>
          <w:tcPr>
            <w:tcW w:w="3420" w:type="dxa"/>
            <w:tcBorders>
              <w:top w:val="single" w:sz="4" w:space="0" w:color="auto"/>
              <w:left w:val="single" w:sz="4" w:space="0" w:color="auto"/>
            </w:tcBorders>
          </w:tcPr>
          <w:p w14:paraId="07024059" w14:textId="77777777" w:rsidR="00636E49" w:rsidRPr="00636E49" w:rsidRDefault="00636E49" w:rsidP="005F7B70">
            <w:pPr>
              <w:pStyle w:val="Default"/>
              <w:pBdr>
                <w:between w:val="single" w:sz="4" w:space="1" w:color="auto"/>
              </w:pBdr>
              <w:rPr>
                <w:rFonts w:asciiTheme="minorHAnsi" w:hAnsiTheme="minorHAnsi"/>
                <w:sz w:val="20"/>
                <w:szCs w:val="20"/>
              </w:rPr>
            </w:pPr>
            <w:r w:rsidRPr="00636E49">
              <w:rPr>
                <w:rFonts w:asciiTheme="minorHAnsi" w:hAnsiTheme="minorHAnsi"/>
                <w:sz w:val="20"/>
                <w:szCs w:val="20"/>
              </w:rPr>
              <w:t xml:space="preserve">Visit per person/year </w:t>
            </w:r>
          </w:p>
        </w:tc>
      </w:tr>
    </w:tbl>
    <w:p w14:paraId="11E51467" w14:textId="0C4FD9E3" w:rsidR="00A56EDD" w:rsidRPr="00B47E16" w:rsidRDefault="00A56EDD" w:rsidP="00636E49">
      <w:pPr>
        <w:spacing w:after="0" w:line="240" w:lineRule="auto"/>
        <w:rPr>
          <w:sz w:val="20"/>
        </w:rPr>
      </w:pPr>
      <w:r w:rsidRPr="00636E49">
        <w:rPr>
          <w:i/>
          <w:sz w:val="20"/>
        </w:rPr>
        <w:t>Source:</w:t>
      </w:r>
      <w:r w:rsidRPr="00B47E16">
        <w:rPr>
          <w:sz w:val="20"/>
        </w:rPr>
        <w:t xml:space="preserve"> </w:t>
      </w:r>
      <w:r w:rsidR="00B042C3">
        <w:rPr>
          <w:sz w:val="20"/>
        </w:rPr>
        <w:t>MOH 2012</w:t>
      </w:r>
      <w:r w:rsidR="00AF09B1">
        <w:rPr>
          <w:sz w:val="20"/>
        </w:rPr>
        <w:t>.</w:t>
      </w:r>
    </w:p>
    <w:p w14:paraId="37AF6A04" w14:textId="47808433" w:rsidR="00A56EDD" w:rsidRPr="00636E49" w:rsidRDefault="00A56EDD" w:rsidP="00636E49">
      <w:pPr>
        <w:pStyle w:val="ListParagraph"/>
        <w:spacing w:before="240"/>
        <w:ind w:left="0"/>
        <w:jc w:val="both"/>
        <w:rPr>
          <w:rFonts w:eastAsia="Times New Roman"/>
          <w:color w:val="000000"/>
        </w:rPr>
      </w:pPr>
      <w:r w:rsidRPr="00B513F4">
        <w:rPr>
          <w:rFonts w:eastAsia="Times New Roman"/>
          <w:color w:val="000000"/>
        </w:rPr>
        <w:t xml:space="preserve">As </w:t>
      </w:r>
      <w:r w:rsidR="00484A7F">
        <w:rPr>
          <w:rFonts w:eastAsia="Times New Roman"/>
          <w:color w:val="000000"/>
        </w:rPr>
        <w:t>t</w:t>
      </w:r>
      <w:r w:rsidRPr="00B513F4">
        <w:rPr>
          <w:rFonts w:eastAsia="Times New Roman"/>
          <w:color w:val="000000"/>
        </w:rPr>
        <w:t>able 9 reflects, measles immunization rates r</w:t>
      </w:r>
      <w:r>
        <w:rPr>
          <w:rFonts w:eastAsia="Times New Roman"/>
          <w:color w:val="000000"/>
        </w:rPr>
        <w:t>apidly increased in South Sudan in 2010/11</w:t>
      </w:r>
      <w:r w:rsidRPr="00B513F4">
        <w:rPr>
          <w:rFonts w:eastAsia="Times New Roman"/>
          <w:color w:val="000000"/>
        </w:rPr>
        <w:t>, in line with increases observed in other postconflict countries.</w:t>
      </w:r>
      <w:r w:rsidRPr="00B513F4">
        <w:rPr>
          <w:rStyle w:val="FootnoteReference"/>
          <w:rFonts w:eastAsia="Times New Roman"/>
          <w:color w:val="000000"/>
        </w:rPr>
        <w:footnoteReference w:id="34"/>
      </w:r>
      <w:r>
        <w:rPr>
          <w:rFonts w:eastAsia="Times New Roman"/>
          <w:color w:val="000000"/>
        </w:rPr>
        <w:t xml:space="preserve"> However, this was followed by a precipitous and highly unusual decline</w:t>
      </w:r>
      <w:r w:rsidR="00C62413">
        <w:rPr>
          <w:rFonts w:eastAsia="Times New Roman"/>
          <w:color w:val="000000"/>
        </w:rPr>
        <w:t xml:space="preserve"> in 2013</w:t>
      </w:r>
      <w:r>
        <w:rPr>
          <w:rFonts w:eastAsia="Times New Roman"/>
          <w:color w:val="000000"/>
        </w:rPr>
        <w:t xml:space="preserve">, reflecting the continuing extreme fragility of the system. </w:t>
      </w:r>
    </w:p>
    <w:p w14:paraId="515004CF" w14:textId="0376276A" w:rsidR="00636E49" w:rsidRDefault="00636E49" w:rsidP="00636E49">
      <w:pPr>
        <w:pStyle w:val="Caption"/>
        <w:keepNext/>
      </w:pPr>
      <w:r>
        <w:t xml:space="preserve">Table </w:t>
      </w:r>
      <w:fldSimple w:instr=" SEQ Table \* ARABIC ">
        <w:r w:rsidR="00FA6F6C">
          <w:rPr>
            <w:noProof/>
          </w:rPr>
          <w:t>9</w:t>
        </w:r>
      </w:fldSimple>
      <w:r>
        <w:t xml:space="preserve">. </w:t>
      </w:r>
      <w:r w:rsidRPr="00EB5660">
        <w:t xml:space="preserve">Measles </w:t>
      </w:r>
      <w:r>
        <w:t>I</w:t>
      </w:r>
      <w:r w:rsidRPr="00EB5660">
        <w:t xml:space="preserve">mmunization, % of </w:t>
      </w:r>
      <w:r>
        <w:t>C</w:t>
      </w:r>
      <w:r w:rsidRPr="00EB5660">
        <w:t xml:space="preserve">hildren </w:t>
      </w:r>
      <w:r w:rsidR="00C62413">
        <w:t xml:space="preserve">of </w:t>
      </w:r>
      <w:r>
        <w:t>A</w:t>
      </w:r>
      <w:r w:rsidRPr="00EB5660">
        <w:t>ge 12</w:t>
      </w:r>
      <w:r>
        <w:t>–</w:t>
      </w:r>
      <w:r w:rsidRPr="00EB5660">
        <w:t xml:space="preserve">23 </w:t>
      </w:r>
      <w:r w:rsidR="00C62413">
        <w:t>M</w:t>
      </w:r>
      <w:r w:rsidRPr="00EB5660">
        <w:t>onths</w:t>
      </w:r>
    </w:p>
    <w:tbl>
      <w:tblPr>
        <w:tblW w:w="0" w:type="auto"/>
        <w:jc w:val="center"/>
        <w:tblLayout w:type="fixed"/>
        <w:tblLook w:val="04A0" w:firstRow="1" w:lastRow="0" w:firstColumn="1" w:lastColumn="0" w:noHBand="0" w:noVBand="1"/>
      </w:tblPr>
      <w:tblGrid>
        <w:gridCol w:w="1260"/>
        <w:gridCol w:w="720"/>
        <w:gridCol w:w="630"/>
        <w:gridCol w:w="630"/>
        <w:gridCol w:w="720"/>
        <w:gridCol w:w="630"/>
        <w:gridCol w:w="630"/>
        <w:gridCol w:w="630"/>
        <w:gridCol w:w="720"/>
        <w:gridCol w:w="630"/>
        <w:gridCol w:w="630"/>
        <w:gridCol w:w="720"/>
      </w:tblGrid>
      <w:tr w:rsidR="00F84485" w:rsidRPr="00AC6175" w14:paraId="45B334A3" w14:textId="77777777" w:rsidTr="00F84485">
        <w:trPr>
          <w:trHeight w:val="300"/>
          <w:tblHeader/>
          <w:jc w:val="center"/>
        </w:trPr>
        <w:tc>
          <w:tcPr>
            <w:tcW w:w="1260" w:type="dxa"/>
            <w:tcBorders>
              <w:bottom w:val="single" w:sz="4" w:space="0" w:color="auto"/>
            </w:tcBorders>
            <w:shd w:val="clear" w:color="auto" w:fill="auto"/>
            <w:noWrap/>
            <w:vAlign w:val="center"/>
            <w:hideMark/>
          </w:tcPr>
          <w:p w14:paraId="66FAB367" w14:textId="77777777" w:rsidR="007A44CD" w:rsidRPr="00AC6175" w:rsidRDefault="007A44CD" w:rsidP="007857CB">
            <w:pPr>
              <w:spacing w:after="0" w:line="240" w:lineRule="auto"/>
              <w:jc w:val="center"/>
              <w:rPr>
                <w:rFonts w:eastAsia="Times New Roman" w:cs="Times New Roman"/>
                <w:b/>
                <w:bCs/>
                <w:color w:val="000000"/>
                <w:sz w:val="20"/>
                <w:szCs w:val="20"/>
              </w:rPr>
            </w:pPr>
            <w:r w:rsidRPr="00AC6175">
              <w:rPr>
                <w:rFonts w:eastAsia="Times New Roman" w:cs="Times New Roman"/>
                <w:b/>
                <w:bCs/>
                <w:color w:val="000000"/>
                <w:sz w:val="20"/>
                <w:szCs w:val="20"/>
              </w:rPr>
              <w:t xml:space="preserve">           </w:t>
            </w:r>
          </w:p>
        </w:tc>
        <w:tc>
          <w:tcPr>
            <w:tcW w:w="720" w:type="dxa"/>
            <w:tcBorders>
              <w:bottom w:val="single" w:sz="4" w:space="0" w:color="auto"/>
            </w:tcBorders>
            <w:shd w:val="clear" w:color="auto" w:fill="auto"/>
            <w:noWrap/>
            <w:vAlign w:val="center"/>
            <w:hideMark/>
          </w:tcPr>
          <w:p w14:paraId="3AC1750C" w14:textId="77777777" w:rsidR="007A44CD" w:rsidRPr="00AC6175" w:rsidRDefault="007A44CD" w:rsidP="007857CB">
            <w:pPr>
              <w:spacing w:after="0" w:line="240" w:lineRule="auto"/>
              <w:jc w:val="center"/>
              <w:rPr>
                <w:rFonts w:eastAsia="Times New Roman" w:cs="Times New Roman"/>
                <w:b/>
                <w:bCs/>
                <w:color w:val="000000"/>
                <w:sz w:val="20"/>
                <w:szCs w:val="20"/>
              </w:rPr>
            </w:pPr>
            <w:r w:rsidRPr="00AC6175">
              <w:rPr>
                <w:rFonts w:eastAsia="Times New Roman" w:cs="Times New Roman"/>
                <w:b/>
                <w:bCs/>
                <w:color w:val="000000"/>
                <w:sz w:val="20"/>
                <w:szCs w:val="20"/>
              </w:rPr>
              <w:t>1994</w:t>
            </w:r>
          </w:p>
        </w:tc>
        <w:tc>
          <w:tcPr>
            <w:tcW w:w="630" w:type="dxa"/>
            <w:tcBorders>
              <w:bottom w:val="single" w:sz="4" w:space="0" w:color="auto"/>
            </w:tcBorders>
            <w:shd w:val="clear" w:color="auto" w:fill="auto"/>
            <w:noWrap/>
            <w:vAlign w:val="center"/>
            <w:hideMark/>
          </w:tcPr>
          <w:p w14:paraId="2AB42627" w14:textId="77777777" w:rsidR="007A44CD" w:rsidRPr="00AC6175" w:rsidRDefault="007A44CD" w:rsidP="007857CB">
            <w:pPr>
              <w:spacing w:after="0" w:line="240" w:lineRule="auto"/>
              <w:jc w:val="center"/>
              <w:rPr>
                <w:rFonts w:eastAsia="Times New Roman" w:cs="Times New Roman"/>
                <w:b/>
                <w:bCs/>
                <w:color w:val="000000"/>
                <w:sz w:val="20"/>
                <w:szCs w:val="20"/>
              </w:rPr>
            </w:pPr>
            <w:r w:rsidRPr="00AC6175">
              <w:rPr>
                <w:rFonts w:eastAsia="Times New Roman" w:cs="Times New Roman"/>
                <w:b/>
                <w:bCs/>
                <w:color w:val="000000"/>
                <w:sz w:val="20"/>
                <w:szCs w:val="20"/>
              </w:rPr>
              <w:t>1997</w:t>
            </w:r>
          </w:p>
        </w:tc>
        <w:tc>
          <w:tcPr>
            <w:tcW w:w="630" w:type="dxa"/>
            <w:tcBorders>
              <w:bottom w:val="single" w:sz="4" w:space="0" w:color="auto"/>
            </w:tcBorders>
            <w:shd w:val="clear" w:color="auto" w:fill="auto"/>
            <w:noWrap/>
            <w:vAlign w:val="center"/>
            <w:hideMark/>
          </w:tcPr>
          <w:p w14:paraId="5C286302" w14:textId="77777777" w:rsidR="007A44CD" w:rsidRPr="00AC6175" w:rsidRDefault="007A44CD" w:rsidP="007857CB">
            <w:pPr>
              <w:spacing w:after="0" w:line="240" w:lineRule="auto"/>
              <w:jc w:val="center"/>
              <w:rPr>
                <w:rFonts w:eastAsia="Times New Roman" w:cs="Times New Roman"/>
                <w:b/>
                <w:bCs/>
                <w:color w:val="000000"/>
                <w:sz w:val="20"/>
                <w:szCs w:val="20"/>
              </w:rPr>
            </w:pPr>
            <w:r w:rsidRPr="00AC6175">
              <w:rPr>
                <w:rFonts w:eastAsia="Times New Roman" w:cs="Times New Roman"/>
                <w:b/>
                <w:bCs/>
                <w:color w:val="000000"/>
                <w:sz w:val="20"/>
                <w:szCs w:val="20"/>
              </w:rPr>
              <w:t>1999</w:t>
            </w:r>
          </w:p>
        </w:tc>
        <w:tc>
          <w:tcPr>
            <w:tcW w:w="720" w:type="dxa"/>
            <w:tcBorders>
              <w:bottom w:val="single" w:sz="4" w:space="0" w:color="auto"/>
            </w:tcBorders>
            <w:shd w:val="clear" w:color="auto" w:fill="auto"/>
            <w:noWrap/>
            <w:vAlign w:val="center"/>
            <w:hideMark/>
          </w:tcPr>
          <w:p w14:paraId="146B3073" w14:textId="77777777" w:rsidR="007A44CD" w:rsidRPr="00AC6175" w:rsidRDefault="007A44CD" w:rsidP="007857CB">
            <w:pPr>
              <w:spacing w:after="0" w:line="240" w:lineRule="auto"/>
              <w:jc w:val="center"/>
              <w:rPr>
                <w:rFonts w:eastAsia="Times New Roman" w:cs="Times New Roman"/>
                <w:b/>
                <w:bCs/>
                <w:color w:val="000000"/>
                <w:sz w:val="20"/>
                <w:szCs w:val="20"/>
              </w:rPr>
            </w:pPr>
            <w:r w:rsidRPr="00AC6175">
              <w:rPr>
                <w:rFonts w:eastAsia="Times New Roman" w:cs="Times New Roman"/>
                <w:b/>
                <w:bCs/>
                <w:color w:val="000000"/>
                <w:sz w:val="20"/>
                <w:szCs w:val="20"/>
              </w:rPr>
              <w:t>2002</w:t>
            </w:r>
          </w:p>
        </w:tc>
        <w:tc>
          <w:tcPr>
            <w:tcW w:w="630" w:type="dxa"/>
            <w:tcBorders>
              <w:bottom w:val="single" w:sz="4" w:space="0" w:color="auto"/>
            </w:tcBorders>
            <w:shd w:val="clear" w:color="auto" w:fill="auto"/>
            <w:noWrap/>
            <w:vAlign w:val="center"/>
            <w:hideMark/>
          </w:tcPr>
          <w:p w14:paraId="6F2E74C1" w14:textId="77777777" w:rsidR="007A44CD" w:rsidRPr="00AC6175" w:rsidRDefault="007A44CD" w:rsidP="007857CB">
            <w:pPr>
              <w:spacing w:after="0" w:line="240" w:lineRule="auto"/>
              <w:jc w:val="center"/>
              <w:rPr>
                <w:rFonts w:eastAsia="Times New Roman" w:cs="Times New Roman"/>
                <w:b/>
                <w:bCs/>
                <w:color w:val="000000"/>
                <w:sz w:val="20"/>
                <w:szCs w:val="20"/>
              </w:rPr>
            </w:pPr>
            <w:r w:rsidRPr="00AC6175">
              <w:rPr>
                <w:rFonts w:eastAsia="Times New Roman" w:cs="Times New Roman"/>
                <w:b/>
                <w:bCs/>
                <w:color w:val="000000"/>
                <w:sz w:val="20"/>
                <w:szCs w:val="20"/>
              </w:rPr>
              <w:t>2003</w:t>
            </w:r>
          </w:p>
        </w:tc>
        <w:tc>
          <w:tcPr>
            <w:tcW w:w="630" w:type="dxa"/>
            <w:tcBorders>
              <w:bottom w:val="single" w:sz="4" w:space="0" w:color="auto"/>
            </w:tcBorders>
            <w:shd w:val="clear" w:color="auto" w:fill="auto"/>
            <w:noWrap/>
            <w:vAlign w:val="center"/>
            <w:hideMark/>
          </w:tcPr>
          <w:p w14:paraId="64420D2B" w14:textId="77777777" w:rsidR="007A44CD" w:rsidRPr="00AC6175" w:rsidRDefault="007A44CD" w:rsidP="007857CB">
            <w:pPr>
              <w:spacing w:after="0" w:line="240" w:lineRule="auto"/>
              <w:jc w:val="center"/>
              <w:rPr>
                <w:rFonts w:eastAsia="Times New Roman" w:cs="Times New Roman"/>
                <w:b/>
                <w:bCs/>
                <w:color w:val="000000"/>
                <w:sz w:val="20"/>
                <w:szCs w:val="20"/>
              </w:rPr>
            </w:pPr>
            <w:r w:rsidRPr="00AC6175">
              <w:rPr>
                <w:rFonts w:eastAsia="Times New Roman" w:cs="Times New Roman"/>
                <w:b/>
                <w:bCs/>
                <w:color w:val="000000"/>
                <w:sz w:val="20"/>
                <w:szCs w:val="20"/>
              </w:rPr>
              <w:t>2005</w:t>
            </w:r>
          </w:p>
        </w:tc>
        <w:tc>
          <w:tcPr>
            <w:tcW w:w="630" w:type="dxa"/>
            <w:tcBorders>
              <w:bottom w:val="single" w:sz="4" w:space="0" w:color="auto"/>
            </w:tcBorders>
            <w:shd w:val="clear" w:color="auto" w:fill="auto"/>
            <w:noWrap/>
            <w:vAlign w:val="center"/>
            <w:hideMark/>
          </w:tcPr>
          <w:p w14:paraId="55000A9A" w14:textId="77777777" w:rsidR="007A44CD" w:rsidRPr="00AC6175" w:rsidRDefault="007A44CD" w:rsidP="007857CB">
            <w:pPr>
              <w:spacing w:after="0" w:line="240" w:lineRule="auto"/>
              <w:jc w:val="center"/>
              <w:rPr>
                <w:rFonts w:eastAsia="Times New Roman" w:cs="Times New Roman"/>
                <w:b/>
                <w:bCs/>
                <w:color w:val="000000"/>
                <w:sz w:val="20"/>
                <w:szCs w:val="20"/>
              </w:rPr>
            </w:pPr>
            <w:r w:rsidRPr="00AC6175">
              <w:rPr>
                <w:rFonts w:eastAsia="Times New Roman" w:cs="Times New Roman"/>
                <w:b/>
                <w:bCs/>
                <w:color w:val="000000"/>
                <w:sz w:val="20"/>
                <w:szCs w:val="20"/>
              </w:rPr>
              <w:t>2008</w:t>
            </w:r>
          </w:p>
        </w:tc>
        <w:tc>
          <w:tcPr>
            <w:tcW w:w="720" w:type="dxa"/>
            <w:tcBorders>
              <w:bottom w:val="single" w:sz="4" w:space="0" w:color="auto"/>
            </w:tcBorders>
            <w:shd w:val="clear" w:color="auto" w:fill="auto"/>
            <w:noWrap/>
            <w:vAlign w:val="center"/>
            <w:hideMark/>
          </w:tcPr>
          <w:p w14:paraId="7DA3A9EE" w14:textId="77777777" w:rsidR="007A44CD" w:rsidRPr="00AC6175" w:rsidRDefault="007A44CD" w:rsidP="007857CB">
            <w:pPr>
              <w:spacing w:after="0" w:line="240" w:lineRule="auto"/>
              <w:jc w:val="center"/>
              <w:rPr>
                <w:rFonts w:eastAsia="Times New Roman" w:cs="Times New Roman"/>
                <w:b/>
                <w:bCs/>
                <w:color w:val="000000"/>
                <w:sz w:val="20"/>
                <w:szCs w:val="20"/>
              </w:rPr>
            </w:pPr>
            <w:r w:rsidRPr="00AC6175">
              <w:rPr>
                <w:rFonts w:eastAsia="Times New Roman" w:cs="Times New Roman"/>
                <w:b/>
                <w:bCs/>
                <w:color w:val="000000"/>
                <w:sz w:val="20"/>
                <w:szCs w:val="20"/>
              </w:rPr>
              <w:t>2010</w:t>
            </w:r>
          </w:p>
        </w:tc>
        <w:tc>
          <w:tcPr>
            <w:tcW w:w="630" w:type="dxa"/>
            <w:tcBorders>
              <w:bottom w:val="single" w:sz="4" w:space="0" w:color="auto"/>
            </w:tcBorders>
            <w:shd w:val="clear" w:color="auto" w:fill="auto"/>
            <w:vAlign w:val="center"/>
            <w:hideMark/>
          </w:tcPr>
          <w:p w14:paraId="0ABB168F" w14:textId="36D496FE" w:rsidR="007A44CD" w:rsidRPr="00AC6175" w:rsidRDefault="007A44CD" w:rsidP="007857CB">
            <w:pPr>
              <w:spacing w:after="0" w:line="240" w:lineRule="auto"/>
              <w:jc w:val="center"/>
              <w:rPr>
                <w:rFonts w:eastAsia="Times New Roman" w:cs="Times New Roman"/>
                <w:b/>
                <w:bCs/>
                <w:color w:val="000000"/>
                <w:sz w:val="20"/>
                <w:szCs w:val="20"/>
              </w:rPr>
            </w:pPr>
            <w:r w:rsidRPr="00AC6175">
              <w:rPr>
                <w:rFonts w:eastAsia="Times New Roman" w:cs="Times New Roman"/>
                <w:b/>
                <w:bCs/>
                <w:color w:val="000000"/>
                <w:sz w:val="20"/>
                <w:szCs w:val="20"/>
              </w:rPr>
              <w:t>2011</w:t>
            </w:r>
          </w:p>
        </w:tc>
        <w:tc>
          <w:tcPr>
            <w:tcW w:w="630" w:type="dxa"/>
            <w:tcBorders>
              <w:bottom w:val="single" w:sz="4" w:space="0" w:color="auto"/>
            </w:tcBorders>
            <w:shd w:val="clear" w:color="auto" w:fill="auto"/>
            <w:noWrap/>
            <w:vAlign w:val="center"/>
            <w:hideMark/>
          </w:tcPr>
          <w:p w14:paraId="465D329B" w14:textId="77777777" w:rsidR="007A44CD" w:rsidRPr="00AC6175" w:rsidRDefault="007A44CD" w:rsidP="007857CB">
            <w:pPr>
              <w:spacing w:after="0" w:line="240" w:lineRule="auto"/>
              <w:jc w:val="center"/>
              <w:rPr>
                <w:rFonts w:eastAsia="Times New Roman" w:cs="Times New Roman"/>
                <w:b/>
                <w:bCs/>
                <w:color w:val="000000"/>
                <w:sz w:val="20"/>
                <w:szCs w:val="20"/>
              </w:rPr>
            </w:pPr>
            <w:r w:rsidRPr="00AC6175">
              <w:rPr>
                <w:rFonts w:eastAsia="Times New Roman" w:cs="Times New Roman"/>
                <w:b/>
                <w:bCs/>
                <w:color w:val="000000"/>
                <w:sz w:val="20"/>
                <w:szCs w:val="20"/>
              </w:rPr>
              <w:t>2012</w:t>
            </w:r>
          </w:p>
        </w:tc>
        <w:tc>
          <w:tcPr>
            <w:tcW w:w="720" w:type="dxa"/>
            <w:tcBorders>
              <w:bottom w:val="single" w:sz="4" w:space="0" w:color="auto"/>
            </w:tcBorders>
            <w:shd w:val="clear" w:color="auto" w:fill="auto"/>
            <w:noWrap/>
            <w:vAlign w:val="center"/>
            <w:hideMark/>
          </w:tcPr>
          <w:p w14:paraId="006B492B" w14:textId="77777777" w:rsidR="007A44CD" w:rsidRPr="00AC6175" w:rsidRDefault="007A44CD" w:rsidP="007857CB">
            <w:pPr>
              <w:spacing w:after="0" w:line="240" w:lineRule="auto"/>
              <w:jc w:val="center"/>
              <w:rPr>
                <w:rFonts w:eastAsia="Times New Roman" w:cs="Times New Roman"/>
                <w:b/>
                <w:bCs/>
                <w:color w:val="000000"/>
                <w:sz w:val="20"/>
                <w:szCs w:val="20"/>
              </w:rPr>
            </w:pPr>
            <w:r w:rsidRPr="00AC6175">
              <w:rPr>
                <w:rFonts w:eastAsia="Times New Roman" w:cs="Times New Roman"/>
                <w:b/>
                <w:bCs/>
                <w:color w:val="000000"/>
                <w:sz w:val="20"/>
                <w:szCs w:val="20"/>
              </w:rPr>
              <w:t>2013</w:t>
            </w:r>
          </w:p>
        </w:tc>
      </w:tr>
      <w:tr w:rsidR="00F84485" w:rsidRPr="00AC6175" w14:paraId="79358241" w14:textId="77777777" w:rsidTr="00F84485">
        <w:trPr>
          <w:trHeight w:val="300"/>
          <w:jc w:val="center"/>
        </w:trPr>
        <w:tc>
          <w:tcPr>
            <w:tcW w:w="1260" w:type="dxa"/>
            <w:tcBorders>
              <w:top w:val="single" w:sz="4" w:space="0" w:color="auto"/>
              <w:bottom w:val="single" w:sz="4" w:space="0" w:color="auto"/>
            </w:tcBorders>
            <w:shd w:val="clear" w:color="000000" w:fill="FFFFFF"/>
            <w:noWrap/>
            <w:vAlign w:val="center"/>
            <w:hideMark/>
          </w:tcPr>
          <w:p w14:paraId="06F73BA7" w14:textId="77777777" w:rsidR="007A44CD" w:rsidRPr="00AC6175" w:rsidRDefault="007A44CD" w:rsidP="007857CB">
            <w:pPr>
              <w:spacing w:after="0" w:line="240" w:lineRule="auto"/>
              <w:rPr>
                <w:rFonts w:eastAsia="Times New Roman" w:cs="Times New Roman"/>
                <w:color w:val="000000"/>
                <w:sz w:val="20"/>
                <w:szCs w:val="20"/>
              </w:rPr>
            </w:pPr>
            <w:r w:rsidRPr="00AC6175">
              <w:rPr>
                <w:rFonts w:eastAsia="Times New Roman" w:cs="Times New Roman"/>
                <w:color w:val="000000"/>
                <w:sz w:val="20"/>
                <w:szCs w:val="20"/>
              </w:rPr>
              <w:t>South Sudan</w:t>
            </w:r>
          </w:p>
        </w:tc>
        <w:tc>
          <w:tcPr>
            <w:tcW w:w="720" w:type="dxa"/>
            <w:tcBorders>
              <w:top w:val="single" w:sz="4" w:space="0" w:color="auto"/>
              <w:bottom w:val="single" w:sz="4" w:space="0" w:color="auto"/>
            </w:tcBorders>
            <w:shd w:val="clear" w:color="000000" w:fill="FFFFFF"/>
            <w:noWrap/>
            <w:vAlign w:val="center"/>
            <w:hideMark/>
          </w:tcPr>
          <w:p w14:paraId="55B83D26" w14:textId="66D2D06B" w:rsidR="007A44CD" w:rsidRPr="00AC6175" w:rsidRDefault="004E5B22" w:rsidP="005F73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630" w:type="dxa"/>
            <w:tcBorders>
              <w:top w:val="single" w:sz="4" w:space="0" w:color="auto"/>
              <w:bottom w:val="single" w:sz="4" w:space="0" w:color="auto"/>
            </w:tcBorders>
            <w:shd w:val="clear" w:color="000000" w:fill="FFFFFF"/>
            <w:noWrap/>
            <w:vAlign w:val="center"/>
            <w:hideMark/>
          </w:tcPr>
          <w:p w14:paraId="180EBF96" w14:textId="40927A94" w:rsidR="007A44CD" w:rsidRPr="00AC6175" w:rsidRDefault="004E5B22" w:rsidP="005F73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630" w:type="dxa"/>
            <w:tcBorders>
              <w:top w:val="single" w:sz="4" w:space="0" w:color="auto"/>
              <w:bottom w:val="single" w:sz="4" w:space="0" w:color="auto"/>
            </w:tcBorders>
            <w:shd w:val="clear" w:color="000000" w:fill="FFFFFF"/>
            <w:noWrap/>
            <w:vAlign w:val="center"/>
            <w:hideMark/>
          </w:tcPr>
          <w:p w14:paraId="08D89CBC" w14:textId="4E755436" w:rsidR="007A44CD" w:rsidRPr="00AC6175" w:rsidRDefault="004E5B22" w:rsidP="005F73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720" w:type="dxa"/>
            <w:tcBorders>
              <w:top w:val="single" w:sz="4" w:space="0" w:color="auto"/>
              <w:bottom w:val="single" w:sz="4" w:space="0" w:color="auto"/>
            </w:tcBorders>
            <w:shd w:val="clear" w:color="000000" w:fill="FFFFFF"/>
            <w:noWrap/>
            <w:vAlign w:val="center"/>
            <w:hideMark/>
          </w:tcPr>
          <w:p w14:paraId="79019775" w14:textId="062C6A4C" w:rsidR="007A44CD" w:rsidRPr="00AC6175" w:rsidRDefault="004E5B22" w:rsidP="005F73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630" w:type="dxa"/>
            <w:tcBorders>
              <w:top w:val="single" w:sz="4" w:space="0" w:color="auto"/>
              <w:bottom w:val="single" w:sz="4" w:space="0" w:color="auto"/>
            </w:tcBorders>
            <w:shd w:val="clear" w:color="000000" w:fill="FFFFFF"/>
            <w:noWrap/>
            <w:vAlign w:val="center"/>
            <w:hideMark/>
          </w:tcPr>
          <w:p w14:paraId="4D1C686D" w14:textId="70F68E71" w:rsidR="007A44CD" w:rsidRPr="00AC6175" w:rsidRDefault="004E5B22" w:rsidP="005F73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630" w:type="dxa"/>
            <w:tcBorders>
              <w:top w:val="single" w:sz="4" w:space="0" w:color="auto"/>
              <w:bottom w:val="single" w:sz="4" w:space="0" w:color="auto"/>
            </w:tcBorders>
            <w:shd w:val="clear" w:color="000000" w:fill="D9D9D9"/>
            <w:noWrap/>
            <w:vAlign w:val="center"/>
            <w:hideMark/>
          </w:tcPr>
          <w:p w14:paraId="55DF006D" w14:textId="3DC38507" w:rsidR="007A44CD" w:rsidRPr="00AC6175" w:rsidRDefault="004E5B22" w:rsidP="005F73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630" w:type="dxa"/>
            <w:tcBorders>
              <w:top w:val="single" w:sz="4" w:space="0" w:color="auto"/>
              <w:bottom w:val="single" w:sz="4" w:space="0" w:color="auto"/>
            </w:tcBorders>
            <w:shd w:val="clear" w:color="000000" w:fill="FFFFFF"/>
            <w:noWrap/>
            <w:vAlign w:val="center"/>
            <w:hideMark/>
          </w:tcPr>
          <w:p w14:paraId="672045D7" w14:textId="10D340AD" w:rsidR="007A44CD" w:rsidRPr="00AC6175" w:rsidRDefault="004E5B22" w:rsidP="005F73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720" w:type="dxa"/>
            <w:tcBorders>
              <w:top w:val="single" w:sz="4" w:space="0" w:color="auto"/>
              <w:bottom w:val="single" w:sz="4" w:space="0" w:color="auto"/>
            </w:tcBorders>
            <w:shd w:val="clear" w:color="000000" w:fill="FFFFFF"/>
            <w:noWrap/>
            <w:vAlign w:val="center"/>
            <w:hideMark/>
          </w:tcPr>
          <w:p w14:paraId="5C2426B1"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20.6#</w:t>
            </w:r>
          </w:p>
        </w:tc>
        <w:tc>
          <w:tcPr>
            <w:tcW w:w="630" w:type="dxa"/>
            <w:tcBorders>
              <w:top w:val="single" w:sz="4" w:space="0" w:color="auto"/>
              <w:bottom w:val="single" w:sz="4" w:space="0" w:color="auto"/>
            </w:tcBorders>
            <w:shd w:val="clear" w:color="auto" w:fill="auto"/>
            <w:vAlign w:val="center"/>
            <w:hideMark/>
          </w:tcPr>
          <w:p w14:paraId="71ED291E" w14:textId="7375A368"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62</w:t>
            </w:r>
          </w:p>
        </w:tc>
        <w:tc>
          <w:tcPr>
            <w:tcW w:w="630" w:type="dxa"/>
            <w:tcBorders>
              <w:top w:val="single" w:sz="4" w:space="0" w:color="auto"/>
              <w:bottom w:val="single" w:sz="4" w:space="0" w:color="auto"/>
            </w:tcBorders>
            <w:shd w:val="clear" w:color="auto" w:fill="auto"/>
            <w:vAlign w:val="center"/>
            <w:hideMark/>
          </w:tcPr>
          <w:p w14:paraId="324F556A"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52</w:t>
            </w:r>
          </w:p>
        </w:tc>
        <w:tc>
          <w:tcPr>
            <w:tcW w:w="720" w:type="dxa"/>
            <w:tcBorders>
              <w:top w:val="single" w:sz="4" w:space="0" w:color="auto"/>
              <w:bottom w:val="single" w:sz="4" w:space="0" w:color="auto"/>
            </w:tcBorders>
            <w:shd w:val="clear" w:color="auto" w:fill="auto"/>
            <w:vAlign w:val="center"/>
            <w:hideMark/>
          </w:tcPr>
          <w:p w14:paraId="288CA48B"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30</w:t>
            </w:r>
          </w:p>
        </w:tc>
      </w:tr>
      <w:tr w:rsidR="00F84485" w:rsidRPr="00AC6175" w14:paraId="3E8A883E" w14:textId="77777777" w:rsidTr="00F84485">
        <w:trPr>
          <w:trHeight w:val="300"/>
          <w:jc w:val="center"/>
        </w:trPr>
        <w:tc>
          <w:tcPr>
            <w:tcW w:w="1260" w:type="dxa"/>
            <w:tcBorders>
              <w:top w:val="single" w:sz="4" w:space="0" w:color="auto"/>
              <w:bottom w:val="single" w:sz="4" w:space="0" w:color="auto"/>
            </w:tcBorders>
            <w:shd w:val="clear" w:color="auto" w:fill="auto"/>
            <w:noWrap/>
            <w:vAlign w:val="center"/>
            <w:hideMark/>
          </w:tcPr>
          <w:p w14:paraId="14D2E9CF" w14:textId="77777777" w:rsidR="007A44CD" w:rsidRPr="00AC6175" w:rsidRDefault="007A44CD" w:rsidP="007857CB">
            <w:pPr>
              <w:spacing w:after="0" w:line="240" w:lineRule="auto"/>
              <w:rPr>
                <w:rFonts w:eastAsia="Times New Roman" w:cs="Times New Roman"/>
                <w:color w:val="000000"/>
                <w:sz w:val="20"/>
                <w:szCs w:val="20"/>
              </w:rPr>
            </w:pPr>
            <w:r w:rsidRPr="00AC6175">
              <w:rPr>
                <w:rFonts w:eastAsia="Times New Roman" w:cs="Times New Roman"/>
                <w:color w:val="000000"/>
                <w:sz w:val="20"/>
                <w:szCs w:val="20"/>
              </w:rPr>
              <w:t>Afghanistan</w:t>
            </w:r>
          </w:p>
        </w:tc>
        <w:tc>
          <w:tcPr>
            <w:tcW w:w="720" w:type="dxa"/>
            <w:tcBorders>
              <w:top w:val="single" w:sz="4" w:space="0" w:color="auto"/>
              <w:bottom w:val="single" w:sz="4" w:space="0" w:color="auto"/>
            </w:tcBorders>
            <w:shd w:val="clear" w:color="auto" w:fill="auto"/>
            <w:noWrap/>
            <w:vAlign w:val="center"/>
            <w:hideMark/>
          </w:tcPr>
          <w:p w14:paraId="7A6056C7"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40</w:t>
            </w:r>
          </w:p>
        </w:tc>
        <w:tc>
          <w:tcPr>
            <w:tcW w:w="630" w:type="dxa"/>
            <w:tcBorders>
              <w:top w:val="single" w:sz="4" w:space="0" w:color="auto"/>
              <w:bottom w:val="single" w:sz="4" w:space="0" w:color="auto"/>
            </w:tcBorders>
            <w:shd w:val="clear" w:color="auto" w:fill="auto"/>
            <w:noWrap/>
            <w:vAlign w:val="center"/>
            <w:hideMark/>
          </w:tcPr>
          <w:p w14:paraId="5CEE136B"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38</w:t>
            </w:r>
          </w:p>
        </w:tc>
        <w:tc>
          <w:tcPr>
            <w:tcW w:w="630" w:type="dxa"/>
            <w:tcBorders>
              <w:top w:val="single" w:sz="4" w:space="0" w:color="auto"/>
              <w:bottom w:val="single" w:sz="4" w:space="0" w:color="auto"/>
            </w:tcBorders>
            <w:shd w:val="clear" w:color="auto" w:fill="auto"/>
            <w:noWrap/>
            <w:vAlign w:val="center"/>
            <w:hideMark/>
          </w:tcPr>
          <w:p w14:paraId="346BC4EA"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31</w:t>
            </w:r>
          </w:p>
        </w:tc>
        <w:tc>
          <w:tcPr>
            <w:tcW w:w="720" w:type="dxa"/>
            <w:tcBorders>
              <w:top w:val="single" w:sz="4" w:space="0" w:color="auto"/>
              <w:bottom w:val="single" w:sz="4" w:space="0" w:color="auto"/>
            </w:tcBorders>
            <w:shd w:val="clear" w:color="000000" w:fill="D9D9D9"/>
            <w:noWrap/>
            <w:vAlign w:val="center"/>
            <w:hideMark/>
          </w:tcPr>
          <w:p w14:paraId="256E2511"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35</w:t>
            </w:r>
          </w:p>
        </w:tc>
        <w:tc>
          <w:tcPr>
            <w:tcW w:w="630" w:type="dxa"/>
            <w:tcBorders>
              <w:top w:val="single" w:sz="4" w:space="0" w:color="auto"/>
              <w:bottom w:val="single" w:sz="4" w:space="0" w:color="auto"/>
            </w:tcBorders>
            <w:shd w:val="clear" w:color="auto" w:fill="auto"/>
            <w:noWrap/>
            <w:vAlign w:val="center"/>
            <w:hideMark/>
          </w:tcPr>
          <w:p w14:paraId="0D90D1C6"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39</w:t>
            </w:r>
          </w:p>
        </w:tc>
        <w:tc>
          <w:tcPr>
            <w:tcW w:w="630" w:type="dxa"/>
            <w:tcBorders>
              <w:top w:val="single" w:sz="4" w:space="0" w:color="auto"/>
              <w:bottom w:val="single" w:sz="4" w:space="0" w:color="auto"/>
            </w:tcBorders>
            <w:shd w:val="clear" w:color="auto" w:fill="auto"/>
            <w:noWrap/>
            <w:vAlign w:val="center"/>
            <w:hideMark/>
          </w:tcPr>
          <w:p w14:paraId="07CC4F2E"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50</w:t>
            </w:r>
          </w:p>
        </w:tc>
        <w:tc>
          <w:tcPr>
            <w:tcW w:w="630" w:type="dxa"/>
            <w:tcBorders>
              <w:top w:val="single" w:sz="4" w:space="0" w:color="auto"/>
              <w:bottom w:val="single" w:sz="4" w:space="0" w:color="auto"/>
            </w:tcBorders>
            <w:shd w:val="clear" w:color="auto" w:fill="auto"/>
            <w:noWrap/>
            <w:vAlign w:val="center"/>
            <w:hideMark/>
          </w:tcPr>
          <w:p w14:paraId="44065EAB"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59</w:t>
            </w:r>
          </w:p>
        </w:tc>
        <w:tc>
          <w:tcPr>
            <w:tcW w:w="720" w:type="dxa"/>
            <w:tcBorders>
              <w:top w:val="single" w:sz="4" w:space="0" w:color="auto"/>
              <w:bottom w:val="single" w:sz="4" w:space="0" w:color="auto"/>
            </w:tcBorders>
            <w:shd w:val="clear" w:color="auto" w:fill="auto"/>
            <w:noWrap/>
            <w:vAlign w:val="center"/>
            <w:hideMark/>
          </w:tcPr>
          <w:p w14:paraId="436AA07C"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62</w:t>
            </w:r>
          </w:p>
        </w:tc>
        <w:tc>
          <w:tcPr>
            <w:tcW w:w="630" w:type="dxa"/>
            <w:tcBorders>
              <w:top w:val="single" w:sz="4" w:space="0" w:color="auto"/>
              <w:bottom w:val="single" w:sz="4" w:space="0" w:color="auto"/>
            </w:tcBorders>
            <w:shd w:val="clear" w:color="auto" w:fill="auto"/>
            <w:vAlign w:val="center"/>
            <w:hideMark/>
          </w:tcPr>
          <w:p w14:paraId="6C9B9122" w14:textId="4C3C4133"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65</w:t>
            </w:r>
          </w:p>
        </w:tc>
        <w:tc>
          <w:tcPr>
            <w:tcW w:w="630" w:type="dxa"/>
            <w:tcBorders>
              <w:top w:val="single" w:sz="4" w:space="0" w:color="auto"/>
              <w:bottom w:val="single" w:sz="4" w:space="0" w:color="auto"/>
            </w:tcBorders>
            <w:shd w:val="clear" w:color="auto" w:fill="auto"/>
            <w:noWrap/>
            <w:vAlign w:val="center"/>
            <w:hideMark/>
          </w:tcPr>
          <w:p w14:paraId="271BA842"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68</w:t>
            </w:r>
          </w:p>
        </w:tc>
        <w:tc>
          <w:tcPr>
            <w:tcW w:w="720" w:type="dxa"/>
            <w:tcBorders>
              <w:top w:val="single" w:sz="4" w:space="0" w:color="auto"/>
              <w:bottom w:val="single" w:sz="4" w:space="0" w:color="auto"/>
            </w:tcBorders>
            <w:shd w:val="clear" w:color="auto" w:fill="auto"/>
            <w:noWrap/>
            <w:vAlign w:val="center"/>
            <w:hideMark/>
          </w:tcPr>
          <w:p w14:paraId="6B12BCD2"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75</w:t>
            </w:r>
          </w:p>
        </w:tc>
      </w:tr>
      <w:tr w:rsidR="00F84485" w:rsidRPr="00AC6175" w14:paraId="00DCB163" w14:textId="77777777" w:rsidTr="00F84485">
        <w:trPr>
          <w:trHeight w:val="300"/>
          <w:jc w:val="center"/>
        </w:trPr>
        <w:tc>
          <w:tcPr>
            <w:tcW w:w="1260" w:type="dxa"/>
            <w:tcBorders>
              <w:top w:val="single" w:sz="4" w:space="0" w:color="auto"/>
              <w:bottom w:val="single" w:sz="4" w:space="0" w:color="auto"/>
            </w:tcBorders>
            <w:shd w:val="clear" w:color="auto" w:fill="auto"/>
            <w:noWrap/>
            <w:vAlign w:val="center"/>
            <w:hideMark/>
          </w:tcPr>
          <w:p w14:paraId="63998817" w14:textId="77777777" w:rsidR="007A44CD" w:rsidRPr="00AC6175" w:rsidRDefault="007A44CD" w:rsidP="007857CB">
            <w:pPr>
              <w:spacing w:after="0" w:line="240" w:lineRule="auto"/>
              <w:rPr>
                <w:rFonts w:eastAsia="Times New Roman" w:cs="Times New Roman"/>
                <w:color w:val="000000"/>
                <w:sz w:val="20"/>
                <w:szCs w:val="20"/>
              </w:rPr>
            </w:pPr>
            <w:r w:rsidRPr="00AC6175">
              <w:rPr>
                <w:rFonts w:eastAsia="Times New Roman" w:cs="Times New Roman"/>
                <w:color w:val="000000"/>
                <w:sz w:val="20"/>
                <w:szCs w:val="20"/>
              </w:rPr>
              <w:t>Cambodia</w:t>
            </w:r>
          </w:p>
        </w:tc>
        <w:tc>
          <w:tcPr>
            <w:tcW w:w="720" w:type="dxa"/>
            <w:tcBorders>
              <w:top w:val="single" w:sz="4" w:space="0" w:color="auto"/>
              <w:bottom w:val="single" w:sz="4" w:space="0" w:color="auto"/>
            </w:tcBorders>
            <w:shd w:val="diagStripe" w:color="BFBFBF" w:fill="CCCCCC"/>
            <w:noWrap/>
            <w:vAlign w:val="center"/>
            <w:hideMark/>
          </w:tcPr>
          <w:p w14:paraId="1406C4D5"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50*</w:t>
            </w:r>
          </w:p>
        </w:tc>
        <w:tc>
          <w:tcPr>
            <w:tcW w:w="630" w:type="dxa"/>
            <w:tcBorders>
              <w:top w:val="single" w:sz="4" w:space="0" w:color="auto"/>
              <w:bottom w:val="single" w:sz="4" w:space="0" w:color="auto"/>
            </w:tcBorders>
            <w:shd w:val="clear" w:color="auto" w:fill="auto"/>
            <w:noWrap/>
            <w:vAlign w:val="center"/>
            <w:hideMark/>
          </w:tcPr>
          <w:p w14:paraId="62B9D720"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50</w:t>
            </w:r>
          </w:p>
        </w:tc>
        <w:tc>
          <w:tcPr>
            <w:tcW w:w="630" w:type="dxa"/>
            <w:tcBorders>
              <w:top w:val="single" w:sz="4" w:space="0" w:color="auto"/>
              <w:bottom w:val="single" w:sz="4" w:space="0" w:color="auto"/>
            </w:tcBorders>
            <w:shd w:val="clear" w:color="auto" w:fill="auto"/>
            <w:noWrap/>
            <w:vAlign w:val="center"/>
            <w:hideMark/>
          </w:tcPr>
          <w:p w14:paraId="0E7EC5DD"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63</w:t>
            </w:r>
          </w:p>
        </w:tc>
        <w:tc>
          <w:tcPr>
            <w:tcW w:w="720" w:type="dxa"/>
            <w:tcBorders>
              <w:top w:val="single" w:sz="4" w:space="0" w:color="auto"/>
              <w:bottom w:val="single" w:sz="4" w:space="0" w:color="auto"/>
            </w:tcBorders>
            <w:shd w:val="clear" w:color="auto" w:fill="auto"/>
            <w:noWrap/>
            <w:vAlign w:val="center"/>
            <w:hideMark/>
          </w:tcPr>
          <w:p w14:paraId="30795D98"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52</w:t>
            </w:r>
          </w:p>
        </w:tc>
        <w:tc>
          <w:tcPr>
            <w:tcW w:w="630" w:type="dxa"/>
            <w:tcBorders>
              <w:top w:val="single" w:sz="4" w:space="0" w:color="auto"/>
              <w:bottom w:val="single" w:sz="4" w:space="0" w:color="auto"/>
            </w:tcBorders>
            <w:shd w:val="clear" w:color="auto" w:fill="auto"/>
            <w:noWrap/>
            <w:vAlign w:val="center"/>
            <w:hideMark/>
          </w:tcPr>
          <w:p w14:paraId="3B084D70"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65</w:t>
            </w:r>
          </w:p>
        </w:tc>
        <w:tc>
          <w:tcPr>
            <w:tcW w:w="630" w:type="dxa"/>
            <w:tcBorders>
              <w:top w:val="single" w:sz="4" w:space="0" w:color="auto"/>
              <w:bottom w:val="single" w:sz="4" w:space="0" w:color="auto"/>
            </w:tcBorders>
            <w:shd w:val="clear" w:color="auto" w:fill="auto"/>
            <w:noWrap/>
            <w:vAlign w:val="center"/>
            <w:hideMark/>
          </w:tcPr>
          <w:p w14:paraId="488F8486"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79</w:t>
            </w:r>
          </w:p>
        </w:tc>
        <w:tc>
          <w:tcPr>
            <w:tcW w:w="630" w:type="dxa"/>
            <w:tcBorders>
              <w:top w:val="single" w:sz="4" w:space="0" w:color="auto"/>
              <w:bottom w:val="single" w:sz="4" w:space="0" w:color="auto"/>
            </w:tcBorders>
            <w:shd w:val="clear" w:color="auto" w:fill="auto"/>
            <w:noWrap/>
            <w:vAlign w:val="center"/>
            <w:hideMark/>
          </w:tcPr>
          <w:p w14:paraId="44DBE36B"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89</w:t>
            </w:r>
          </w:p>
        </w:tc>
        <w:tc>
          <w:tcPr>
            <w:tcW w:w="720" w:type="dxa"/>
            <w:tcBorders>
              <w:top w:val="single" w:sz="4" w:space="0" w:color="auto"/>
              <w:bottom w:val="single" w:sz="4" w:space="0" w:color="auto"/>
            </w:tcBorders>
            <w:shd w:val="clear" w:color="auto" w:fill="auto"/>
            <w:noWrap/>
            <w:vAlign w:val="center"/>
            <w:hideMark/>
          </w:tcPr>
          <w:p w14:paraId="42B05870"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93</w:t>
            </w:r>
          </w:p>
        </w:tc>
        <w:tc>
          <w:tcPr>
            <w:tcW w:w="630" w:type="dxa"/>
            <w:tcBorders>
              <w:top w:val="single" w:sz="4" w:space="0" w:color="auto"/>
              <w:bottom w:val="single" w:sz="4" w:space="0" w:color="auto"/>
            </w:tcBorders>
            <w:shd w:val="clear" w:color="auto" w:fill="auto"/>
            <w:vAlign w:val="center"/>
            <w:hideMark/>
          </w:tcPr>
          <w:p w14:paraId="023D8EFE" w14:textId="51A3F84C"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93</w:t>
            </w:r>
          </w:p>
        </w:tc>
        <w:tc>
          <w:tcPr>
            <w:tcW w:w="630" w:type="dxa"/>
            <w:tcBorders>
              <w:top w:val="single" w:sz="4" w:space="0" w:color="auto"/>
              <w:bottom w:val="single" w:sz="4" w:space="0" w:color="auto"/>
            </w:tcBorders>
            <w:shd w:val="clear" w:color="auto" w:fill="auto"/>
            <w:noWrap/>
            <w:vAlign w:val="center"/>
            <w:hideMark/>
          </w:tcPr>
          <w:p w14:paraId="0EA352A2"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93</w:t>
            </w:r>
          </w:p>
        </w:tc>
        <w:tc>
          <w:tcPr>
            <w:tcW w:w="720" w:type="dxa"/>
            <w:tcBorders>
              <w:top w:val="single" w:sz="4" w:space="0" w:color="auto"/>
              <w:bottom w:val="single" w:sz="4" w:space="0" w:color="auto"/>
            </w:tcBorders>
            <w:shd w:val="clear" w:color="auto" w:fill="auto"/>
            <w:noWrap/>
            <w:vAlign w:val="center"/>
            <w:hideMark/>
          </w:tcPr>
          <w:p w14:paraId="2AA5D8B6"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90</w:t>
            </w:r>
          </w:p>
        </w:tc>
      </w:tr>
      <w:tr w:rsidR="00F84485" w:rsidRPr="00AC6175" w14:paraId="2750F9C8" w14:textId="77777777" w:rsidTr="00F84485">
        <w:trPr>
          <w:trHeight w:val="300"/>
          <w:jc w:val="center"/>
        </w:trPr>
        <w:tc>
          <w:tcPr>
            <w:tcW w:w="1260" w:type="dxa"/>
            <w:tcBorders>
              <w:top w:val="single" w:sz="4" w:space="0" w:color="auto"/>
              <w:bottom w:val="single" w:sz="4" w:space="0" w:color="auto"/>
            </w:tcBorders>
            <w:shd w:val="clear" w:color="auto" w:fill="auto"/>
            <w:noWrap/>
            <w:vAlign w:val="center"/>
            <w:hideMark/>
          </w:tcPr>
          <w:p w14:paraId="2D8DE4D4" w14:textId="77777777" w:rsidR="007A44CD" w:rsidRPr="00AC6175" w:rsidRDefault="007A44CD" w:rsidP="007857CB">
            <w:pPr>
              <w:spacing w:after="0" w:line="240" w:lineRule="auto"/>
              <w:rPr>
                <w:rFonts w:eastAsia="Times New Roman" w:cs="Times New Roman"/>
                <w:color w:val="000000"/>
                <w:sz w:val="20"/>
                <w:szCs w:val="20"/>
              </w:rPr>
            </w:pPr>
            <w:r w:rsidRPr="00AC6175">
              <w:rPr>
                <w:rFonts w:eastAsia="Times New Roman" w:cs="Times New Roman"/>
                <w:color w:val="000000"/>
                <w:sz w:val="20"/>
                <w:szCs w:val="20"/>
              </w:rPr>
              <w:t>Congo, Dem. Rep.</w:t>
            </w:r>
          </w:p>
        </w:tc>
        <w:tc>
          <w:tcPr>
            <w:tcW w:w="720" w:type="dxa"/>
            <w:tcBorders>
              <w:top w:val="single" w:sz="4" w:space="0" w:color="auto"/>
              <w:bottom w:val="single" w:sz="4" w:space="0" w:color="auto"/>
            </w:tcBorders>
            <w:shd w:val="clear" w:color="auto" w:fill="auto"/>
            <w:noWrap/>
            <w:vAlign w:val="center"/>
            <w:hideMark/>
          </w:tcPr>
          <w:p w14:paraId="379065E5"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39</w:t>
            </w:r>
          </w:p>
        </w:tc>
        <w:tc>
          <w:tcPr>
            <w:tcW w:w="630" w:type="dxa"/>
            <w:tcBorders>
              <w:top w:val="single" w:sz="4" w:space="0" w:color="auto"/>
              <w:bottom w:val="single" w:sz="4" w:space="0" w:color="auto"/>
            </w:tcBorders>
            <w:shd w:val="clear" w:color="auto" w:fill="auto"/>
            <w:noWrap/>
            <w:vAlign w:val="center"/>
            <w:hideMark/>
          </w:tcPr>
          <w:p w14:paraId="39A1CF1B"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20</w:t>
            </w:r>
          </w:p>
        </w:tc>
        <w:tc>
          <w:tcPr>
            <w:tcW w:w="630" w:type="dxa"/>
            <w:tcBorders>
              <w:top w:val="single" w:sz="4" w:space="0" w:color="auto"/>
              <w:bottom w:val="single" w:sz="4" w:space="0" w:color="auto"/>
            </w:tcBorders>
            <w:shd w:val="clear" w:color="auto" w:fill="auto"/>
            <w:noWrap/>
            <w:vAlign w:val="center"/>
            <w:hideMark/>
          </w:tcPr>
          <w:p w14:paraId="0F9316ED"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15</w:t>
            </w:r>
          </w:p>
        </w:tc>
        <w:tc>
          <w:tcPr>
            <w:tcW w:w="720" w:type="dxa"/>
            <w:tcBorders>
              <w:top w:val="single" w:sz="4" w:space="0" w:color="auto"/>
              <w:bottom w:val="single" w:sz="4" w:space="0" w:color="auto"/>
            </w:tcBorders>
            <w:shd w:val="clear" w:color="auto" w:fill="auto"/>
            <w:noWrap/>
            <w:vAlign w:val="center"/>
            <w:hideMark/>
          </w:tcPr>
          <w:p w14:paraId="18E34CF4"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42</w:t>
            </w:r>
          </w:p>
        </w:tc>
        <w:tc>
          <w:tcPr>
            <w:tcW w:w="630" w:type="dxa"/>
            <w:tcBorders>
              <w:top w:val="single" w:sz="4" w:space="0" w:color="auto"/>
              <w:bottom w:val="single" w:sz="4" w:space="0" w:color="auto"/>
            </w:tcBorders>
            <w:shd w:val="clear" w:color="000000" w:fill="D9D9D9"/>
            <w:noWrap/>
            <w:vAlign w:val="center"/>
            <w:hideMark/>
          </w:tcPr>
          <w:p w14:paraId="630BF1B9"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49</w:t>
            </w:r>
          </w:p>
        </w:tc>
        <w:tc>
          <w:tcPr>
            <w:tcW w:w="630" w:type="dxa"/>
            <w:tcBorders>
              <w:top w:val="single" w:sz="4" w:space="0" w:color="auto"/>
              <w:bottom w:val="single" w:sz="4" w:space="0" w:color="auto"/>
            </w:tcBorders>
            <w:shd w:val="clear" w:color="auto" w:fill="auto"/>
            <w:noWrap/>
            <w:vAlign w:val="center"/>
            <w:hideMark/>
          </w:tcPr>
          <w:p w14:paraId="5C45322D"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61</w:t>
            </w:r>
          </w:p>
        </w:tc>
        <w:tc>
          <w:tcPr>
            <w:tcW w:w="630" w:type="dxa"/>
            <w:tcBorders>
              <w:top w:val="single" w:sz="4" w:space="0" w:color="auto"/>
              <w:bottom w:val="single" w:sz="4" w:space="0" w:color="auto"/>
            </w:tcBorders>
            <w:shd w:val="clear" w:color="auto" w:fill="auto"/>
            <w:noWrap/>
            <w:vAlign w:val="center"/>
            <w:hideMark/>
          </w:tcPr>
          <w:p w14:paraId="65A2DEBB"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64</w:t>
            </w:r>
          </w:p>
        </w:tc>
        <w:tc>
          <w:tcPr>
            <w:tcW w:w="720" w:type="dxa"/>
            <w:tcBorders>
              <w:top w:val="single" w:sz="4" w:space="0" w:color="auto"/>
              <w:bottom w:val="single" w:sz="4" w:space="0" w:color="auto"/>
            </w:tcBorders>
            <w:shd w:val="clear" w:color="auto" w:fill="auto"/>
            <w:noWrap/>
            <w:vAlign w:val="center"/>
            <w:hideMark/>
          </w:tcPr>
          <w:p w14:paraId="3447ABD6"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74</w:t>
            </w:r>
          </w:p>
        </w:tc>
        <w:tc>
          <w:tcPr>
            <w:tcW w:w="630" w:type="dxa"/>
            <w:tcBorders>
              <w:top w:val="single" w:sz="4" w:space="0" w:color="auto"/>
              <w:bottom w:val="single" w:sz="4" w:space="0" w:color="auto"/>
            </w:tcBorders>
            <w:shd w:val="clear" w:color="auto" w:fill="auto"/>
            <w:vAlign w:val="center"/>
            <w:hideMark/>
          </w:tcPr>
          <w:p w14:paraId="3C980CE8" w14:textId="3E6AD072"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74</w:t>
            </w:r>
          </w:p>
        </w:tc>
        <w:tc>
          <w:tcPr>
            <w:tcW w:w="630" w:type="dxa"/>
            <w:tcBorders>
              <w:top w:val="single" w:sz="4" w:space="0" w:color="auto"/>
              <w:bottom w:val="single" w:sz="4" w:space="0" w:color="auto"/>
            </w:tcBorders>
            <w:shd w:val="clear" w:color="auto" w:fill="auto"/>
            <w:noWrap/>
            <w:vAlign w:val="center"/>
            <w:hideMark/>
          </w:tcPr>
          <w:p w14:paraId="3033E3CB"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73</w:t>
            </w:r>
          </w:p>
        </w:tc>
        <w:tc>
          <w:tcPr>
            <w:tcW w:w="720" w:type="dxa"/>
            <w:tcBorders>
              <w:top w:val="single" w:sz="4" w:space="0" w:color="auto"/>
              <w:bottom w:val="single" w:sz="4" w:space="0" w:color="auto"/>
            </w:tcBorders>
            <w:shd w:val="clear" w:color="auto" w:fill="auto"/>
            <w:noWrap/>
            <w:vAlign w:val="center"/>
            <w:hideMark/>
          </w:tcPr>
          <w:p w14:paraId="51B6AF79"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73</w:t>
            </w:r>
          </w:p>
        </w:tc>
      </w:tr>
      <w:tr w:rsidR="00F84485" w:rsidRPr="00AC6175" w14:paraId="32D20BAA" w14:textId="77777777" w:rsidTr="00F84485">
        <w:trPr>
          <w:trHeight w:val="300"/>
          <w:jc w:val="center"/>
        </w:trPr>
        <w:tc>
          <w:tcPr>
            <w:tcW w:w="1260" w:type="dxa"/>
            <w:tcBorders>
              <w:top w:val="single" w:sz="4" w:space="0" w:color="auto"/>
              <w:bottom w:val="single" w:sz="4" w:space="0" w:color="auto"/>
            </w:tcBorders>
            <w:shd w:val="clear" w:color="auto" w:fill="auto"/>
            <w:noWrap/>
            <w:vAlign w:val="center"/>
            <w:hideMark/>
          </w:tcPr>
          <w:p w14:paraId="688B470B" w14:textId="77777777" w:rsidR="007A44CD" w:rsidRPr="00AC6175" w:rsidRDefault="007A44CD" w:rsidP="007857CB">
            <w:pPr>
              <w:spacing w:after="0" w:line="240" w:lineRule="auto"/>
              <w:rPr>
                <w:rFonts w:eastAsia="Times New Roman" w:cs="Times New Roman"/>
                <w:color w:val="000000"/>
                <w:sz w:val="20"/>
                <w:szCs w:val="20"/>
              </w:rPr>
            </w:pPr>
            <w:r w:rsidRPr="00AC6175">
              <w:rPr>
                <w:rFonts w:eastAsia="Times New Roman" w:cs="Times New Roman"/>
                <w:color w:val="000000"/>
                <w:sz w:val="20"/>
                <w:szCs w:val="20"/>
              </w:rPr>
              <w:t>Liberia</w:t>
            </w:r>
          </w:p>
        </w:tc>
        <w:tc>
          <w:tcPr>
            <w:tcW w:w="720" w:type="dxa"/>
            <w:tcBorders>
              <w:top w:val="single" w:sz="4" w:space="0" w:color="auto"/>
              <w:bottom w:val="single" w:sz="4" w:space="0" w:color="auto"/>
            </w:tcBorders>
            <w:shd w:val="clear" w:color="auto" w:fill="auto"/>
            <w:noWrap/>
            <w:vAlign w:val="center"/>
            <w:hideMark/>
          </w:tcPr>
          <w:p w14:paraId="42316596" w14:textId="5B354576" w:rsidR="007A44CD" w:rsidRPr="00AC6175" w:rsidRDefault="009B3648" w:rsidP="005F73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630" w:type="dxa"/>
            <w:tcBorders>
              <w:top w:val="single" w:sz="4" w:space="0" w:color="auto"/>
              <w:bottom w:val="single" w:sz="4" w:space="0" w:color="auto"/>
            </w:tcBorders>
            <w:shd w:val="clear" w:color="auto" w:fill="auto"/>
            <w:noWrap/>
            <w:vAlign w:val="center"/>
            <w:hideMark/>
          </w:tcPr>
          <w:p w14:paraId="7C12F73E" w14:textId="25B69B22" w:rsidR="007A44CD" w:rsidRPr="00AC6175" w:rsidRDefault="009B3648" w:rsidP="005F73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630" w:type="dxa"/>
            <w:tcBorders>
              <w:top w:val="single" w:sz="4" w:space="0" w:color="auto"/>
              <w:bottom w:val="single" w:sz="4" w:space="0" w:color="auto"/>
            </w:tcBorders>
            <w:shd w:val="clear" w:color="auto" w:fill="auto"/>
            <w:noWrap/>
            <w:vAlign w:val="center"/>
            <w:hideMark/>
          </w:tcPr>
          <w:p w14:paraId="7EA3F7DC"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69</w:t>
            </w:r>
          </w:p>
        </w:tc>
        <w:tc>
          <w:tcPr>
            <w:tcW w:w="720" w:type="dxa"/>
            <w:tcBorders>
              <w:top w:val="single" w:sz="4" w:space="0" w:color="auto"/>
              <w:bottom w:val="single" w:sz="4" w:space="0" w:color="auto"/>
            </w:tcBorders>
            <w:shd w:val="clear" w:color="auto" w:fill="auto"/>
            <w:noWrap/>
            <w:vAlign w:val="center"/>
            <w:hideMark/>
          </w:tcPr>
          <w:p w14:paraId="7368BA51"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52</w:t>
            </w:r>
          </w:p>
        </w:tc>
        <w:tc>
          <w:tcPr>
            <w:tcW w:w="630" w:type="dxa"/>
            <w:tcBorders>
              <w:top w:val="single" w:sz="4" w:space="0" w:color="auto"/>
              <w:bottom w:val="single" w:sz="4" w:space="0" w:color="auto"/>
            </w:tcBorders>
            <w:shd w:val="clear" w:color="000000" w:fill="D9D9D9"/>
            <w:noWrap/>
            <w:vAlign w:val="center"/>
            <w:hideMark/>
          </w:tcPr>
          <w:p w14:paraId="13C097F6"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47</w:t>
            </w:r>
          </w:p>
        </w:tc>
        <w:tc>
          <w:tcPr>
            <w:tcW w:w="630" w:type="dxa"/>
            <w:tcBorders>
              <w:top w:val="single" w:sz="4" w:space="0" w:color="auto"/>
              <w:bottom w:val="single" w:sz="4" w:space="0" w:color="auto"/>
            </w:tcBorders>
            <w:shd w:val="clear" w:color="auto" w:fill="auto"/>
            <w:noWrap/>
            <w:vAlign w:val="center"/>
            <w:hideMark/>
          </w:tcPr>
          <w:p w14:paraId="5E926672"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63</w:t>
            </w:r>
          </w:p>
        </w:tc>
        <w:tc>
          <w:tcPr>
            <w:tcW w:w="630" w:type="dxa"/>
            <w:tcBorders>
              <w:top w:val="single" w:sz="4" w:space="0" w:color="auto"/>
              <w:bottom w:val="single" w:sz="4" w:space="0" w:color="auto"/>
            </w:tcBorders>
            <w:shd w:val="clear" w:color="auto" w:fill="auto"/>
            <w:noWrap/>
            <w:vAlign w:val="center"/>
            <w:hideMark/>
          </w:tcPr>
          <w:p w14:paraId="31711874"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64</w:t>
            </w:r>
          </w:p>
        </w:tc>
        <w:tc>
          <w:tcPr>
            <w:tcW w:w="720" w:type="dxa"/>
            <w:tcBorders>
              <w:top w:val="single" w:sz="4" w:space="0" w:color="auto"/>
              <w:bottom w:val="single" w:sz="4" w:space="0" w:color="auto"/>
            </w:tcBorders>
            <w:shd w:val="clear" w:color="auto" w:fill="auto"/>
            <w:noWrap/>
            <w:vAlign w:val="center"/>
            <w:hideMark/>
          </w:tcPr>
          <w:p w14:paraId="5AC3E957"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64</w:t>
            </w:r>
          </w:p>
        </w:tc>
        <w:tc>
          <w:tcPr>
            <w:tcW w:w="630" w:type="dxa"/>
            <w:tcBorders>
              <w:top w:val="single" w:sz="4" w:space="0" w:color="auto"/>
              <w:bottom w:val="single" w:sz="4" w:space="0" w:color="auto"/>
            </w:tcBorders>
            <w:shd w:val="clear" w:color="auto" w:fill="auto"/>
            <w:vAlign w:val="center"/>
            <w:hideMark/>
          </w:tcPr>
          <w:p w14:paraId="28DB8839" w14:textId="743F6DE3"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71</w:t>
            </w:r>
          </w:p>
        </w:tc>
        <w:tc>
          <w:tcPr>
            <w:tcW w:w="630" w:type="dxa"/>
            <w:tcBorders>
              <w:top w:val="single" w:sz="4" w:space="0" w:color="auto"/>
              <w:bottom w:val="single" w:sz="4" w:space="0" w:color="auto"/>
            </w:tcBorders>
            <w:shd w:val="clear" w:color="auto" w:fill="auto"/>
            <w:noWrap/>
            <w:vAlign w:val="center"/>
            <w:hideMark/>
          </w:tcPr>
          <w:p w14:paraId="0905AF7A"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80</w:t>
            </w:r>
          </w:p>
        </w:tc>
        <w:tc>
          <w:tcPr>
            <w:tcW w:w="720" w:type="dxa"/>
            <w:tcBorders>
              <w:top w:val="single" w:sz="4" w:space="0" w:color="auto"/>
              <w:bottom w:val="single" w:sz="4" w:space="0" w:color="auto"/>
            </w:tcBorders>
            <w:shd w:val="clear" w:color="auto" w:fill="auto"/>
            <w:noWrap/>
            <w:vAlign w:val="center"/>
            <w:hideMark/>
          </w:tcPr>
          <w:p w14:paraId="3A299AB6"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74</w:t>
            </w:r>
          </w:p>
        </w:tc>
      </w:tr>
      <w:tr w:rsidR="00F84485" w:rsidRPr="00AC6175" w14:paraId="7D92AA7E" w14:textId="77777777" w:rsidTr="00F84485">
        <w:trPr>
          <w:trHeight w:val="300"/>
          <w:jc w:val="center"/>
        </w:trPr>
        <w:tc>
          <w:tcPr>
            <w:tcW w:w="1260" w:type="dxa"/>
            <w:tcBorders>
              <w:top w:val="single" w:sz="4" w:space="0" w:color="auto"/>
              <w:bottom w:val="single" w:sz="4" w:space="0" w:color="auto"/>
            </w:tcBorders>
            <w:shd w:val="clear" w:color="auto" w:fill="auto"/>
            <w:noWrap/>
            <w:vAlign w:val="center"/>
            <w:hideMark/>
          </w:tcPr>
          <w:p w14:paraId="3F1635D3" w14:textId="77777777" w:rsidR="007A44CD" w:rsidRPr="00AC6175" w:rsidRDefault="007A44CD" w:rsidP="007857CB">
            <w:pPr>
              <w:spacing w:after="0" w:line="240" w:lineRule="auto"/>
              <w:rPr>
                <w:rFonts w:eastAsia="Times New Roman" w:cs="Times New Roman"/>
                <w:color w:val="000000"/>
                <w:sz w:val="20"/>
                <w:szCs w:val="20"/>
              </w:rPr>
            </w:pPr>
            <w:r w:rsidRPr="00AC6175">
              <w:rPr>
                <w:rFonts w:eastAsia="Times New Roman" w:cs="Times New Roman"/>
                <w:color w:val="000000"/>
                <w:sz w:val="20"/>
                <w:szCs w:val="20"/>
              </w:rPr>
              <w:lastRenderedPageBreak/>
              <w:t>Sierra Leone</w:t>
            </w:r>
          </w:p>
        </w:tc>
        <w:tc>
          <w:tcPr>
            <w:tcW w:w="720" w:type="dxa"/>
            <w:tcBorders>
              <w:top w:val="single" w:sz="4" w:space="0" w:color="auto"/>
              <w:bottom w:val="single" w:sz="4" w:space="0" w:color="auto"/>
            </w:tcBorders>
            <w:shd w:val="clear" w:color="auto" w:fill="auto"/>
            <w:noWrap/>
            <w:vAlign w:val="center"/>
            <w:hideMark/>
          </w:tcPr>
          <w:p w14:paraId="521BBAEA" w14:textId="696A23F7" w:rsidR="007A44CD" w:rsidRPr="00AC6175" w:rsidRDefault="009B3648" w:rsidP="005F73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630" w:type="dxa"/>
            <w:tcBorders>
              <w:top w:val="single" w:sz="4" w:space="0" w:color="auto"/>
              <w:bottom w:val="single" w:sz="4" w:space="0" w:color="auto"/>
            </w:tcBorders>
            <w:shd w:val="clear" w:color="auto" w:fill="auto"/>
            <w:noWrap/>
            <w:vAlign w:val="center"/>
            <w:hideMark/>
          </w:tcPr>
          <w:p w14:paraId="0CDE85FE" w14:textId="27F2B8E9" w:rsidR="007A44CD" w:rsidRPr="00AC6175" w:rsidRDefault="009B3648" w:rsidP="005F73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630" w:type="dxa"/>
            <w:tcBorders>
              <w:top w:val="single" w:sz="4" w:space="0" w:color="auto"/>
              <w:bottom w:val="single" w:sz="4" w:space="0" w:color="auto"/>
            </w:tcBorders>
            <w:shd w:val="clear" w:color="auto" w:fill="auto"/>
            <w:noWrap/>
            <w:vAlign w:val="center"/>
            <w:hideMark/>
          </w:tcPr>
          <w:p w14:paraId="4FC712BA"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62</w:t>
            </w:r>
          </w:p>
        </w:tc>
        <w:tc>
          <w:tcPr>
            <w:tcW w:w="720" w:type="dxa"/>
            <w:tcBorders>
              <w:top w:val="single" w:sz="4" w:space="0" w:color="auto"/>
              <w:bottom w:val="single" w:sz="4" w:space="0" w:color="auto"/>
            </w:tcBorders>
            <w:shd w:val="clear" w:color="000000" w:fill="D9D9D9"/>
            <w:noWrap/>
            <w:vAlign w:val="center"/>
            <w:hideMark/>
          </w:tcPr>
          <w:p w14:paraId="23263EEA"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62</w:t>
            </w:r>
          </w:p>
        </w:tc>
        <w:tc>
          <w:tcPr>
            <w:tcW w:w="630" w:type="dxa"/>
            <w:tcBorders>
              <w:top w:val="single" w:sz="4" w:space="0" w:color="auto"/>
              <w:bottom w:val="single" w:sz="4" w:space="0" w:color="auto"/>
            </w:tcBorders>
            <w:shd w:val="clear" w:color="auto" w:fill="auto"/>
            <w:noWrap/>
            <w:vAlign w:val="center"/>
            <w:hideMark/>
          </w:tcPr>
          <w:p w14:paraId="0D486C94"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73</w:t>
            </w:r>
          </w:p>
        </w:tc>
        <w:tc>
          <w:tcPr>
            <w:tcW w:w="630" w:type="dxa"/>
            <w:tcBorders>
              <w:top w:val="single" w:sz="4" w:space="0" w:color="auto"/>
              <w:bottom w:val="single" w:sz="4" w:space="0" w:color="auto"/>
            </w:tcBorders>
            <w:shd w:val="clear" w:color="auto" w:fill="auto"/>
            <w:noWrap/>
            <w:vAlign w:val="center"/>
            <w:hideMark/>
          </w:tcPr>
          <w:p w14:paraId="2E7A2DE0"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71</w:t>
            </w:r>
          </w:p>
        </w:tc>
        <w:tc>
          <w:tcPr>
            <w:tcW w:w="630" w:type="dxa"/>
            <w:tcBorders>
              <w:top w:val="single" w:sz="4" w:space="0" w:color="auto"/>
              <w:bottom w:val="single" w:sz="4" w:space="0" w:color="auto"/>
            </w:tcBorders>
            <w:shd w:val="clear" w:color="auto" w:fill="auto"/>
            <w:noWrap/>
            <w:vAlign w:val="center"/>
            <w:hideMark/>
          </w:tcPr>
          <w:p w14:paraId="203EC87D"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73</w:t>
            </w:r>
          </w:p>
        </w:tc>
        <w:tc>
          <w:tcPr>
            <w:tcW w:w="720" w:type="dxa"/>
            <w:tcBorders>
              <w:top w:val="single" w:sz="4" w:space="0" w:color="auto"/>
              <w:bottom w:val="single" w:sz="4" w:space="0" w:color="auto"/>
            </w:tcBorders>
            <w:shd w:val="clear" w:color="auto" w:fill="auto"/>
            <w:noWrap/>
            <w:vAlign w:val="center"/>
            <w:hideMark/>
          </w:tcPr>
          <w:p w14:paraId="239E1C48"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80</w:t>
            </w:r>
          </w:p>
        </w:tc>
        <w:tc>
          <w:tcPr>
            <w:tcW w:w="630" w:type="dxa"/>
            <w:tcBorders>
              <w:top w:val="single" w:sz="4" w:space="0" w:color="auto"/>
              <w:bottom w:val="single" w:sz="4" w:space="0" w:color="auto"/>
            </w:tcBorders>
            <w:shd w:val="clear" w:color="auto" w:fill="auto"/>
            <w:vAlign w:val="center"/>
            <w:hideMark/>
          </w:tcPr>
          <w:p w14:paraId="03AFCAD4" w14:textId="5E4726D6"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80</w:t>
            </w:r>
          </w:p>
        </w:tc>
        <w:tc>
          <w:tcPr>
            <w:tcW w:w="630" w:type="dxa"/>
            <w:tcBorders>
              <w:top w:val="single" w:sz="4" w:space="0" w:color="auto"/>
              <w:bottom w:val="single" w:sz="4" w:space="0" w:color="auto"/>
            </w:tcBorders>
            <w:shd w:val="clear" w:color="auto" w:fill="auto"/>
            <w:noWrap/>
            <w:vAlign w:val="center"/>
            <w:hideMark/>
          </w:tcPr>
          <w:p w14:paraId="0A04E43C"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84</w:t>
            </w:r>
          </w:p>
        </w:tc>
        <w:tc>
          <w:tcPr>
            <w:tcW w:w="720" w:type="dxa"/>
            <w:tcBorders>
              <w:top w:val="single" w:sz="4" w:space="0" w:color="auto"/>
              <w:bottom w:val="single" w:sz="4" w:space="0" w:color="auto"/>
            </w:tcBorders>
            <w:shd w:val="clear" w:color="auto" w:fill="auto"/>
            <w:noWrap/>
            <w:vAlign w:val="center"/>
            <w:hideMark/>
          </w:tcPr>
          <w:p w14:paraId="78B494A1"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83</w:t>
            </w:r>
          </w:p>
        </w:tc>
      </w:tr>
      <w:tr w:rsidR="00F84485" w:rsidRPr="00AC6175" w14:paraId="3D33183A" w14:textId="77777777" w:rsidTr="00F84485">
        <w:trPr>
          <w:trHeight w:val="300"/>
          <w:jc w:val="center"/>
        </w:trPr>
        <w:tc>
          <w:tcPr>
            <w:tcW w:w="1260" w:type="dxa"/>
            <w:tcBorders>
              <w:top w:val="single" w:sz="4" w:space="0" w:color="auto"/>
              <w:bottom w:val="single" w:sz="4" w:space="0" w:color="auto"/>
            </w:tcBorders>
            <w:shd w:val="clear" w:color="auto" w:fill="auto"/>
            <w:noWrap/>
            <w:vAlign w:val="center"/>
            <w:hideMark/>
          </w:tcPr>
          <w:p w14:paraId="7EA39F67" w14:textId="77777777" w:rsidR="007A44CD" w:rsidRPr="00AC6175" w:rsidRDefault="007A44CD" w:rsidP="007857CB">
            <w:pPr>
              <w:spacing w:after="0" w:line="240" w:lineRule="auto"/>
              <w:rPr>
                <w:rFonts w:eastAsia="Times New Roman" w:cs="Times New Roman"/>
                <w:color w:val="000000"/>
                <w:sz w:val="20"/>
                <w:szCs w:val="20"/>
              </w:rPr>
            </w:pPr>
            <w:r w:rsidRPr="00AC6175">
              <w:rPr>
                <w:rFonts w:eastAsia="Times New Roman" w:cs="Times New Roman"/>
                <w:color w:val="000000"/>
                <w:sz w:val="20"/>
                <w:szCs w:val="20"/>
              </w:rPr>
              <w:t>Tajikistan</w:t>
            </w:r>
          </w:p>
        </w:tc>
        <w:tc>
          <w:tcPr>
            <w:tcW w:w="720" w:type="dxa"/>
            <w:tcBorders>
              <w:top w:val="single" w:sz="4" w:space="0" w:color="auto"/>
              <w:bottom w:val="single" w:sz="4" w:space="0" w:color="auto"/>
            </w:tcBorders>
            <w:shd w:val="clear" w:color="auto" w:fill="auto"/>
            <w:noWrap/>
            <w:vAlign w:val="center"/>
            <w:hideMark/>
          </w:tcPr>
          <w:p w14:paraId="66272787"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73</w:t>
            </w:r>
          </w:p>
        </w:tc>
        <w:tc>
          <w:tcPr>
            <w:tcW w:w="630" w:type="dxa"/>
            <w:tcBorders>
              <w:top w:val="single" w:sz="4" w:space="0" w:color="auto"/>
              <w:bottom w:val="single" w:sz="4" w:space="0" w:color="auto"/>
            </w:tcBorders>
            <w:shd w:val="clear" w:color="000000" w:fill="D9D9D9"/>
            <w:noWrap/>
            <w:vAlign w:val="center"/>
            <w:hideMark/>
          </w:tcPr>
          <w:p w14:paraId="072462A7"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84</w:t>
            </w:r>
          </w:p>
        </w:tc>
        <w:tc>
          <w:tcPr>
            <w:tcW w:w="630" w:type="dxa"/>
            <w:tcBorders>
              <w:top w:val="single" w:sz="4" w:space="0" w:color="auto"/>
              <w:bottom w:val="single" w:sz="4" w:space="0" w:color="auto"/>
            </w:tcBorders>
            <w:shd w:val="clear" w:color="auto" w:fill="auto"/>
            <w:noWrap/>
            <w:vAlign w:val="center"/>
            <w:hideMark/>
          </w:tcPr>
          <w:p w14:paraId="19E956C5"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79</w:t>
            </w:r>
          </w:p>
        </w:tc>
        <w:tc>
          <w:tcPr>
            <w:tcW w:w="720" w:type="dxa"/>
            <w:tcBorders>
              <w:top w:val="single" w:sz="4" w:space="0" w:color="auto"/>
              <w:bottom w:val="single" w:sz="4" w:space="0" w:color="auto"/>
            </w:tcBorders>
            <w:shd w:val="clear" w:color="auto" w:fill="auto"/>
            <w:noWrap/>
            <w:vAlign w:val="center"/>
            <w:hideMark/>
          </w:tcPr>
          <w:p w14:paraId="27B27C97"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89</w:t>
            </w:r>
          </w:p>
        </w:tc>
        <w:tc>
          <w:tcPr>
            <w:tcW w:w="630" w:type="dxa"/>
            <w:tcBorders>
              <w:top w:val="single" w:sz="4" w:space="0" w:color="auto"/>
              <w:bottom w:val="single" w:sz="4" w:space="0" w:color="auto"/>
            </w:tcBorders>
            <w:shd w:val="clear" w:color="auto" w:fill="auto"/>
            <w:noWrap/>
            <w:vAlign w:val="center"/>
            <w:hideMark/>
          </w:tcPr>
          <w:p w14:paraId="0562691A"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91</w:t>
            </w:r>
          </w:p>
        </w:tc>
        <w:tc>
          <w:tcPr>
            <w:tcW w:w="630" w:type="dxa"/>
            <w:tcBorders>
              <w:top w:val="single" w:sz="4" w:space="0" w:color="auto"/>
              <w:bottom w:val="single" w:sz="4" w:space="0" w:color="auto"/>
            </w:tcBorders>
            <w:shd w:val="clear" w:color="auto" w:fill="auto"/>
            <w:noWrap/>
            <w:vAlign w:val="center"/>
            <w:hideMark/>
          </w:tcPr>
          <w:p w14:paraId="2B66BF6C"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85</w:t>
            </w:r>
          </w:p>
        </w:tc>
        <w:tc>
          <w:tcPr>
            <w:tcW w:w="630" w:type="dxa"/>
            <w:tcBorders>
              <w:top w:val="single" w:sz="4" w:space="0" w:color="auto"/>
              <w:bottom w:val="single" w:sz="4" w:space="0" w:color="auto"/>
            </w:tcBorders>
            <w:shd w:val="clear" w:color="auto" w:fill="auto"/>
            <w:noWrap/>
            <w:vAlign w:val="center"/>
            <w:hideMark/>
          </w:tcPr>
          <w:p w14:paraId="1FCA55D2"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86</w:t>
            </w:r>
          </w:p>
        </w:tc>
        <w:tc>
          <w:tcPr>
            <w:tcW w:w="720" w:type="dxa"/>
            <w:tcBorders>
              <w:top w:val="single" w:sz="4" w:space="0" w:color="auto"/>
              <w:bottom w:val="single" w:sz="4" w:space="0" w:color="auto"/>
            </w:tcBorders>
            <w:shd w:val="clear" w:color="auto" w:fill="auto"/>
            <w:noWrap/>
            <w:vAlign w:val="center"/>
            <w:hideMark/>
          </w:tcPr>
          <w:p w14:paraId="304B2CFC"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94</w:t>
            </w:r>
          </w:p>
        </w:tc>
        <w:tc>
          <w:tcPr>
            <w:tcW w:w="630" w:type="dxa"/>
            <w:tcBorders>
              <w:top w:val="single" w:sz="4" w:space="0" w:color="auto"/>
              <w:bottom w:val="single" w:sz="4" w:space="0" w:color="auto"/>
            </w:tcBorders>
            <w:shd w:val="clear" w:color="auto" w:fill="auto"/>
            <w:vAlign w:val="center"/>
            <w:hideMark/>
          </w:tcPr>
          <w:p w14:paraId="4F099544" w14:textId="103DCCE5"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98</w:t>
            </w:r>
          </w:p>
        </w:tc>
        <w:tc>
          <w:tcPr>
            <w:tcW w:w="630" w:type="dxa"/>
            <w:tcBorders>
              <w:top w:val="single" w:sz="4" w:space="0" w:color="auto"/>
              <w:bottom w:val="single" w:sz="4" w:space="0" w:color="auto"/>
            </w:tcBorders>
            <w:shd w:val="clear" w:color="auto" w:fill="auto"/>
            <w:noWrap/>
            <w:vAlign w:val="center"/>
            <w:hideMark/>
          </w:tcPr>
          <w:p w14:paraId="3DB023C0"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94</w:t>
            </w:r>
          </w:p>
        </w:tc>
        <w:tc>
          <w:tcPr>
            <w:tcW w:w="720" w:type="dxa"/>
            <w:tcBorders>
              <w:top w:val="single" w:sz="4" w:space="0" w:color="auto"/>
              <w:bottom w:val="single" w:sz="4" w:space="0" w:color="auto"/>
            </w:tcBorders>
            <w:shd w:val="clear" w:color="auto" w:fill="auto"/>
            <w:noWrap/>
            <w:vAlign w:val="center"/>
            <w:hideMark/>
          </w:tcPr>
          <w:p w14:paraId="2958529F"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92</w:t>
            </w:r>
          </w:p>
        </w:tc>
      </w:tr>
      <w:tr w:rsidR="00F84485" w:rsidRPr="00AC6175" w14:paraId="13A7E4CB" w14:textId="77777777" w:rsidTr="00F84485">
        <w:trPr>
          <w:trHeight w:val="300"/>
          <w:jc w:val="center"/>
        </w:trPr>
        <w:tc>
          <w:tcPr>
            <w:tcW w:w="1260" w:type="dxa"/>
            <w:tcBorders>
              <w:top w:val="single" w:sz="4" w:space="0" w:color="auto"/>
              <w:bottom w:val="single" w:sz="4" w:space="0" w:color="auto"/>
            </w:tcBorders>
            <w:shd w:val="clear" w:color="auto" w:fill="auto"/>
            <w:noWrap/>
            <w:vAlign w:val="center"/>
            <w:hideMark/>
          </w:tcPr>
          <w:p w14:paraId="6C3549CD" w14:textId="77777777" w:rsidR="007A44CD" w:rsidRPr="00AC6175" w:rsidRDefault="007A44CD" w:rsidP="007857CB">
            <w:pPr>
              <w:spacing w:after="0" w:line="240" w:lineRule="auto"/>
              <w:rPr>
                <w:rFonts w:eastAsia="Times New Roman" w:cs="Times New Roman"/>
                <w:color w:val="000000"/>
                <w:sz w:val="20"/>
                <w:szCs w:val="20"/>
              </w:rPr>
            </w:pPr>
            <w:r w:rsidRPr="00AC6175">
              <w:rPr>
                <w:rFonts w:eastAsia="Times New Roman" w:cs="Times New Roman"/>
                <w:color w:val="000000"/>
                <w:sz w:val="20"/>
                <w:szCs w:val="20"/>
              </w:rPr>
              <w:t>Tanzania</w:t>
            </w:r>
          </w:p>
        </w:tc>
        <w:tc>
          <w:tcPr>
            <w:tcW w:w="720" w:type="dxa"/>
            <w:tcBorders>
              <w:top w:val="single" w:sz="4" w:space="0" w:color="auto"/>
              <w:bottom w:val="single" w:sz="4" w:space="0" w:color="auto"/>
            </w:tcBorders>
            <w:shd w:val="clear" w:color="auto" w:fill="auto"/>
            <w:noWrap/>
            <w:vAlign w:val="center"/>
            <w:hideMark/>
          </w:tcPr>
          <w:p w14:paraId="535D2A6B"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79</w:t>
            </w:r>
          </w:p>
        </w:tc>
        <w:tc>
          <w:tcPr>
            <w:tcW w:w="630" w:type="dxa"/>
            <w:tcBorders>
              <w:top w:val="single" w:sz="4" w:space="0" w:color="auto"/>
              <w:bottom w:val="single" w:sz="4" w:space="0" w:color="auto"/>
            </w:tcBorders>
            <w:shd w:val="clear" w:color="auto" w:fill="auto"/>
            <w:noWrap/>
            <w:vAlign w:val="center"/>
            <w:hideMark/>
          </w:tcPr>
          <w:p w14:paraId="383128E8"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73</w:t>
            </w:r>
          </w:p>
        </w:tc>
        <w:tc>
          <w:tcPr>
            <w:tcW w:w="630" w:type="dxa"/>
            <w:tcBorders>
              <w:top w:val="single" w:sz="4" w:space="0" w:color="auto"/>
              <w:bottom w:val="single" w:sz="4" w:space="0" w:color="auto"/>
            </w:tcBorders>
            <w:shd w:val="clear" w:color="auto" w:fill="auto"/>
            <w:noWrap/>
            <w:vAlign w:val="center"/>
            <w:hideMark/>
          </w:tcPr>
          <w:p w14:paraId="50FB248C"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72</w:t>
            </w:r>
          </w:p>
        </w:tc>
        <w:tc>
          <w:tcPr>
            <w:tcW w:w="720" w:type="dxa"/>
            <w:tcBorders>
              <w:top w:val="single" w:sz="4" w:space="0" w:color="auto"/>
              <w:bottom w:val="single" w:sz="4" w:space="0" w:color="auto"/>
            </w:tcBorders>
            <w:shd w:val="clear" w:color="auto" w:fill="auto"/>
            <w:noWrap/>
            <w:vAlign w:val="center"/>
            <w:hideMark/>
          </w:tcPr>
          <w:p w14:paraId="4DB5E7A6"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89</w:t>
            </w:r>
          </w:p>
        </w:tc>
        <w:tc>
          <w:tcPr>
            <w:tcW w:w="630" w:type="dxa"/>
            <w:tcBorders>
              <w:top w:val="single" w:sz="4" w:space="0" w:color="auto"/>
              <w:bottom w:val="single" w:sz="4" w:space="0" w:color="auto"/>
            </w:tcBorders>
            <w:shd w:val="clear" w:color="auto" w:fill="auto"/>
            <w:noWrap/>
            <w:vAlign w:val="center"/>
            <w:hideMark/>
          </w:tcPr>
          <w:p w14:paraId="5684AE82"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97</w:t>
            </w:r>
          </w:p>
        </w:tc>
        <w:tc>
          <w:tcPr>
            <w:tcW w:w="630" w:type="dxa"/>
            <w:tcBorders>
              <w:top w:val="single" w:sz="4" w:space="0" w:color="auto"/>
              <w:bottom w:val="single" w:sz="4" w:space="0" w:color="auto"/>
            </w:tcBorders>
            <w:shd w:val="clear" w:color="auto" w:fill="auto"/>
            <w:noWrap/>
            <w:vAlign w:val="center"/>
            <w:hideMark/>
          </w:tcPr>
          <w:p w14:paraId="3B279DF3"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91</w:t>
            </w:r>
          </w:p>
        </w:tc>
        <w:tc>
          <w:tcPr>
            <w:tcW w:w="630" w:type="dxa"/>
            <w:tcBorders>
              <w:top w:val="single" w:sz="4" w:space="0" w:color="auto"/>
              <w:bottom w:val="single" w:sz="4" w:space="0" w:color="auto"/>
            </w:tcBorders>
            <w:shd w:val="clear" w:color="auto" w:fill="auto"/>
            <w:noWrap/>
            <w:vAlign w:val="center"/>
            <w:hideMark/>
          </w:tcPr>
          <w:p w14:paraId="79E33C41"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88</w:t>
            </w:r>
          </w:p>
        </w:tc>
        <w:tc>
          <w:tcPr>
            <w:tcW w:w="720" w:type="dxa"/>
            <w:tcBorders>
              <w:top w:val="single" w:sz="4" w:space="0" w:color="auto"/>
              <w:bottom w:val="single" w:sz="4" w:space="0" w:color="auto"/>
            </w:tcBorders>
            <w:shd w:val="clear" w:color="auto" w:fill="auto"/>
            <w:noWrap/>
            <w:vAlign w:val="center"/>
            <w:hideMark/>
          </w:tcPr>
          <w:p w14:paraId="1D8B86AC"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92</w:t>
            </w:r>
          </w:p>
        </w:tc>
        <w:tc>
          <w:tcPr>
            <w:tcW w:w="630" w:type="dxa"/>
            <w:tcBorders>
              <w:top w:val="single" w:sz="4" w:space="0" w:color="auto"/>
              <w:bottom w:val="single" w:sz="4" w:space="0" w:color="auto"/>
            </w:tcBorders>
            <w:shd w:val="clear" w:color="auto" w:fill="auto"/>
            <w:vAlign w:val="center"/>
            <w:hideMark/>
          </w:tcPr>
          <w:p w14:paraId="0CBA2E1C" w14:textId="091C7B7F"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93</w:t>
            </w:r>
          </w:p>
        </w:tc>
        <w:tc>
          <w:tcPr>
            <w:tcW w:w="630" w:type="dxa"/>
            <w:tcBorders>
              <w:top w:val="single" w:sz="4" w:space="0" w:color="auto"/>
              <w:bottom w:val="single" w:sz="4" w:space="0" w:color="auto"/>
            </w:tcBorders>
            <w:shd w:val="clear" w:color="auto" w:fill="auto"/>
            <w:noWrap/>
            <w:vAlign w:val="center"/>
            <w:hideMark/>
          </w:tcPr>
          <w:p w14:paraId="5D878F6F"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97</w:t>
            </w:r>
          </w:p>
        </w:tc>
        <w:tc>
          <w:tcPr>
            <w:tcW w:w="720" w:type="dxa"/>
            <w:tcBorders>
              <w:top w:val="single" w:sz="4" w:space="0" w:color="auto"/>
              <w:bottom w:val="single" w:sz="4" w:space="0" w:color="auto"/>
            </w:tcBorders>
            <w:shd w:val="clear" w:color="auto" w:fill="auto"/>
            <w:noWrap/>
            <w:vAlign w:val="center"/>
            <w:hideMark/>
          </w:tcPr>
          <w:p w14:paraId="3496760F"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99</w:t>
            </w:r>
          </w:p>
        </w:tc>
      </w:tr>
      <w:tr w:rsidR="00F84485" w:rsidRPr="00AC6175" w14:paraId="74536EB7" w14:textId="77777777" w:rsidTr="00F84485">
        <w:trPr>
          <w:trHeight w:val="300"/>
          <w:jc w:val="center"/>
        </w:trPr>
        <w:tc>
          <w:tcPr>
            <w:tcW w:w="1260" w:type="dxa"/>
            <w:tcBorders>
              <w:top w:val="single" w:sz="4" w:space="0" w:color="auto"/>
              <w:bottom w:val="single" w:sz="4" w:space="0" w:color="auto"/>
            </w:tcBorders>
            <w:shd w:val="clear" w:color="auto" w:fill="auto"/>
            <w:noWrap/>
            <w:vAlign w:val="center"/>
            <w:hideMark/>
          </w:tcPr>
          <w:p w14:paraId="2B010A14" w14:textId="77777777" w:rsidR="007A44CD" w:rsidRPr="00AC6175" w:rsidRDefault="007A44CD" w:rsidP="007857CB">
            <w:pPr>
              <w:spacing w:after="0" w:line="240" w:lineRule="auto"/>
              <w:rPr>
                <w:rFonts w:eastAsia="Times New Roman" w:cs="Times New Roman"/>
                <w:color w:val="000000"/>
                <w:sz w:val="20"/>
                <w:szCs w:val="20"/>
              </w:rPr>
            </w:pPr>
            <w:r w:rsidRPr="00AC6175">
              <w:rPr>
                <w:rFonts w:eastAsia="Times New Roman" w:cs="Times New Roman"/>
                <w:color w:val="000000"/>
                <w:sz w:val="20"/>
                <w:szCs w:val="20"/>
              </w:rPr>
              <w:t>Timor-Leste</w:t>
            </w:r>
          </w:p>
        </w:tc>
        <w:tc>
          <w:tcPr>
            <w:tcW w:w="720" w:type="dxa"/>
            <w:tcBorders>
              <w:top w:val="single" w:sz="4" w:space="0" w:color="auto"/>
              <w:bottom w:val="single" w:sz="4" w:space="0" w:color="auto"/>
            </w:tcBorders>
            <w:shd w:val="clear" w:color="auto" w:fill="auto"/>
            <w:noWrap/>
            <w:vAlign w:val="center"/>
            <w:hideMark/>
          </w:tcPr>
          <w:p w14:paraId="61EC5BEF" w14:textId="25AC97FD" w:rsidR="007A44CD" w:rsidRPr="00AC6175" w:rsidRDefault="009B3648" w:rsidP="005F73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630" w:type="dxa"/>
            <w:tcBorders>
              <w:top w:val="single" w:sz="4" w:space="0" w:color="auto"/>
              <w:bottom w:val="single" w:sz="4" w:space="0" w:color="auto"/>
            </w:tcBorders>
            <w:shd w:val="clear" w:color="auto" w:fill="auto"/>
            <w:noWrap/>
            <w:vAlign w:val="center"/>
            <w:hideMark/>
          </w:tcPr>
          <w:p w14:paraId="438FC248" w14:textId="694F9A7A" w:rsidR="007A44CD" w:rsidRPr="00AC6175" w:rsidRDefault="009B3648" w:rsidP="005F73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630" w:type="dxa"/>
            <w:tcBorders>
              <w:top w:val="single" w:sz="4" w:space="0" w:color="auto"/>
              <w:bottom w:val="single" w:sz="4" w:space="0" w:color="auto"/>
            </w:tcBorders>
            <w:shd w:val="clear" w:color="auto" w:fill="auto"/>
            <w:noWrap/>
            <w:vAlign w:val="center"/>
            <w:hideMark/>
          </w:tcPr>
          <w:p w14:paraId="7D1D118E" w14:textId="2DE624CB" w:rsidR="007A44CD" w:rsidRPr="00AC6175" w:rsidRDefault="009B3648" w:rsidP="005F73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720" w:type="dxa"/>
            <w:tcBorders>
              <w:top w:val="single" w:sz="4" w:space="0" w:color="auto"/>
              <w:bottom w:val="single" w:sz="4" w:space="0" w:color="auto"/>
            </w:tcBorders>
            <w:shd w:val="clear" w:color="auto" w:fill="auto"/>
            <w:noWrap/>
            <w:vAlign w:val="center"/>
            <w:hideMark/>
          </w:tcPr>
          <w:p w14:paraId="5F3766C6"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56</w:t>
            </w:r>
          </w:p>
        </w:tc>
        <w:tc>
          <w:tcPr>
            <w:tcW w:w="630" w:type="dxa"/>
            <w:tcBorders>
              <w:top w:val="single" w:sz="4" w:space="0" w:color="auto"/>
              <w:bottom w:val="single" w:sz="4" w:space="0" w:color="auto"/>
            </w:tcBorders>
            <w:shd w:val="clear" w:color="auto" w:fill="auto"/>
            <w:noWrap/>
            <w:vAlign w:val="center"/>
            <w:hideMark/>
          </w:tcPr>
          <w:p w14:paraId="6B6EB33C"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55</w:t>
            </w:r>
          </w:p>
        </w:tc>
        <w:tc>
          <w:tcPr>
            <w:tcW w:w="630" w:type="dxa"/>
            <w:tcBorders>
              <w:top w:val="single" w:sz="4" w:space="0" w:color="auto"/>
              <w:bottom w:val="single" w:sz="4" w:space="0" w:color="auto"/>
            </w:tcBorders>
            <w:shd w:val="clear" w:color="auto" w:fill="auto"/>
            <w:noWrap/>
            <w:vAlign w:val="center"/>
            <w:hideMark/>
          </w:tcPr>
          <w:p w14:paraId="10DF07ED"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48</w:t>
            </w:r>
          </w:p>
        </w:tc>
        <w:tc>
          <w:tcPr>
            <w:tcW w:w="630" w:type="dxa"/>
            <w:tcBorders>
              <w:top w:val="single" w:sz="4" w:space="0" w:color="auto"/>
              <w:bottom w:val="single" w:sz="4" w:space="0" w:color="auto"/>
            </w:tcBorders>
            <w:shd w:val="clear" w:color="auto" w:fill="auto"/>
            <w:noWrap/>
            <w:vAlign w:val="center"/>
            <w:hideMark/>
          </w:tcPr>
          <w:p w14:paraId="573FBDC7"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73</w:t>
            </w:r>
          </w:p>
        </w:tc>
        <w:tc>
          <w:tcPr>
            <w:tcW w:w="720" w:type="dxa"/>
            <w:tcBorders>
              <w:top w:val="single" w:sz="4" w:space="0" w:color="auto"/>
              <w:bottom w:val="single" w:sz="4" w:space="0" w:color="auto"/>
            </w:tcBorders>
            <w:shd w:val="clear" w:color="auto" w:fill="auto"/>
            <w:noWrap/>
            <w:vAlign w:val="center"/>
            <w:hideMark/>
          </w:tcPr>
          <w:p w14:paraId="43605B5A"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66</w:t>
            </w:r>
          </w:p>
        </w:tc>
        <w:tc>
          <w:tcPr>
            <w:tcW w:w="630" w:type="dxa"/>
            <w:tcBorders>
              <w:top w:val="single" w:sz="4" w:space="0" w:color="auto"/>
              <w:bottom w:val="single" w:sz="4" w:space="0" w:color="auto"/>
            </w:tcBorders>
            <w:shd w:val="clear" w:color="auto" w:fill="auto"/>
            <w:vAlign w:val="center"/>
            <w:hideMark/>
          </w:tcPr>
          <w:p w14:paraId="629D604A" w14:textId="1EDAF7BC"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62</w:t>
            </w:r>
          </w:p>
        </w:tc>
        <w:tc>
          <w:tcPr>
            <w:tcW w:w="630" w:type="dxa"/>
            <w:tcBorders>
              <w:top w:val="single" w:sz="4" w:space="0" w:color="auto"/>
              <w:bottom w:val="single" w:sz="4" w:space="0" w:color="auto"/>
            </w:tcBorders>
            <w:shd w:val="clear" w:color="auto" w:fill="auto"/>
            <w:noWrap/>
            <w:vAlign w:val="center"/>
            <w:hideMark/>
          </w:tcPr>
          <w:p w14:paraId="4A83D37E"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73</w:t>
            </w:r>
          </w:p>
        </w:tc>
        <w:tc>
          <w:tcPr>
            <w:tcW w:w="720" w:type="dxa"/>
            <w:tcBorders>
              <w:top w:val="single" w:sz="4" w:space="0" w:color="auto"/>
              <w:bottom w:val="single" w:sz="4" w:space="0" w:color="auto"/>
            </w:tcBorders>
            <w:shd w:val="clear" w:color="auto" w:fill="auto"/>
            <w:noWrap/>
            <w:vAlign w:val="center"/>
            <w:hideMark/>
          </w:tcPr>
          <w:p w14:paraId="3E557618"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70</w:t>
            </w:r>
          </w:p>
        </w:tc>
      </w:tr>
      <w:tr w:rsidR="00F84485" w:rsidRPr="00AC6175" w14:paraId="4AAF1C1F" w14:textId="77777777" w:rsidTr="00F84485">
        <w:trPr>
          <w:trHeight w:val="300"/>
          <w:jc w:val="center"/>
        </w:trPr>
        <w:tc>
          <w:tcPr>
            <w:tcW w:w="1260" w:type="dxa"/>
            <w:tcBorders>
              <w:top w:val="single" w:sz="4" w:space="0" w:color="auto"/>
            </w:tcBorders>
            <w:shd w:val="clear" w:color="auto" w:fill="auto"/>
            <w:noWrap/>
            <w:vAlign w:val="center"/>
            <w:hideMark/>
          </w:tcPr>
          <w:p w14:paraId="3FCB4576" w14:textId="77777777" w:rsidR="007A44CD" w:rsidRPr="00AC6175" w:rsidRDefault="007A44CD" w:rsidP="007857CB">
            <w:pPr>
              <w:spacing w:after="0" w:line="240" w:lineRule="auto"/>
              <w:rPr>
                <w:rFonts w:eastAsia="Times New Roman" w:cs="Times New Roman"/>
                <w:color w:val="000000"/>
                <w:sz w:val="20"/>
                <w:szCs w:val="20"/>
              </w:rPr>
            </w:pPr>
            <w:r w:rsidRPr="00AC6175">
              <w:rPr>
                <w:rFonts w:eastAsia="Times New Roman" w:cs="Times New Roman"/>
                <w:color w:val="000000"/>
                <w:sz w:val="20"/>
                <w:szCs w:val="20"/>
              </w:rPr>
              <w:t>Uganda</w:t>
            </w:r>
          </w:p>
        </w:tc>
        <w:tc>
          <w:tcPr>
            <w:tcW w:w="720" w:type="dxa"/>
            <w:tcBorders>
              <w:top w:val="single" w:sz="4" w:space="0" w:color="auto"/>
            </w:tcBorders>
            <w:shd w:val="clear" w:color="auto" w:fill="auto"/>
            <w:noWrap/>
            <w:vAlign w:val="center"/>
            <w:hideMark/>
          </w:tcPr>
          <w:p w14:paraId="743497C1"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59</w:t>
            </w:r>
          </w:p>
        </w:tc>
        <w:tc>
          <w:tcPr>
            <w:tcW w:w="630" w:type="dxa"/>
            <w:tcBorders>
              <w:top w:val="single" w:sz="4" w:space="0" w:color="auto"/>
            </w:tcBorders>
            <w:shd w:val="clear" w:color="auto" w:fill="auto"/>
            <w:noWrap/>
            <w:vAlign w:val="center"/>
            <w:hideMark/>
          </w:tcPr>
          <w:p w14:paraId="20AEC9CA"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54</w:t>
            </w:r>
          </w:p>
        </w:tc>
        <w:tc>
          <w:tcPr>
            <w:tcW w:w="630" w:type="dxa"/>
            <w:tcBorders>
              <w:top w:val="single" w:sz="4" w:space="0" w:color="auto"/>
            </w:tcBorders>
            <w:shd w:val="clear" w:color="auto" w:fill="auto"/>
            <w:noWrap/>
            <w:vAlign w:val="center"/>
            <w:hideMark/>
          </w:tcPr>
          <w:p w14:paraId="6C801BD4"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55</w:t>
            </w:r>
          </w:p>
        </w:tc>
        <w:tc>
          <w:tcPr>
            <w:tcW w:w="720" w:type="dxa"/>
            <w:tcBorders>
              <w:top w:val="single" w:sz="4" w:space="0" w:color="auto"/>
            </w:tcBorders>
            <w:shd w:val="clear" w:color="auto" w:fill="auto"/>
            <w:noWrap/>
            <w:vAlign w:val="center"/>
            <w:hideMark/>
          </w:tcPr>
          <w:p w14:paraId="09B87EDE"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62</w:t>
            </w:r>
          </w:p>
        </w:tc>
        <w:tc>
          <w:tcPr>
            <w:tcW w:w="630" w:type="dxa"/>
            <w:tcBorders>
              <w:top w:val="single" w:sz="4" w:space="0" w:color="auto"/>
            </w:tcBorders>
            <w:shd w:val="clear" w:color="auto" w:fill="auto"/>
            <w:noWrap/>
            <w:vAlign w:val="center"/>
            <w:hideMark/>
          </w:tcPr>
          <w:p w14:paraId="05E7BF07"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64</w:t>
            </w:r>
          </w:p>
        </w:tc>
        <w:tc>
          <w:tcPr>
            <w:tcW w:w="630" w:type="dxa"/>
            <w:tcBorders>
              <w:top w:val="single" w:sz="4" w:space="0" w:color="auto"/>
            </w:tcBorders>
            <w:shd w:val="clear" w:color="auto" w:fill="auto"/>
            <w:noWrap/>
            <w:vAlign w:val="center"/>
            <w:hideMark/>
          </w:tcPr>
          <w:p w14:paraId="269821BF"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68</w:t>
            </w:r>
          </w:p>
        </w:tc>
        <w:tc>
          <w:tcPr>
            <w:tcW w:w="630" w:type="dxa"/>
            <w:tcBorders>
              <w:top w:val="single" w:sz="4" w:space="0" w:color="auto"/>
            </w:tcBorders>
            <w:shd w:val="clear" w:color="auto" w:fill="auto"/>
            <w:noWrap/>
            <w:vAlign w:val="center"/>
            <w:hideMark/>
          </w:tcPr>
          <w:p w14:paraId="35536AB0"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70</w:t>
            </w:r>
          </w:p>
        </w:tc>
        <w:tc>
          <w:tcPr>
            <w:tcW w:w="720" w:type="dxa"/>
            <w:tcBorders>
              <w:top w:val="single" w:sz="4" w:space="0" w:color="auto"/>
            </w:tcBorders>
            <w:shd w:val="clear" w:color="auto" w:fill="auto"/>
            <w:noWrap/>
            <w:vAlign w:val="center"/>
            <w:hideMark/>
          </w:tcPr>
          <w:p w14:paraId="5C30B4A8"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73</w:t>
            </w:r>
          </w:p>
        </w:tc>
        <w:tc>
          <w:tcPr>
            <w:tcW w:w="630" w:type="dxa"/>
            <w:tcBorders>
              <w:top w:val="single" w:sz="4" w:space="0" w:color="auto"/>
            </w:tcBorders>
            <w:shd w:val="clear" w:color="auto" w:fill="auto"/>
            <w:vAlign w:val="center"/>
            <w:hideMark/>
          </w:tcPr>
          <w:p w14:paraId="538F7F40" w14:textId="385E2D55"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75</w:t>
            </w:r>
          </w:p>
        </w:tc>
        <w:tc>
          <w:tcPr>
            <w:tcW w:w="630" w:type="dxa"/>
            <w:tcBorders>
              <w:top w:val="single" w:sz="4" w:space="0" w:color="auto"/>
            </w:tcBorders>
            <w:shd w:val="clear" w:color="auto" w:fill="auto"/>
            <w:noWrap/>
            <w:vAlign w:val="center"/>
            <w:hideMark/>
          </w:tcPr>
          <w:p w14:paraId="43119B82"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82</w:t>
            </w:r>
          </w:p>
        </w:tc>
        <w:tc>
          <w:tcPr>
            <w:tcW w:w="720" w:type="dxa"/>
            <w:tcBorders>
              <w:top w:val="single" w:sz="4" w:space="0" w:color="auto"/>
            </w:tcBorders>
            <w:shd w:val="clear" w:color="auto" w:fill="auto"/>
            <w:noWrap/>
            <w:vAlign w:val="center"/>
            <w:hideMark/>
          </w:tcPr>
          <w:p w14:paraId="15879B3A" w14:textId="77777777" w:rsidR="007A44CD" w:rsidRPr="00AC6175" w:rsidRDefault="007A44CD" w:rsidP="005F73E1">
            <w:pPr>
              <w:spacing w:after="0" w:line="240" w:lineRule="auto"/>
              <w:jc w:val="center"/>
              <w:rPr>
                <w:rFonts w:eastAsia="Times New Roman" w:cs="Times New Roman"/>
                <w:color w:val="000000"/>
                <w:sz w:val="20"/>
                <w:szCs w:val="20"/>
              </w:rPr>
            </w:pPr>
            <w:r w:rsidRPr="00AC6175">
              <w:rPr>
                <w:rFonts w:eastAsia="Times New Roman" w:cs="Times New Roman"/>
                <w:color w:val="000000"/>
                <w:sz w:val="20"/>
                <w:szCs w:val="20"/>
              </w:rPr>
              <w:t>82</w:t>
            </w:r>
          </w:p>
        </w:tc>
      </w:tr>
    </w:tbl>
    <w:p w14:paraId="4EEDD86A" w14:textId="711E5DDA" w:rsidR="00950A41" w:rsidRPr="003802E2" w:rsidRDefault="00A56EDD" w:rsidP="00AC6175">
      <w:pPr>
        <w:tabs>
          <w:tab w:val="left" w:pos="8013"/>
        </w:tabs>
        <w:spacing w:after="0" w:line="240" w:lineRule="auto"/>
        <w:rPr>
          <w:sz w:val="20"/>
        </w:rPr>
      </w:pPr>
      <w:r w:rsidRPr="004E5B22">
        <w:rPr>
          <w:i/>
          <w:sz w:val="20"/>
        </w:rPr>
        <w:t>Note:</w:t>
      </w:r>
      <w:r w:rsidRPr="003802E2">
        <w:rPr>
          <w:sz w:val="20"/>
        </w:rPr>
        <w:t xml:space="preserve"> Postconflict starting years are marked in grey. </w:t>
      </w:r>
    </w:p>
    <w:p w14:paraId="744C8D9C" w14:textId="6164357D" w:rsidR="00950A41" w:rsidRPr="003802E2" w:rsidRDefault="00A56EDD" w:rsidP="00AC6175">
      <w:pPr>
        <w:tabs>
          <w:tab w:val="left" w:pos="8013"/>
        </w:tabs>
        <w:spacing w:after="0" w:line="240" w:lineRule="auto"/>
        <w:rPr>
          <w:sz w:val="20"/>
        </w:rPr>
      </w:pPr>
      <w:r w:rsidRPr="003802E2">
        <w:rPr>
          <w:sz w:val="20"/>
        </w:rPr>
        <w:t>*</w:t>
      </w:r>
      <w:r w:rsidR="00950A41" w:rsidRPr="003802E2">
        <w:rPr>
          <w:sz w:val="20"/>
        </w:rPr>
        <w:t xml:space="preserve"> </w:t>
      </w:r>
      <w:r w:rsidRPr="003802E2">
        <w:rPr>
          <w:sz w:val="20"/>
        </w:rPr>
        <w:t>Figure closest to postconflict starting date (1991)</w:t>
      </w:r>
      <w:r w:rsidR="00950A41" w:rsidRPr="003802E2">
        <w:rPr>
          <w:sz w:val="20"/>
        </w:rPr>
        <w:t>.</w:t>
      </w:r>
      <w:r w:rsidRPr="003802E2">
        <w:rPr>
          <w:sz w:val="20"/>
        </w:rPr>
        <w:t xml:space="preserve"> </w:t>
      </w:r>
    </w:p>
    <w:p w14:paraId="3AD6C002" w14:textId="7A1FAF82" w:rsidR="00A56EDD" w:rsidRPr="003802E2" w:rsidRDefault="00A56EDD" w:rsidP="00AC6175">
      <w:pPr>
        <w:tabs>
          <w:tab w:val="left" w:pos="8013"/>
        </w:tabs>
        <w:spacing w:after="0" w:line="240" w:lineRule="auto"/>
        <w:rPr>
          <w:sz w:val="20"/>
        </w:rPr>
      </w:pPr>
      <w:r w:rsidRPr="003802E2">
        <w:rPr>
          <w:sz w:val="20"/>
        </w:rPr>
        <w:t># According to UNICEF (2011), based on South Sudan Household Survey 2010</w:t>
      </w:r>
      <w:r w:rsidR="00950A41" w:rsidRPr="003802E2">
        <w:rPr>
          <w:sz w:val="20"/>
        </w:rPr>
        <w:t>.</w:t>
      </w:r>
    </w:p>
    <w:p w14:paraId="5B90D209" w14:textId="1459C0D5" w:rsidR="00A56EDD" w:rsidRPr="00B513F4" w:rsidRDefault="00A56EDD" w:rsidP="00AC6175">
      <w:pPr>
        <w:tabs>
          <w:tab w:val="left" w:pos="8013"/>
        </w:tabs>
        <w:spacing w:before="240"/>
        <w:jc w:val="both"/>
      </w:pPr>
      <w:r w:rsidRPr="00B513F4">
        <w:t>Overall, improvements in the health sector are seen as having been limited, according to household surveys.</w:t>
      </w:r>
      <w:r w:rsidRPr="00B513F4">
        <w:rPr>
          <w:rStyle w:val="FootnoteReference"/>
        </w:rPr>
        <w:footnoteReference w:id="35"/>
      </w:r>
      <w:r w:rsidRPr="00B513F4">
        <w:t xml:space="preserve"> Furthermore, according to World Health Organization data, as of 2011, about 60 percent of total expenditure on health was privately paid for, while </w:t>
      </w:r>
      <w:r w:rsidR="000C55B4">
        <w:t xml:space="preserve">the </w:t>
      </w:r>
      <w:r w:rsidRPr="00B513F4">
        <w:t>government contributed about 40 percent of total expenditure on health</w:t>
      </w:r>
      <w:r w:rsidR="0084440B">
        <w:t>—</w:t>
      </w:r>
      <w:r w:rsidRPr="00B513F4">
        <w:t>up from a level of 30 percent government and 70 percent private expenditure</w:t>
      </w:r>
      <w:r w:rsidR="0084440B">
        <w:t xml:space="preserve"> </w:t>
      </w:r>
      <w:r w:rsidR="0084440B" w:rsidRPr="00B513F4">
        <w:t>in 2008</w:t>
      </w:r>
      <w:r w:rsidR="0084440B">
        <w:t>–</w:t>
      </w:r>
      <w:r w:rsidR="0084440B" w:rsidRPr="00B513F4">
        <w:t>10</w:t>
      </w:r>
      <w:r w:rsidR="0084440B">
        <w:t>.</w:t>
      </w:r>
      <w:r w:rsidRPr="00B513F4">
        <w:rPr>
          <w:rStyle w:val="FootnoteReference"/>
        </w:rPr>
        <w:footnoteReference w:id="36"/>
      </w:r>
      <w:r w:rsidRPr="00B513F4">
        <w:t xml:space="preserve"> </w:t>
      </w:r>
    </w:p>
    <w:p w14:paraId="5DD67DC8" w14:textId="1C48D453" w:rsidR="00A56EDD" w:rsidRPr="00B513F4" w:rsidRDefault="00A56EDD" w:rsidP="00A56EDD">
      <w:pPr>
        <w:tabs>
          <w:tab w:val="left" w:pos="8013"/>
        </w:tabs>
        <w:jc w:val="both"/>
      </w:pPr>
      <w:r w:rsidRPr="00B513F4">
        <w:rPr>
          <w:b/>
        </w:rPr>
        <w:t>Given the continuing understaffing of the education and health sectors relative to the goals set out in the South Sudan Development Plan and similar documents, the G</w:t>
      </w:r>
      <w:r w:rsidR="004E5B22">
        <w:rPr>
          <w:b/>
        </w:rPr>
        <w:t>o</w:t>
      </w:r>
      <w:r w:rsidRPr="00B513F4">
        <w:rPr>
          <w:b/>
        </w:rPr>
        <w:t xml:space="preserve">SS and related state governments face </w:t>
      </w:r>
      <w:r w:rsidR="004A25D8">
        <w:rPr>
          <w:b/>
        </w:rPr>
        <w:t xml:space="preserve">the </w:t>
      </w:r>
      <w:r w:rsidRPr="00B513F4">
        <w:rPr>
          <w:b/>
        </w:rPr>
        <w:t xml:space="preserve">pressure </w:t>
      </w:r>
      <w:r w:rsidR="004A25D8">
        <w:rPr>
          <w:b/>
        </w:rPr>
        <w:t>o</w:t>
      </w:r>
      <w:r w:rsidRPr="00B513F4">
        <w:rPr>
          <w:b/>
        </w:rPr>
        <w:t>f additional hiring in these sectors</w:t>
      </w:r>
      <w:r w:rsidRPr="004E5B22">
        <w:rPr>
          <w:b/>
        </w:rPr>
        <w:t>.</w:t>
      </w:r>
      <w:r w:rsidRPr="00B513F4">
        <w:t xml:space="preserve"> For example, for the education sector, the S</w:t>
      </w:r>
      <w:r w:rsidR="004A25D8">
        <w:t xml:space="preserve">outh </w:t>
      </w:r>
      <w:r w:rsidRPr="00B513F4">
        <w:t>S</w:t>
      </w:r>
      <w:r w:rsidR="004A25D8">
        <w:t xml:space="preserve">udan </w:t>
      </w:r>
      <w:r w:rsidRPr="00B513F4">
        <w:t>D</w:t>
      </w:r>
      <w:r w:rsidR="004A25D8">
        <w:t xml:space="preserve">evelopment </w:t>
      </w:r>
      <w:r w:rsidRPr="00B513F4">
        <w:t>P</w:t>
      </w:r>
      <w:r w:rsidR="004A25D8">
        <w:t>lan</w:t>
      </w:r>
      <w:r w:rsidRPr="00B513F4">
        <w:t xml:space="preserve"> targets increasing the number of qualified primary school teachers from 26,658 to 50,060; and for the health sector, it targets expanding the share of the population with access to (public) health care from 13 to 40 percent. As the S</w:t>
      </w:r>
      <w:r w:rsidR="004A25D8">
        <w:t xml:space="preserve">outh </w:t>
      </w:r>
      <w:r w:rsidRPr="00B513F4">
        <w:t>S</w:t>
      </w:r>
      <w:r w:rsidR="004A25D8">
        <w:t xml:space="preserve">udan </w:t>
      </w:r>
      <w:r w:rsidRPr="00B513F4">
        <w:t>D</w:t>
      </w:r>
      <w:r w:rsidR="004A25D8">
        <w:t xml:space="preserve">evelopment </w:t>
      </w:r>
      <w:r w:rsidRPr="00B513F4">
        <w:t>P</w:t>
      </w:r>
      <w:r w:rsidR="004A25D8">
        <w:t>lan</w:t>
      </w:r>
      <w:r w:rsidRPr="00B513F4">
        <w:t xml:space="preserve"> was intended to cover the period 2011</w:t>
      </w:r>
      <w:r w:rsidR="004A25D8">
        <w:t>–</w:t>
      </w:r>
      <w:r w:rsidRPr="00B513F4">
        <w:t>2013, further expansions were sought beyond these goals. Such increases are in line with staffing levels for such services in other countries: for example, Rwanda with a population of 11.5</w:t>
      </w:r>
      <w:r w:rsidR="004A25D8">
        <w:t xml:space="preserve"> </w:t>
      </w:r>
      <w:r w:rsidRPr="00B513F4">
        <w:t>m</w:t>
      </w:r>
      <w:r w:rsidR="004A25D8">
        <w:t>illion</w:t>
      </w:r>
      <w:r w:rsidRPr="00B513F4">
        <w:t xml:space="preserve">, currently employs 57,000 teachers and intends to increase this number further. Public sector staffing remains particularly scarce in the health sector when comparing South Sudan to other countries in the region, as reflected in </w:t>
      </w:r>
      <w:r w:rsidR="004A25D8">
        <w:t>t</w:t>
      </w:r>
      <w:r w:rsidRPr="00B513F4">
        <w:t>able 10</w:t>
      </w:r>
      <w:r w:rsidR="004A25D8">
        <w:t>,</w:t>
      </w:r>
      <w:r w:rsidRPr="00B513F4">
        <w:t xml:space="preserve"> while for police staffing the reverse applies. Expanding staffing with appropriately qualified and motivated staff</w:t>
      </w:r>
      <w:r w:rsidR="004A25D8">
        <w:t>,</w:t>
      </w:r>
      <w:r w:rsidRPr="00B513F4">
        <w:t xml:space="preserve"> therefore</w:t>
      </w:r>
      <w:r w:rsidR="004A25D8">
        <w:t>,</w:t>
      </w:r>
      <w:r w:rsidRPr="00B513F4">
        <w:t xml:space="preserve"> also remains an important concern. </w:t>
      </w:r>
    </w:p>
    <w:p w14:paraId="1D25CA68" w14:textId="56B2464A" w:rsidR="00AC6175" w:rsidRDefault="00AC6175" w:rsidP="00AC6175">
      <w:pPr>
        <w:pStyle w:val="Caption"/>
        <w:keepNext/>
      </w:pPr>
      <w:bookmarkStart w:id="26" w:name="_Ref447471647"/>
      <w:r>
        <w:t xml:space="preserve">Table </w:t>
      </w:r>
      <w:fldSimple w:instr=" SEQ Table \* ARABIC ">
        <w:r w:rsidR="00FA6F6C">
          <w:rPr>
            <w:noProof/>
          </w:rPr>
          <w:t>10</w:t>
        </w:r>
      </w:fldSimple>
      <w:bookmarkEnd w:id="26"/>
      <w:r>
        <w:t xml:space="preserve">. </w:t>
      </w:r>
      <w:r w:rsidRPr="00EE527C">
        <w:t xml:space="preserve">Staffing for </w:t>
      </w:r>
      <w:r>
        <w:t>D</w:t>
      </w:r>
      <w:r w:rsidRPr="00EE527C">
        <w:t xml:space="preserve">ifferent </w:t>
      </w:r>
      <w:r>
        <w:t>K</w:t>
      </w:r>
      <w:r w:rsidRPr="00EE527C">
        <w:t xml:space="preserve">ey </w:t>
      </w:r>
      <w:r>
        <w:t>S</w:t>
      </w:r>
      <w:r w:rsidRPr="00EE527C">
        <w:t xml:space="preserve">ervice </w:t>
      </w:r>
      <w:r>
        <w:t>D</w:t>
      </w:r>
      <w:r w:rsidRPr="00EE527C">
        <w:t xml:space="preserve">elivery </w:t>
      </w:r>
      <w:r>
        <w:t>A</w:t>
      </w:r>
      <w:r w:rsidRPr="00EE527C">
        <w:t xml:space="preserve">reas </w:t>
      </w:r>
      <w:r>
        <w:t>P</w:t>
      </w:r>
      <w:r w:rsidRPr="00EE527C">
        <w:t xml:space="preserve">er 100,000 </w:t>
      </w:r>
      <w:r>
        <w:t>P</w:t>
      </w:r>
      <w:r w:rsidRPr="00EE527C">
        <w:t>opulation</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40"/>
        <w:gridCol w:w="1080"/>
        <w:gridCol w:w="1080"/>
        <w:gridCol w:w="990"/>
      </w:tblGrid>
      <w:tr w:rsidR="00A56EDD" w:rsidRPr="00AC6175" w14:paraId="3EB2C15F" w14:textId="77777777" w:rsidTr="00AC6175">
        <w:trPr>
          <w:jc w:val="center"/>
        </w:trPr>
        <w:tc>
          <w:tcPr>
            <w:tcW w:w="1440" w:type="dxa"/>
          </w:tcPr>
          <w:p w14:paraId="21F82CE0" w14:textId="77777777" w:rsidR="00A56EDD" w:rsidRPr="00AC6175" w:rsidRDefault="00A56EDD" w:rsidP="00AC6175">
            <w:pPr>
              <w:tabs>
                <w:tab w:val="left" w:pos="8013"/>
              </w:tabs>
              <w:spacing w:after="0" w:line="240" w:lineRule="auto"/>
              <w:jc w:val="both"/>
              <w:rPr>
                <w:sz w:val="20"/>
              </w:rPr>
            </w:pPr>
          </w:p>
        </w:tc>
        <w:tc>
          <w:tcPr>
            <w:tcW w:w="1080" w:type="dxa"/>
          </w:tcPr>
          <w:p w14:paraId="48DE5EF9" w14:textId="77777777" w:rsidR="00A56EDD" w:rsidRPr="004A25D8" w:rsidRDefault="00A56EDD" w:rsidP="00AC6175">
            <w:pPr>
              <w:tabs>
                <w:tab w:val="left" w:pos="8013"/>
              </w:tabs>
              <w:spacing w:after="0" w:line="240" w:lineRule="auto"/>
              <w:jc w:val="both"/>
              <w:rPr>
                <w:b/>
                <w:sz w:val="20"/>
              </w:rPr>
            </w:pPr>
            <w:r w:rsidRPr="004A25D8">
              <w:rPr>
                <w:b/>
                <w:sz w:val="20"/>
              </w:rPr>
              <w:t>Doctors</w:t>
            </w:r>
          </w:p>
        </w:tc>
        <w:tc>
          <w:tcPr>
            <w:tcW w:w="1080" w:type="dxa"/>
          </w:tcPr>
          <w:p w14:paraId="15EE48E2" w14:textId="77777777" w:rsidR="00A56EDD" w:rsidRPr="004A25D8" w:rsidRDefault="00A56EDD" w:rsidP="00AC6175">
            <w:pPr>
              <w:tabs>
                <w:tab w:val="left" w:pos="8013"/>
              </w:tabs>
              <w:spacing w:after="0" w:line="240" w:lineRule="auto"/>
              <w:jc w:val="both"/>
              <w:rPr>
                <w:b/>
                <w:sz w:val="20"/>
              </w:rPr>
            </w:pPr>
            <w:r w:rsidRPr="004A25D8">
              <w:rPr>
                <w:b/>
                <w:sz w:val="20"/>
              </w:rPr>
              <w:t>Nurses</w:t>
            </w:r>
          </w:p>
        </w:tc>
        <w:tc>
          <w:tcPr>
            <w:tcW w:w="990" w:type="dxa"/>
          </w:tcPr>
          <w:p w14:paraId="716EB215" w14:textId="77777777" w:rsidR="00A56EDD" w:rsidRPr="004A25D8" w:rsidRDefault="00A56EDD" w:rsidP="00AC6175">
            <w:pPr>
              <w:tabs>
                <w:tab w:val="left" w:pos="8013"/>
              </w:tabs>
              <w:spacing w:after="0" w:line="240" w:lineRule="auto"/>
              <w:jc w:val="both"/>
              <w:rPr>
                <w:b/>
                <w:sz w:val="20"/>
              </w:rPr>
            </w:pPr>
            <w:r w:rsidRPr="004A25D8">
              <w:rPr>
                <w:b/>
                <w:sz w:val="20"/>
              </w:rPr>
              <w:t xml:space="preserve">Police </w:t>
            </w:r>
          </w:p>
        </w:tc>
      </w:tr>
      <w:tr w:rsidR="00A56EDD" w:rsidRPr="00AC6175" w14:paraId="097606FF" w14:textId="77777777" w:rsidTr="004A25D8">
        <w:trPr>
          <w:jc w:val="center"/>
        </w:trPr>
        <w:tc>
          <w:tcPr>
            <w:tcW w:w="1440" w:type="dxa"/>
          </w:tcPr>
          <w:p w14:paraId="6AB12929" w14:textId="77777777" w:rsidR="00A56EDD" w:rsidRPr="00AC6175" w:rsidRDefault="00A56EDD" w:rsidP="00AC6175">
            <w:pPr>
              <w:tabs>
                <w:tab w:val="left" w:pos="8013"/>
              </w:tabs>
              <w:spacing w:after="0" w:line="240" w:lineRule="auto"/>
              <w:jc w:val="both"/>
              <w:rPr>
                <w:sz w:val="20"/>
              </w:rPr>
            </w:pPr>
            <w:r w:rsidRPr="00AC6175">
              <w:rPr>
                <w:sz w:val="20"/>
              </w:rPr>
              <w:t>South Sudan</w:t>
            </w:r>
          </w:p>
        </w:tc>
        <w:tc>
          <w:tcPr>
            <w:tcW w:w="1080" w:type="dxa"/>
            <w:vAlign w:val="center"/>
          </w:tcPr>
          <w:p w14:paraId="2984E6F5" w14:textId="77777777" w:rsidR="00A56EDD" w:rsidRPr="00AC6175" w:rsidRDefault="00A56EDD" w:rsidP="004A25D8">
            <w:pPr>
              <w:tabs>
                <w:tab w:val="left" w:pos="8013"/>
              </w:tabs>
              <w:spacing w:after="0" w:line="240" w:lineRule="auto"/>
              <w:jc w:val="center"/>
              <w:rPr>
                <w:sz w:val="20"/>
              </w:rPr>
            </w:pPr>
            <w:r w:rsidRPr="00AC6175">
              <w:rPr>
                <w:sz w:val="20"/>
              </w:rPr>
              <w:t>1.5</w:t>
            </w:r>
          </w:p>
        </w:tc>
        <w:tc>
          <w:tcPr>
            <w:tcW w:w="1080" w:type="dxa"/>
            <w:vAlign w:val="center"/>
          </w:tcPr>
          <w:p w14:paraId="6A9D0F68" w14:textId="77777777" w:rsidR="00A56EDD" w:rsidRPr="00AC6175" w:rsidRDefault="00A56EDD" w:rsidP="004A25D8">
            <w:pPr>
              <w:tabs>
                <w:tab w:val="left" w:pos="8013"/>
              </w:tabs>
              <w:spacing w:after="0" w:line="240" w:lineRule="auto"/>
              <w:jc w:val="center"/>
              <w:rPr>
                <w:sz w:val="20"/>
              </w:rPr>
            </w:pPr>
            <w:r w:rsidRPr="00AC6175">
              <w:rPr>
                <w:sz w:val="20"/>
              </w:rPr>
              <w:t>2</w:t>
            </w:r>
          </w:p>
        </w:tc>
        <w:tc>
          <w:tcPr>
            <w:tcW w:w="990" w:type="dxa"/>
            <w:vAlign w:val="center"/>
          </w:tcPr>
          <w:p w14:paraId="2664F0C9" w14:textId="7C66ABF1" w:rsidR="00A56EDD" w:rsidRPr="00AC6175" w:rsidRDefault="00A56EDD" w:rsidP="004A25D8">
            <w:pPr>
              <w:tabs>
                <w:tab w:val="left" w:pos="8013"/>
              </w:tabs>
              <w:spacing w:after="0" w:line="240" w:lineRule="auto"/>
              <w:jc w:val="center"/>
              <w:rPr>
                <w:sz w:val="20"/>
              </w:rPr>
            </w:pPr>
            <w:r w:rsidRPr="00AC6175">
              <w:rPr>
                <w:sz w:val="20"/>
              </w:rPr>
              <w:t>&gt;</w:t>
            </w:r>
            <w:r w:rsidR="00152F41">
              <w:rPr>
                <w:sz w:val="20"/>
              </w:rPr>
              <w:t xml:space="preserve"> </w:t>
            </w:r>
            <w:r w:rsidRPr="00AC6175">
              <w:rPr>
                <w:sz w:val="20"/>
              </w:rPr>
              <w:t>450</w:t>
            </w:r>
          </w:p>
        </w:tc>
      </w:tr>
      <w:tr w:rsidR="00A56EDD" w:rsidRPr="00AC6175" w14:paraId="32BB370B" w14:textId="77777777" w:rsidTr="004A25D8">
        <w:trPr>
          <w:jc w:val="center"/>
        </w:trPr>
        <w:tc>
          <w:tcPr>
            <w:tcW w:w="1440" w:type="dxa"/>
          </w:tcPr>
          <w:p w14:paraId="0FF70C0D" w14:textId="77777777" w:rsidR="00A56EDD" w:rsidRPr="00AC6175" w:rsidRDefault="00A56EDD" w:rsidP="00AC6175">
            <w:pPr>
              <w:tabs>
                <w:tab w:val="left" w:pos="8013"/>
              </w:tabs>
              <w:spacing w:after="0" w:line="240" w:lineRule="auto"/>
              <w:jc w:val="both"/>
              <w:rPr>
                <w:sz w:val="20"/>
              </w:rPr>
            </w:pPr>
            <w:r w:rsidRPr="00AC6175">
              <w:rPr>
                <w:sz w:val="20"/>
              </w:rPr>
              <w:t>Liberia</w:t>
            </w:r>
          </w:p>
        </w:tc>
        <w:tc>
          <w:tcPr>
            <w:tcW w:w="1080" w:type="dxa"/>
            <w:vAlign w:val="center"/>
          </w:tcPr>
          <w:p w14:paraId="13961708" w14:textId="77777777" w:rsidR="00A56EDD" w:rsidRPr="00AC6175" w:rsidRDefault="00A56EDD" w:rsidP="004A25D8">
            <w:pPr>
              <w:tabs>
                <w:tab w:val="left" w:pos="8013"/>
              </w:tabs>
              <w:spacing w:after="0" w:line="240" w:lineRule="auto"/>
              <w:jc w:val="center"/>
              <w:rPr>
                <w:sz w:val="20"/>
              </w:rPr>
            </w:pPr>
            <w:r w:rsidRPr="00AC6175">
              <w:rPr>
                <w:sz w:val="20"/>
              </w:rPr>
              <w:t>7.5</w:t>
            </w:r>
          </w:p>
        </w:tc>
        <w:tc>
          <w:tcPr>
            <w:tcW w:w="1080" w:type="dxa"/>
            <w:vAlign w:val="center"/>
          </w:tcPr>
          <w:p w14:paraId="7FFE4C3E" w14:textId="77777777" w:rsidR="00A56EDD" w:rsidRPr="00AC6175" w:rsidRDefault="00A56EDD" w:rsidP="004A25D8">
            <w:pPr>
              <w:tabs>
                <w:tab w:val="left" w:pos="8013"/>
              </w:tabs>
              <w:spacing w:after="0" w:line="240" w:lineRule="auto"/>
              <w:jc w:val="center"/>
              <w:rPr>
                <w:sz w:val="20"/>
              </w:rPr>
            </w:pPr>
            <w:r w:rsidRPr="00AC6175">
              <w:rPr>
                <w:sz w:val="20"/>
              </w:rPr>
              <w:t>30</w:t>
            </w:r>
          </w:p>
        </w:tc>
        <w:tc>
          <w:tcPr>
            <w:tcW w:w="990" w:type="dxa"/>
            <w:vAlign w:val="center"/>
          </w:tcPr>
          <w:p w14:paraId="59BFEB85" w14:textId="77777777" w:rsidR="00A56EDD" w:rsidRPr="00AC6175" w:rsidRDefault="00A56EDD" w:rsidP="004A25D8">
            <w:pPr>
              <w:tabs>
                <w:tab w:val="left" w:pos="8013"/>
              </w:tabs>
              <w:spacing w:after="0" w:line="240" w:lineRule="auto"/>
              <w:jc w:val="center"/>
              <w:rPr>
                <w:sz w:val="20"/>
              </w:rPr>
            </w:pPr>
            <w:r w:rsidRPr="00AC6175">
              <w:rPr>
                <w:sz w:val="20"/>
              </w:rPr>
              <w:t>108</w:t>
            </w:r>
          </w:p>
        </w:tc>
      </w:tr>
      <w:tr w:rsidR="00A56EDD" w:rsidRPr="00AC6175" w14:paraId="7F3FFD46" w14:textId="77777777" w:rsidTr="004A25D8">
        <w:trPr>
          <w:jc w:val="center"/>
        </w:trPr>
        <w:tc>
          <w:tcPr>
            <w:tcW w:w="1440" w:type="dxa"/>
          </w:tcPr>
          <w:p w14:paraId="533B5FC9" w14:textId="77777777" w:rsidR="00A56EDD" w:rsidRPr="00AC6175" w:rsidRDefault="00A56EDD" w:rsidP="00AC6175">
            <w:pPr>
              <w:tabs>
                <w:tab w:val="left" w:pos="8013"/>
              </w:tabs>
              <w:spacing w:after="0" w:line="240" w:lineRule="auto"/>
              <w:jc w:val="both"/>
              <w:rPr>
                <w:sz w:val="20"/>
              </w:rPr>
            </w:pPr>
            <w:r w:rsidRPr="00AC6175">
              <w:rPr>
                <w:sz w:val="20"/>
              </w:rPr>
              <w:t>Ghana</w:t>
            </w:r>
          </w:p>
        </w:tc>
        <w:tc>
          <w:tcPr>
            <w:tcW w:w="1080" w:type="dxa"/>
            <w:vAlign w:val="center"/>
          </w:tcPr>
          <w:p w14:paraId="27D6841A" w14:textId="77777777" w:rsidR="00A56EDD" w:rsidRPr="00AC6175" w:rsidRDefault="00A56EDD" w:rsidP="004A25D8">
            <w:pPr>
              <w:tabs>
                <w:tab w:val="left" w:pos="8013"/>
              </w:tabs>
              <w:spacing w:after="0" w:line="240" w:lineRule="auto"/>
              <w:jc w:val="center"/>
              <w:rPr>
                <w:sz w:val="20"/>
              </w:rPr>
            </w:pPr>
            <w:r w:rsidRPr="00AC6175">
              <w:rPr>
                <w:sz w:val="20"/>
              </w:rPr>
              <w:t>7.1</w:t>
            </w:r>
          </w:p>
        </w:tc>
        <w:tc>
          <w:tcPr>
            <w:tcW w:w="1080" w:type="dxa"/>
            <w:vAlign w:val="center"/>
          </w:tcPr>
          <w:p w14:paraId="6B96AA5E" w14:textId="77777777" w:rsidR="00A56EDD" w:rsidRPr="00AC6175" w:rsidRDefault="00A56EDD" w:rsidP="004A25D8">
            <w:pPr>
              <w:tabs>
                <w:tab w:val="left" w:pos="8013"/>
              </w:tabs>
              <w:spacing w:after="0" w:line="240" w:lineRule="auto"/>
              <w:jc w:val="center"/>
              <w:rPr>
                <w:sz w:val="20"/>
              </w:rPr>
            </w:pPr>
            <w:r w:rsidRPr="00AC6175">
              <w:rPr>
                <w:sz w:val="20"/>
              </w:rPr>
              <w:t>90</w:t>
            </w:r>
          </w:p>
        </w:tc>
        <w:tc>
          <w:tcPr>
            <w:tcW w:w="990" w:type="dxa"/>
            <w:vAlign w:val="center"/>
          </w:tcPr>
          <w:p w14:paraId="0E12B896" w14:textId="77777777" w:rsidR="00A56EDD" w:rsidRPr="00AC6175" w:rsidRDefault="00A56EDD" w:rsidP="004A25D8">
            <w:pPr>
              <w:tabs>
                <w:tab w:val="left" w:pos="8013"/>
              </w:tabs>
              <w:spacing w:after="0" w:line="240" w:lineRule="auto"/>
              <w:jc w:val="center"/>
              <w:rPr>
                <w:sz w:val="20"/>
              </w:rPr>
            </w:pPr>
            <w:r w:rsidRPr="00AC6175">
              <w:rPr>
                <w:sz w:val="20"/>
              </w:rPr>
              <w:t>94</w:t>
            </w:r>
          </w:p>
        </w:tc>
      </w:tr>
      <w:tr w:rsidR="00A56EDD" w:rsidRPr="00AC6175" w14:paraId="6ED5EADB" w14:textId="77777777" w:rsidTr="004A25D8">
        <w:trPr>
          <w:jc w:val="center"/>
        </w:trPr>
        <w:tc>
          <w:tcPr>
            <w:tcW w:w="1440" w:type="dxa"/>
          </w:tcPr>
          <w:p w14:paraId="54E45BC4" w14:textId="77777777" w:rsidR="00A56EDD" w:rsidRPr="00AC6175" w:rsidRDefault="00A56EDD" w:rsidP="00AC6175">
            <w:pPr>
              <w:tabs>
                <w:tab w:val="left" w:pos="8013"/>
              </w:tabs>
              <w:spacing w:after="0" w:line="240" w:lineRule="auto"/>
              <w:jc w:val="both"/>
              <w:rPr>
                <w:sz w:val="20"/>
              </w:rPr>
            </w:pPr>
            <w:r w:rsidRPr="00AC6175">
              <w:rPr>
                <w:sz w:val="20"/>
              </w:rPr>
              <w:t>Kenya</w:t>
            </w:r>
          </w:p>
        </w:tc>
        <w:tc>
          <w:tcPr>
            <w:tcW w:w="1080" w:type="dxa"/>
            <w:vAlign w:val="center"/>
          </w:tcPr>
          <w:p w14:paraId="57A1596D" w14:textId="77777777" w:rsidR="00A56EDD" w:rsidRPr="00AC6175" w:rsidRDefault="00A56EDD" w:rsidP="004A25D8">
            <w:pPr>
              <w:tabs>
                <w:tab w:val="left" w:pos="8013"/>
              </w:tabs>
              <w:spacing w:after="0" w:line="240" w:lineRule="auto"/>
              <w:jc w:val="center"/>
              <w:rPr>
                <w:sz w:val="20"/>
              </w:rPr>
            </w:pPr>
            <w:r w:rsidRPr="00AC6175">
              <w:rPr>
                <w:sz w:val="20"/>
              </w:rPr>
              <w:t>9.5</w:t>
            </w:r>
          </w:p>
        </w:tc>
        <w:tc>
          <w:tcPr>
            <w:tcW w:w="1080" w:type="dxa"/>
            <w:vAlign w:val="center"/>
          </w:tcPr>
          <w:p w14:paraId="63F081AA" w14:textId="77777777" w:rsidR="00A56EDD" w:rsidRPr="00AC6175" w:rsidRDefault="00A56EDD" w:rsidP="004A25D8">
            <w:pPr>
              <w:tabs>
                <w:tab w:val="left" w:pos="8013"/>
              </w:tabs>
              <w:spacing w:after="0" w:line="240" w:lineRule="auto"/>
              <w:jc w:val="center"/>
              <w:rPr>
                <w:sz w:val="20"/>
              </w:rPr>
            </w:pPr>
            <w:r w:rsidRPr="00AC6175">
              <w:rPr>
                <w:sz w:val="20"/>
              </w:rPr>
              <w:t>80</w:t>
            </w:r>
          </w:p>
        </w:tc>
        <w:tc>
          <w:tcPr>
            <w:tcW w:w="990" w:type="dxa"/>
            <w:vAlign w:val="center"/>
          </w:tcPr>
          <w:p w14:paraId="1CAB3326" w14:textId="77777777" w:rsidR="00A56EDD" w:rsidRPr="00AC6175" w:rsidRDefault="00A56EDD" w:rsidP="004A25D8">
            <w:pPr>
              <w:tabs>
                <w:tab w:val="left" w:pos="8013"/>
              </w:tabs>
              <w:spacing w:after="0" w:line="240" w:lineRule="auto"/>
              <w:jc w:val="center"/>
              <w:rPr>
                <w:sz w:val="20"/>
              </w:rPr>
            </w:pPr>
            <w:r w:rsidRPr="00AC6175">
              <w:rPr>
                <w:sz w:val="20"/>
              </w:rPr>
              <w:t>81</w:t>
            </w:r>
          </w:p>
        </w:tc>
      </w:tr>
    </w:tbl>
    <w:p w14:paraId="1F9FBA4A" w14:textId="21D79876" w:rsidR="00A56EDD" w:rsidRPr="00392539" w:rsidRDefault="00A56EDD" w:rsidP="009F44DB">
      <w:pPr>
        <w:tabs>
          <w:tab w:val="left" w:pos="8013"/>
        </w:tabs>
        <w:spacing w:after="0" w:line="240" w:lineRule="auto"/>
        <w:jc w:val="both"/>
        <w:rPr>
          <w:sz w:val="20"/>
        </w:rPr>
      </w:pPr>
      <w:r w:rsidRPr="004E5B22">
        <w:rPr>
          <w:i/>
          <w:sz w:val="20"/>
        </w:rPr>
        <w:t>Sources</w:t>
      </w:r>
      <w:r w:rsidR="009F44DB" w:rsidRPr="004E5B22">
        <w:rPr>
          <w:i/>
          <w:sz w:val="20"/>
        </w:rPr>
        <w:t>:</w:t>
      </w:r>
      <w:r w:rsidRPr="00392539">
        <w:rPr>
          <w:sz w:val="20"/>
        </w:rPr>
        <w:t xml:space="preserve"> </w:t>
      </w:r>
      <w:r w:rsidR="009F44DB" w:rsidRPr="00392539">
        <w:rPr>
          <w:sz w:val="20"/>
        </w:rPr>
        <w:t>F</w:t>
      </w:r>
      <w:r w:rsidRPr="00392539">
        <w:rPr>
          <w:sz w:val="20"/>
        </w:rPr>
        <w:t>or comparator countries</w:t>
      </w:r>
      <w:r w:rsidR="001A6E6F">
        <w:rPr>
          <w:sz w:val="20"/>
        </w:rPr>
        <w:t>,</w:t>
      </w:r>
      <w:r w:rsidR="009F44DB" w:rsidRPr="00392539">
        <w:rPr>
          <w:sz w:val="20"/>
        </w:rPr>
        <w:t xml:space="preserve"> </w:t>
      </w:r>
      <w:r w:rsidRPr="00392539">
        <w:rPr>
          <w:sz w:val="20"/>
        </w:rPr>
        <w:t>U</w:t>
      </w:r>
      <w:r w:rsidR="00105B0F">
        <w:rPr>
          <w:sz w:val="20"/>
        </w:rPr>
        <w:t xml:space="preserve">nited </w:t>
      </w:r>
      <w:r w:rsidRPr="00392539">
        <w:rPr>
          <w:sz w:val="20"/>
        </w:rPr>
        <w:t>N</w:t>
      </w:r>
      <w:r w:rsidR="00105B0F">
        <w:rPr>
          <w:sz w:val="20"/>
        </w:rPr>
        <w:t xml:space="preserve">ations </w:t>
      </w:r>
      <w:r w:rsidRPr="00392539">
        <w:rPr>
          <w:sz w:val="20"/>
        </w:rPr>
        <w:t>O</w:t>
      </w:r>
      <w:r w:rsidR="00105B0F">
        <w:rPr>
          <w:sz w:val="20"/>
        </w:rPr>
        <w:t xml:space="preserve">ffice for </w:t>
      </w:r>
      <w:r w:rsidRPr="00392539">
        <w:rPr>
          <w:sz w:val="20"/>
        </w:rPr>
        <w:t>D</w:t>
      </w:r>
      <w:r w:rsidR="00105B0F">
        <w:rPr>
          <w:sz w:val="20"/>
        </w:rPr>
        <w:t xml:space="preserve">rug Control and </w:t>
      </w:r>
      <w:r w:rsidRPr="00392539">
        <w:rPr>
          <w:sz w:val="20"/>
        </w:rPr>
        <w:t>C</w:t>
      </w:r>
      <w:r w:rsidR="00105B0F">
        <w:rPr>
          <w:sz w:val="20"/>
        </w:rPr>
        <w:t>rime Prevention</w:t>
      </w:r>
      <w:r w:rsidRPr="00392539">
        <w:rPr>
          <w:sz w:val="20"/>
        </w:rPr>
        <w:t xml:space="preserve"> (police); WHO (doctors); and W</w:t>
      </w:r>
      <w:r w:rsidR="00247E4E">
        <w:rPr>
          <w:sz w:val="20"/>
        </w:rPr>
        <w:t xml:space="preserve">orld </w:t>
      </w:r>
      <w:r w:rsidRPr="00392539">
        <w:rPr>
          <w:sz w:val="20"/>
        </w:rPr>
        <w:t>D</w:t>
      </w:r>
      <w:r w:rsidR="00247E4E">
        <w:rPr>
          <w:sz w:val="20"/>
        </w:rPr>
        <w:t xml:space="preserve">evelopment </w:t>
      </w:r>
      <w:r w:rsidRPr="00392539">
        <w:rPr>
          <w:sz w:val="20"/>
        </w:rPr>
        <w:t>I</w:t>
      </w:r>
      <w:r w:rsidR="00247E4E">
        <w:rPr>
          <w:sz w:val="20"/>
        </w:rPr>
        <w:t>ndicators</w:t>
      </w:r>
      <w:r w:rsidRPr="00392539">
        <w:rPr>
          <w:sz w:val="20"/>
        </w:rPr>
        <w:t>/W</w:t>
      </w:r>
      <w:r w:rsidR="00247E4E">
        <w:rPr>
          <w:sz w:val="20"/>
        </w:rPr>
        <w:t xml:space="preserve">orld </w:t>
      </w:r>
      <w:r w:rsidRPr="00392539">
        <w:rPr>
          <w:sz w:val="20"/>
        </w:rPr>
        <w:t>B</w:t>
      </w:r>
      <w:r w:rsidR="00247E4E">
        <w:rPr>
          <w:sz w:val="20"/>
        </w:rPr>
        <w:t>ank</w:t>
      </w:r>
      <w:r w:rsidRPr="00392539">
        <w:rPr>
          <w:sz w:val="20"/>
        </w:rPr>
        <w:t xml:space="preserve"> for </w:t>
      </w:r>
      <w:r w:rsidR="00247E4E">
        <w:rPr>
          <w:sz w:val="20"/>
        </w:rPr>
        <w:t>n</w:t>
      </w:r>
      <w:r w:rsidRPr="00392539">
        <w:rPr>
          <w:sz w:val="20"/>
        </w:rPr>
        <w:t>urses (includes midwives)</w:t>
      </w:r>
      <w:r w:rsidR="00247E4E">
        <w:rPr>
          <w:sz w:val="20"/>
        </w:rPr>
        <w:t>.</w:t>
      </w:r>
    </w:p>
    <w:p w14:paraId="01A40507" w14:textId="6C5CD814" w:rsidR="00A56EDD" w:rsidRPr="00B513F4" w:rsidRDefault="00A56EDD" w:rsidP="009F44DB">
      <w:pPr>
        <w:tabs>
          <w:tab w:val="left" w:pos="8013"/>
        </w:tabs>
        <w:spacing w:before="240"/>
        <w:jc w:val="both"/>
      </w:pPr>
      <w:r w:rsidRPr="00B513F4">
        <w:rPr>
          <w:b/>
        </w:rPr>
        <w:t>As discussed above, security-related parts of the public sector, such as the police, account for a high share of the overall wage bill</w:t>
      </w:r>
      <w:r w:rsidRPr="004E5B22">
        <w:rPr>
          <w:b/>
        </w:rPr>
        <w:t>.</w:t>
      </w:r>
      <w:r w:rsidRPr="00B513F4">
        <w:t xml:space="preserve"> As </w:t>
      </w:r>
      <w:r w:rsidR="00341AAD">
        <w:fldChar w:fldCharType="begin"/>
      </w:r>
      <w:r w:rsidR="00341AAD">
        <w:instrText xml:space="preserve"> REF _Ref447475716 \h </w:instrText>
      </w:r>
      <w:r w:rsidR="00341AAD">
        <w:fldChar w:fldCharType="separate"/>
      </w:r>
      <w:r w:rsidR="00341AAD">
        <w:t xml:space="preserve">table </w:t>
      </w:r>
      <w:r w:rsidR="00341AAD">
        <w:rPr>
          <w:noProof/>
        </w:rPr>
        <w:t>11</w:t>
      </w:r>
      <w:r w:rsidR="00341AAD">
        <w:fldChar w:fldCharType="end"/>
      </w:r>
      <w:r w:rsidRPr="00B513F4">
        <w:t xml:space="preserve"> indicates, staffing in the four so-called ‘organized forces’</w:t>
      </w:r>
      <w:r w:rsidR="00341AAD">
        <w:t>—</w:t>
      </w:r>
      <w:r w:rsidRPr="00B513F4">
        <w:lastRenderedPageBreak/>
        <w:t>police, wildlife guards, prisons</w:t>
      </w:r>
      <w:r w:rsidR="00341AAD">
        <w:t>,</w:t>
      </w:r>
      <w:r w:rsidRPr="00B513F4">
        <w:t xml:space="preserve"> and fire brigades</w:t>
      </w:r>
      <w:r w:rsidR="00341AAD">
        <w:t>—</w:t>
      </w:r>
      <w:r w:rsidRPr="00B513F4">
        <w:t>has exceeded staff allocat</w:t>
      </w:r>
      <w:r w:rsidR="00341AAD">
        <w:t>ion</w:t>
      </w:r>
      <w:r w:rsidRPr="00B513F4">
        <w:t xml:space="preserve"> for health and education services both at </w:t>
      </w:r>
      <w:r w:rsidR="00341AAD">
        <w:t xml:space="preserve">the </w:t>
      </w:r>
      <w:r w:rsidR="00A316EE">
        <w:t>national</w:t>
      </w:r>
      <w:r w:rsidRPr="00B513F4">
        <w:t xml:space="preserve"> </w:t>
      </w:r>
      <w:r w:rsidR="005F702B">
        <w:t xml:space="preserve">level </w:t>
      </w:r>
      <w:r w:rsidRPr="00B513F4">
        <w:t xml:space="preserve">and subnational </w:t>
      </w:r>
      <w:r w:rsidR="00341AAD">
        <w:t xml:space="preserve">level </w:t>
      </w:r>
      <w:r w:rsidRPr="00B513F4">
        <w:t xml:space="preserve">payroll. Furthermore, for these functions, staffing levels relative to the population exceed those seen in other countries. According to </w:t>
      </w:r>
      <w:r w:rsidR="00105B0F">
        <w:t xml:space="preserve">the </w:t>
      </w:r>
      <w:r w:rsidRPr="00B513F4">
        <w:t xml:space="preserve">United Nations Office </w:t>
      </w:r>
      <w:r w:rsidR="005F702B">
        <w:t>for</w:t>
      </w:r>
      <w:r w:rsidRPr="00B513F4">
        <w:t xml:space="preserve"> Drug </w:t>
      </w:r>
      <w:r w:rsidR="005F702B">
        <w:t xml:space="preserve">Control </w:t>
      </w:r>
      <w:r w:rsidRPr="00B513F4">
        <w:t>and Crime</w:t>
      </w:r>
      <w:r w:rsidR="005F702B">
        <w:t xml:space="preserve"> Prevention</w:t>
      </w:r>
      <w:r w:rsidRPr="00B513F4">
        <w:t>, the global average police staffing per 100,000 inhabitants was 300 in 2006.</w:t>
      </w:r>
      <w:r w:rsidRPr="00B513F4">
        <w:rPr>
          <w:rStyle w:val="FootnoteReference"/>
        </w:rPr>
        <w:footnoteReference w:id="37"/>
      </w:r>
      <w:r w:rsidRPr="00B513F4">
        <w:t xml:space="preserve"> In South Sudan, the current ratio is 450</w:t>
      </w:r>
      <w:r w:rsidR="00105B0F">
        <w:t>–</w:t>
      </w:r>
      <w:r w:rsidRPr="00B513F4">
        <w:t>550 police officers per 100,000 inhabitants. Moreover, comparator countries in the region have far smaller police forces</w:t>
      </w:r>
      <w:r w:rsidR="00105B0F">
        <w:t>,</w:t>
      </w:r>
      <w:r w:rsidRPr="00B513F4">
        <w:t xml:space="preserve"> with 81 and 94 </w:t>
      </w:r>
      <w:r w:rsidR="00105B0F">
        <w:t xml:space="preserve">police officers </w:t>
      </w:r>
      <w:r w:rsidRPr="00B513F4">
        <w:t>per 100,000 people in Kenya and Ghana</w:t>
      </w:r>
      <w:r w:rsidR="00105B0F">
        <w:t>, respectively,</w:t>
      </w:r>
      <w:r w:rsidRPr="00B513F4">
        <w:t xml:space="preserve"> 108 in Liberia, and 205 in Nigeria. In Afghanistan</w:t>
      </w:r>
      <w:r w:rsidR="00105B0F">
        <w:t>—</w:t>
      </w:r>
      <w:r w:rsidRPr="00B513F4">
        <w:t xml:space="preserve">which faces postconflict challenges </w:t>
      </w:r>
      <w:r w:rsidR="00105B0F">
        <w:t>quite</w:t>
      </w:r>
      <w:r w:rsidR="00105B0F" w:rsidRPr="00B513F4">
        <w:t xml:space="preserve"> </w:t>
      </w:r>
      <w:r w:rsidRPr="00B513F4">
        <w:t>similar to those present in South Sudan</w:t>
      </w:r>
      <w:r w:rsidR="00105B0F">
        <w:t>—</w:t>
      </w:r>
      <w:r w:rsidRPr="00B513F4">
        <w:t xml:space="preserve">the ratio is 400 per 100,000. As discussed in section 5.5, these organized forces are governed by specific legislation, which allows them to be merged with the SPLA if the </w:t>
      </w:r>
      <w:r w:rsidR="00105B0F">
        <w:t>p</w:t>
      </w:r>
      <w:r w:rsidRPr="00B513F4">
        <w:t>resident deems this to be necessary and hence serve as a form of ‘reserve army’.</w:t>
      </w:r>
      <w:r w:rsidRPr="00B513F4">
        <w:rPr>
          <w:rStyle w:val="FootnoteReference"/>
        </w:rPr>
        <w:footnoteReference w:id="38"/>
      </w:r>
    </w:p>
    <w:p w14:paraId="5D1D4B05" w14:textId="51FFA17F" w:rsidR="009F44DB" w:rsidRDefault="009F44DB" w:rsidP="009F44DB">
      <w:pPr>
        <w:pStyle w:val="Caption"/>
        <w:keepNext/>
      </w:pPr>
      <w:bookmarkStart w:id="27" w:name="_Ref447475716"/>
      <w:r>
        <w:t xml:space="preserve">Table </w:t>
      </w:r>
      <w:fldSimple w:instr=" SEQ Table \* ARABIC ">
        <w:r w:rsidR="00FA6F6C">
          <w:rPr>
            <w:noProof/>
          </w:rPr>
          <w:t>11</w:t>
        </w:r>
      </w:fldSimple>
      <w:bookmarkEnd w:id="27"/>
      <w:r>
        <w:t xml:space="preserve">. </w:t>
      </w:r>
      <w:r w:rsidRPr="00E854B8">
        <w:t>Break</w:t>
      </w:r>
      <w:r w:rsidR="00045CA3">
        <w:t xml:space="preserve"> D</w:t>
      </w:r>
      <w:r w:rsidRPr="00E854B8">
        <w:t xml:space="preserve">own of </w:t>
      </w:r>
      <w:r w:rsidR="00045CA3">
        <w:t>P</w:t>
      </w:r>
      <w:r w:rsidRPr="00E854B8">
        <w:t xml:space="preserve">ublic </w:t>
      </w:r>
      <w:r w:rsidR="00045CA3">
        <w:t>S</w:t>
      </w:r>
      <w:r w:rsidRPr="00E854B8">
        <w:t xml:space="preserve">ector </w:t>
      </w:r>
      <w:r w:rsidR="00045CA3">
        <w:t>S</w:t>
      </w:r>
      <w:r w:rsidRPr="00E854B8">
        <w:t xml:space="preserve">taff by </w:t>
      </w:r>
      <w:r w:rsidR="00045CA3">
        <w:t>C</w:t>
      </w:r>
      <w:r w:rsidRPr="00E854B8">
        <w:t xml:space="preserve">entral and </w:t>
      </w:r>
      <w:r w:rsidR="00045CA3">
        <w:t>S</w:t>
      </w:r>
      <w:r w:rsidRPr="00E854B8">
        <w:t xml:space="preserve">tate </w:t>
      </w:r>
      <w:r w:rsidR="00045CA3">
        <w:t>L</w:t>
      </w:r>
      <w:r w:rsidRPr="00E854B8">
        <w:t xml:space="preserve">evels and </w:t>
      </w:r>
      <w:r w:rsidR="00045CA3">
        <w:t>K</w:t>
      </w:r>
      <w:r w:rsidRPr="00E854B8">
        <w:t xml:space="preserve">ey </w:t>
      </w:r>
      <w:r w:rsidR="00045CA3">
        <w:t>S</w:t>
      </w:r>
      <w:r w:rsidRPr="00E854B8">
        <w:t>ectors</w:t>
      </w:r>
    </w:p>
    <w:tbl>
      <w:tblPr>
        <w:tblStyle w:val="TableGrid"/>
        <w:tblW w:w="0" w:type="auto"/>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810"/>
        <w:gridCol w:w="1043"/>
        <w:gridCol w:w="1048"/>
        <w:gridCol w:w="808"/>
        <w:gridCol w:w="972"/>
        <w:gridCol w:w="1291"/>
        <w:gridCol w:w="798"/>
        <w:gridCol w:w="798"/>
        <w:gridCol w:w="852"/>
        <w:gridCol w:w="940"/>
      </w:tblGrid>
      <w:tr w:rsidR="00A56EDD" w:rsidRPr="00D05B80" w14:paraId="7077E2AC" w14:textId="77777777" w:rsidTr="00FF1FE2">
        <w:trPr>
          <w:jc w:val="center"/>
        </w:trPr>
        <w:tc>
          <w:tcPr>
            <w:tcW w:w="810" w:type="dxa"/>
          </w:tcPr>
          <w:p w14:paraId="54303B36" w14:textId="348BC55B" w:rsidR="00A56EDD" w:rsidRPr="00D05B80" w:rsidRDefault="00A56EDD" w:rsidP="007857CB">
            <w:pPr>
              <w:tabs>
                <w:tab w:val="left" w:pos="8013"/>
              </w:tabs>
              <w:rPr>
                <w:sz w:val="20"/>
                <w:szCs w:val="20"/>
              </w:rPr>
            </w:pPr>
          </w:p>
        </w:tc>
        <w:tc>
          <w:tcPr>
            <w:tcW w:w="1043" w:type="dxa"/>
            <w:shd w:val="clear" w:color="auto" w:fill="F2F2F2" w:themeFill="background1" w:themeFillShade="F2"/>
            <w:vAlign w:val="center"/>
          </w:tcPr>
          <w:p w14:paraId="595C70D4" w14:textId="56E370CF" w:rsidR="00A56EDD" w:rsidRPr="00D05B80" w:rsidRDefault="00A56EDD" w:rsidP="00D05B80">
            <w:pPr>
              <w:tabs>
                <w:tab w:val="left" w:pos="8013"/>
              </w:tabs>
              <w:rPr>
                <w:sz w:val="20"/>
                <w:szCs w:val="20"/>
              </w:rPr>
            </w:pPr>
            <w:r w:rsidRPr="00D05B80">
              <w:rPr>
                <w:sz w:val="20"/>
                <w:szCs w:val="20"/>
              </w:rPr>
              <w:t xml:space="preserve">Fiscal </w:t>
            </w:r>
            <w:r w:rsidR="005249BF" w:rsidRPr="00D05B80">
              <w:rPr>
                <w:sz w:val="20"/>
                <w:szCs w:val="20"/>
              </w:rPr>
              <w:t>Y</w:t>
            </w:r>
            <w:r w:rsidRPr="00D05B80">
              <w:rPr>
                <w:sz w:val="20"/>
                <w:szCs w:val="20"/>
              </w:rPr>
              <w:t>ear</w:t>
            </w:r>
          </w:p>
        </w:tc>
        <w:tc>
          <w:tcPr>
            <w:tcW w:w="1048" w:type="dxa"/>
            <w:vAlign w:val="center"/>
          </w:tcPr>
          <w:p w14:paraId="4A614DE1" w14:textId="77777777" w:rsidR="00A56EDD" w:rsidRPr="00D05B80" w:rsidRDefault="00A56EDD" w:rsidP="007857CB">
            <w:pPr>
              <w:tabs>
                <w:tab w:val="left" w:pos="8013"/>
              </w:tabs>
              <w:rPr>
                <w:sz w:val="20"/>
                <w:szCs w:val="20"/>
              </w:rPr>
            </w:pPr>
            <w:r w:rsidRPr="00D05B80">
              <w:rPr>
                <w:sz w:val="20"/>
                <w:szCs w:val="20"/>
              </w:rPr>
              <w:t>Education</w:t>
            </w:r>
          </w:p>
        </w:tc>
        <w:tc>
          <w:tcPr>
            <w:tcW w:w="808" w:type="dxa"/>
            <w:vAlign w:val="center"/>
          </w:tcPr>
          <w:p w14:paraId="11F59AEA" w14:textId="77777777" w:rsidR="00A56EDD" w:rsidRPr="00D05B80" w:rsidRDefault="00A56EDD" w:rsidP="007857CB">
            <w:pPr>
              <w:tabs>
                <w:tab w:val="left" w:pos="8013"/>
              </w:tabs>
              <w:rPr>
                <w:sz w:val="20"/>
                <w:szCs w:val="20"/>
              </w:rPr>
            </w:pPr>
            <w:r w:rsidRPr="00D05B80">
              <w:rPr>
                <w:sz w:val="20"/>
                <w:szCs w:val="20"/>
              </w:rPr>
              <w:t>Health</w:t>
            </w:r>
          </w:p>
        </w:tc>
        <w:tc>
          <w:tcPr>
            <w:tcW w:w="972" w:type="dxa"/>
            <w:vAlign w:val="center"/>
          </w:tcPr>
          <w:p w14:paraId="1644C53F" w14:textId="3BD1F6D1" w:rsidR="00A56EDD" w:rsidRPr="00D05B80" w:rsidRDefault="00A56EDD" w:rsidP="00D05B80">
            <w:pPr>
              <w:tabs>
                <w:tab w:val="left" w:pos="8013"/>
              </w:tabs>
              <w:rPr>
                <w:i/>
                <w:sz w:val="20"/>
                <w:szCs w:val="20"/>
              </w:rPr>
            </w:pPr>
            <w:r w:rsidRPr="00D05B80">
              <w:rPr>
                <w:i/>
                <w:sz w:val="20"/>
                <w:szCs w:val="20"/>
              </w:rPr>
              <w:t xml:space="preserve">Total </w:t>
            </w:r>
            <w:r w:rsidR="005249BF" w:rsidRPr="00D05B80">
              <w:rPr>
                <w:i/>
                <w:sz w:val="20"/>
                <w:szCs w:val="20"/>
              </w:rPr>
              <w:t>S</w:t>
            </w:r>
            <w:r w:rsidRPr="00D05B80">
              <w:rPr>
                <w:i/>
                <w:sz w:val="20"/>
                <w:szCs w:val="20"/>
              </w:rPr>
              <w:t xml:space="preserve">ocial </w:t>
            </w:r>
            <w:r w:rsidR="005249BF" w:rsidRPr="00D05B80">
              <w:rPr>
                <w:i/>
                <w:sz w:val="20"/>
                <w:szCs w:val="20"/>
              </w:rPr>
              <w:t>S</w:t>
            </w:r>
            <w:r w:rsidRPr="00D05B80">
              <w:rPr>
                <w:i/>
                <w:sz w:val="20"/>
                <w:szCs w:val="20"/>
              </w:rPr>
              <w:t xml:space="preserve">ervice </w:t>
            </w:r>
            <w:r w:rsidR="005249BF" w:rsidRPr="00D05B80">
              <w:rPr>
                <w:i/>
                <w:sz w:val="20"/>
                <w:szCs w:val="20"/>
              </w:rPr>
              <w:t>D</w:t>
            </w:r>
            <w:r w:rsidRPr="00D05B80">
              <w:rPr>
                <w:i/>
                <w:sz w:val="20"/>
                <w:szCs w:val="20"/>
              </w:rPr>
              <w:t>elivery</w:t>
            </w:r>
          </w:p>
        </w:tc>
        <w:tc>
          <w:tcPr>
            <w:tcW w:w="1291" w:type="dxa"/>
            <w:vAlign w:val="center"/>
          </w:tcPr>
          <w:p w14:paraId="674FCB3D" w14:textId="77777777" w:rsidR="00A56EDD" w:rsidRPr="00D05B80" w:rsidRDefault="00A56EDD" w:rsidP="007857CB">
            <w:pPr>
              <w:tabs>
                <w:tab w:val="left" w:pos="8013"/>
              </w:tabs>
              <w:rPr>
                <w:sz w:val="20"/>
                <w:szCs w:val="20"/>
              </w:rPr>
            </w:pPr>
            <w:r w:rsidRPr="00D05B80">
              <w:rPr>
                <w:sz w:val="20"/>
                <w:szCs w:val="20"/>
              </w:rPr>
              <w:t>Wildlife Conservation and Tourism</w:t>
            </w:r>
          </w:p>
        </w:tc>
        <w:tc>
          <w:tcPr>
            <w:tcW w:w="798" w:type="dxa"/>
            <w:vAlign w:val="center"/>
          </w:tcPr>
          <w:p w14:paraId="7B34DCB1" w14:textId="77777777" w:rsidR="00A56EDD" w:rsidRPr="00D05B80" w:rsidRDefault="00A56EDD" w:rsidP="007857CB">
            <w:pPr>
              <w:tabs>
                <w:tab w:val="left" w:pos="8013"/>
              </w:tabs>
              <w:rPr>
                <w:sz w:val="20"/>
                <w:szCs w:val="20"/>
              </w:rPr>
            </w:pPr>
            <w:r w:rsidRPr="00D05B80">
              <w:rPr>
                <w:sz w:val="20"/>
                <w:szCs w:val="20"/>
              </w:rPr>
              <w:t>Police</w:t>
            </w:r>
          </w:p>
        </w:tc>
        <w:tc>
          <w:tcPr>
            <w:tcW w:w="798" w:type="dxa"/>
            <w:vAlign w:val="center"/>
          </w:tcPr>
          <w:p w14:paraId="360363F8" w14:textId="77777777" w:rsidR="00A56EDD" w:rsidRPr="00D05B80" w:rsidRDefault="00A56EDD" w:rsidP="007857CB">
            <w:pPr>
              <w:tabs>
                <w:tab w:val="left" w:pos="8013"/>
              </w:tabs>
              <w:rPr>
                <w:sz w:val="20"/>
                <w:szCs w:val="20"/>
              </w:rPr>
            </w:pPr>
            <w:r w:rsidRPr="00D05B80">
              <w:rPr>
                <w:sz w:val="20"/>
                <w:szCs w:val="20"/>
              </w:rPr>
              <w:t>Prison</w:t>
            </w:r>
          </w:p>
        </w:tc>
        <w:tc>
          <w:tcPr>
            <w:tcW w:w="852" w:type="dxa"/>
            <w:vAlign w:val="center"/>
          </w:tcPr>
          <w:p w14:paraId="3B1EE9B3" w14:textId="77777777" w:rsidR="00A56EDD" w:rsidRPr="00D05B80" w:rsidRDefault="00A56EDD" w:rsidP="007857CB">
            <w:pPr>
              <w:tabs>
                <w:tab w:val="left" w:pos="8013"/>
              </w:tabs>
              <w:rPr>
                <w:sz w:val="20"/>
                <w:szCs w:val="20"/>
              </w:rPr>
            </w:pPr>
            <w:r w:rsidRPr="00D05B80">
              <w:rPr>
                <w:sz w:val="20"/>
                <w:szCs w:val="20"/>
              </w:rPr>
              <w:t>Fire Brigade</w:t>
            </w:r>
          </w:p>
        </w:tc>
        <w:tc>
          <w:tcPr>
            <w:tcW w:w="940" w:type="dxa"/>
            <w:vAlign w:val="center"/>
          </w:tcPr>
          <w:p w14:paraId="2BF8523E" w14:textId="65AB639F" w:rsidR="00A56EDD" w:rsidRPr="00D05B80" w:rsidRDefault="00A56EDD" w:rsidP="00D05B80">
            <w:pPr>
              <w:tabs>
                <w:tab w:val="left" w:pos="8013"/>
              </w:tabs>
              <w:rPr>
                <w:i/>
                <w:sz w:val="20"/>
                <w:szCs w:val="20"/>
              </w:rPr>
            </w:pPr>
            <w:r w:rsidRPr="00D05B80">
              <w:rPr>
                <w:i/>
                <w:sz w:val="20"/>
                <w:szCs w:val="20"/>
              </w:rPr>
              <w:t xml:space="preserve">Total </w:t>
            </w:r>
            <w:r w:rsidR="005249BF" w:rsidRPr="00D05B80">
              <w:rPr>
                <w:i/>
                <w:sz w:val="20"/>
                <w:szCs w:val="20"/>
              </w:rPr>
              <w:t>S</w:t>
            </w:r>
            <w:r w:rsidRPr="00D05B80">
              <w:rPr>
                <w:i/>
                <w:sz w:val="20"/>
                <w:szCs w:val="20"/>
              </w:rPr>
              <w:t xml:space="preserve">ecurity and </w:t>
            </w:r>
            <w:r w:rsidR="005249BF" w:rsidRPr="00D05B80">
              <w:rPr>
                <w:i/>
                <w:sz w:val="20"/>
                <w:szCs w:val="20"/>
              </w:rPr>
              <w:t>F</w:t>
            </w:r>
            <w:r w:rsidRPr="00D05B80">
              <w:rPr>
                <w:i/>
                <w:sz w:val="20"/>
                <w:szCs w:val="20"/>
              </w:rPr>
              <w:t>ire</w:t>
            </w:r>
            <w:r w:rsidR="002B5CE3" w:rsidRPr="00D05B80">
              <w:rPr>
                <w:i/>
                <w:sz w:val="20"/>
                <w:szCs w:val="20"/>
              </w:rPr>
              <w:t xml:space="preserve"> </w:t>
            </w:r>
            <w:r w:rsidR="005249BF" w:rsidRPr="00D05B80">
              <w:rPr>
                <w:i/>
                <w:sz w:val="20"/>
                <w:szCs w:val="20"/>
              </w:rPr>
              <w:t>S</w:t>
            </w:r>
            <w:r w:rsidRPr="00D05B80">
              <w:rPr>
                <w:i/>
                <w:sz w:val="20"/>
                <w:szCs w:val="20"/>
              </w:rPr>
              <w:t>ervices</w:t>
            </w:r>
          </w:p>
        </w:tc>
      </w:tr>
      <w:tr w:rsidR="00A56EDD" w:rsidRPr="00D05B80" w14:paraId="123ED325" w14:textId="77777777" w:rsidTr="00FF1FE2">
        <w:trPr>
          <w:trHeight w:val="503"/>
          <w:jc w:val="center"/>
        </w:trPr>
        <w:tc>
          <w:tcPr>
            <w:tcW w:w="810" w:type="dxa"/>
            <w:vMerge w:val="restart"/>
          </w:tcPr>
          <w:p w14:paraId="423FCBA2" w14:textId="269392A1" w:rsidR="00A56EDD" w:rsidRPr="00D05B80" w:rsidRDefault="006226AA" w:rsidP="007857CB">
            <w:pPr>
              <w:tabs>
                <w:tab w:val="left" w:pos="8013"/>
              </w:tabs>
              <w:rPr>
                <w:sz w:val="20"/>
                <w:szCs w:val="20"/>
              </w:rPr>
            </w:pPr>
            <w:r w:rsidRPr="00D05B80">
              <w:rPr>
                <w:sz w:val="20"/>
                <w:szCs w:val="20"/>
              </w:rPr>
              <w:t>No.</w:t>
            </w:r>
            <w:r w:rsidR="00A56EDD" w:rsidRPr="00D05B80">
              <w:rPr>
                <w:sz w:val="20"/>
                <w:szCs w:val="20"/>
              </w:rPr>
              <w:t xml:space="preserve"> of central</w:t>
            </w:r>
            <w:r w:rsidRPr="00D05B80">
              <w:rPr>
                <w:sz w:val="20"/>
                <w:szCs w:val="20"/>
              </w:rPr>
              <w:t>-</w:t>
            </w:r>
            <w:r w:rsidR="00A56EDD" w:rsidRPr="00D05B80">
              <w:rPr>
                <w:sz w:val="20"/>
                <w:szCs w:val="20"/>
              </w:rPr>
              <w:t xml:space="preserve">level staff </w:t>
            </w:r>
          </w:p>
        </w:tc>
        <w:tc>
          <w:tcPr>
            <w:tcW w:w="1043" w:type="dxa"/>
            <w:shd w:val="clear" w:color="auto" w:fill="F2F2F2" w:themeFill="background1" w:themeFillShade="F2"/>
            <w:vAlign w:val="center"/>
          </w:tcPr>
          <w:p w14:paraId="2473D61A" w14:textId="066CEC5B" w:rsidR="00A56EDD" w:rsidRPr="00D05B80" w:rsidRDefault="00A56EDD" w:rsidP="00D05B80">
            <w:pPr>
              <w:tabs>
                <w:tab w:val="left" w:pos="8013"/>
              </w:tabs>
              <w:jc w:val="center"/>
              <w:rPr>
                <w:b/>
                <w:sz w:val="20"/>
                <w:szCs w:val="20"/>
              </w:rPr>
            </w:pPr>
            <w:r w:rsidRPr="00D05B80">
              <w:rPr>
                <w:b/>
                <w:sz w:val="20"/>
                <w:szCs w:val="20"/>
              </w:rPr>
              <w:t>2012</w:t>
            </w:r>
            <w:r w:rsidR="00BC3CFE" w:rsidRPr="00D05B80">
              <w:rPr>
                <w:b/>
                <w:sz w:val="20"/>
                <w:szCs w:val="20"/>
              </w:rPr>
              <w:t>–</w:t>
            </w:r>
            <w:r w:rsidRPr="00D05B80">
              <w:rPr>
                <w:b/>
                <w:sz w:val="20"/>
                <w:szCs w:val="20"/>
              </w:rPr>
              <w:t>13</w:t>
            </w:r>
          </w:p>
        </w:tc>
        <w:tc>
          <w:tcPr>
            <w:tcW w:w="1048" w:type="dxa"/>
            <w:shd w:val="clear" w:color="auto" w:fill="D9D9D9" w:themeFill="background1" w:themeFillShade="D9"/>
            <w:vAlign w:val="center"/>
          </w:tcPr>
          <w:p w14:paraId="0AE96B88" w14:textId="4708F013" w:rsidR="00A56EDD" w:rsidRPr="00D05B80" w:rsidRDefault="00A56EDD" w:rsidP="0028008F">
            <w:pPr>
              <w:tabs>
                <w:tab w:val="left" w:pos="8013"/>
              </w:tabs>
              <w:jc w:val="center"/>
              <w:rPr>
                <w:sz w:val="20"/>
                <w:szCs w:val="20"/>
              </w:rPr>
            </w:pPr>
            <w:r w:rsidRPr="00D05B80">
              <w:rPr>
                <w:sz w:val="20"/>
                <w:szCs w:val="20"/>
              </w:rPr>
              <w:t>1</w:t>
            </w:r>
            <w:r w:rsidR="006226AA" w:rsidRPr="00D05B80">
              <w:rPr>
                <w:sz w:val="20"/>
                <w:szCs w:val="20"/>
              </w:rPr>
              <w:t>,</w:t>
            </w:r>
            <w:r w:rsidRPr="00D05B80">
              <w:rPr>
                <w:sz w:val="20"/>
                <w:szCs w:val="20"/>
              </w:rPr>
              <w:t>647</w:t>
            </w:r>
          </w:p>
        </w:tc>
        <w:tc>
          <w:tcPr>
            <w:tcW w:w="808" w:type="dxa"/>
            <w:shd w:val="clear" w:color="auto" w:fill="D9D9D9" w:themeFill="background1" w:themeFillShade="D9"/>
            <w:vAlign w:val="center"/>
          </w:tcPr>
          <w:p w14:paraId="37CEE9D8" w14:textId="77C3113C" w:rsidR="00A56EDD" w:rsidRPr="00D05B80" w:rsidRDefault="00A56EDD" w:rsidP="0028008F">
            <w:pPr>
              <w:tabs>
                <w:tab w:val="left" w:pos="8013"/>
              </w:tabs>
              <w:jc w:val="center"/>
              <w:rPr>
                <w:sz w:val="20"/>
                <w:szCs w:val="20"/>
              </w:rPr>
            </w:pPr>
            <w:r w:rsidRPr="00D05B80">
              <w:rPr>
                <w:sz w:val="20"/>
                <w:szCs w:val="20"/>
              </w:rPr>
              <w:t>2</w:t>
            </w:r>
            <w:r w:rsidR="006226AA" w:rsidRPr="00D05B80">
              <w:rPr>
                <w:sz w:val="20"/>
                <w:szCs w:val="20"/>
              </w:rPr>
              <w:t>,</w:t>
            </w:r>
            <w:r w:rsidRPr="00D05B80">
              <w:rPr>
                <w:sz w:val="20"/>
                <w:szCs w:val="20"/>
              </w:rPr>
              <w:t>911</w:t>
            </w:r>
          </w:p>
        </w:tc>
        <w:tc>
          <w:tcPr>
            <w:tcW w:w="972" w:type="dxa"/>
            <w:shd w:val="clear" w:color="auto" w:fill="D9D9D9" w:themeFill="background1" w:themeFillShade="D9"/>
            <w:vAlign w:val="center"/>
          </w:tcPr>
          <w:p w14:paraId="17EDC81B" w14:textId="660187CE" w:rsidR="00A56EDD" w:rsidRPr="00D05B80" w:rsidRDefault="00A56EDD" w:rsidP="0028008F">
            <w:pPr>
              <w:tabs>
                <w:tab w:val="left" w:pos="8013"/>
              </w:tabs>
              <w:jc w:val="center"/>
              <w:rPr>
                <w:i/>
                <w:sz w:val="20"/>
                <w:szCs w:val="20"/>
              </w:rPr>
            </w:pPr>
            <w:r w:rsidRPr="00D05B80">
              <w:rPr>
                <w:i/>
                <w:sz w:val="20"/>
                <w:szCs w:val="20"/>
              </w:rPr>
              <w:t>4</w:t>
            </w:r>
            <w:r w:rsidR="006226AA" w:rsidRPr="00D05B80">
              <w:rPr>
                <w:i/>
                <w:sz w:val="20"/>
                <w:szCs w:val="20"/>
              </w:rPr>
              <w:t>,</w:t>
            </w:r>
            <w:r w:rsidRPr="00D05B80">
              <w:rPr>
                <w:i/>
                <w:sz w:val="20"/>
                <w:szCs w:val="20"/>
              </w:rPr>
              <w:t>558</w:t>
            </w:r>
          </w:p>
        </w:tc>
        <w:tc>
          <w:tcPr>
            <w:tcW w:w="1291" w:type="dxa"/>
            <w:shd w:val="clear" w:color="auto" w:fill="D9D9D9" w:themeFill="background1" w:themeFillShade="D9"/>
            <w:vAlign w:val="center"/>
          </w:tcPr>
          <w:p w14:paraId="182275F9" w14:textId="3FFB8E67" w:rsidR="00A56EDD" w:rsidRPr="00D05B80" w:rsidRDefault="00A56EDD" w:rsidP="0028008F">
            <w:pPr>
              <w:tabs>
                <w:tab w:val="left" w:pos="8013"/>
              </w:tabs>
              <w:jc w:val="center"/>
              <w:rPr>
                <w:sz w:val="20"/>
                <w:szCs w:val="20"/>
              </w:rPr>
            </w:pPr>
            <w:r w:rsidRPr="00D05B80">
              <w:rPr>
                <w:sz w:val="20"/>
                <w:szCs w:val="20"/>
              </w:rPr>
              <w:t>2</w:t>
            </w:r>
            <w:r w:rsidR="006226AA" w:rsidRPr="00D05B80">
              <w:rPr>
                <w:sz w:val="20"/>
                <w:szCs w:val="20"/>
              </w:rPr>
              <w:t>,</w:t>
            </w:r>
            <w:r w:rsidRPr="00D05B80">
              <w:rPr>
                <w:sz w:val="20"/>
                <w:szCs w:val="20"/>
              </w:rPr>
              <w:t>237</w:t>
            </w:r>
          </w:p>
        </w:tc>
        <w:tc>
          <w:tcPr>
            <w:tcW w:w="798" w:type="dxa"/>
            <w:shd w:val="clear" w:color="auto" w:fill="D9D9D9" w:themeFill="background1" w:themeFillShade="D9"/>
            <w:vAlign w:val="center"/>
          </w:tcPr>
          <w:p w14:paraId="7D1493D7" w14:textId="7E6A7CFE" w:rsidR="00A56EDD" w:rsidRPr="00D05B80" w:rsidRDefault="00A56EDD" w:rsidP="0028008F">
            <w:pPr>
              <w:tabs>
                <w:tab w:val="left" w:pos="8013"/>
              </w:tabs>
              <w:jc w:val="center"/>
              <w:rPr>
                <w:sz w:val="20"/>
                <w:szCs w:val="20"/>
              </w:rPr>
            </w:pPr>
            <w:r w:rsidRPr="00D05B80">
              <w:rPr>
                <w:sz w:val="20"/>
                <w:szCs w:val="20"/>
              </w:rPr>
              <w:t>17</w:t>
            </w:r>
            <w:r w:rsidR="006226AA" w:rsidRPr="00D05B80">
              <w:rPr>
                <w:sz w:val="20"/>
                <w:szCs w:val="20"/>
              </w:rPr>
              <w:t>,</w:t>
            </w:r>
            <w:r w:rsidRPr="00D05B80">
              <w:rPr>
                <w:sz w:val="20"/>
                <w:szCs w:val="20"/>
              </w:rPr>
              <w:t>948</w:t>
            </w:r>
          </w:p>
        </w:tc>
        <w:tc>
          <w:tcPr>
            <w:tcW w:w="798" w:type="dxa"/>
            <w:shd w:val="clear" w:color="auto" w:fill="D9D9D9" w:themeFill="background1" w:themeFillShade="D9"/>
            <w:vAlign w:val="center"/>
          </w:tcPr>
          <w:p w14:paraId="19789CC3" w14:textId="60A34CAD" w:rsidR="00A56EDD" w:rsidRPr="00D05B80" w:rsidRDefault="00A56EDD" w:rsidP="0028008F">
            <w:pPr>
              <w:tabs>
                <w:tab w:val="left" w:pos="8013"/>
              </w:tabs>
              <w:jc w:val="center"/>
              <w:rPr>
                <w:sz w:val="20"/>
                <w:szCs w:val="20"/>
              </w:rPr>
            </w:pPr>
            <w:r w:rsidRPr="00D05B80">
              <w:rPr>
                <w:sz w:val="20"/>
                <w:szCs w:val="20"/>
              </w:rPr>
              <w:t>1</w:t>
            </w:r>
            <w:r w:rsidR="006226AA" w:rsidRPr="00D05B80">
              <w:rPr>
                <w:sz w:val="20"/>
                <w:szCs w:val="20"/>
              </w:rPr>
              <w:t>,</w:t>
            </w:r>
            <w:r w:rsidRPr="00D05B80">
              <w:rPr>
                <w:sz w:val="20"/>
                <w:szCs w:val="20"/>
              </w:rPr>
              <w:t>782</w:t>
            </w:r>
          </w:p>
        </w:tc>
        <w:tc>
          <w:tcPr>
            <w:tcW w:w="852" w:type="dxa"/>
            <w:shd w:val="clear" w:color="auto" w:fill="D9D9D9" w:themeFill="background1" w:themeFillShade="D9"/>
            <w:vAlign w:val="center"/>
          </w:tcPr>
          <w:p w14:paraId="4322AFD8" w14:textId="77777777" w:rsidR="00A56EDD" w:rsidRPr="00D05B80" w:rsidRDefault="00A56EDD" w:rsidP="0028008F">
            <w:pPr>
              <w:tabs>
                <w:tab w:val="left" w:pos="8013"/>
              </w:tabs>
              <w:jc w:val="center"/>
              <w:rPr>
                <w:sz w:val="20"/>
                <w:szCs w:val="20"/>
              </w:rPr>
            </w:pPr>
            <w:r w:rsidRPr="00D05B80">
              <w:rPr>
                <w:sz w:val="20"/>
                <w:szCs w:val="20"/>
              </w:rPr>
              <w:t>903</w:t>
            </w:r>
          </w:p>
        </w:tc>
        <w:tc>
          <w:tcPr>
            <w:tcW w:w="940" w:type="dxa"/>
            <w:shd w:val="clear" w:color="auto" w:fill="D9D9D9" w:themeFill="background1" w:themeFillShade="D9"/>
            <w:vAlign w:val="center"/>
          </w:tcPr>
          <w:p w14:paraId="24C0C47E" w14:textId="522963F1" w:rsidR="00A56EDD" w:rsidRPr="00D05B80" w:rsidRDefault="00A56EDD" w:rsidP="0028008F">
            <w:pPr>
              <w:tabs>
                <w:tab w:val="left" w:pos="8013"/>
              </w:tabs>
              <w:jc w:val="center"/>
              <w:rPr>
                <w:i/>
                <w:sz w:val="20"/>
                <w:szCs w:val="20"/>
              </w:rPr>
            </w:pPr>
            <w:r w:rsidRPr="00D05B80">
              <w:rPr>
                <w:i/>
                <w:sz w:val="20"/>
                <w:szCs w:val="20"/>
              </w:rPr>
              <w:t>22</w:t>
            </w:r>
            <w:r w:rsidR="006226AA" w:rsidRPr="00D05B80">
              <w:rPr>
                <w:i/>
                <w:sz w:val="20"/>
                <w:szCs w:val="20"/>
              </w:rPr>
              <w:t>,</w:t>
            </w:r>
            <w:r w:rsidRPr="00D05B80">
              <w:rPr>
                <w:i/>
                <w:sz w:val="20"/>
                <w:szCs w:val="20"/>
              </w:rPr>
              <w:t>870</w:t>
            </w:r>
          </w:p>
        </w:tc>
      </w:tr>
      <w:tr w:rsidR="00A56EDD" w:rsidRPr="00D05B80" w14:paraId="470DBDB3" w14:textId="77777777" w:rsidTr="00FF1FE2">
        <w:trPr>
          <w:jc w:val="center"/>
        </w:trPr>
        <w:tc>
          <w:tcPr>
            <w:tcW w:w="810" w:type="dxa"/>
            <w:vMerge/>
          </w:tcPr>
          <w:p w14:paraId="0F36DCDB" w14:textId="77777777" w:rsidR="00A56EDD" w:rsidRPr="00D05B80" w:rsidRDefault="00A56EDD" w:rsidP="007857CB">
            <w:pPr>
              <w:tabs>
                <w:tab w:val="left" w:pos="8013"/>
              </w:tabs>
              <w:rPr>
                <w:sz w:val="20"/>
                <w:szCs w:val="20"/>
              </w:rPr>
            </w:pPr>
          </w:p>
        </w:tc>
        <w:tc>
          <w:tcPr>
            <w:tcW w:w="1043" w:type="dxa"/>
            <w:shd w:val="clear" w:color="auto" w:fill="F2F2F2" w:themeFill="background1" w:themeFillShade="F2"/>
            <w:vAlign w:val="center"/>
          </w:tcPr>
          <w:p w14:paraId="46C369B1" w14:textId="1BB40593" w:rsidR="00A56EDD" w:rsidRPr="00D05B80" w:rsidRDefault="00A56EDD" w:rsidP="0028008F">
            <w:pPr>
              <w:tabs>
                <w:tab w:val="left" w:pos="8013"/>
              </w:tabs>
              <w:jc w:val="center"/>
              <w:rPr>
                <w:b/>
                <w:sz w:val="20"/>
                <w:szCs w:val="20"/>
              </w:rPr>
            </w:pPr>
            <w:r w:rsidRPr="00D05B80">
              <w:rPr>
                <w:b/>
                <w:sz w:val="20"/>
                <w:szCs w:val="20"/>
              </w:rPr>
              <w:t>2014</w:t>
            </w:r>
            <w:r w:rsidR="00BC3CFE" w:rsidRPr="00D05B80">
              <w:rPr>
                <w:b/>
                <w:sz w:val="20"/>
                <w:szCs w:val="20"/>
              </w:rPr>
              <w:t>–</w:t>
            </w:r>
            <w:r w:rsidRPr="00D05B80">
              <w:rPr>
                <w:b/>
                <w:sz w:val="20"/>
                <w:szCs w:val="20"/>
              </w:rPr>
              <w:t>15</w:t>
            </w:r>
          </w:p>
        </w:tc>
        <w:tc>
          <w:tcPr>
            <w:tcW w:w="1048" w:type="dxa"/>
            <w:vAlign w:val="center"/>
          </w:tcPr>
          <w:p w14:paraId="51BA849D" w14:textId="3CEEEB95" w:rsidR="00A56EDD" w:rsidRPr="00D05B80" w:rsidRDefault="00A56EDD" w:rsidP="0028008F">
            <w:pPr>
              <w:jc w:val="center"/>
              <w:rPr>
                <w:color w:val="00B050"/>
                <w:sz w:val="20"/>
                <w:szCs w:val="20"/>
              </w:rPr>
            </w:pPr>
            <w:r w:rsidRPr="00D05B80">
              <w:rPr>
                <w:sz w:val="20"/>
                <w:szCs w:val="20"/>
              </w:rPr>
              <w:t>5</w:t>
            </w:r>
            <w:r w:rsidR="006226AA" w:rsidRPr="00D05B80">
              <w:rPr>
                <w:sz w:val="20"/>
                <w:szCs w:val="20"/>
              </w:rPr>
              <w:t>,</w:t>
            </w:r>
            <w:r w:rsidRPr="00D05B80">
              <w:rPr>
                <w:sz w:val="20"/>
                <w:szCs w:val="20"/>
              </w:rPr>
              <w:t>481</w:t>
            </w:r>
          </w:p>
        </w:tc>
        <w:tc>
          <w:tcPr>
            <w:tcW w:w="808" w:type="dxa"/>
            <w:vAlign w:val="center"/>
          </w:tcPr>
          <w:p w14:paraId="7B7E68A7" w14:textId="1179235C" w:rsidR="00A56EDD" w:rsidRPr="00D05B80" w:rsidRDefault="00A56EDD" w:rsidP="0028008F">
            <w:pPr>
              <w:tabs>
                <w:tab w:val="left" w:pos="8013"/>
              </w:tabs>
              <w:jc w:val="center"/>
              <w:rPr>
                <w:sz w:val="20"/>
                <w:szCs w:val="20"/>
              </w:rPr>
            </w:pPr>
            <w:r w:rsidRPr="00D05B80">
              <w:rPr>
                <w:sz w:val="20"/>
                <w:szCs w:val="20"/>
              </w:rPr>
              <w:t>2</w:t>
            </w:r>
            <w:r w:rsidR="006226AA" w:rsidRPr="00D05B80">
              <w:rPr>
                <w:sz w:val="20"/>
                <w:szCs w:val="20"/>
              </w:rPr>
              <w:t>,</w:t>
            </w:r>
            <w:r w:rsidRPr="00D05B80">
              <w:rPr>
                <w:sz w:val="20"/>
                <w:szCs w:val="20"/>
              </w:rPr>
              <w:t>611</w:t>
            </w:r>
          </w:p>
        </w:tc>
        <w:tc>
          <w:tcPr>
            <w:tcW w:w="972" w:type="dxa"/>
            <w:vAlign w:val="center"/>
          </w:tcPr>
          <w:p w14:paraId="3B81C4E8" w14:textId="63C3EA43" w:rsidR="00A56EDD" w:rsidRPr="00D05B80" w:rsidRDefault="00A56EDD" w:rsidP="0028008F">
            <w:pPr>
              <w:tabs>
                <w:tab w:val="left" w:pos="8013"/>
              </w:tabs>
              <w:jc w:val="center"/>
              <w:rPr>
                <w:i/>
                <w:sz w:val="20"/>
                <w:szCs w:val="20"/>
              </w:rPr>
            </w:pPr>
            <w:r w:rsidRPr="00D05B80">
              <w:rPr>
                <w:i/>
                <w:sz w:val="20"/>
                <w:szCs w:val="20"/>
              </w:rPr>
              <w:t>8</w:t>
            </w:r>
            <w:r w:rsidR="006226AA" w:rsidRPr="00D05B80">
              <w:rPr>
                <w:i/>
                <w:sz w:val="20"/>
                <w:szCs w:val="20"/>
              </w:rPr>
              <w:t>,</w:t>
            </w:r>
            <w:r w:rsidRPr="00D05B80">
              <w:rPr>
                <w:i/>
                <w:sz w:val="20"/>
                <w:szCs w:val="20"/>
              </w:rPr>
              <w:t>092</w:t>
            </w:r>
          </w:p>
        </w:tc>
        <w:tc>
          <w:tcPr>
            <w:tcW w:w="1291" w:type="dxa"/>
            <w:vAlign w:val="center"/>
          </w:tcPr>
          <w:p w14:paraId="7C6BC408" w14:textId="3092ECF8" w:rsidR="00A56EDD" w:rsidRPr="00D05B80" w:rsidRDefault="00A56EDD" w:rsidP="0028008F">
            <w:pPr>
              <w:tabs>
                <w:tab w:val="left" w:pos="8013"/>
              </w:tabs>
              <w:jc w:val="center"/>
              <w:rPr>
                <w:sz w:val="20"/>
                <w:szCs w:val="20"/>
              </w:rPr>
            </w:pPr>
            <w:r w:rsidRPr="00D05B80">
              <w:rPr>
                <w:sz w:val="20"/>
                <w:szCs w:val="20"/>
              </w:rPr>
              <w:t>2</w:t>
            </w:r>
            <w:r w:rsidR="006226AA" w:rsidRPr="00D05B80">
              <w:rPr>
                <w:sz w:val="20"/>
                <w:szCs w:val="20"/>
              </w:rPr>
              <w:t>,</w:t>
            </w:r>
            <w:r w:rsidRPr="00D05B80">
              <w:rPr>
                <w:sz w:val="20"/>
                <w:szCs w:val="20"/>
              </w:rPr>
              <w:t>035</w:t>
            </w:r>
          </w:p>
        </w:tc>
        <w:tc>
          <w:tcPr>
            <w:tcW w:w="798" w:type="dxa"/>
            <w:vAlign w:val="center"/>
          </w:tcPr>
          <w:p w14:paraId="4D4C593F" w14:textId="564A161B" w:rsidR="00A56EDD" w:rsidRPr="00D05B80" w:rsidRDefault="00A56EDD" w:rsidP="0028008F">
            <w:pPr>
              <w:tabs>
                <w:tab w:val="left" w:pos="8013"/>
              </w:tabs>
              <w:jc w:val="center"/>
              <w:rPr>
                <w:sz w:val="20"/>
                <w:szCs w:val="20"/>
              </w:rPr>
            </w:pPr>
            <w:r w:rsidRPr="00D05B80">
              <w:rPr>
                <w:sz w:val="20"/>
                <w:szCs w:val="20"/>
              </w:rPr>
              <w:t>13</w:t>
            </w:r>
            <w:r w:rsidR="006226AA" w:rsidRPr="00D05B80">
              <w:rPr>
                <w:sz w:val="20"/>
                <w:szCs w:val="20"/>
              </w:rPr>
              <w:t>,</w:t>
            </w:r>
            <w:r w:rsidRPr="00D05B80">
              <w:rPr>
                <w:sz w:val="20"/>
                <w:szCs w:val="20"/>
              </w:rPr>
              <w:t>985</w:t>
            </w:r>
          </w:p>
        </w:tc>
        <w:tc>
          <w:tcPr>
            <w:tcW w:w="798" w:type="dxa"/>
            <w:vAlign w:val="center"/>
          </w:tcPr>
          <w:p w14:paraId="0508A6EC" w14:textId="73C18214" w:rsidR="00A56EDD" w:rsidRPr="00D05B80" w:rsidRDefault="00A56EDD" w:rsidP="0028008F">
            <w:pPr>
              <w:tabs>
                <w:tab w:val="left" w:pos="8013"/>
              </w:tabs>
              <w:jc w:val="center"/>
              <w:rPr>
                <w:sz w:val="20"/>
                <w:szCs w:val="20"/>
              </w:rPr>
            </w:pPr>
            <w:r w:rsidRPr="00D05B80">
              <w:rPr>
                <w:sz w:val="20"/>
                <w:szCs w:val="20"/>
              </w:rPr>
              <w:t>1</w:t>
            </w:r>
            <w:r w:rsidR="006226AA" w:rsidRPr="00D05B80">
              <w:rPr>
                <w:sz w:val="20"/>
                <w:szCs w:val="20"/>
              </w:rPr>
              <w:t>,</w:t>
            </w:r>
            <w:r w:rsidRPr="00D05B80">
              <w:rPr>
                <w:sz w:val="20"/>
                <w:szCs w:val="20"/>
              </w:rPr>
              <w:t>725</w:t>
            </w:r>
          </w:p>
        </w:tc>
        <w:tc>
          <w:tcPr>
            <w:tcW w:w="852" w:type="dxa"/>
            <w:vAlign w:val="center"/>
          </w:tcPr>
          <w:p w14:paraId="37F867D4" w14:textId="77777777" w:rsidR="00A56EDD" w:rsidRPr="00D05B80" w:rsidRDefault="00A56EDD" w:rsidP="0028008F">
            <w:pPr>
              <w:tabs>
                <w:tab w:val="left" w:pos="8013"/>
              </w:tabs>
              <w:jc w:val="center"/>
              <w:rPr>
                <w:sz w:val="20"/>
                <w:szCs w:val="20"/>
              </w:rPr>
            </w:pPr>
            <w:r w:rsidRPr="00D05B80">
              <w:rPr>
                <w:sz w:val="20"/>
                <w:szCs w:val="20"/>
              </w:rPr>
              <w:t>916</w:t>
            </w:r>
          </w:p>
        </w:tc>
        <w:tc>
          <w:tcPr>
            <w:tcW w:w="940" w:type="dxa"/>
            <w:vAlign w:val="center"/>
          </w:tcPr>
          <w:p w14:paraId="4FB3FD6A" w14:textId="18EC0386" w:rsidR="00A56EDD" w:rsidRPr="00D05B80" w:rsidRDefault="00A56EDD" w:rsidP="0028008F">
            <w:pPr>
              <w:jc w:val="center"/>
              <w:rPr>
                <w:i/>
                <w:color w:val="000000"/>
                <w:sz w:val="20"/>
                <w:szCs w:val="20"/>
              </w:rPr>
            </w:pPr>
            <w:r w:rsidRPr="00D05B80">
              <w:rPr>
                <w:i/>
                <w:color w:val="000000"/>
                <w:sz w:val="20"/>
                <w:szCs w:val="20"/>
              </w:rPr>
              <w:t>18</w:t>
            </w:r>
            <w:r w:rsidR="006226AA" w:rsidRPr="00D05B80">
              <w:rPr>
                <w:i/>
                <w:color w:val="000000"/>
                <w:sz w:val="20"/>
                <w:szCs w:val="20"/>
              </w:rPr>
              <w:t>,</w:t>
            </w:r>
            <w:r w:rsidRPr="00D05B80">
              <w:rPr>
                <w:i/>
                <w:color w:val="000000"/>
                <w:sz w:val="20"/>
                <w:szCs w:val="20"/>
              </w:rPr>
              <w:t>661</w:t>
            </w:r>
          </w:p>
        </w:tc>
      </w:tr>
      <w:tr w:rsidR="00A56EDD" w:rsidRPr="00D05B80" w14:paraId="71490BEB" w14:textId="77777777" w:rsidTr="00FF1FE2">
        <w:trPr>
          <w:trHeight w:val="503"/>
          <w:jc w:val="center"/>
        </w:trPr>
        <w:tc>
          <w:tcPr>
            <w:tcW w:w="810" w:type="dxa"/>
            <w:vMerge w:val="restart"/>
          </w:tcPr>
          <w:p w14:paraId="75334EF8" w14:textId="0387B05C" w:rsidR="00A56EDD" w:rsidRPr="00D05B80" w:rsidRDefault="006226AA" w:rsidP="00CF7BB4">
            <w:pPr>
              <w:tabs>
                <w:tab w:val="left" w:pos="8013"/>
              </w:tabs>
              <w:rPr>
                <w:sz w:val="20"/>
                <w:szCs w:val="20"/>
              </w:rPr>
            </w:pPr>
            <w:r w:rsidRPr="00D05B80">
              <w:rPr>
                <w:sz w:val="20"/>
                <w:szCs w:val="20"/>
              </w:rPr>
              <w:t>No.</w:t>
            </w:r>
            <w:r w:rsidR="00A56EDD" w:rsidRPr="00D05B80">
              <w:rPr>
                <w:sz w:val="20"/>
                <w:szCs w:val="20"/>
              </w:rPr>
              <w:t xml:space="preserve"> of subnational staff on payroll</w:t>
            </w:r>
          </w:p>
        </w:tc>
        <w:tc>
          <w:tcPr>
            <w:tcW w:w="1043" w:type="dxa"/>
            <w:shd w:val="clear" w:color="auto" w:fill="F2F2F2" w:themeFill="background1" w:themeFillShade="F2"/>
            <w:vAlign w:val="center"/>
          </w:tcPr>
          <w:p w14:paraId="4C698338" w14:textId="07856D33" w:rsidR="00A56EDD" w:rsidRPr="00D05B80" w:rsidRDefault="00A56EDD" w:rsidP="0028008F">
            <w:pPr>
              <w:tabs>
                <w:tab w:val="left" w:pos="8013"/>
              </w:tabs>
              <w:jc w:val="center"/>
              <w:rPr>
                <w:b/>
                <w:sz w:val="20"/>
                <w:szCs w:val="20"/>
              </w:rPr>
            </w:pPr>
            <w:r w:rsidRPr="00D05B80">
              <w:rPr>
                <w:b/>
                <w:sz w:val="20"/>
                <w:szCs w:val="20"/>
              </w:rPr>
              <w:t>2012</w:t>
            </w:r>
            <w:r w:rsidR="00BC3CFE" w:rsidRPr="00D05B80">
              <w:rPr>
                <w:b/>
                <w:sz w:val="20"/>
                <w:szCs w:val="20"/>
              </w:rPr>
              <w:t>–</w:t>
            </w:r>
            <w:r w:rsidRPr="00D05B80">
              <w:rPr>
                <w:b/>
                <w:sz w:val="20"/>
                <w:szCs w:val="20"/>
              </w:rPr>
              <w:t>13</w:t>
            </w:r>
          </w:p>
        </w:tc>
        <w:tc>
          <w:tcPr>
            <w:tcW w:w="1048" w:type="dxa"/>
            <w:shd w:val="clear" w:color="auto" w:fill="D9D9D9" w:themeFill="background1" w:themeFillShade="D9"/>
            <w:vAlign w:val="center"/>
          </w:tcPr>
          <w:p w14:paraId="06DBD064" w14:textId="34D09570" w:rsidR="00A56EDD" w:rsidRPr="00D05B80" w:rsidRDefault="00A56EDD" w:rsidP="0028008F">
            <w:pPr>
              <w:tabs>
                <w:tab w:val="left" w:pos="8013"/>
              </w:tabs>
              <w:jc w:val="center"/>
              <w:rPr>
                <w:sz w:val="20"/>
                <w:szCs w:val="20"/>
              </w:rPr>
            </w:pPr>
            <w:r w:rsidRPr="00D05B80">
              <w:rPr>
                <w:sz w:val="20"/>
                <w:szCs w:val="20"/>
              </w:rPr>
              <w:t>29</w:t>
            </w:r>
            <w:r w:rsidR="006226AA" w:rsidRPr="00D05B80">
              <w:rPr>
                <w:sz w:val="20"/>
                <w:szCs w:val="20"/>
              </w:rPr>
              <w:t>,</w:t>
            </w:r>
            <w:r w:rsidRPr="00D05B80">
              <w:rPr>
                <w:sz w:val="20"/>
                <w:szCs w:val="20"/>
              </w:rPr>
              <w:t>466</w:t>
            </w:r>
          </w:p>
        </w:tc>
        <w:tc>
          <w:tcPr>
            <w:tcW w:w="808" w:type="dxa"/>
            <w:shd w:val="clear" w:color="auto" w:fill="D9D9D9" w:themeFill="background1" w:themeFillShade="D9"/>
            <w:vAlign w:val="center"/>
          </w:tcPr>
          <w:p w14:paraId="39D64606" w14:textId="6F4E3DEF" w:rsidR="00A56EDD" w:rsidRPr="00D05B80" w:rsidRDefault="00A56EDD" w:rsidP="0028008F">
            <w:pPr>
              <w:tabs>
                <w:tab w:val="left" w:pos="8013"/>
              </w:tabs>
              <w:jc w:val="center"/>
              <w:rPr>
                <w:sz w:val="20"/>
                <w:szCs w:val="20"/>
              </w:rPr>
            </w:pPr>
            <w:r w:rsidRPr="00D05B80">
              <w:rPr>
                <w:sz w:val="20"/>
                <w:szCs w:val="20"/>
              </w:rPr>
              <w:t>9</w:t>
            </w:r>
            <w:r w:rsidR="006226AA" w:rsidRPr="00D05B80">
              <w:rPr>
                <w:sz w:val="20"/>
                <w:szCs w:val="20"/>
              </w:rPr>
              <w:t>,</w:t>
            </w:r>
            <w:r w:rsidRPr="00D05B80">
              <w:rPr>
                <w:sz w:val="20"/>
                <w:szCs w:val="20"/>
              </w:rPr>
              <w:t>461</w:t>
            </w:r>
          </w:p>
        </w:tc>
        <w:tc>
          <w:tcPr>
            <w:tcW w:w="972" w:type="dxa"/>
            <w:shd w:val="clear" w:color="auto" w:fill="D9D9D9" w:themeFill="background1" w:themeFillShade="D9"/>
            <w:vAlign w:val="center"/>
          </w:tcPr>
          <w:p w14:paraId="6C4928C5" w14:textId="6DFEF2EA" w:rsidR="00A56EDD" w:rsidRPr="00D05B80" w:rsidRDefault="00A56EDD" w:rsidP="0028008F">
            <w:pPr>
              <w:tabs>
                <w:tab w:val="left" w:pos="8013"/>
              </w:tabs>
              <w:jc w:val="center"/>
              <w:rPr>
                <w:i/>
                <w:sz w:val="20"/>
                <w:szCs w:val="20"/>
              </w:rPr>
            </w:pPr>
            <w:r w:rsidRPr="00D05B80">
              <w:rPr>
                <w:i/>
                <w:sz w:val="20"/>
                <w:szCs w:val="20"/>
              </w:rPr>
              <w:t>38</w:t>
            </w:r>
            <w:r w:rsidR="006226AA" w:rsidRPr="00D05B80">
              <w:rPr>
                <w:i/>
                <w:sz w:val="20"/>
                <w:szCs w:val="20"/>
              </w:rPr>
              <w:t>,</w:t>
            </w:r>
            <w:r w:rsidRPr="00D05B80">
              <w:rPr>
                <w:i/>
                <w:sz w:val="20"/>
                <w:szCs w:val="20"/>
              </w:rPr>
              <w:t>927</w:t>
            </w:r>
          </w:p>
        </w:tc>
        <w:tc>
          <w:tcPr>
            <w:tcW w:w="1291" w:type="dxa"/>
            <w:shd w:val="clear" w:color="auto" w:fill="D9D9D9" w:themeFill="background1" w:themeFillShade="D9"/>
            <w:vAlign w:val="center"/>
          </w:tcPr>
          <w:p w14:paraId="4DAE108A" w14:textId="0F99C0FC" w:rsidR="00A56EDD" w:rsidRPr="00D05B80" w:rsidRDefault="00A56EDD" w:rsidP="0028008F">
            <w:pPr>
              <w:tabs>
                <w:tab w:val="left" w:pos="8013"/>
              </w:tabs>
              <w:jc w:val="center"/>
              <w:rPr>
                <w:sz w:val="20"/>
                <w:szCs w:val="20"/>
              </w:rPr>
            </w:pPr>
            <w:r w:rsidRPr="00D05B80">
              <w:rPr>
                <w:sz w:val="20"/>
                <w:szCs w:val="20"/>
              </w:rPr>
              <w:t>13</w:t>
            </w:r>
            <w:r w:rsidR="006226AA" w:rsidRPr="00D05B80">
              <w:rPr>
                <w:sz w:val="20"/>
                <w:szCs w:val="20"/>
              </w:rPr>
              <w:t>,</w:t>
            </w:r>
            <w:r w:rsidRPr="00D05B80">
              <w:rPr>
                <w:sz w:val="20"/>
                <w:szCs w:val="20"/>
              </w:rPr>
              <w:t>606</w:t>
            </w:r>
          </w:p>
        </w:tc>
        <w:tc>
          <w:tcPr>
            <w:tcW w:w="798" w:type="dxa"/>
            <w:shd w:val="clear" w:color="auto" w:fill="D9D9D9" w:themeFill="background1" w:themeFillShade="D9"/>
            <w:vAlign w:val="center"/>
          </w:tcPr>
          <w:p w14:paraId="29BD6B74" w14:textId="733EF122" w:rsidR="00A56EDD" w:rsidRPr="00D05B80" w:rsidRDefault="00A56EDD" w:rsidP="0028008F">
            <w:pPr>
              <w:tabs>
                <w:tab w:val="left" w:pos="8013"/>
              </w:tabs>
              <w:jc w:val="center"/>
              <w:rPr>
                <w:sz w:val="20"/>
                <w:szCs w:val="20"/>
              </w:rPr>
            </w:pPr>
            <w:r w:rsidRPr="00D05B80">
              <w:rPr>
                <w:sz w:val="20"/>
                <w:szCs w:val="20"/>
              </w:rPr>
              <w:t>32</w:t>
            </w:r>
            <w:r w:rsidR="006226AA" w:rsidRPr="00D05B80">
              <w:rPr>
                <w:sz w:val="20"/>
                <w:szCs w:val="20"/>
              </w:rPr>
              <w:t>,</w:t>
            </w:r>
            <w:r w:rsidRPr="00D05B80">
              <w:rPr>
                <w:sz w:val="20"/>
                <w:szCs w:val="20"/>
              </w:rPr>
              <w:t>475</w:t>
            </w:r>
          </w:p>
        </w:tc>
        <w:tc>
          <w:tcPr>
            <w:tcW w:w="798" w:type="dxa"/>
            <w:shd w:val="clear" w:color="auto" w:fill="D9D9D9" w:themeFill="background1" w:themeFillShade="D9"/>
            <w:vAlign w:val="center"/>
          </w:tcPr>
          <w:p w14:paraId="62D01B81" w14:textId="61A8356C" w:rsidR="00A56EDD" w:rsidRPr="00D05B80" w:rsidRDefault="00A56EDD" w:rsidP="0028008F">
            <w:pPr>
              <w:tabs>
                <w:tab w:val="left" w:pos="8013"/>
              </w:tabs>
              <w:jc w:val="center"/>
              <w:rPr>
                <w:sz w:val="20"/>
                <w:szCs w:val="20"/>
              </w:rPr>
            </w:pPr>
            <w:r w:rsidRPr="00D05B80">
              <w:rPr>
                <w:sz w:val="20"/>
                <w:szCs w:val="20"/>
              </w:rPr>
              <w:t>19</w:t>
            </w:r>
            <w:r w:rsidR="006226AA" w:rsidRPr="00D05B80">
              <w:rPr>
                <w:sz w:val="20"/>
                <w:szCs w:val="20"/>
              </w:rPr>
              <w:t>,</w:t>
            </w:r>
            <w:r w:rsidRPr="00D05B80">
              <w:rPr>
                <w:sz w:val="20"/>
                <w:szCs w:val="20"/>
              </w:rPr>
              <w:t>168</w:t>
            </w:r>
          </w:p>
        </w:tc>
        <w:tc>
          <w:tcPr>
            <w:tcW w:w="852" w:type="dxa"/>
            <w:shd w:val="clear" w:color="auto" w:fill="D9D9D9" w:themeFill="background1" w:themeFillShade="D9"/>
            <w:vAlign w:val="center"/>
          </w:tcPr>
          <w:p w14:paraId="64BBFFF3" w14:textId="2B07CDDE" w:rsidR="00A56EDD" w:rsidRPr="00D05B80" w:rsidRDefault="00A56EDD" w:rsidP="0028008F">
            <w:pPr>
              <w:tabs>
                <w:tab w:val="left" w:pos="8013"/>
              </w:tabs>
              <w:jc w:val="center"/>
              <w:rPr>
                <w:sz w:val="20"/>
                <w:szCs w:val="20"/>
              </w:rPr>
            </w:pPr>
            <w:r w:rsidRPr="00D05B80">
              <w:rPr>
                <w:sz w:val="20"/>
                <w:szCs w:val="20"/>
              </w:rPr>
              <w:t>4</w:t>
            </w:r>
            <w:r w:rsidR="006226AA" w:rsidRPr="00D05B80">
              <w:rPr>
                <w:sz w:val="20"/>
                <w:szCs w:val="20"/>
              </w:rPr>
              <w:t>,</w:t>
            </w:r>
            <w:r w:rsidRPr="00D05B80">
              <w:rPr>
                <w:sz w:val="20"/>
                <w:szCs w:val="20"/>
              </w:rPr>
              <w:t>551</w:t>
            </w:r>
          </w:p>
        </w:tc>
        <w:tc>
          <w:tcPr>
            <w:tcW w:w="940" w:type="dxa"/>
            <w:shd w:val="clear" w:color="auto" w:fill="D9D9D9" w:themeFill="background1" w:themeFillShade="D9"/>
            <w:vAlign w:val="center"/>
          </w:tcPr>
          <w:p w14:paraId="1B56F02F" w14:textId="314FDF88" w:rsidR="00A56EDD" w:rsidRPr="00D05B80" w:rsidRDefault="00A56EDD" w:rsidP="0028008F">
            <w:pPr>
              <w:tabs>
                <w:tab w:val="left" w:pos="8013"/>
              </w:tabs>
              <w:jc w:val="center"/>
              <w:rPr>
                <w:i/>
                <w:sz w:val="20"/>
                <w:szCs w:val="20"/>
              </w:rPr>
            </w:pPr>
            <w:r w:rsidRPr="00D05B80">
              <w:rPr>
                <w:i/>
                <w:sz w:val="20"/>
                <w:szCs w:val="20"/>
              </w:rPr>
              <w:t>69</w:t>
            </w:r>
            <w:r w:rsidR="006226AA" w:rsidRPr="00D05B80">
              <w:rPr>
                <w:i/>
                <w:sz w:val="20"/>
                <w:szCs w:val="20"/>
              </w:rPr>
              <w:t>,</w:t>
            </w:r>
            <w:r w:rsidRPr="00D05B80">
              <w:rPr>
                <w:i/>
                <w:sz w:val="20"/>
                <w:szCs w:val="20"/>
              </w:rPr>
              <w:t>800</w:t>
            </w:r>
          </w:p>
        </w:tc>
      </w:tr>
      <w:tr w:rsidR="00A56EDD" w:rsidRPr="00D05B80" w14:paraId="444E6A38" w14:textId="77777777" w:rsidTr="00FF1FE2">
        <w:trPr>
          <w:jc w:val="center"/>
        </w:trPr>
        <w:tc>
          <w:tcPr>
            <w:tcW w:w="810" w:type="dxa"/>
            <w:vMerge/>
          </w:tcPr>
          <w:p w14:paraId="1A5B3634" w14:textId="77777777" w:rsidR="00A56EDD" w:rsidRPr="00D05B80" w:rsidRDefault="00A56EDD" w:rsidP="007857CB">
            <w:pPr>
              <w:tabs>
                <w:tab w:val="left" w:pos="8013"/>
              </w:tabs>
              <w:rPr>
                <w:sz w:val="20"/>
                <w:szCs w:val="20"/>
              </w:rPr>
            </w:pPr>
          </w:p>
        </w:tc>
        <w:tc>
          <w:tcPr>
            <w:tcW w:w="1043" w:type="dxa"/>
            <w:shd w:val="clear" w:color="auto" w:fill="F2F2F2" w:themeFill="background1" w:themeFillShade="F2"/>
            <w:vAlign w:val="center"/>
          </w:tcPr>
          <w:p w14:paraId="383B17DF" w14:textId="24BB04B6" w:rsidR="00A56EDD" w:rsidRPr="00D05B80" w:rsidRDefault="00A56EDD" w:rsidP="0028008F">
            <w:pPr>
              <w:tabs>
                <w:tab w:val="left" w:pos="8013"/>
              </w:tabs>
              <w:jc w:val="center"/>
              <w:rPr>
                <w:b/>
                <w:sz w:val="20"/>
                <w:szCs w:val="20"/>
              </w:rPr>
            </w:pPr>
            <w:r w:rsidRPr="00D05B80">
              <w:rPr>
                <w:b/>
                <w:sz w:val="20"/>
                <w:szCs w:val="20"/>
              </w:rPr>
              <w:t>2014</w:t>
            </w:r>
            <w:r w:rsidR="00BC3CFE" w:rsidRPr="00D05B80">
              <w:rPr>
                <w:b/>
                <w:sz w:val="20"/>
                <w:szCs w:val="20"/>
              </w:rPr>
              <w:t>–</w:t>
            </w:r>
            <w:r w:rsidRPr="00D05B80">
              <w:rPr>
                <w:b/>
                <w:sz w:val="20"/>
                <w:szCs w:val="20"/>
              </w:rPr>
              <w:t>15</w:t>
            </w:r>
          </w:p>
        </w:tc>
        <w:tc>
          <w:tcPr>
            <w:tcW w:w="1048" w:type="dxa"/>
            <w:vAlign w:val="center"/>
          </w:tcPr>
          <w:p w14:paraId="4E0F9B94" w14:textId="4101A927" w:rsidR="00A56EDD" w:rsidRPr="00D05B80" w:rsidRDefault="00A56EDD" w:rsidP="0028008F">
            <w:pPr>
              <w:tabs>
                <w:tab w:val="left" w:pos="8013"/>
              </w:tabs>
              <w:jc w:val="center"/>
              <w:rPr>
                <w:sz w:val="20"/>
                <w:szCs w:val="20"/>
              </w:rPr>
            </w:pPr>
            <w:r w:rsidRPr="00D05B80">
              <w:rPr>
                <w:sz w:val="20"/>
                <w:szCs w:val="20"/>
              </w:rPr>
              <w:t>28</w:t>
            </w:r>
            <w:r w:rsidR="006226AA" w:rsidRPr="00D05B80">
              <w:rPr>
                <w:sz w:val="20"/>
                <w:szCs w:val="20"/>
              </w:rPr>
              <w:t>,</w:t>
            </w:r>
            <w:r w:rsidRPr="00D05B80">
              <w:rPr>
                <w:sz w:val="20"/>
                <w:szCs w:val="20"/>
              </w:rPr>
              <w:t>309</w:t>
            </w:r>
          </w:p>
        </w:tc>
        <w:tc>
          <w:tcPr>
            <w:tcW w:w="808" w:type="dxa"/>
            <w:vAlign w:val="center"/>
          </w:tcPr>
          <w:p w14:paraId="47D0673D" w14:textId="27AAFEE6" w:rsidR="00A56EDD" w:rsidRPr="00D05B80" w:rsidRDefault="00A56EDD" w:rsidP="0028008F">
            <w:pPr>
              <w:tabs>
                <w:tab w:val="left" w:pos="8013"/>
              </w:tabs>
              <w:jc w:val="center"/>
              <w:rPr>
                <w:sz w:val="20"/>
                <w:szCs w:val="20"/>
              </w:rPr>
            </w:pPr>
            <w:r w:rsidRPr="00D05B80">
              <w:rPr>
                <w:sz w:val="20"/>
                <w:szCs w:val="20"/>
              </w:rPr>
              <w:t>9</w:t>
            </w:r>
            <w:r w:rsidR="006226AA" w:rsidRPr="00D05B80">
              <w:rPr>
                <w:sz w:val="20"/>
                <w:szCs w:val="20"/>
              </w:rPr>
              <w:t>,</w:t>
            </w:r>
            <w:r w:rsidRPr="00D05B80">
              <w:rPr>
                <w:sz w:val="20"/>
                <w:szCs w:val="20"/>
              </w:rPr>
              <w:t>461</w:t>
            </w:r>
          </w:p>
        </w:tc>
        <w:tc>
          <w:tcPr>
            <w:tcW w:w="972" w:type="dxa"/>
            <w:vAlign w:val="center"/>
          </w:tcPr>
          <w:p w14:paraId="21156D46" w14:textId="68B9EE65" w:rsidR="00A56EDD" w:rsidRPr="00D05B80" w:rsidRDefault="00A56EDD" w:rsidP="0028008F">
            <w:pPr>
              <w:tabs>
                <w:tab w:val="left" w:pos="8013"/>
              </w:tabs>
              <w:jc w:val="center"/>
              <w:rPr>
                <w:i/>
                <w:sz w:val="20"/>
                <w:szCs w:val="20"/>
              </w:rPr>
            </w:pPr>
            <w:r w:rsidRPr="00D05B80">
              <w:rPr>
                <w:i/>
                <w:sz w:val="20"/>
                <w:szCs w:val="20"/>
              </w:rPr>
              <w:t>37</w:t>
            </w:r>
            <w:r w:rsidR="006226AA" w:rsidRPr="00D05B80">
              <w:rPr>
                <w:i/>
                <w:sz w:val="20"/>
                <w:szCs w:val="20"/>
              </w:rPr>
              <w:t>,</w:t>
            </w:r>
            <w:r w:rsidRPr="00D05B80">
              <w:rPr>
                <w:i/>
                <w:sz w:val="20"/>
                <w:szCs w:val="20"/>
              </w:rPr>
              <w:t>770</w:t>
            </w:r>
          </w:p>
        </w:tc>
        <w:tc>
          <w:tcPr>
            <w:tcW w:w="1291" w:type="dxa"/>
            <w:vAlign w:val="center"/>
          </w:tcPr>
          <w:p w14:paraId="4E0DCF4D" w14:textId="188D43B0" w:rsidR="00A56EDD" w:rsidRPr="00D05B80" w:rsidRDefault="00A56EDD" w:rsidP="0028008F">
            <w:pPr>
              <w:tabs>
                <w:tab w:val="left" w:pos="8013"/>
              </w:tabs>
              <w:jc w:val="center"/>
              <w:rPr>
                <w:sz w:val="20"/>
                <w:szCs w:val="20"/>
              </w:rPr>
            </w:pPr>
            <w:r w:rsidRPr="00D05B80">
              <w:rPr>
                <w:sz w:val="20"/>
                <w:szCs w:val="20"/>
              </w:rPr>
              <w:t>16</w:t>
            </w:r>
            <w:r w:rsidR="006226AA" w:rsidRPr="00D05B80">
              <w:rPr>
                <w:sz w:val="20"/>
                <w:szCs w:val="20"/>
              </w:rPr>
              <w:t>,</w:t>
            </w:r>
            <w:r w:rsidRPr="00D05B80">
              <w:rPr>
                <w:sz w:val="20"/>
                <w:szCs w:val="20"/>
              </w:rPr>
              <w:t>105</w:t>
            </w:r>
          </w:p>
        </w:tc>
        <w:tc>
          <w:tcPr>
            <w:tcW w:w="798" w:type="dxa"/>
            <w:vAlign w:val="center"/>
          </w:tcPr>
          <w:p w14:paraId="02D691A5" w14:textId="50B591B2" w:rsidR="00A56EDD" w:rsidRPr="00D05B80" w:rsidRDefault="00A56EDD" w:rsidP="0028008F">
            <w:pPr>
              <w:tabs>
                <w:tab w:val="left" w:pos="8013"/>
              </w:tabs>
              <w:jc w:val="center"/>
              <w:rPr>
                <w:sz w:val="20"/>
                <w:szCs w:val="20"/>
              </w:rPr>
            </w:pPr>
            <w:r w:rsidRPr="00D05B80">
              <w:rPr>
                <w:sz w:val="20"/>
                <w:szCs w:val="20"/>
              </w:rPr>
              <w:t>32</w:t>
            </w:r>
            <w:r w:rsidR="006226AA" w:rsidRPr="00D05B80">
              <w:rPr>
                <w:sz w:val="20"/>
                <w:szCs w:val="20"/>
              </w:rPr>
              <w:t>,</w:t>
            </w:r>
            <w:r w:rsidRPr="00D05B80">
              <w:rPr>
                <w:sz w:val="20"/>
                <w:szCs w:val="20"/>
              </w:rPr>
              <w:t>864</w:t>
            </w:r>
          </w:p>
        </w:tc>
        <w:tc>
          <w:tcPr>
            <w:tcW w:w="798" w:type="dxa"/>
            <w:vAlign w:val="center"/>
          </w:tcPr>
          <w:p w14:paraId="7C9E2428" w14:textId="0D164954" w:rsidR="00A56EDD" w:rsidRPr="00D05B80" w:rsidRDefault="00A56EDD" w:rsidP="0028008F">
            <w:pPr>
              <w:tabs>
                <w:tab w:val="left" w:pos="8013"/>
              </w:tabs>
              <w:jc w:val="center"/>
              <w:rPr>
                <w:sz w:val="20"/>
                <w:szCs w:val="20"/>
              </w:rPr>
            </w:pPr>
            <w:r w:rsidRPr="00D05B80">
              <w:rPr>
                <w:sz w:val="20"/>
                <w:szCs w:val="20"/>
              </w:rPr>
              <w:t>21</w:t>
            </w:r>
            <w:r w:rsidR="006226AA" w:rsidRPr="00D05B80">
              <w:rPr>
                <w:sz w:val="20"/>
                <w:szCs w:val="20"/>
              </w:rPr>
              <w:t>,</w:t>
            </w:r>
            <w:r w:rsidRPr="00D05B80">
              <w:rPr>
                <w:sz w:val="20"/>
                <w:szCs w:val="20"/>
              </w:rPr>
              <w:t>167</w:t>
            </w:r>
          </w:p>
        </w:tc>
        <w:tc>
          <w:tcPr>
            <w:tcW w:w="852" w:type="dxa"/>
            <w:vAlign w:val="center"/>
          </w:tcPr>
          <w:p w14:paraId="59DDFBBB" w14:textId="657199E2" w:rsidR="00A56EDD" w:rsidRPr="00D05B80" w:rsidRDefault="00A56EDD" w:rsidP="0028008F">
            <w:pPr>
              <w:tabs>
                <w:tab w:val="left" w:pos="8013"/>
              </w:tabs>
              <w:jc w:val="center"/>
              <w:rPr>
                <w:sz w:val="20"/>
                <w:szCs w:val="20"/>
              </w:rPr>
            </w:pPr>
            <w:r w:rsidRPr="00D05B80">
              <w:rPr>
                <w:sz w:val="20"/>
                <w:szCs w:val="20"/>
              </w:rPr>
              <w:t>5</w:t>
            </w:r>
            <w:r w:rsidR="006226AA" w:rsidRPr="00D05B80">
              <w:rPr>
                <w:sz w:val="20"/>
                <w:szCs w:val="20"/>
              </w:rPr>
              <w:t>,</w:t>
            </w:r>
            <w:r w:rsidRPr="00D05B80">
              <w:rPr>
                <w:sz w:val="20"/>
                <w:szCs w:val="20"/>
              </w:rPr>
              <w:t>578</w:t>
            </w:r>
          </w:p>
        </w:tc>
        <w:tc>
          <w:tcPr>
            <w:tcW w:w="940" w:type="dxa"/>
            <w:vAlign w:val="center"/>
          </w:tcPr>
          <w:p w14:paraId="340F26C0" w14:textId="603F328E" w:rsidR="00A56EDD" w:rsidRPr="00D05B80" w:rsidRDefault="00A56EDD" w:rsidP="0028008F">
            <w:pPr>
              <w:jc w:val="center"/>
              <w:rPr>
                <w:i/>
                <w:color w:val="000000"/>
                <w:sz w:val="20"/>
                <w:szCs w:val="20"/>
              </w:rPr>
            </w:pPr>
            <w:r w:rsidRPr="00D05B80">
              <w:rPr>
                <w:i/>
                <w:color w:val="000000"/>
                <w:sz w:val="20"/>
                <w:szCs w:val="20"/>
              </w:rPr>
              <w:t>75</w:t>
            </w:r>
            <w:r w:rsidR="006226AA" w:rsidRPr="00D05B80">
              <w:rPr>
                <w:i/>
                <w:color w:val="000000"/>
                <w:sz w:val="20"/>
                <w:szCs w:val="20"/>
              </w:rPr>
              <w:t>,</w:t>
            </w:r>
            <w:r w:rsidRPr="00D05B80">
              <w:rPr>
                <w:i/>
                <w:color w:val="000000"/>
                <w:sz w:val="20"/>
                <w:szCs w:val="20"/>
              </w:rPr>
              <w:t>714</w:t>
            </w:r>
          </w:p>
        </w:tc>
      </w:tr>
    </w:tbl>
    <w:p w14:paraId="0F4DB15A" w14:textId="35B08306" w:rsidR="00A56EDD" w:rsidRDefault="00A56EDD" w:rsidP="00A56EDD">
      <w:pPr>
        <w:tabs>
          <w:tab w:val="left" w:pos="8013"/>
        </w:tabs>
        <w:spacing w:after="0" w:line="240" w:lineRule="auto"/>
        <w:rPr>
          <w:sz w:val="20"/>
        </w:rPr>
      </w:pPr>
      <w:r w:rsidRPr="005F7B70">
        <w:rPr>
          <w:i/>
          <w:sz w:val="20"/>
        </w:rPr>
        <w:t>Source:</w:t>
      </w:r>
      <w:r w:rsidRPr="00B513F4">
        <w:rPr>
          <w:sz w:val="20"/>
        </w:rPr>
        <w:t xml:space="preserve"> Government </w:t>
      </w:r>
      <w:r w:rsidR="006226AA">
        <w:rPr>
          <w:sz w:val="20"/>
        </w:rPr>
        <w:t>b</w:t>
      </w:r>
      <w:r w:rsidRPr="00B513F4">
        <w:rPr>
          <w:sz w:val="20"/>
        </w:rPr>
        <w:t>udget of</w:t>
      </w:r>
      <w:r>
        <w:rPr>
          <w:sz w:val="20"/>
        </w:rPr>
        <w:t xml:space="preserve"> South </w:t>
      </w:r>
      <w:r w:rsidR="002B5CE3">
        <w:rPr>
          <w:sz w:val="20"/>
        </w:rPr>
        <w:t>Sudan for 2012/13 and 2014/15.</w:t>
      </w:r>
    </w:p>
    <w:p w14:paraId="445E3E6D" w14:textId="723504C3" w:rsidR="00A56EDD" w:rsidRPr="00397C99" w:rsidRDefault="00A56EDD" w:rsidP="005F7B70">
      <w:pPr>
        <w:tabs>
          <w:tab w:val="left" w:pos="8013"/>
        </w:tabs>
        <w:spacing w:before="240"/>
        <w:jc w:val="both"/>
      </w:pPr>
      <w:r>
        <w:t>For civilian staff, the break</w:t>
      </w:r>
      <w:r w:rsidR="00A55E55">
        <w:t xml:space="preserve"> </w:t>
      </w:r>
      <w:r>
        <w:t>down between national</w:t>
      </w:r>
      <w:r w:rsidR="00A55E55">
        <w:t>-</w:t>
      </w:r>
      <w:r>
        <w:t>level staff and subnational staff is about 40 to 60; while for the organized forces, the break</w:t>
      </w:r>
      <w:r w:rsidR="00A55E55">
        <w:t xml:space="preserve"> </w:t>
      </w:r>
      <w:r>
        <w:t>down is about 20 to 80</w:t>
      </w:r>
      <w:r w:rsidR="001951B7">
        <w:t>.</w:t>
      </w:r>
      <w:r>
        <w:t xml:space="preserve"> </w:t>
      </w:r>
      <w:r w:rsidR="001951B7">
        <w:t>A</w:t>
      </w:r>
      <w:r>
        <w:t>rmed forces are considered national</w:t>
      </w:r>
      <w:r w:rsidR="001951B7">
        <w:t>,</w:t>
      </w:r>
      <w:r>
        <w:t xml:space="preserve"> even if de facto their main loyalty lies with particular commanders and communities. </w:t>
      </w:r>
      <w:r w:rsidR="00AB58AE">
        <w:t>The c</w:t>
      </w:r>
      <w:r>
        <w:t xml:space="preserve">entral government has some control </w:t>
      </w:r>
      <w:r w:rsidR="00AB58AE">
        <w:t>with regard to</w:t>
      </w:r>
      <w:r>
        <w:t xml:space="preserve"> setting conditions for subnational staff and monitoring through payroll reports and sector</w:t>
      </w:r>
      <w:r w:rsidR="00AB58AE">
        <w:t>-</w:t>
      </w:r>
      <w:r>
        <w:t xml:space="preserve">specific systems for education and health; however, hiring and management authority has rested with state governments and is intended to be devolved further to </w:t>
      </w:r>
      <w:r w:rsidR="00AB58AE">
        <w:t xml:space="preserve">the </w:t>
      </w:r>
      <w:r>
        <w:t xml:space="preserve">county levels. Furthermore, as </w:t>
      </w:r>
      <w:r w:rsidR="00AB58AE">
        <w:fldChar w:fldCharType="begin"/>
      </w:r>
      <w:r w:rsidR="00AB58AE">
        <w:instrText xml:space="preserve"> REF _Ref447485528 \h </w:instrText>
      </w:r>
      <w:r w:rsidR="00AB58AE">
        <w:fldChar w:fldCharType="separate"/>
      </w:r>
      <w:r w:rsidR="00AB58AE">
        <w:t xml:space="preserve">figure </w:t>
      </w:r>
      <w:r w:rsidR="00AB58AE">
        <w:rPr>
          <w:noProof/>
        </w:rPr>
        <w:t>9</w:t>
      </w:r>
      <w:r w:rsidR="00AB58AE">
        <w:fldChar w:fldCharType="end"/>
      </w:r>
      <w:r>
        <w:t xml:space="preserve"> shows, while both service delivery staff and organized forces staff have grown slightly in total between FY</w:t>
      </w:r>
      <w:r w:rsidR="00F6264F">
        <w:t>20</w:t>
      </w:r>
      <w:r>
        <w:t>12</w:t>
      </w:r>
      <w:r w:rsidR="00F6264F">
        <w:t>–</w:t>
      </w:r>
      <w:r>
        <w:t>13 and FY</w:t>
      </w:r>
      <w:r w:rsidR="00F6264F">
        <w:t>20</w:t>
      </w:r>
      <w:r>
        <w:t>14</w:t>
      </w:r>
      <w:r w:rsidR="00F6264F">
        <w:t>–</w:t>
      </w:r>
      <w:r>
        <w:t xml:space="preserve">15, at </w:t>
      </w:r>
      <w:r w:rsidR="00AB58AE">
        <w:t xml:space="preserve">the </w:t>
      </w:r>
      <w:r>
        <w:t xml:space="preserve">subnational levels where </w:t>
      </w:r>
      <w:r w:rsidRPr="006F6CBB">
        <w:lastRenderedPageBreak/>
        <w:t>‘frontline’</w:t>
      </w:r>
      <w:r>
        <w:t xml:space="preserve"> service delivery is located, education and health staff numbers have slightly declined while organized forces have </w:t>
      </w:r>
      <w:r w:rsidR="00FC3BD6">
        <w:t xml:space="preserve">grown </w:t>
      </w:r>
      <w:r>
        <w:t xml:space="preserve">further. </w:t>
      </w:r>
    </w:p>
    <w:p w14:paraId="2124EC6E" w14:textId="25A0AB52" w:rsidR="00A01B95" w:rsidRDefault="00A01B95" w:rsidP="00A01B95">
      <w:pPr>
        <w:pStyle w:val="Caption"/>
        <w:keepNext/>
      </w:pPr>
      <w:bookmarkStart w:id="28" w:name="_Ref447485528"/>
      <w:r>
        <w:t xml:space="preserve">Figure </w:t>
      </w:r>
      <w:fldSimple w:instr=" SEQ Figure \* ARABIC ">
        <w:r w:rsidR="00807923">
          <w:rPr>
            <w:noProof/>
          </w:rPr>
          <w:t>9</w:t>
        </w:r>
      </w:fldSimple>
      <w:bookmarkEnd w:id="28"/>
      <w:r>
        <w:t>. C</w:t>
      </w:r>
      <w:r w:rsidRPr="008625D4">
        <w:t xml:space="preserve">hanges in </w:t>
      </w:r>
      <w:r>
        <w:t>S</w:t>
      </w:r>
      <w:r w:rsidRPr="008625D4">
        <w:t xml:space="preserve">ervice </w:t>
      </w:r>
      <w:r>
        <w:t>D</w:t>
      </w:r>
      <w:r w:rsidRPr="008625D4">
        <w:t xml:space="preserve">elivery versus </w:t>
      </w:r>
      <w:r>
        <w:t>O</w:t>
      </w:r>
      <w:r w:rsidRPr="008625D4">
        <w:t xml:space="preserve">rganized </w:t>
      </w:r>
      <w:r>
        <w:t>F</w:t>
      </w:r>
      <w:r w:rsidRPr="008625D4">
        <w:t xml:space="preserve">orces </w:t>
      </w:r>
      <w:r>
        <w:t>S</w:t>
      </w:r>
      <w:r w:rsidRPr="008625D4">
        <w:t>taff 2012/13 to 2014/15</w:t>
      </w:r>
    </w:p>
    <w:p w14:paraId="3153A51E" w14:textId="77777777" w:rsidR="00A56EDD" w:rsidRDefault="00A56EDD" w:rsidP="00A01B95">
      <w:pPr>
        <w:tabs>
          <w:tab w:val="left" w:pos="8013"/>
        </w:tabs>
        <w:spacing w:after="0" w:line="240" w:lineRule="auto"/>
        <w:jc w:val="center"/>
      </w:pPr>
      <w:r>
        <w:rPr>
          <w:noProof/>
        </w:rPr>
        <w:drawing>
          <wp:inline distT="0" distB="0" distL="0" distR="0" wp14:anchorId="23AA7621" wp14:editId="5D828DF4">
            <wp:extent cx="4324350" cy="2324100"/>
            <wp:effectExtent l="0" t="0" r="0" b="0"/>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0F23E1F" w14:textId="67EA4531" w:rsidR="00A56EDD" w:rsidRPr="00E27156" w:rsidRDefault="00A56EDD" w:rsidP="00A56EDD">
      <w:pPr>
        <w:tabs>
          <w:tab w:val="left" w:pos="8013"/>
        </w:tabs>
        <w:spacing w:after="0" w:line="240" w:lineRule="auto"/>
        <w:jc w:val="both"/>
        <w:rPr>
          <w:sz w:val="20"/>
        </w:rPr>
      </w:pPr>
      <w:r w:rsidRPr="00A316EE">
        <w:rPr>
          <w:i/>
          <w:sz w:val="20"/>
        </w:rPr>
        <w:t>Note:</w:t>
      </w:r>
      <w:r w:rsidRPr="00E27156">
        <w:rPr>
          <w:sz w:val="20"/>
        </w:rPr>
        <w:t xml:space="preserve"> E&amp;H C = Education and health at </w:t>
      </w:r>
      <w:r w:rsidR="00454726">
        <w:rPr>
          <w:sz w:val="20"/>
        </w:rPr>
        <w:t xml:space="preserve">the </w:t>
      </w:r>
      <w:r w:rsidRPr="00E27156">
        <w:rPr>
          <w:sz w:val="20"/>
        </w:rPr>
        <w:t>national level</w:t>
      </w:r>
      <w:r w:rsidR="00454726">
        <w:rPr>
          <w:sz w:val="20"/>
        </w:rPr>
        <w:t>;</w:t>
      </w:r>
      <w:r w:rsidRPr="00E27156">
        <w:rPr>
          <w:sz w:val="20"/>
        </w:rPr>
        <w:t xml:space="preserve"> E&amp;H SN = Education and health at </w:t>
      </w:r>
      <w:r w:rsidR="00454726">
        <w:rPr>
          <w:sz w:val="20"/>
        </w:rPr>
        <w:t>the subnational</w:t>
      </w:r>
      <w:r w:rsidRPr="00E27156">
        <w:rPr>
          <w:sz w:val="20"/>
        </w:rPr>
        <w:t xml:space="preserve"> level</w:t>
      </w:r>
      <w:r w:rsidR="00454726">
        <w:rPr>
          <w:sz w:val="20"/>
        </w:rPr>
        <w:t>;</w:t>
      </w:r>
    </w:p>
    <w:p w14:paraId="54E1DE4A" w14:textId="79B62752" w:rsidR="00A56EDD" w:rsidRPr="00A01B95" w:rsidRDefault="00A56EDD" w:rsidP="00A01B95">
      <w:pPr>
        <w:tabs>
          <w:tab w:val="left" w:pos="8013"/>
        </w:tabs>
        <w:spacing w:after="0" w:line="240" w:lineRule="auto"/>
        <w:jc w:val="both"/>
        <w:rPr>
          <w:sz w:val="20"/>
        </w:rPr>
      </w:pPr>
      <w:r w:rsidRPr="00E27156">
        <w:rPr>
          <w:sz w:val="20"/>
        </w:rPr>
        <w:t xml:space="preserve">OF C = Organized forces at </w:t>
      </w:r>
      <w:r w:rsidR="00454726">
        <w:rPr>
          <w:sz w:val="20"/>
        </w:rPr>
        <w:t xml:space="preserve">the </w:t>
      </w:r>
      <w:r w:rsidRPr="00E27156">
        <w:rPr>
          <w:sz w:val="20"/>
        </w:rPr>
        <w:t>national level</w:t>
      </w:r>
      <w:r w:rsidR="00454726">
        <w:rPr>
          <w:sz w:val="20"/>
        </w:rPr>
        <w:t>;</w:t>
      </w:r>
      <w:r w:rsidRPr="00E27156">
        <w:rPr>
          <w:sz w:val="20"/>
        </w:rPr>
        <w:t xml:space="preserve"> OF SN = Organized forces at </w:t>
      </w:r>
      <w:r w:rsidR="00454726">
        <w:rPr>
          <w:sz w:val="20"/>
        </w:rPr>
        <w:t xml:space="preserve">the </w:t>
      </w:r>
      <w:r w:rsidRPr="00E27156">
        <w:rPr>
          <w:sz w:val="20"/>
        </w:rPr>
        <w:t>subnational level</w:t>
      </w:r>
      <w:r w:rsidR="00454726">
        <w:rPr>
          <w:sz w:val="20"/>
        </w:rPr>
        <w:t>.</w:t>
      </w:r>
    </w:p>
    <w:p w14:paraId="0AD190B3" w14:textId="2028D2B9" w:rsidR="00A56EDD" w:rsidRPr="00A01B95" w:rsidRDefault="00A56EDD" w:rsidP="00A01B95">
      <w:pPr>
        <w:tabs>
          <w:tab w:val="left" w:pos="8013"/>
        </w:tabs>
        <w:spacing w:before="240"/>
        <w:jc w:val="both"/>
      </w:pPr>
      <w:r w:rsidRPr="00521113">
        <w:t>Additional hiring into service delivery functions w</w:t>
      </w:r>
      <w:r w:rsidR="00D846F3">
        <w:t>ill</w:t>
      </w:r>
      <w:r w:rsidRPr="00521113">
        <w:t xml:space="preserve"> have the following cost implications: at current pay levels, for example, hiring an additional 10,000 teachers (at grade 14) w</w:t>
      </w:r>
      <w:r w:rsidR="00D846F3">
        <w:t>ill</w:t>
      </w:r>
      <w:r w:rsidRPr="00521113">
        <w:t xml:space="preserve"> add an extra payroll cost of </w:t>
      </w:r>
      <w:r w:rsidR="00B623FB">
        <w:t xml:space="preserve">SSP </w:t>
      </w:r>
      <w:r w:rsidRPr="00521113">
        <w:t>3.2</w:t>
      </w:r>
      <w:r w:rsidR="00B623FB">
        <w:t xml:space="preserve"> </w:t>
      </w:r>
      <w:r w:rsidRPr="00521113">
        <w:t>m</w:t>
      </w:r>
      <w:r w:rsidR="00B623FB">
        <w:t>illion</w:t>
      </w:r>
      <w:r w:rsidRPr="00521113">
        <w:t xml:space="preserve"> per month or </w:t>
      </w:r>
      <w:r w:rsidR="00B623FB">
        <w:t xml:space="preserve">SSP </w:t>
      </w:r>
      <w:r w:rsidRPr="00521113">
        <w:t>38.4</w:t>
      </w:r>
      <w:r w:rsidR="00B623FB">
        <w:t xml:space="preserve"> </w:t>
      </w:r>
      <w:r w:rsidRPr="00521113">
        <w:t>m</w:t>
      </w:r>
      <w:r w:rsidR="00B623FB">
        <w:t>illion</w:t>
      </w:r>
      <w:r w:rsidRPr="00521113">
        <w:t xml:space="preserve"> per </w:t>
      </w:r>
      <w:r w:rsidR="00D846F3">
        <w:t>year—</w:t>
      </w:r>
      <w:r w:rsidRPr="00521113">
        <w:t>equivalent to about 1 percent of the total existing wage bill and representing a 32 percent increase of the planned education sector budget for 2013/14. If pay was increased to grade 11 (</w:t>
      </w:r>
      <w:r w:rsidR="00B623FB">
        <w:t xml:space="preserve">SSP </w:t>
      </w:r>
      <w:r w:rsidRPr="00521113">
        <w:t>533</w:t>
      </w:r>
      <w:r w:rsidR="00D846F3">
        <w:t xml:space="preserve"> per </w:t>
      </w:r>
      <w:r w:rsidRPr="00521113">
        <w:t>month) and a full 25,000 teachers were hired, the relative increase w</w:t>
      </w:r>
      <w:r w:rsidR="00D846F3">
        <w:t>ill</w:t>
      </w:r>
      <w:r w:rsidRPr="00521113">
        <w:t xml:space="preserve"> be about </w:t>
      </w:r>
      <w:r w:rsidR="00B623FB">
        <w:t xml:space="preserve">SSP </w:t>
      </w:r>
      <w:r w:rsidRPr="00521113">
        <w:t>13.3</w:t>
      </w:r>
      <w:r w:rsidR="00B623FB">
        <w:t xml:space="preserve"> </w:t>
      </w:r>
      <w:r w:rsidRPr="00521113">
        <w:t>m</w:t>
      </w:r>
      <w:r w:rsidR="00B623FB">
        <w:t>illion</w:t>
      </w:r>
      <w:r w:rsidRPr="00521113">
        <w:t xml:space="preserve"> per month or </w:t>
      </w:r>
      <w:r w:rsidR="00B623FB">
        <w:t xml:space="preserve">SSP </w:t>
      </w:r>
      <w:r w:rsidRPr="00521113">
        <w:t>160</w:t>
      </w:r>
      <w:r w:rsidR="00B623FB">
        <w:t xml:space="preserve"> </w:t>
      </w:r>
      <w:r w:rsidRPr="00521113">
        <w:t>m</w:t>
      </w:r>
      <w:r w:rsidR="00B623FB">
        <w:t>illion</w:t>
      </w:r>
      <w:r w:rsidRPr="00521113">
        <w:t xml:space="preserve"> per </w:t>
      </w:r>
      <w:r w:rsidR="00D846F3">
        <w:t>year—</w:t>
      </w:r>
      <w:r w:rsidRPr="00521113">
        <w:t>adding about 4 percent to the current wage bill (and some further resources if pay for all teachers was to rise to this level or beyond</w:t>
      </w:r>
      <w:r>
        <w:t xml:space="preserve">). A key constraint that South Sudan has been experiencing since 2012 is high fiscal volatility, which makes it challenging to clearly establish the limits to overall affordability of the wage bill. Under the scenario of </w:t>
      </w:r>
      <w:r w:rsidR="00CF7BB4">
        <w:t>US</w:t>
      </w:r>
      <w:r>
        <w:t>$60</w:t>
      </w:r>
      <w:r w:rsidR="00CF7BB4">
        <w:t>–</w:t>
      </w:r>
      <w:r>
        <w:t xml:space="preserve">70 per barrel and associated constrained revenues, expanding employment in service delivery functions will require trade-offs with employment in the armed or organized forces. A possible alternative or complementary way of expanding services such as health and education is through non-state provision, which is addressed next. </w:t>
      </w:r>
    </w:p>
    <w:p w14:paraId="24A8D2C2" w14:textId="5037EEB4" w:rsidR="00A56EDD" w:rsidRPr="00B513F4" w:rsidRDefault="00A56EDD" w:rsidP="00A56EDD">
      <w:pPr>
        <w:pStyle w:val="Heading3"/>
      </w:pPr>
      <w:bookmarkStart w:id="29" w:name="_Toc447892397"/>
      <w:r w:rsidRPr="00B513F4">
        <w:t>4.2 The development of nonpublic service delivery</w:t>
      </w:r>
      <w:bookmarkEnd w:id="29"/>
    </w:p>
    <w:p w14:paraId="7BAA2B00" w14:textId="5EF3F814" w:rsidR="00A56EDD" w:rsidRPr="00B513F4" w:rsidRDefault="00A56EDD" w:rsidP="00A56EDD">
      <w:pPr>
        <w:jc w:val="both"/>
      </w:pPr>
      <w:r w:rsidRPr="00B513F4">
        <w:t xml:space="preserve">While globally the </w:t>
      </w:r>
      <w:r w:rsidRPr="00521113">
        <w:rPr>
          <w:i/>
        </w:rPr>
        <w:t>public</w:t>
      </w:r>
      <w:r w:rsidRPr="00B513F4">
        <w:t xml:space="preserve"> delivery of services has grown since the emergence of such systems in the 19</w:t>
      </w:r>
      <w:r w:rsidR="00D846F3">
        <w:t>th</w:t>
      </w:r>
      <w:r w:rsidRPr="00B513F4">
        <w:t xml:space="preserve"> century, this has always been mixed with nonpublic delivery in various forms. The mix of service provision is partially a consequence of policy choices by governments, and partially results from necessity and preferences of individuals</w:t>
      </w:r>
      <w:r>
        <w:t xml:space="preserve"> and households</w:t>
      </w:r>
      <w:r w:rsidRPr="00B513F4">
        <w:t xml:space="preserve">, </w:t>
      </w:r>
      <w:r w:rsidR="0093206E">
        <w:t>for example,</w:t>
      </w:r>
      <w:r w:rsidRPr="00B513F4">
        <w:t xml:space="preserve"> the emergence of private schools if there is a lack of (good enough) public options in certain areas or use of private health specialists</w:t>
      </w:r>
      <w:r>
        <w:t xml:space="preserve"> when public clinics are absent or of poor quality</w:t>
      </w:r>
      <w:r w:rsidRPr="00B513F4">
        <w:t xml:space="preserve">. </w:t>
      </w:r>
    </w:p>
    <w:p w14:paraId="4A4086A0" w14:textId="2DCFB6EF" w:rsidR="00A56EDD" w:rsidRPr="00B513F4" w:rsidRDefault="00A56EDD" w:rsidP="00A56EDD">
      <w:pPr>
        <w:jc w:val="both"/>
      </w:pPr>
      <w:r w:rsidRPr="00B513F4">
        <w:t>While some developed countries operate primarily tax</w:t>
      </w:r>
      <w:r w:rsidR="00D846F3">
        <w:t>-</w:t>
      </w:r>
      <w:r w:rsidRPr="00B513F4">
        <w:t>funded public health schemes (notably the U</w:t>
      </w:r>
      <w:r w:rsidR="00D846F3">
        <w:t xml:space="preserve">nited </w:t>
      </w:r>
      <w:r w:rsidRPr="00B513F4">
        <w:t>K</w:t>
      </w:r>
      <w:r w:rsidR="00D846F3">
        <w:t>ingdom</w:t>
      </w:r>
      <w:r w:rsidRPr="00B513F4">
        <w:t xml:space="preserve">’s </w:t>
      </w:r>
      <w:r w:rsidR="00A316EE">
        <w:t>National Health Service</w:t>
      </w:r>
      <w:r>
        <w:t>)</w:t>
      </w:r>
      <w:r w:rsidRPr="00B513F4">
        <w:t xml:space="preserve">, in others, health care services are (primarily) provided by nonpublic </w:t>
      </w:r>
      <w:r w:rsidRPr="00B513F4">
        <w:lastRenderedPageBreak/>
        <w:t xml:space="preserve">sector staff and institutions, including private doctors and nonprofit as well as for profit organizations running hospitals (see </w:t>
      </w:r>
      <w:r w:rsidR="0093206E">
        <w:t>for example,</w:t>
      </w:r>
      <w:r w:rsidRPr="00B513F4">
        <w:t xml:space="preserve"> CGD 2009</w:t>
      </w:r>
      <w:r w:rsidR="004113F4">
        <w:t>).</w:t>
      </w:r>
      <w:r w:rsidRPr="00B513F4">
        <w:t xml:space="preserve"> These privately provided health care services can be paid for (</w:t>
      </w:r>
      <w:r w:rsidR="005A4B2C">
        <w:t>a</w:t>
      </w:r>
      <w:r w:rsidRPr="00B513F4">
        <w:t>) purely privately and out of pocket by patients, (</w:t>
      </w:r>
      <w:r w:rsidR="005A4B2C">
        <w:t>b</w:t>
      </w:r>
      <w:r w:rsidRPr="00B513F4">
        <w:t>) through private/optional insurance, or (</w:t>
      </w:r>
      <w:r w:rsidR="005A4B2C">
        <w:t>c</w:t>
      </w:r>
      <w:r w:rsidRPr="00B513F4">
        <w:t>) through mandatory health insurance programs</w:t>
      </w:r>
      <w:r w:rsidR="005A3F06">
        <w:t>,</w:t>
      </w:r>
      <w:r w:rsidRPr="00B513F4">
        <w:t xml:space="preserve"> which require employers and employees to make contributions typically combined with a low</w:t>
      </w:r>
      <w:r w:rsidR="005A3F06">
        <w:t>-</w:t>
      </w:r>
      <w:r w:rsidRPr="00B513F4">
        <w:t xml:space="preserve">cost public insurance for pensioners and those who are not working. </w:t>
      </w:r>
    </w:p>
    <w:p w14:paraId="28798A0F" w14:textId="044CFEEE" w:rsidR="00A56EDD" w:rsidRPr="00B513F4" w:rsidRDefault="00A56EDD" w:rsidP="00A56EDD">
      <w:pPr>
        <w:jc w:val="both"/>
      </w:pPr>
      <w:r w:rsidRPr="00B513F4">
        <w:t>In low</w:t>
      </w:r>
      <w:r w:rsidR="005A3F06">
        <w:t>-</w:t>
      </w:r>
      <w:r w:rsidRPr="00B513F4">
        <w:t xml:space="preserve"> and low middle</w:t>
      </w:r>
      <w:r w:rsidR="005A3F06">
        <w:t>-</w:t>
      </w:r>
      <w:r w:rsidRPr="00B513F4">
        <w:t>income countries, there is typically some mix of public, donor, and private funding</w:t>
      </w:r>
      <w:r w:rsidR="005A3F06">
        <w:t>,</w:t>
      </w:r>
      <w:r w:rsidRPr="00B513F4">
        <w:t xml:space="preserve"> while </w:t>
      </w:r>
      <w:r w:rsidR="005A3F06">
        <w:t xml:space="preserve">the </w:t>
      </w:r>
      <w:r w:rsidRPr="00B513F4">
        <w:t>overall funds available are often very scarce especially for any more complex treatments. According to Vujicic</w:t>
      </w:r>
      <w:r w:rsidR="009D3233">
        <w:t>, Ohiri, and Sparkes</w:t>
      </w:r>
      <w:r w:rsidRPr="00B513F4">
        <w:t xml:space="preserve"> (2009), in Sub-Saharan Africa</w:t>
      </w:r>
      <w:r w:rsidR="005A3F06">
        <w:t>,</w:t>
      </w:r>
      <w:r w:rsidRPr="00B513F4">
        <w:t xml:space="preserve"> around 80 percent of treatments for typical conditions (fever, respiratory infection, diarrhea, </w:t>
      </w:r>
      <w:r w:rsidR="009F6CAC">
        <w:t>child births</w:t>
      </w:r>
      <w:r w:rsidRPr="00B513F4">
        <w:t>) are provided through the public sector. Alongside this, the private sector often also plays a significant role (CGD</w:t>
      </w:r>
      <w:r w:rsidR="009F6CAC">
        <w:t xml:space="preserve"> </w:t>
      </w:r>
      <w:r w:rsidRPr="00B513F4">
        <w:t>2009). Regulation or pooled funding such as that provided through insurance schemes is usually scarce, not least due to the fact that formal employment is very limited in most S</w:t>
      </w:r>
      <w:r w:rsidR="003346EA">
        <w:t>ub-</w:t>
      </w:r>
      <w:r w:rsidRPr="00B513F4">
        <w:t>S</w:t>
      </w:r>
      <w:r w:rsidR="003346EA">
        <w:t xml:space="preserve">aharan </w:t>
      </w:r>
      <w:r w:rsidRPr="00B513F4">
        <w:t>A</w:t>
      </w:r>
      <w:r w:rsidR="003346EA">
        <w:t>frica</w:t>
      </w:r>
      <w:r w:rsidRPr="00B513F4">
        <w:t xml:space="preserve"> countries and that most jobs are either in the informal sector or in subsistence agriculture</w:t>
      </w:r>
      <w:r w:rsidR="00F92BF3">
        <w:t>.</w:t>
      </w:r>
      <w:r>
        <w:t xml:space="preserve"> </w:t>
      </w:r>
      <w:r w:rsidR="00F92BF3">
        <w:t>H</w:t>
      </w:r>
      <w:r>
        <w:t>ence</w:t>
      </w:r>
      <w:r w:rsidR="00F92BF3">
        <w:t>,</w:t>
      </w:r>
      <w:r>
        <w:t xml:space="preserve"> insurance payments through employers are not a relevant option for large parts of the population</w:t>
      </w:r>
      <w:r w:rsidR="002B5CE3">
        <w:t>.</w:t>
      </w:r>
    </w:p>
    <w:p w14:paraId="59B2246F" w14:textId="6775AE26" w:rsidR="00A56EDD" w:rsidRPr="00B513F4" w:rsidRDefault="00A56EDD" w:rsidP="00A56EDD">
      <w:pPr>
        <w:jc w:val="both"/>
      </w:pPr>
      <w:r w:rsidRPr="00B513F4">
        <w:t>Basic education (typically primary and secondary) tends to be provided publicly across most countries</w:t>
      </w:r>
      <w:r w:rsidR="00F92BF3">
        <w:t>—</w:t>
      </w:r>
      <w:r w:rsidRPr="00B513F4">
        <w:t>although in many countries</w:t>
      </w:r>
      <w:r w:rsidR="00F92BF3">
        <w:t>,</w:t>
      </w:r>
      <w:r w:rsidRPr="00B513F4">
        <w:t xml:space="preserve"> private provision has also grown (</w:t>
      </w:r>
      <w:r w:rsidR="0093206E">
        <w:t>for example,</w:t>
      </w:r>
      <w:r w:rsidRPr="00B513F4">
        <w:t xml:space="preserve"> see Titeca and de Herdt 2011 on the D</w:t>
      </w:r>
      <w:r w:rsidR="00F92BF3">
        <w:t xml:space="preserve">emocratic </w:t>
      </w:r>
      <w:r w:rsidRPr="00B513F4">
        <w:t>R</w:t>
      </w:r>
      <w:r w:rsidR="00F92BF3">
        <w:t xml:space="preserve">epublic of </w:t>
      </w:r>
      <w:r w:rsidRPr="00B513F4">
        <w:t>C</w:t>
      </w:r>
      <w:r w:rsidR="00F92BF3">
        <w:t>ongo</w:t>
      </w:r>
      <w:r w:rsidRPr="00B513F4">
        <w:t>). Overall, an important issue is that while private provision can be an opt</w:t>
      </w:r>
      <w:r>
        <w:t xml:space="preserve">ion, it must somehow be funded </w:t>
      </w:r>
      <w:r w:rsidRPr="00B513F4">
        <w:t>and purely individ</w:t>
      </w:r>
      <w:r>
        <w:t>ual funding will be regressive.</w:t>
      </w:r>
      <w:r w:rsidRPr="00B513F4">
        <w:t xml:space="preserve"> </w:t>
      </w:r>
      <w:r>
        <w:t>Also, for private provision</w:t>
      </w:r>
      <w:r w:rsidRPr="00B513F4">
        <w:t xml:space="preserve"> to function well on a large scale</w:t>
      </w:r>
      <w:r w:rsidR="00B46104">
        <w:t>,</w:t>
      </w:r>
      <w:r w:rsidRPr="00B513F4">
        <w:t xml:space="preserve"> substantial regulation and oversight</w:t>
      </w:r>
      <w:r>
        <w:t xml:space="preserve"> </w:t>
      </w:r>
      <w:r w:rsidR="00B46104">
        <w:t>are</w:t>
      </w:r>
      <w:r>
        <w:t xml:space="preserve"> required, </w:t>
      </w:r>
      <w:r w:rsidR="0093206E">
        <w:t>for example,</w:t>
      </w:r>
      <w:r>
        <w:t xml:space="preserve"> with regard to exams</w:t>
      </w:r>
      <w:r w:rsidRPr="00B513F4">
        <w:t>.</w:t>
      </w:r>
    </w:p>
    <w:p w14:paraId="222C9F00" w14:textId="3B4FDEE8" w:rsidR="00A56EDD" w:rsidRPr="00B513F4" w:rsidRDefault="00A56EDD" w:rsidP="00A52038">
      <w:pPr>
        <w:jc w:val="both"/>
      </w:pPr>
      <w:r w:rsidRPr="00B513F4">
        <w:rPr>
          <w:b/>
        </w:rPr>
        <w:t>‘Contracting out’ is a further option for the delivery of services, which presumes public or quasi</w:t>
      </w:r>
      <w:r w:rsidR="00B46104">
        <w:rPr>
          <w:b/>
        </w:rPr>
        <w:t>-</w:t>
      </w:r>
      <w:r w:rsidRPr="00B513F4">
        <w:rPr>
          <w:b/>
        </w:rPr>
        <w:t>public funding (</w:t>
      </w:r>
      <w:r w:rsidR="0093206E">
        <w:rPr>
          <w:b/>
        </w:rPr>
        <w:t>that is,</w:t>
      </w:r>
      <w:r w:rsidRPr="00B513F4">
        <w:rPr>
          <w:b/>
        </w:rPr>
        <w:t xml:space="preserve"> government funds or aid) and private</w:t>
      </w:r>
      <w:r w:rsidR="00B46104">
        <w:rPr>
          <w:b/>
        </w:rPr>
        <w:t xml:space="preserve"> </w:t>
      </w:r>
      <w:r w:rsidRPr="00B513F4">
        <w:rPr>
          <w:b/>
        </w:rPr>
        <w:t>sector or NGO-based delivery</w:t>
      </w:r>
      <w:r w:rsidRPr="009F6CAC">
        <w:rPr>
          <w:b/>
        </w:rPr>
        <w:t>.</w:t>
      </w:r>
      <w:r w:rsidRPr="00B513F4">
        <w:t xml:space="preserve"> As the OECD Handbook (2011) on </w:t>
      </w:r>
      <w:r w:rsidRPr="00B513F4">
        <w:rPr>
          <w:i/>
        </w:rPr>
        <w:t xml:space="preserve">Contracting out government functions and services in post-conflict and fragile situations </w:t>
      </w:r>
      <w:r w:rsidRPr="00B513F4">
        <w:t xml:space="preserve">emphasizes, there is no standard optimal approach. The main assumption is that contracting out can help bridge service delivery gaps while the core capabilities of the state are still weak and emerging, with a significant share of funding being provided by donors. If appropriate and done well, it can assist countries to develop their sovereignty and their ability to set policy and perform regulatory functions. However, if not done right, it can risk undermining the process of developing state capabilities (and legitimacy). Furthermore, reliance on donor funding and contracting out the use of these funds exposes service delivery more to risks of aid volatility, which can be particularly high for fragile states. </w:t>
      </w:r>
    </w:p>
    <w:p w14:paraId="3D0CA634" w14:textId="1F1A1F08" w:rsidR="00A56EDD" w:rsidRPr="00B513F4" w:rsidRDefault="00A56EDD" w:rsidP="00A56EDD">
      <w:pPr>
        <w:jc w:val="both"/>
      </w:pPr>
      <w:r w:rsidRPr="00B513F4">
        <w:t xml:space="preserve">This note takes no particular view as to which approach is preferable. However, in any scenario, </w:t>
      </w:r>
      <w:r w:rsidR="00A52038">
        <w:t xml:space="preserve">the </w:t>
      </w:r>
      <w:r w:rsidRPr="00B513F4">
        <w:t xml:space="preserve">government has a role to play </w:t>
      </w:r>
      <w:r w:rsidR="00A52038">
        <w:t>with regard to</w:t>
      </w:r>
      <w:r w:rsidRPr="00B513F4">
        <w:t xml:space="preserve"> providing a regulatory framework, setting standards, and linking various parts of the service delivery system (</w:t>
      </w:r>
      <w:r w:rsidR="0093206E">
        <w:t>for example,</w:t>
      </w:r>
      <w:r w:rsidRPr="00B513F4">
        <w:t xml:space="preserve"> through referral systems, exams that allows students to transition from primary to secondary and tertiary education</w:t>
      </w:r>
      <w:r w:rsidR="00A52038">
        <w:t>,</w:t>
      </w:r>
      <w:r w:rsidRPr="00B513F4">
        <w:t xml:space="preserve"> </w:t>
      </w:r>
      <w:r w:rsidR="00D55B54">
        <w:t>and so on</w:t>
      </w:r>
      <w:r w:rsidRPr="00B513F4">
        <w:t xml:space="preserve">). Also, </w:t>
      </w:r>
      <w:r w:rsidR="00A52038">
        <w:t xml:space="preserve">the </w:t>
      </w:r>
      <w:r w:rsidRPr="00B513F4">
        <w:t xml:space="preserve">government is typically expected to play a role in ensuring that poorer people and those outside formal employment also have at least some </w:t>
      </w:r>
      <w:r w:rsidR="00A52038">
        <w:t xml:space="preserve">basic </w:t>
      </w:r>
      <w:r w:rsidRPr="00B513F4">
        <w:t xml:space="preserve">access to service provision, an expectation that has been reinforced by the adoption of the MDGs. </w:t>
      </w:r>
      <w:r>
        <w:t>To be viable</w:t>
      </w:r>
      <w:r w:rsidRPr="00B513F4">
        <w:t>, ‘contracting out’ or ‘in’ require</w:t>
      </w:r>
      <w:r>
        <w:t>s</w:t>
      </w:r>
      <w:r w:rsidRPr="00B513F4">
        <w:t xml:space="preserve"> fi</w:t>
      </w:r>
      <w:r>
        <w:t xml:space="preserve">scal resources to be available. </w:t>
      </w:r>
      <w:r w:rsidRPr="00B513F4">
        <w:t>A few governments have experimented with giving citizens cash benefits for privately purchasing services</w:t>
      </w:r>
      <w:r w:rsidR="00A52038">
        <w:t>,</w:t>
      </w:r>
      <w:r w:rsidRPr="00B513F4">
        <w:t xml:space="preserve"> which again requires fiscal resources for such benefit payments to be available. The </w:t>
      </w:r>
      <w:r w:rsidRPr="00B513F4">
        <w:lastRenderedPageBreak/>
        <w:t xml:space="preserve">default option is a more purely private and faith-based provision, which was the global historical norm </w:t>
      </w:r>
      <w:r w:rsidR="00A52038">
        <w:t>before</w:t>
      </w:r>
      <w:r w:rsidRPr="00B513F4">
        <w:t xml:space="preserve"> the 19</w:t>
      </w:r>
      <w:r w:rsidR="00A52038">
        <w:t>th</w:t>
      </w:r>
      <w:r w:rsidRPr="00B513F4">
        <w:t xml:space="preserve"> century. </w:t>
      </w:r>
    </w:p>
    <w:p w14:paraId="2950E492" w14:textId="48253346" w:rsidR="00A56EDD" w:rsidRPr="00B513F4" w:rsidRDefault="00A56EDD" w:rsidP="00A56EDD">
      <w:pPr>
        <w:jc w:val="both"/>
      </w:pPr>
      <w:r w:rsidRPr="00B513F4">
        <w:t>Apart from the policy choices involved, it can be important for governments to have good information about the extent to which services are being delivered privately</w:t>
      </w:r>
      <w:r w:rsidR="00A52038">
        <w:t>—</w:t>
      </w:r>
      <w:r w:rsidRPr="00B513F4">
        <w:t xml:space="preserve">and possibly also gauge their relative cost and the level of access/affordability for different income groups. </w:t>
      </w:r>
    </w:p>
    <w:p w14:paraId="1F5D7A0D" w14:textId="72809269" w:rsidR="00A56EDD" w:rsidRPr="00B513F4" w:rsidRDefault="00A56EDD" w:rsidP="00A56EDD">
      <w:pPr>
        <w:tabs>
          <w:tab w:val="left" w:pos="8013"/>
        </w:tabs>
        <w:jc w:val="both"/>
        <w:rPr>
          <w:color w:val="000000" w:themeColor="text1"/>
        </w:rPr>
      </w:pPr>
      <w:r w:rsidRPr="00B513F4">
        <w:rPr>
          <w:b/>
          <w:color w:val="000000" w:themeColor="text1"/>
        </w:rPr>
        <w:t xml:space="preserve">A recent study of schools in urban and peri-urban areas in and around Juba found that current private provision of learning may be more widespread than captured in government records </w:t>
      </w:r>
      <w:r w:rsidRPr="00B513F4">
        <w:rPr>
          <w:color w:val="000000" w:themeColor="text1"/>
        </w:rPr>
        <w:t xml:space="preserve">(Longfield and Tooley 2013). Around Juba, it found that 61 percent of primary age pupils attending a school were doing so at a private institution, versus 39 at public institutions. At the secondary level, the distribution was found to be </w:t>
      </w:r>
      <w:r w:rsidRPr="006F6CBB">
        <w:rPr>
          <w:color w:val="000000" w:themeColor="text1"/>
        </w:rPr>
        <w:t>50-50</w:t>
      </w:r>
      <w:r w:rsidRPr="00B513F4">
        <w:rPr>
          <w:color w:val="000000" w:themeColor="text1"/>
        </w:rPr>
        <w:t xml:space="preserve"> between private schools and public schools. The number of schools was found to have grown rapidly since 2007, in particular private proprietor and church run schools</w:t>
      </w:r>
      <w:r w:rsidR="00A52038">
        <w:rPr>
          <w:color w:val="000000" w:themeColor="text1"/>
        </w:rPr>
        <w:t>.</w:t>
      </w:r>
      <w:r w:rsidRPr="00B513F4">
        <w:rPr>
          <w:color w:val="000000" w:themeColor="text1"/>
        </w:rPr>
        <w:t xml:space="preserve"> </w:t>
      </w:r>
      <w:r w:rsidR="00A52038">
        <w:rPr>
          <w:color w:val="000000" w:themeColor="text1"/>
        </w:rPr>
        <w:t>T</w:t>
      </w:r>
      <w:r w:rsidRPr="00B513F4">
        <w:rPr>
          <w:color w:val="000000" w:themeColor="text1"/>
        </w:rPr>
        <w:t xml:space="preserve">his rapid growth may make it difficult for </w:t>
      </w:r>
      <w:r w:rsidR="00A52038">
        <w:rPr>
          <w:color w:val="000000" w:themeColor="text1"/>
        </w:rPr>
        <w:t xml:space="preserve">the </w:t>
      </w:r>
      <w:r w:rsidRPr="00B513F4">
        <w:rPr>
          <w:color w:val="000000" w:themeColor="text1"/>
        </w:rPr>
        <w:t>government to reliably capture wh</w:t>
      </w:r>
      <w:r w:rsidR="00A52038">
        <w:rPr>
          <w:color w:val="000000" w:themeColor="text1"/>
        </w:rPr>
        <w:t>ich</w:t>
      </w:r>
      <w:r w:rsidRPr="00B513F4">
        <w:rPr>
          <w:color w:val="000000" w:themeColor="text1"/>
        </w:rPr>
        <w:t xml:space="preserve"> schools exist where. </w:t>
      </w:r>
    </w:p>
    <w:p w14:paraId="6020035C" w14:textId="2450338C" w:rsidR="00A56EDD" w:rsidRPr="00B513F4" w:rsidRDefault="00A56EDD" w:rsidP="00A56EDD">
      <w:pPr>
        <w:tabs>
          <w:tab w:val="left" w:pos="8013"/>
        </w:tabs>
        <w:jc w:val="both"/>
        <w:rPr>
          <w:color w:val="000000" w:themeColor="text1"/>
        </w:rPr>
      </w:pPr>
      <w:r w:rsidRPr="00B513F4">
        <w:rPr>
          <w:color w:val="000000" w:themeColor="text1"/>
        </w:rPr>
        <w:t xml:space="preserve">The performance of the </w:t>
      </w:r>
      <w:r w:rsidRPr="006F6CBB">
        <w:rPr>
          <w:color w:val="000000" w:themeColor="text1"/>
        </w:rPr>
        <w:t>nongovernment</w:t>
      </w:r>
      <w:r w:rsidRPr="00B513F4">
        <w:rPr>
          <w:color w:val="000000" w:themeColor="text1"/>
        </w:rPr>
        <w:t xml:space="preserve"> schools appears to be similar or better to government-run schools </w:t>
      </w:r>
      <w:r w:rsidR="00A52038">
        <w:rPr>
          <w:color w:val="000000" w:themeColor="text1"/>
        </w:rPr>
        <w:t>with regard to</w:t>
      </w:r>
      <w:r w:rsidRPr="00B513F4">
        <w:rPr>
          <w:color w:val="000000" w:themeColor="text1"/>
        </w:rPr>
        <w:t xml:space="preserve"> the ability of pupils </w:t>
      </w:r>
      <w:r w:rsidR="009F6CAC">
        <w:rPr>
          <w:color w:val="000000" w:themeColor="text1"/>
        </w:rPr>
        <w:t xml:space="preserve">based </w:t>
      </w:r>
      <w:r w:rsidRPr="00B513F4">
        <w:rPr>
          <w:color w:val="000000" w:themeColor="text1"/>
        </w:rPr>
        <w:t>on standard tests</w:t>
      </w:r>
      <w:r w:rsidR="00A52038">
        <w:rPr>
          <w:color w:val="000000" w:themeColor="text1"/>
        </w:rPr>
        <w:t>,</w:t>
      </w:r>
      <w:r w:rsidRPr="00B513F4">
        <w:rPr>
          <w:color w:val="000000" w:themeColor="text1"/>
        </w:rPr>
        <w:t xml:space="preserve"> while teacher pay was found to be </w:t>
      </w:r>
      <w:r w:rsidR="00A52038">
        <w:rPr>
          <w:color w:val="000000" w:themeColor="text1"/>
        </w:rPr>
        <w:t>slightly</w:t>
      </w:r>
      <w:r w:rsidR="00A52038" w:rsidRPr="00B513F4">
        <w:rPr>
          <w:color w:val="000000" w:themeColor="text1"/>
        </w:rPr>
        <w:t xml:space="preserve"> </w:t>
      </w:r>
      <w:r w:rsidRPr="00B513F4">
        <w:rPr>
          <w:color w:val="000000" w:themeColor="text1"/>
        </w:rPr>
        <w:t xml:space="preserve">lower in nongovernment schools compared to those run by </w:t>
      </w:r>
      <w:r w:rsidR="00A52038">
        <w:rPr>
          <w:color w:val="000000" w:themeColor="text1"/>
        </w:rPr>
        <w:t xml:space="preserve">the </w:t>
      </w:r>
      <w:r w:rsidRPr="00B513F4">
        <w:rPr>
          <w:color w:val="000000" w:themeColor="text1"/>
        </w:rPr>
        <w:t>government</w:t>
      </w:r>
      <w:r w:rsidR="00A52038">
        <w:rPr>
          <w:color w:val="000000" w:themeColor="text1"/>
        </w:rPr>
        <w:t>—</w:t>
      </w:r>
      <w:r w:rsidRPr="00B513F4">
        <w:rPr>
          <w:color w:val="000000" w:themeColor="text1"/>
        </w:rPr>
        <w:t xml:space="preserve">with </w:t>
      </w:r>
      <w:r w:rsidR="00A52038">
        <w:rPr>
          <w:color w:val="000000" w:themeColor="text1"/>
        </w:rPr>
        <w:t>the</w:t>
      </w:r>
      <w:r w:rsidRPr="00B513F4">
        <w:rPr>
          <w:color w:val="000000" w:themeColor="text1"/>
        </w:rPr>
        <w:t xml:space="preserve"> median salary of government teachers reported to be </w:t>
      </w:r>
      <w:r w:rsidR="00B623FB">
        <w:rPr>
          <w:color w:val="000000" w:themeColor="text1"/>
        </w:rPr>
        <w:t xml:space="preserve">SSP </w:t>
      </w:r>
      <w:r w:rsidRPr="00B513F4">
        <w:rPr>
          <w:color w:val="000000" w:themeColor="text1"/>
        </w:rPr>
        <w:t xml:space="preserve">600 per month compared to </w:t>
      </w:r>
      <w:r w:rsidR="00B623FB">
        <w:rPr>
          <w:color w:val="000000" w:themeColor="text1"/>
        </w:rPr>
        <w:t xml:space="preserve">SSP </w:t>
      </w:r>
      <w:r w:rsidRPr="00B513F4">
        <w:rPr>
          <w:color w:val="000000" w:themeColor="text1"/>
        </w:rPr>
        <w:t>500 median pay per month across the various types of nongovernment schools (with considerable variation among nongovernment schools</w:t>
      </w:r>
      <w:r w:rsidR="00A52038">
        <w:rPr>
          <w:color w:val="000000" w:themeColor="text1"/>
        </w:rPr>
        <w:t>).</w:t>
      </w:r>
      <w:r w:rsidRPr="00B513F4">
        <w:rPr>
          <w:color w:val="000000" w:themeColor="text1"/>
        </w:rPr>
        <w:t xml:space="preserve"> </w:t>
      </w:r>
      <w:r w:rsidR="00A52038">
        <w:rPr>
          <w:color w:val="000000" w:themeColor="text1"/>
        </w:rPr>
        <w:t>F</w:t>
      </w:r>
      <w:r w:rsidRPr="00B513F4">
        <w:rPr>
          <w:color w:val="000000" w:themeColor="text1"/>
        </w:rPr>
        <w:t>or government schools, base salaries as well as full allowances seem to have been counted</w:t>
      </w:r>
      <w:r w:rsidR="00A52038">
        <w:rPr>
          <w:color w:val="000000" w:themeColor="text1"/>
        </w:rPr>
        <w:t>.</w:t>
      </w:r>
      <w:r w:rsidRPr="00B513F4">
        <w:rPr>
          <w:color w:val="000000" w:themeColor="text1"/>
        </w:rPr>
        <w:t xml:space="preserve"> </w:t>
      </w:r>
      <w:r w:rsidR="00A52038">
        <w:rPr>
          <w:color w:val="000000" w:themeColor="text1"/>
        </w:rPr>
        <w:t>I</w:t>
      </w:r>
      <w:r w:rsidRPr="00B513F4">
        <w:rPr>
          <w:color w:val="000000" w:themeColor="text1"/>
        </w:rPr>
        <w:t>t should also be noted that Central Equatoria</w:t>
      </w:r>
      <w:r w:rsidR="00A52038">
        <w:rPr>
          <w:color w:val="000000" w:themeColor="text1"/>
        </w:rPr>
        <w:t>,</w:t>
      </w:r>
      <w:r w:rsidRPr="00B513F4">
        <w:rPr>
          <w:color w:val="000000" w:themeColor="text1"/>
        </w:rPr>
        <w:t xml:space="preserve"> where Juba is located</w:t>
      </w:r>
      <w:r w:rsidR="00A52038">
        <w:rPr>
          <w:color w:val="000000" w:themeColor="text1"/>
        </w:rPr>
        <w:t>,</w:t>
      </w:r>
      <w:r w:rsidRPr="00B513F4">
        <w:rPr>
          <w:color w:val="000000" w:themeColor="text1"/>
        </w:rPr>
        <w:t xml:space="preserve"> has one of the highest average pay levels for public sector teachers compared to other states. </w:t>
      </w:r>
    </w:p>
    <w:p w14:paraId="472DDAEE" w14:textId="0C0E86A6" w:rsidR="00A56EDD" w:rsidRPr="00B513F4" w:rsidRDefault="00A56EDD" w:rsidP="00A56EDD">
      <w:pPr>
        <w:tabs>
          <w:tab w:val="left" w:pos="8013"/>
        </w:tabs>
        <w:jc w:val="both"/>
        <w:rPr>
          <w:color w:val="000000" w:themeColor="text1"/>
        </w:rPr>
      </w:pPr>
      <w:r w:rsidRPr="00B513F4">
        <w:rPr>
          <w:color w:val="000000" w:themeColor="text1"/>
        </w:rPr>
        <w:t xml:space="preserve">Regarding affordability and access, private schools charge fees, but a large number are considered as ‘affordable for the poor’ (Longfield and Tooley 2013), charging either </w:t>
      </w:r>
      <w:r w:rsidR="00B623FB">
        <w:rPr>
          <w:color w:val="000000" w:themeColor="text1"/>
        </w:rPr>
        <w:t xml:space="preserve">SSP </w:t>
      </w:r>
      <w:r w:rsidRPr="00B513F4">
        <w:rPr>
          <w:color w:val="000000" w:themeColor="text1"/>
        </w:rPr>
        <w:t xml:space="preserve">240 or less per child per year (defined as ultra-low cost) or between </w:t>
      </w:r>
      <w:r w:rsidR="00B623FB">
        <w:rPr>
          <w:color w:val="000000" w:themeColor="text1"/>
        </w:rPr>
        <w:t xml:space="preserve">SSP </w:t>
      </w:r>
      <w:r w:rsidRPr="00B513F4">
        <w:rPr>
          <w:color w:val="000000" w:themeColor="text1"/>
        </w:rPr>
        <w:t>240</w:t>
      </w:r>
      <w:r w:rsidR="00B623FB">
        <w:rPr>
          <w:color w:val="000000" w:themeColor="text1"/>
        </w:rPr>
        <w:t>–</w:t>
      </w:r>
      <w:r w:rsidRPr="00B513F4">
        <w:rPr>
          <w:color w:val="000000" w:themeColor="text1"/>
        </w:rPr>
        <w:t xml:space="preserve">450 per year (defined as ‘low cost’). Furthermore, a significant number of nongovernment schools have sprung up in locations away from the center of Juba where new peri-urban areas have grown. Attending such schools typically involves lower transport costs/efforts than taking children to more centrally located government schools. </w:t>
      </w:r>
    </w:p>
    <w:p w14:paraId="4534B5A0" w14:textId="2E0212F0" w:rsidR="00A56EDD" w:rsidRPr="00B513F4" w:rsidRDefault="00A56EDD" w:rsidP="00A56EDD">
      <w:pPr>
        <w:tabs>
          <w:tab w:val="left" w:pos="8013"/>
        </w:tabs>
        <w:jc w:val="both"/>
        <w:rPr>
          <w:color w:val="000000" w:themeColor="text1"/>
        </w:rPr>
      </w:pPr>
      <w:r w:rsidRPr="00B513F4">
        <w:rPr>
          <w:b/>
          <w:color w:val="000000" w:themeColor="text1"/>
        </w:rPr>
        <w:t xml:space="preserve">The issue remains that relying entirely on nongovernment service provision across multiple sectors— education, health care, access to clean water and sewage, and possibly also security—might imply a significant cost on many </w:t>
      </w:r>
      <w:r>
        <w:rPr>
          <w:b/>
          <w:color w:val="000000" w:themeColor="text1"/>
        </w:rPr>
        <w:t>households</w:t>
      </w:r>
      <w:r w:rsidRPr="00B513F4">
        <w:rPr>
          <w:b/>
          <w:color w:val="000000" w:themeColor="text1"/>
        </w:rPr>
        <w:t>, including the poor and near poor</w:t>
      </w:r>
      <w:r w:rsidRPr="009F6CAC">
        <w:rPr>
          <w:b/>
          <w:color w:val="000000" w:themeColor="text1"/>
        </w:rPr>
        <w:t>.</w:t>
      </w:r>
      <w:r w:rsidRPr="00B513F4">
        <w:rPr>
          <w:color w:val="000000" w:themeColor="text1"/>
        </w:rPr>
        <w:t xml:space="preserve"> This may be especially the case if relying on private provision of services is not offset by cash transfers from </w:t>
      </w:r>
      <w:r w:rsidR="00A52038">
        <w:rPr>
          <w:color w:val="000000" w:themeColor="text1"/>
        </w:rPr>
        <w:t xml:space="preserve">the </w:t>
      </w:r>
      <w:r w:rsidRPr="00B513F4">
        <w:rPr>
          <w:color w:val="000000" w:themeColor="text1"/>
        </w:rPr>
        <w:t>government or a similar mechanism to make services affordable. There are also equity concerns</w:t>
      </w:r>
      <w:r w:rsidR="00A52038" w:rsidRPr="009F6CAC">
        <w:rPr>
          <w:color w:val="000000" w:themeColor="text1"/>
        </w:rPr>
        <w:t>—</w:t>
      </w:r>
      <w:r w:rsidRPr="00B513F4">
        <w:rPr>
          <w:color w:val="000000" w:themeColor="text1"/>
        </w:rPr>
        <w:t xml:space="preserve">for example, </w:t>
      </w:r>
      <w:r w:rsidR="00A52038">
        <w:rPr>
          <w:color w:val="000000" w:themeColor="text1"/>
        </w:rPr>
        <w:t xml:space="preserve">if </w:t>
      </w:r>
      <w:r w:rsidRPr="00B513F4">
        <w:rPr>
          <w:color w:val="000000" w:themeColor="text1"/>
        </w:rPr>
        <w:t>many parents would like to enroll their children in government schools but cannot get a space or find that government</w:t>
      </w:r>
      <w:r w:rsidR="00A52038">
        <w:rPr>
          <w:color w:val="000000" w:themeColor="text1"/>
        </w:rPr>
        <w:t>-</w:t>
      </w:r>
      <w:r w:rsidRPr="00B513F4">
        <w:rPr>
          <w:color w:val="000000" w:themeColor="text1"/>
        </w:rPr>
        <w:t xml:space="preserve">funded institutions are too far away. Distance to public service delivery is typically of greatest concern for families that are poorer and have settled more recently in urban areas. </w:t>
      </w:r>
    </w:p>
    <w:p w14:paraId="3AC7CF51" w14:textId="543F9D01" w:rsidR="00A56EDD" w:rsidRPr="00A01B95" w:rsidRDefault="00A56EDD" w:rsidP="00A01B95">
      <w:pPr>
        <w:tabs>
          <w:tab w:val="left" w:pos="8013"/>
        </w:tabs>
        <w:jc w:val="both"/>
        <w:rPr>
          <w:color w:val="000000" w:themeColor="text1"/>
        </w:rPr>
      </w:pPr>
      <w:r w:rsidRPr="00B513F4">
        <w:rPr>
          <w:b/>
          <w:color w:val="000000" w:themeColor="text1"/>
        </w:rPr>
        <w:t xml:space="preserve">At the same time, </w:t>
      </w:r>
      <w:r w:rsidR="00A52038">
        <w:rPr>
          <w:b/>
          <w:color w:val="000000" w:themeColor="text1"/>
        </w:rPr>
        <w:t xml:space="preserve">the </w:t>
      </w:r>
      <w:r w:rsidRPr="00B513F4">
        <w:rPr>
          <w:b/>
          <w:color w:val="000000" w:themeColor="text1"/>
        </w:rPr>
        <w:t xml:space="preserve">government and development partners should take the potential for </w:t>
      </w:r>
      <w:r w:rsidRPr="00E354DB">
        <w:rPr>
          <w:b/>
          <w:color w:val="000000" w:themeColor="text1"/>
        </w:rPr>
        <w:t>non-state</w:t>
      </w:r>
      <w:r w:rsidRPr="00B513F4">
        <w:rPr>
          <w:b/>
          <w:color w:val="000000" w:themeColor="text1"/>
        </w:rPr>
        <w:t xml:space="preserve"> provision seriously</w:t>
      </w:r>
      <w:r w:rsidRPr="009F6CAC">
        <w:rPr>
          <w:b/>
          <w:color w:val="000000" w:themeColor="text1"/>
        </w:rPr>
        <w:t xml:space="preserve">. </w:t>
      </w:r>
      <w:r w:rsidRPr="00B513F4">
        <w:rPr>
          <w:color w:val="000000" w:themeColor="text1"/>
        </w:rPr>
        <w:t xml:space="preserve">If there are many (recently established) nongovernment schools that </w:t>
      </w:r>
      <w:r w:rsidR="00A52038">
        <w:rPr>
          <w:color w:val="000000" w:themeColor="text1"/>
        </w:rPr>
        <w:t xml:space="preserve">the </w:t>
      </w:r>
      <w:r w:rsidRPr="00B513F4">
        <w:rPr>
          <w:color w:val="000000" w:themeColor="text1"/>
        </w:rPr>
        <w:t xml:space="preserve">government is not aware of, progress toward expanding basic education may be greater than government statistics currently reflect. In the longer </w:t>
      </w:r>
      <w:r w:rsidR="00382273">
        <w:rPr>
          <w:color w:val="000000" w:themeColor="text1"/>
        </w:rPr>
        <w:t>term</w:t>
      </w:r>
      <w:r w:rsidRPr="00B513F4">
        <w:rPr>
          <w:color w:val="000000" w:themeColor="text1"/>
        </w:rPr>
        <w:t xml:space="preserve">, developing some degree of government oversight and regulation </w:t>
      </w:r>
      <w:r w:rsidRPr="00B513F4">
        <w:rPr>
          <w:color w:val="000000" w:themeColor="text1"/>
        </w:rPr>
        <w:lastRenderedPageBreak/>
        <w:t>may be helpful</w:t>
      </w:r>
      <w:r w:rsidR="00092156" w:rsidRPr="00092156">
        <w:rPr>
          <w:color w:val="000000" w:themeColor="text1"/>
        </w:rPr>
        <w:t>—</w:t>
      </w:r>
      <w:r w:rsidRPr="00B513F4">
        <w:rPr>
          <w:color w:val="000000" w:themeColor="text1"/>
        </w:rPr>
        <w:t>while being mindful of the risk of poorly designed or implemented regulation that stifles rather than supports nongovernment service provision.</w:t>
      </w:r>
      <w:r w:rsidRPr="00B513F4">
        <w:rPr>
          <w:rStyle w:val="FootnoteReference"/>
          <w:color w:val="000000" w:themeColor="text1"/>
        </w:rPr>
        <w:footnoteReference w:id="39"/>
      </w:r>
      <w:r w:rsidRPr="00B513F4">
        <w:rPr>
          <w:color w:val="000000" w:themeColor="text1"/>
        </w:rPr>
        <w:t xml:space="preserve"> Also, when deciding which services to invest in, </w:t>
      </w:r>
      <w:r w:rsidR="00382273">
        <w:rPr>
          <w:color w:val="000000" w:themeColor="text1"/>
        </w:rPr>
        <w:t xml:space="preserve">the </w:t>
      </w:r>
      <w:r w:rsidRPr="00B513F4">
        <w:rPr>
          <w:color w:val="000000" w:themeColor="text1"/>
        </w:rPr>
        <w:t xml:space="preserve">government may want to consider which services are more readily provided by the private sector and at a reasonable cost. For example, certain health care services are likely </w:t>
      </w:r>
      <w:r w:rsidR="00092156">
        <w:rPr>
          <w:color w:val="000000" w:themeColor="text1"/>
        </w:rPr>
        <w:t xml:space="preserve">to </w:t>
      </w:r>
      <w:r w:rsidRPr="00B513F4">
        <w:rPr>
          <w:color w:val="000000" w:themeColor="text1"/>
        </w:rPr>
        <w:t xml:space="preserve">cost more than most individuals or families will be able to afford </w:t>
      </w:r>
      <w:r w:rsidR="00092156">
        <w:rPr>
          <w:color w:val="000000" w:themeColor="text1"/>
        </w:rPr>
        <w:t>and</w:t>
      </w:r>
      <w:r w:rsidRPr="00B513F4">
        <w:rPr>
          <w:color w:val="000000" w:themeColor="text1"/>
        </w:rPr>
        <w:t xml:space="preserve"> there will also be limits on what </w:t>
      </w:r>
      <w:r w:rsidR="00092156">
        <w:rPr>
          <w:color w:val="000000" w:themeColor="text1"/>
        </w:rPr>
        <w:t xml:space="preserve">the </w:t>
      </w:r>
      <w:r w:rsidRPr="00B513F4">
        <w:rPr>
          <w:color w:val="000000" w:themeColor="text1"/>
        </w:rPr>
        <w:t xml:space="preserve">government is able to routinely fund. The implications of these considerations are discussed further in section 7, providing suggested steps forward. </w:t>
      </w:r>
    </w:p>
    <w:p w14:paraId="1E692148" w14:textId="4B9765A7" w:rsidR="00A56EDD" w:rsidRPr="00B513F4" w:rsidRDefault="00A56EDD" w:rsidP="00A56EDD">
      <w:pPr>
        <w:pStyle w:val="Heading2"/>
        <w:numPr>
          <w:ilvl w:val="0"/>
          <w:numId w:val="4"/>
        </w:numPr>
      </w:pPr>
      <w:bookmarkStart w:id="30" w:name="_Toc447892398"/>
      <w:r w:rsidRPr="00B513F4">
        <w:t xml:space="preserve">Origins, </w:t>
      </w:r>
      <w:r w:rsidR="00A01B95">
        <w:t>E</w:t>
      </w:r>
      <w:r w:rsidRPr="00B513F4">
        <w:t xml:space="preserve">volution, and </w:t>
      </w:r>
      <w:r w:rsidR="00A01B95">
        <w:t>R</w:t>
      </w:r>
      <w:r w:rsidRPr="00B513F4">
        <w:t xml:space="preserve">eform </w:t>
      </w:r>
      <w:r w:rsidR="00A01B95">
        <w:t>E</w:t>
      </w:r>
      <w:r w:rsidRPr="00B513F4">
        <w:t xml:space="preserve">fforts of the </w:t>
      </w:r>
      <w:r w:rsidR="00A01B95">
        <w:t>P</w:t>
      </w:r>
      <w:r w:rsidRPr="00B513F4">
        <w:t xml:space="preserve">ublic </w:t>
      </w:r>
      <w:r w:rsidR="00A01B95">
        <w:t>S</w:t>
      </w:r>
      <w:r w:rsidRPr="00B513F4">
        <w:t>ervice in South Sudan</w:t>
      </w:r>
      <w:bookmarkEnd w:id="30"/>
    </w:p>
    <w:p w14:paraId="1495140B" w14:textId="7C7D13D9" w:rsidR="00F97AAF" w:rsidRPr="00B513F4" w:rsidRDefault="00F97AAF" w:rsidP="00F97AAF">
      <w:pPr>
        <w:jc w:val="both"/>
      </w:pPr>
      <w:r w:rsidRPr="00B513F4">
        <w:rPr>
          <w:b/>
        </w:rPr>
        <w:t>This section considers a number of the underlying drivers of public service configuration and performance in South Sudan</w:t>
      </w:r>
      <w:r w:rsidRPr="00B513F4">
        <w:t>. It sets out in particular (</w:t>
      </w:r>
      <w:r>
        <w:t>a</w:t>
      </w:r>
      <w:r w:rsidRPr="00B513F4">
        <w:t>) the historical legacies, (</w:t>
      </w:r>
      <w:r>
        <w:t>b</w:t>
      </w:r>
      <w:r w:rsidRPr="00B513F4">
        <w:t>) initial postconflict evolution, (</w:t>
      </w:r>
      <w:r>
        <w:t>c</w:t>
      </w:r>
      <w:r w:rsidRPr="00B513F4">
        <w:t>) the institutional responsibilities and legal provisions that emerged (mainly during the CPA period between 2005 and 2011), (</w:t>
      </w:r>
      <w:r>
        <w:t>d</w:t>
      </w:r>
      <w:r w:rsidRPr="00B513F4">
        <w:t>) governance challenges, (</w:t>
      </w:r>
      <w:r>
        <w:t>e</w:t>
      </w:r>
      <w:r w:rsidRPr="00B513F4">
        <w:t>) reform efforts, (</w:t>
      </w:r>
      <w:r>
        <w:t>f</w:t>
      </w:r>
      <w:r w:rsidRPr="00B513F4">
        <w:t>) donor support for civil service capacity building and support, and (</w:t>
      </w:r>
      <w:r>
        <w:t>g</w:t>
      </w:r>
      <w:r w:rsidRPr="00B513F4">
        <w:t>) the most recent period marked by austerity in 2012</w:t>
      </w:r>
      <w:r>
        <w:t>–</w:t>
      </w:r>
      <w:r w:rsidRPr="00B513F4">
        <w:t>2013 and 2013</w:t>
      </w:r>
      <w:r w:rsidR="00A30F50">
        <w:t>-15 civil conflict</w:t>
      </w:r>
      <w:r w:rsidRPr="00B513F4">
        <w:t xml:space="preserve">. Annex 1 provides a one-page summary overview of key events in the development of the public service in South Sudan. </w:t>
      </w:r>
    </w:p>
    <w:p w14:paraId="362EB3E0" w14:textId="77777777" w:rsidR="00F97AAF" w:rsidRPr="00B513F4" w:rsidRDefault="00F97AAF" w:rsidP="00F97AAF">
      <w:pPr>
        <w:pStyle w:val="Heading3"/>
      </w:pPr>
      <w:bookmarkStart w:id="31" w:name="_Toc447892399"/>
      <w:r w:rsidRPr="00B513F4">
        <w:t>5.1 Historical legacies and structural conditions</w:t>
      </w:r>
      <w:bookmarkEnd w:id="31"/>
    </w:p>
    <w:p w14:paraId="38B775F6" w14:textId="5B28AE63" w:rsidR="00F97AAF" w:rsidRPr="00B513F4" w:rsidRDefault="00F97AAF" w:rsidP="00F97AAF">
      <w:pPr>
        <w:jc w:val="both"/>
      </w:pPr>
      <w:r w:rsidRPr="00B513F4">
        <w:t>The evolution of the public administration in South Sudan including pre-CPA legacies are covered in several existing documents (World Bank 2010, chapter 1 B; Young 201</w:t>
      </w:r>
      <w:r w:rsidR="009F6CAC">
        <w:t xml:space="preserve">2; </w:t>
      </w:r>
      <w:r w:rsidRPr="003733B5">
        <w:t>AfDB</w:t>
      </w:r>
      <w:r w:rsidRPr="00B513F4">
        <w:t xml:space="preserve"> 2011). The legacies and post-CPA evolution of the public service are closely tied to the political and conflict legacies of </w:t>
      </w:r>
      <w:r w:rsidR="00151187">
        <w:t>s</w:t>
      </w:r>
      <w:r w:rsidRPr="00B513F4">
        <w:t xml:space="preserve">outhern Sudan. </w:t>
      </w:r>
    </w:p>
    <w:p w14:paraId="7135332F" w14:textId="04F64DB2" w:rsidR="00F97AAF" w:rsidRPr="00B513F4" w:rsidRDefault="00F97AAF" w:rsidP="00F97AAF">
      <w:pPr>
        <w:jc w:val="both"/>
      </w:pPr>
      <w:r w:rsidRPr="00B513F4">
        <w:rPr>
          <w:b/>
        </w:rPr>
        <w:t xml:space="preserve">Three historical legacies are particularly relevant in terms of influencing the context for how the public sector developed up to and since independence. The first is the history of separate but linked development of </w:t>
      </w:r>
      <w:r>
        <w:rPr>
          <w:b/>
        </w:rPr>
        <w:t>n</w:t>
      </w:r>
      <w:r w:rsidRPr="00B513F4">
        <w:rPr>
          <w:b/>
        </w:rPr>
        <w:t xml:space="preserve">orthern and </w:t>
      </w:r>
      <w:r>
        <w:rPr>
          <w:b/>
        </w:rPr>
        <w:t>s</w:t>
      </w:r>
      <w:r w:rsidRPr="00B513F4">
        <w:rPr>
          <w:b/>
        </w:rPr>
        <w:t>outhern Sudan</w:t>
      </w:r>
      <w:r w:rsidRPr="00B513F4">
        <w:t>. From the late 19</w:t>
      </w:r>
      <w:r w:rsidRPr="009F6CAC">
        <w:t>th</w:t>
      </w:r>
      <w:r w:rsidRPr="00B513F4">
        <w:t xml:space="preserve"> century to the mid-20</w:t>
      </w:r>
      <w:r w:rsidRPr="009F6CAC">
        <w:t>th</w:t>
      </w:r>
      <w:r w:rsidRPr="00B513F4">
        <w:t xml:space="preserve"> century, the separation put in place during the British-Egyptian colonial period and </w:t>
      </w:r>
      <w:r w:rsidR="009F6CAC">
        <w:t xml:space="preserve">was followed by </w:t>
      </w:r>
      <w:r w:rsidRPr="00B513F4">
        <w:t xml:space="preserve">the deliberate ‘slow development’ approach put in place for </w:t>
      </w:r>
      <w:r>
        <w:t>the s</w:t>
      </w:r>
      <w:r w:rsidRPr="00B513F4">
        <w:t xml:space="preserve">outhern areas of Sudan. This contributed to </w:t>
      </w:r>
      <w:r w:rsidR="009F6CAC">
        <w:t>a</w:t>
      </w:r>
      <w:r w:rsidRPr="00B513F4">
        <w:t xml:space="preserve"> legacy of overall limited social and economic modernization. The Arabization period following independence in 1956 saw a limited but growing number of </w:t>
      </w:r>
      <w:r>
        <w:t>s</w:t>
      </w:r>
      <w:r w:rsidRPr="00B513F4">
        <w:t xml:space="preserve">outhern Sudanese trained in Khartoum. Post-CPA/independence, a significant number of public servants continue to be more fluent in Arabic than in English. Over the past decade </w:t>
      </w:r>
      <w:r>
        <w:t xml:space="preserve">the </w:t>
      </w:r>
      <w:r w:rsidRPr="00B513F4">
        <w:t xml:space="preserve">‘language shift’ from Arabic to English as the official language has been a major challenge, especially at subnational levels and in the </w:t>
      </w:r>
      <w:r>
        <w:t>n</w:t>
      </w:r>
      <w:r w:rsidRPr="00B513F4">
        <w:t xml:space="preserve">orthern states of South Sudan. Furthermore, public administration structures in Sudan have been relatively ‘unmodernized’, and a number of legal provisions were initially inherited by </w:t>
      </w:r>
      <w:r>
        <w:t>s</w:t>
      </w:r>
      <w:r w:rsidRPr="00B513F4">
        <w:t>outhern Sudan from Khartoum. These include some institutional patterns originating in practices copied from the Soviet Union during the 1960s when Soviet influence in Sudan was significant.</w:t>
      </w:r>
      <w:r w:rsidR="009F6CAC" w:rsidRPr="00B513F4">
        <w:t xml:space="preserve"> </w:t>
      </w:r>
      <w:r w:rsidRPr="00B513F4">
        <w:t xml:space="preserve">Furthermore, some observers point out that certain patterns of governance (and </w:t>
      </w:r>
      <w:r w:rsidRPr="00B513F4">
        <w:lastRenderedPageBreak/>
        <w:t>governance problems) in South Sudan resemble those found in Sudan.</w:t>
      </w:r>
      <w:r w:rsidRPr="00B513F4">
        <w:rPr>
          <w:rStyle w:val="FootnoteReference"/>
        </w:rPr>
        <w:footnoteReference w:id="40"/>
      </w:r>
      <w:r w:rsidRPr="00B513F4">
        <w:t xml:space="preserve"> Since 2005, many rules and organizations have been replaced by entirely new provisions modeled on ‘international best practices’; in a trend resembling that of Kosovo, for example, which sought a clear break from Yugoslav institutional models after separation from Serbia. However, the fit, coherence, and effective anchoring of such imported institutions typically poses a challenge.</w:t>
      </w:r>
    </w:p>
    <w:p w14:paraId="20F98398" w14:textId="1E55B47B" w:rsidR="00F97AAF" w:rsidRPr="00B513F4" w:rsidRDefault="00F97AAF" w:rsidP="00F97AAF">
      <w:pPr>
        <w:jc w:val="both"/>
      </w:pPr>
      <w:r w:rsidRPr="00B513F4">
        <w:rPr>
          <w:b/>
        </w:rPr>
        <w:t>The second historical legacy is the prolonged period of conflict from the 1950s to the early 2000s and the resulting very limited development of government infrastructure and service delivery throughout the territory.</w:t>
      </w:r>
      <w:r w:rsidRPr="00B513F4">
        <w:t xml:space="preserve"> The </w:t>
      </w:r>
      <w:r>
        <w:t>n</w:t>
      </w:r>
      <w:r w:rsidRPr="00B513F4">
        <w:t>orth-</w:t>
      </w:r>
      <w:r>
        <w:t>s</w:t>
      </w:r>
      <w:r w:rsidRPr="00B513F4">
        <w:t xml:space="preserve">outh conflict disrupted the expansion of service delivery that occurred in many countries during these decades. Conflict has affected the area of South Sudan nearly continuously since the mid-1950s. The first Sudanese Civil War stretched from 1955 to 1972 (carried by the Anyanya I movement and ended by the Addis Ababa Agreement of 1972) and the second period of war started in 1983, though some fighting had already restarted from 1975 onwards. Moreover, while the war against the central government in Khartoum united various groups and individuals, there were also numerous splits within the South Sudanese side during the civil war period, </w:t>
      </w:r>
      <w:r>
        <w:t>that is,</w:t>
      </w:r>
      <w:r w:rsidRPr="00B513F4">
        <w:t xml:space="preserve"> the Sudan People’s Democratic Front, Sudan People’s Liberation </w:t>
      </w:r>
      <w:r w:rsidR="003733B5">
        <w:t>M</w:t>
      </w:r>
      <w:r w:rsidRPr="00B513F4">
        <w:t>ovement-United</w:t>
      </w:r>
      <w:r w:rsidR="003733B5">
        <w:t>,</w:t>
      </w:r>
      <w:r w:rsidRPr="00B513F4">
        <w:t xml:space="preserve"> and others. </w:t>
      </w:r>
    </w:p>
    <w:p w14:paraId="1F3A18E4" w14:textId="75D1B65C" w:rsidR="00F97AAF" w:rsidRPr="00B513F4" w:rsidRDefault="00F97AAF" w:rsidP="00F97AAF">
      <w:pPr>
        <w:jc w:val="both"/>
      </w:pPr>
      <w:r w:rsidRPr="00B513F4">
        <w:t xml:space="preserve">Combined with the pre-1956 ‘slow development approach’ continuous conflict has left </w:t>
      </w:r>
      <w:r>
        <w:t>s</w:t>
      </w:r>
      <w:r w:rsidRPr="00B513F4">
        <w:t>outhern Sudan with one of the lowest literacy rates worldwide (27 percent of over 15-year</w:t>
      </w:r>
      <w:r>
        <w:t>-</w:t>
      </w:r>
      <w:r w:rsidRPr="00B513F4">
        <w:t xml:space="preserve">olds) in the early 2000s, as well as with few transport links and no public utilities (such as a rudimentary power grid or sewage systems). Services came to be mainly provided by NGOs and </w:t>
      </w:r>
      <w:r w:rsidRPr="00531C55">
        <w:t>FBO</w:t>
      </w:r>
      <w:r w:rsidRPr="00B513F4">
        <w:t xml:space="preserve">s, especially outside the ‘garrison towns’ held by the </w:t>
      </w:r>
      <w:r>
        <w:t>g</w:t>
      </w:r>
      <w:r w:rsidRPr="00B513F4">
        <w:t>overnment of Sudan (mainly Juba, Wau</w:t>
      </w:r>
      <w:r>
        <w:t>,</w:t>
      </w:r>
      <w:r w:rsidRPr="00B513F4">
        <w:t xml:space="preserve"> and Malakal). A related effect has been that different from many other African countries, </w:t>
      </w:r>
      <w:r>
        <w:t>s</w:t>
      </w:r>
      <w:r w:rsidRPr="00B513F4">
        <w:t>outhern Sudan did not experience an overextension of the public sector followed by a debt crisis and structural adjustment. Hence, there is less of a history of tension with development partners over the public sector, but also not a first-hand experience with the havoc tha</w:t>
      </w:r>
      <w:r>
        <w:t>t over-indebtedness can cause.</w:t>
      </w:r>
    </w:p>
    <w:p w14:paraId="12D99EEC" w14:textId="1C545E43" w:rsidR="00F97AAF" w:rsidRPr="00B513F4" w:rsidRDefault="00F97AAF" w:rsidP="00F97AAF">
      <w:pPr>
        <w:jc w:val="both"/>
      </w:pPr>
      <w:r w:rsidRPr="00B513F4">
        <w:rPr>
          <w:b/>
        </w:rPr>
        <w:t>A third historical legacy is the fact that due to the prolonged conflict, many South Sudanese lived for periods of time in exile in a range of countries</w:t>
      </w:r>
      <w:r w:rsidRPr="00B513F4">
        <w:t xml:space="preserve">, including neighboring countries (Uganda, Kenya, Ethiopia), as well as further afield in Europe and </w:t>
      </w:r>
      <w:r w:rsidR="009F6CAC">
        <w:t>North America</w:t>
      </w:r>
      <w:r>
        <w:t>,</w:t>
      </w:r>
      <w:r w:rsidRPr="00B513F4">
        <w:t xml:space="preserve"> and other African countries (Botswana, South Africa, </w:t>
      </w:r>
      <w:r>
        <w:t>and so on</w:t>
      </w:r>
      <w:r w:rsidRPr="00B513F4">
        <w:t>). As a consequence, current government officials have been exposed to and trained in a variety of administrative, political</w:t>
      </w:r>
      <w:r>
        <w:t>,</w:t>
      </w:r>
      <w:r w:rsidRPr="00B513F4">
        <w:t xml:space="preserve"> and cultural environments; and South Sudan is influenced by a variety of administrative traditions; including some modeling based on the British system (</w:t>
      </w:r>
      <w:r>
        <w:t>for example,</w:t>
      </w:r>
      <w:r w:rsidRPr="00B513F4">
        <w:t xml:space="preserve"> undersecretaries play a central role in ministries), a lingering influence of the Arabization period, but also inspirations from various other Anglophone countries, and more recently from international ‘best practice’ approaches.</w:t>
      </w:r>
    </w:p>
    <w:p w14:paraId="41B29123" w14:textId="656F5986" w:rsidR="00F97AAF" w:rsidRPr="00B513F4" w:rsidRDefault="00F97AAF" w:rsidP="00F97AAF">
      <w:pPr>
        <w:jc w:val="both"/>
      </w:pPr>
      <w:r w:rsidRPr="00B513F4">
        <w:rPr>
          <w:b/>
        </w:rPr>
        <w:t>In addition to these historical legacies, there are three important structural drivers that shape the context in which the public sector and public sector employment specifically have developed</w:t>
      </w:r>
      <w:r w:rsidRPr="00B513F4">
        <w:t xml:space="preserve">. The first is a fundamental condition of militarization and conflict, which have continued into the post-CPA period. </w:t>
      </w:r>
      <w:r w:rsidRPr="00B513F4">
        <w:lastRenderedPageBreak/>
        <w:t xml:space="preserve">According to </w:t>
      </w:r>
      <w:r w:rsidRPr="003733B5">
        <w:t>Mampilly</w:t>
      </w:r>
      <w:r w:rsidRPr="00B513F4">
        <w:t xml:space="preserve"> </w:t>
      </w:r>
      <w:r w:rsidR="009F6CAC">
        <w:t xml:space="preserve">(2011, 2012) </w:t>
      </w:r>
      <w:r w:rsidRPr="00B513F4">
        <w:t xml:space="preserve">and others, the military arm of the liberation movement, </w:t>
      </w:r>
      <w:r>
        <w:t>that is,</w:t>
      </w:r>
      <w:r w:rsidRPr="00B513F4">
        <w:t xml:space="preserve"> the SPLA, continues to dominate over the civilian structures. Emerging out of the SPLA, the SPLM has become the predominant or even hegemonic army/party since 2005/11. In the 2010 elections, the SPLM won about 90 percent of the seats in the </w:t>
      </w:r>
      <w:r>
        <w:t>l</w:t>
      </w:r>
      <w:r w:rsidRPr="00B513F4">
        <w:t xml:space="preserve">egislative </w:t>
      </w:r>
      <w:r>
        <w:t>a</w:t>
      </w:r>
      <w:r w:rsidRPr="00B513F4">
        <w:t>ssembly. Furthermore, despite a peace agreement and independence, internal and external threats to security have continued. Local conflicts have occurred on a near continuous basis between 2005 and 2013; and in late 2013, large parts of the country became embroiled in civil conflict after the breakdown of the initial political settlement</w:t>
      </w:r>
      <w:r w:rsidR="00A30F50">
        <w:t>; a peace agreement was signed in August 2015</w:t>
      </w:r>
      <w:r w:rsidR="00021767">
        <w:t>, followed by drawn out implementation</w:t>
      </w:r>
      <w:r w:rsidRPr="00B513F4">
        <w:t xml:space="preserve">. </w:t>
      </w:r>
    </w:p>
    <w:p w14:paraId="7A76B78A" w14:textId="7FE6FE0C" w:rsidR="00F97AAF" w:rsidRPr="00B513F4" w:rsidRDefault="00F97AAF" w:rsidP="00F97AAF">
      <w:pPr>
        <w:jc w:val="both"/>
      </w:pPr>
      <w:r w:rsidRPr="00B513F4">
        <w:rPr>
          <w:b/>
        </w:rPr>
        <w:t>The high degree of continued militarization sets South Sudan apart from other postconflict countries in Sub-Saharan Africa such as Liberia and Sierra Leone</w:t>
      </w:r>
      <w:r w:rsidRPr="00B513F4">
        <w:t xml:space="preserve">, </w:t>
      </w:r>
      <w:r w:rsidRPr="00B513F4">
        <w:rPr>
          <w:b/>
        </w:rPr>
        <w:t>where the military was more discredited and where civilian control became more clearly established in the recent postconflict periods</w:t>
      </w:r>
      <w:r w:rsidRPr="00B513F4">
        <w:t>. There are greater parallels possibly with the D</w:t>
      </w:r>
      <w:r>
        <w:t xml:space="preserve">emocratic </w:t>
      </w:r>
      <w:r w:rsidRPr="00B513F4">
        <w:t>R</w:t>
      </w:r>
      <w:r>
        <w:t xml:space="preserve">epublic of </w:t>
      </w:r>
      <w:r w:rsidRPr="00B513F4">
        <w:t>C</w:t>
      </w:r>
      <w:r>
        <w:t>ongo</w:t>
      </w:r>
      <w:r w:rsidRPr="00B513F4">
        <w:t xml:space="preserve"> and with Afghanistan (see </w:t>
      </w:r>
      <w:r w:rsidR="00807923">
        <w:fldChar w:fldCharType="begin"/>
      </w:r>
      <w:r w:rsidR="00807923">
        <w:instrText xml:space="preserve"> REF _Ref447533158 \h </w:instrText>
      </w:r>
      <w:r w:rsidR="00807923">
        <w:fldChar w:fldCharType="separate"/>
      </w:r>
      <w:r w:rsidR="00807923">
        <w:t xml:space="preserve">figure </w:t>
      </w:r>
      <w:r w:rsidR="00807923">
        <w:rPr>
          <w:noProof/>
        </w:rPr>
        <w:t>18</w:t>
      </w:r>
      <w:r w:rsidR="00807923">
        <w:fldChar w:fldCharType="end"/>
      </w:r>
      <w:r w:rsidR="007A0098">
        <w:t xml:space="preserve"> in</w:t>
      </w:r>
      <w:r w:rsidRPr="00B513F4">
        <w:t xml:space="preserve"> </w:t>
      </w:r>
      <w:r w:rsidR="007A0098">
        <w:t>a</w:t>
      </w:r>
      <w:r w:rsidRPr="00B513F4">
        <w:t>nnex 3). The SPLA/SPLM initially enjoyed a substantial degree of legitimacy due to its role in winning independence for South Sudan. Anecdotal evidence, including discussions in the news media, suggests that this legitimacy had begun to erode by mid-2013—two years into independence—given widely perceived poor management of government. Available public opinion surveys, however, show only a limited decline in support for the president, and more strongly for the national legislature, but not for the SPLA between fall 2011 and spring 2013 (USAID</w:t>
      </w:r>
      <w:r w:rsidR="00F83959">
        <w:t>, IRI, and Pechter Polls</w:t>
      </w:r>
      <w:r w:rsidR="007F58CB">
        <w:t xml:space="preserve"> </w:t>
      </w:r>
      <w:r w:rsidRPr="00B513F4">
        <w:t>2011</w:t>
      </w:r>
      <w:r w:rsidR="00F83959">
        <w:t>;</w:t>
      </w:r>
      <w:r w:rsidRPr="00B513F4">
        <w:t xml:space="preserve"> </w:t>
      </w:r>
      <w:r w:rsidR="00F83959">
        <w:t xml:space="preserve">USAID, ORB </w:t>
      </w:r>
      <w:r w:rsidR="00EF2829">
        <w:t>I</w:t>
      </w:r>
      <w:r w:rsidR="00F83959">
        <w:t xml:space="preserve">nternational, and IRI </w:t>
      </w:r>
      <w:r w:rsidRPr="00B513F4">
        <w:t xml:space="preserve">2013). </w:t>
      </w:r>
    </w:p>
    <w:p w14:paraId="376C2271" w14:textId="7903F558" w:rsidR="00F97AAF" w:rsidRPr="00B513F4" w:rsidRDefault="00F97AAF" w:rsidP="00F97AAF">
      <w:pPr>
        <w:jc w:val="both"/>
      </w:pPr>
      <w:r w:rsidRPr="00B513F4">
        <w:rPr>
          <w:b/>
        </w:rPr>
        <w:t>A second important driver is the pattern of ethnic heterogeneity of the country.</w:t>
      </w:r>
      <w:r w:rsidRPr="00B513F4">
        <w:t xml:space="preserve"> Sixty</w:t>
      </w:r>
      <w:r>
        <w:t>-</w:t>
      </w:r>
      <w:r w:rsidRPr="00B513F4">
        <w:t>four ethnic groups are officially recognized. The largest group are the Dinka (about one</w:t>
      </w:r>
      <w:r>
        <w:t>-</w:t>
      </w:r>
      <w:r w:rsidRPr="00B513F4">
        <w:t>third of the population), followed by the Nuer (about one</w:t>
      </w:r>
      <w:r>
        <w:t>-</w:t>
      </w:r>
      <w:r w:rsidRPr="00B513F4">
        <w:t>sixth). Both groups are part of the Nilotic language family and traditionally engage in cattle herding. Other larger groups include Azande, Bari, Shilluk, Murle, Toposa</w:t>
      </w:r>
      <w:r>
        <w:t>,</w:t>
      </w:r>
      <w:r w:rsidRPr="00B513F4">
        <w:t xml:space="preserve"> and Arabs. A range of small ethnic groups (many with less than 100,000 people) accounts for about 15 percent of the population.</w:t>
      </w:r>
      <w:r w:rsidRPr="00B513F4">
        <w:rPr>
          <w:rStyle w:val="FootnoteReference"/>
        </w:rPr>
        <w:footnoteReference w:id="41"/>
      </w:r>
      <w:r w:rsidRPr="00B513F4">
        <w:t xml:space="preserve"> Population numbers of ethnic groups have been contested. A 1996 study noted that ethnic cleavages strongly influenced and hindered the development of the </w:t>
      </w:r>
      <w:r>
        <w:t>s</w:t>
      </w:r>
      <w:r w:rsidRPr="00B513F4">
        <w:t xml:space="preserve">outhern </w:t>
      </w:r>
      <w:r>
        <w:t>r</w:t>
      </w:r>
      <w:r w:rsidRPr="00B513F4">
        <w:t xml:space="preserve">egional </w:t>
      </w:r>
      <w:r>
        <w:t>g</w:t>
      </w:r>
      <w:r w:rsidRPr="00B513F4">
        <w:t>overnment during the inter-war period (1972</w:t>
      </w:r>
      <w:r>
        <w:t>–</w:t>
      </w:r>
      <w:r w:rsidRPr="00B513F4">
        <w:t>83) (Tvedt 1996). The issue of ethnic cleavages and competition, as well as how to find a sustainable solution to these in the post-independence period has been raised by Jok (201</w:t>
      </w:r>
      <w:r>
        <w:t>1</w:t>
      </w:r>
      <w:r w:rsidRPr="00B513F4">
        <w:t>, 201</w:t>
      </w:r>
      <w:r>
        <w:t>4</w:t>
      </w:r>
      <w:r w:rsidRPr="00B513F4">
        <w:t>). Public opinion surveys showed a gradual decrease of respondents identifying themselves as predominantly ‘South Sudanese’ versus those in parallel or primarily identifying with a specific tribe between 2011 and 2013 (USAID</w:t>
      </w:r>
      <w:r w:rsidR="00EF2829">
        <w:t>,</w:t>
      </w:r>
      <w:r w:rsidR="0040738A">
        <w:t xml:space="preserve"> </w:t>
      </w:r>
      <w:r w:rsidR="00EF2829">
        <w:t>ORB International, and IRI</w:t>
      </w:r>
      <w:r w:rsidR="0040738A">
        <w:t xml:space="preserve"> </w:t>
      </w:r>
      <w:r w:rsidRPr="00B513F4">
        <w:t>2013</w:t>
      </w:r>
      <w:r>
        <w:t>,</w:t>
      </w:r>
      <w:r w:rsidRPr="00B513F4">
        <w:t xml:space="preserve"> 68), while the national identity remained nonetheless still substantial (42 identifying only as South Sudanese and 24 identifying as more South Sudanese than their respective tribe). </w:t>
      </w:r>
    </w:p>
    <w:p w14:paraId="4A7225E3" w14:textId="5B2C9CB4" w:rsidR="00F97AAF" w:rsidRPr="00B513F4" w:rsidRDefault="00F97AAF" w:rsidP="00F97AAF">
      <w:pPr>
        <w:jc w:val="both"/>
      </w:pPr>
      <w:r w:rsidRPr="00B513F4">
        <w:t>The population density is low</w:t>
      </w:r>
      <w:r>
        <w:t>—</w:t>
      </w:r>
      <w:r w:rsidRPr="00B513F4">
        <w:t>with 17.2 people per k</w:t>
      </w:r>
      <w:r>
        <w:t>m</w:t>
      </w:r>
      <w:r w:rsidRPr="0040738A">
        <w:rPr>
          <w:vertAlign w:val="superscript"/>
        </w:rPr>
        <w:t>2</w:t>
      </w:r>
      <w:r w:rsidRPr="00B513F4">
        <w:t xml:space="preserve">; and water resources as well as land are relatively abundant on average, but with significant regional variation. However, population density has grown </w:t>
      </w:r>
      <w:r w:rsidRPr="00B513F4">
        <w:lastRenderedPageBreak/>
        <w:t>substantially over the past two decades (up from 8.4 people per km</w:t>
      </w:r>
      <w:r w:rsidRPr="0040738A">
        <w:rPr>
          <w:vertAlign w:val="superscript"/>
        </w:rPr>
        <w:t>2</w:t>
      </w:r>
      <w:r w:rsidRPr="00B513F4">
        <w:t xml:space="preserve"> in 1994), and internal displacement as well as the influx of returnees has created greater potential for conflict over land and related rights (grazing, access to water sources); and this has been difficult to manage in a</w:t>
      </w:r>
      <w:r>
        <w:t xml:space="preserve"> context of weak institutions.</w:t>
      </w:r>
    </w:p>
    <w:p w14:paraId="18245154" w14:textId="57AC8627" w:rsidR="00F97AAF" w:rsidRPr="00B513F4" w:rsidRDefault="00F97AAF" w:rsidP="00F97AAF">
      <w:pPr>
        <w:jc w:val="both"/>
      </w:pPr>
      <w:r w:rsidRPr="00B513F4">
        <w:rPr>
          <w:b/>
        </w:rPr>
        <w:t>As noted in section 2.1, a third important factor is the relative natural resource wealth of the South Sudan, along with a high degree of fiscal volatility</w:t>
      </w:r>
      <w:r w:rsidRPr="00B513F4">
        <w:t xml:space="preserve">. Table 2 above reflects the relatively high per capita income resulting from this resource wealth in a comparative perspective. </w:t>
      </w:r>
      <w:r w:rsidR="002B1D11">
        <w:fldChar w:fldCharType="begin"/>
      </w:r>
      <w:r w:rsidR="002B1D11">
        <w:instrText xml:space="preserve"> REF _Ref447292984 \h </w:instrText>
      </w:r>
      <w:r w:rsidR="002B1D11">
        <w:fldChar w:fldCharType="separate"/>
      </w:r>
      <w:r w:rsidR="002B1D11">
        <w:t xml:space="preserve">Figure </w:t>
      </w:r>
      <w:r w:rsidR="002B1D11">
        <w:rPr>
          <w:noProof/>
        </w:rPr>
        <w:t>4</w:t>
      </w:r>
      <w:r w:rsidR="002B1D11">
        <w:fldChar w:fldCharType="end"/>
      </w:r>
      <w:r w:rsidR="002B1D11">
        <w:t>(a)</w:t>
      </w:r>
      <w:r w:rsidRPr="002B1D11">
        <w:t xml:space="preserve"> (in section</w:t>
      </w:r>
      <w:r w:rsidRPr="00B513F4">
        <w:t xml:space="preserve"> 3.1) indicates the overall growth of rev</w:t>
      </w:r>
      <w:r>
        <w:t>enue for the period 2005–2013/4</w:t>
      </w:r>
      <w:r w:rsidRPr="00B513F4">
        <w:t>, but also the repeated drops in revenue from previous peaks (in 2008</w:t>
      </w:r>
      <w:r>
        <w:t>–</w:t>
      </w:r>
      <w:r w:rsidRPr="00B513F4">
        <w:t xml:space="preserve">09 due to the global financial crisis and then in 2012/13 due to the oil shutdown). </w:t>
      </w:r>
      <w:r>
        <w:t xml:space="preserve">In 2014/15, revenue is expected to be much lower than anticipated due to the decline in oil prices—with the associated uncertainty about further price developments. </w:t>
      </w:r>
    </w:p>
    <w:p w14:paraId="4450D184" w14:textId="1C438B7B" w:rsidR="00F97AAF" w:rsidRPr="00B513F4" w:rsidRDefault="00F97AAF" w:rsidP="00F97AAF">
      <w:pPr>
        <w:jc w:val="both"/>
      </w:pPr>
      <w:r w:rsidRPr="00B513F4">
        <w:t xml:space="preserve">In 2011, South Sudan had an approximate level of </w:t>
      </w:r>
      <w:r w:rsidRPr="00B513F4">
        <w:rPr>
          <w:i/>
        </w:rPr>
        <w:t>per capita government revenues</w:t>
      </w:r>
      <w:r w:rsidRPr="00B513F4">
        <w:t xml:space="preserve"> of </w:t>
      </w:r>
      <w:r>
        <w:t>about US$166</w:t>
      </w:r>
      <w:r w:rsidRPr="00B513F4">
        <w:t xml:space="preserve"> (using net oil revenue and </w:t>
      </w:r>
      <w:r>
        <w:t>the official average exchange rate of SSP 2.83:US$1</w:t>
      </w:r>
      <w:r w:rsidRPr="00B513F4">
        <w:t>).</w:t>
      </w:r>
      <w:r w:rsidRPr="00B513F4">
        <w:rPr>
          <w:rStyle w:val="FootnoteReference"/>
        </w:rPr>
        <w:footnoteReference w:id="42"/>
      </w:r>
      <w:r w:rsidRPr="00B513F4">
        <w:t xml:space="preserve"> This is </w:t>
      </w:r>
      <w:r>
        <w:t>nearly</w:t>
      </w:r>
      <w:r w:rsidRPr="00B513F4">
        <w:t xml:space="preserve"> three times the government revenue of Sierra Leone in the same year (about US</w:t>
      </w:r>
      <w:r>
        <w:t>$</w:t>
      </w:r>
      <w:r w:rsidRPr="00B513F4">
        <w:t xml:space="preserve">56), </w:t>
      </w:r>
      <w:r>
        <w:t>two-and-a-half times</w:t>
      </w:r>
      <w:r w:rsidRPr="00B513F4">
        <w:t xml:space="preserve"> the level of government revenue of the D</w:t>
      </w:r>
      <w:r>
        <w:t xml:space="preserve">emocratic </w:t>
      </w:r>
      <w:r w:rsidRPr="00B513F4">
        <w:t>R</w:t>
      </w:r>
      <w:r>
        <w:t xml:space="preserve">epublic of </w:t>
      </w:r>
      <w:r w:rsidRPr="00B513F4">
        <w:t>C</w:t>
      </w:r>
      <w:r>
        <w:t>ongo</w:t>
      </w:r>
      <w:r w:rsidRPr="00B513F4">
        <w:t xml:space="preserve"> (</w:t>
      </w:r>
      <w:r>
        <w:t>US$</w:t>
      </w:r>
      <w:r w:rsidRPr="00B513F4">
        <w:t>63.7), and approximately the level</w:t>
      </w:r>
      <w:r>
        <w:t xml:space="preserve"> of Kenya (see </w:t>
      </w:r>
      <w:r w:rsidR="003859AF">
        <w:fldChar w:fldCharType="begin"/>
      </w:r>
      <w:r w:rsidR="003859AF">
        <w:instrText xml:space="preserve"> REF _Ref447533254 \h </w:instrText>
      </w:r>
      <w:r w:rsidR="003859AF">
        <w:fldChar w:fldCharType="separate"/>
      </w:r>
      <w:r w:rsidR="003859AF">
        <w:t xml:space="preserve">figure </w:t>
      </w:r>
      <w:r w:rsidR="003859AF">
        <w:rPr>
          <w:noProof/>
        </w:rPr>
        <w:t>10</w:t>
      </w:r>
      <w:r w:rsidR="003859AF">
        <w:fldChar w:fldCharType="end"/>
      </w:r>
      <w:r w:rsidRPr="00B513F4">
        <w:t xml:space="preserve">). </w:t>
      </w:r>
      <w:r>
        <w:t>Moreover, revenue surged further between mid-2011 and the oil shutdown in early 2012, taking potential annual revenue per capita closer to US$300 (see also World Bank 2013). For 2014–15, per capita revenue is likely to be in the range of US$80 per capita if the oil price remains around US$60 per barrel; and production remains constrained but does not cease.</w:t>
      </w:r>
      <w:r>
        <w:rPr>
          <w:rStyle w:val="FootnoteReference"/>
        </w:rPr>
        <w:footnoteReference w:id="43"/>
      </w:r>
    </w:p>
    <w:p w14:paraId="0B2E2D9A" w14:textId="2DE38819" w:rsidR="00F97AAF" w:rsidRDefault="00F97AAF" w:rsidP="00F97AAF">
      <w:pPr>
        <w:pStyle w:val="Caption"/>
        <w:keepNext/>
      </w:pPr>
      <w:bookmarkStart w:id="32" w:name="_Ref447533254"/>
      <w:r>
        <w:t xml:space="preserve">Figure </w:t>
      </w:r>
      <w:fldSimple w:instr=" SEQ Figure \* ARABIC ">
        <w:r w:rsidR="00807923">
          <w:rPr>
            <w:noProof/>
          </w:rPr>
          <w:t>10</w:t>
        </w:r>
      </w:fldSimple>
      <w:bookmarkEnd w:id="32"/>
      <w:r>
        <w:t xml:space="preserve">. </w:t>
      </w:r>
      <w:r w:rsidRPr="004852B0">
        <w:t xml:space="preserve">Comparative </w:t>
      </w:r>
      <w:r>
        <w:t>L</w:t>
      </w:r>
      <w:r w:rsidRPr="004852B0">
        <w:t xml:space="preserve">evels of </w:t>
      </w:r>
      <w:r>
        <w:t>G</w:t>
      </w:r>
      <w:r w:rsidRPr="004852B0">
        <w:t xml:space="preserve">overnment </w:t>
      </w:r>
      <w:r>
        <w:t>R</w:t>
      </w:r>
      <w:r w:rsidRPr="004852B0">
        <w:t xml:space="preserve">evenue </w:t>
      </w:r>
      <w:r>
        <w:t>P</w:t>
      </w:r>
      <w:r w:rsidRPr="004852B0">
        <w:t xml:space="preserve">er </w:t>
      </w:r>
      <w:r>
        <w:t>C</w:t>
      </w:r>
      <w:r w:rsidRPr="004852B0">
        <w:t>apita</w:t>
      </w:r>
    </w:p>
    <w:p w14:paraId="0598266B" w14:textId="77777777" w:rsidR="00F97AAF" w:rsidRDefault="00F97AAF" w:rsidP="00F97AAF">
      <w:pPr>
        <w:spacing w:after="0" w:line="240" w:lineRule="auto"/>
        <w:jc w:val="center"/>
        <w:rPr>
          <w:sz w:val="18"/>
        </w:rPr>
      </w:pPr>
      <w:r>
        <w:rPr>
          <w:noProof/>
        </w:rPr>
        <w:drawing>
          <wp:inline distT="0" distB="0" distL="0" distR="0" wp14:anchorId="68E3E5BC" wp14:editId="09F15F73">
            <wp:extent cx="3667125" cy="20288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9069690" w14:textId="77777777" w:rsidR="00F97AAF" w:rsidRPr="00B16135" w:rsidRDefault="00F97AAF" w:rsidP="00F97AAF">
      <w:pPr>
        <w:spacing w:after="0" w:line="240" w:lineRule="auto"/>
        <w:rPr>
          <w:sz w:val="20"/>
        </w:rPr>
      </w:pPr>
      <w:r w:rsidRPr="0040738A">
        <w:rPr>
          <w:i/>
          <w:sz w:val="20"/>
        </w:rPr>
        <w:t>Source:</w:t>
      </w:r>
      <w:r w:rsidRPr="00B16135">
        <w:rPr>
          <w:sz w:val="20"/>
        </w:rPr>
        <w:t xml:space="preserve"> South Sudan Budget Book for 2012/2013 for 2011 and World Bank (2015b); other countries: IMF. </w:t>
      </w:r>
    </w:p>
    <w:p w14:paraId="4CCAD4EC" w14:textId="188858CF" w:rsidR="00F97AAF" w:rsidRPr="00B513F4" w:rsidRDefault="00F97AAF" w:rsidP="00F97AAF">
      <w:pPr>
        <w:spacing w:before="240"/>
        <w:jc w:val="both"/>
      </w:pPr>
      <w:r>
        <w:t>D</w:t>
      </w:r>
      <w:r w:rsidRPr="00B513F4">
        <w:t>ue to the decision to stop oil production to bargain for a more advantageous agreement over revenue sharing with Sudan</w:t>
      </w:r>
      <w:r>
        <w:t>, actual r</w:t>
      </w:r>
      <w:r w:rsidRPr="00B513F4">
        <w:t xml:space="preserve">evenue </w:t>
      </w:r>
      <w:r>
        <w:t xml:space="preserve">then </w:t>
      </w:r>
      <w:r w:rsidRPr="00B513F4">
        <w:t>declined dramatically in 2012</w:t>
      </w:r>
      <w:r>
        <w:t>–</w:t>
      </w:r>
      <w:r w:rsidRPr="00B513F4">
        <w:t>2013</w:t>
      </w:r>
      <w:r>
        <w:t xml:space="preserve">; but the government initially retained ample </w:t>
      </w:r>
      <w:r w:rsidRPr="00B513F4">
        <w:t>access short-term borrowing.</w:t>
      </w:r>
      <w:r w:rsidRPr="00B513F4">
        <w:rPr>
          <w:rStyle w:val="FootnoteReference"/>
        </w:rPr>
        <w:footnoteReference w:id="44"/>
      </w:r>
      <w:r w:rsidRPr="00B513F4">
        <w:t xml:space="preserve"> It is this fiscal space that has made it possible to expand </w:t>
      </w:r>
      <w:r w:rsidRPr="00B513F4">
        <w:lastRenderedPageBreak/>
        <w:t>public sector employment, and in particular the security side of it (</w:t>
      </w:r>
      <w:r>
        <w:t>that is,</w:t>
      </w:r>
      <w:r w:rsidRPr="00B513F4">
        <w:t xml:space="preserve"> the army and organized forces).</w:t>
      </w:r>
      <w:r w:rsidRPr="00B513F4">
        <w:rPr>
          <w:rStyle w:val="FootnoteReference"/>
        </w:rPr>
        <w:footnoteReference w:id="45"/>
      </w:r>
      <w:r w:rsidRPr="00B513F4">
        <w:t xml:space="preserve"> </w:t>
      </w:r>
      <w:r>
        <w:t xml:space="preserve">The fiscal dynamics emerging since late 2014 put likely revenue levels in per capita terms closer to those of Sierra Leone and the Democratic Republic of Congo. The immediate implication is that this makes the wage bill entirely unsustainable, at the same time as peace negotiations created pressures to add additional (security) staff to the payroll. </w:t>
      </w:r>
      <w:r w:rsidRPr="00B513F4">
        <w:t xml:space="preserve">The fiscal dynamics will also shape the options for and pressures on the government going forward (see section 7 </w:t>
      </w:r>
      <w:r w:rsidR="00440AB6">
        <w:t>for r</w:t>
      </w:r>
      <w:r w:rsidRPr="00B513F4">
        <w:t xml:space="preserve">ecommendations). </w:t>
      </w:r>
    </w:p>
    <w:p w14:paraId="1C574DEF" w14:textId="41C3B5FF" w:rsidR="00F97AAF" w:rsidRPr="00B513F4" w:rsidRDefault="00F97AAF" w:rsidP="00F97AAF">
      <w:pPr>
        <w:pStyle w:val="Heading3"/>
      </w:pPr>
      <w:bookmarkStart w:id="33" w:name="_Toc447892400"/>
      <w:r w:rsidRPr="00B513F4">
        <w:t>5.2 The evolution of the public service</w:t>
      </w:r>
      <w:r>
        <w:t xml:space="preserve"> 2004–2013</w:t>
      </w:r>
      <w:bookmarkEnd w:id="33"/>
    </w:p>
    <w:p w14:paraId="5C558863" w14:textId="081794E0" w:rsidR="00F97AAF" w:rsidRPr="00B513F4" w:rsidRDefault="00F97AAF" w:rsidP="00F97AAF">
      <w:pPr>
        <w:jc w:val="both"/>
      </w:pPr>
      <w:r w:rsidRPr="00B513F4">
        <w:rPr>
          <w:b/>
        </w:rPr>
        <w:t>Planning for an autonomous or possibly independent South Sudan began in the early 2000s when a peace agreement began to be on the horizon</w:t>
      </w:r>
      <w:r w:rsidRPr="00B513F4">
        <w:t xml:space="preserve">. During this period, </w:t>
      </w:r>
      <w:r>
        <w:t xml:space="preserve">the </w:t>
      </w:r>
      <w:r w:rsidRPr="00B513F4">
        <w:t>then</w:t>
      </w:r>
      <w:r>
        <w:t xml:space="preserve"> </w:t>
      </w:r>
      <w:r w:rsidRPr="00B513F4">
        <w:t>SPLA leader John Garang led the discussions on behalf of the SPLM. In September 2003, the Economic Commission of the SPLM organized a three</w:t>
      </w:r>
      <w:r>
        <w:t>-</w:t>
      </w:r>
      <w:r w:rsidRPr="00B513F4">
        <w:t xml:space="preserve">week retreat to prepare for the rebuilding of </w:t>
      </w:r>
      <w:r>
        <w:t>s</w:t>
      </w:r>
      <w:r w:rsidRPr="00B513F4">
        <w:t xml:space="preserve">outhern Sudan, joined by Garang for part of the time. It was followed by further work by a core group of SPLM thinkers from late 2003 to April 2004, and resulted in an </w:t>
      </w:r>
      <w:r w:rsidRPr="00B513F4">
        <w:rPr>
          <w:i/>
        </w:rPr>
        <w:t>SPLM Strategic Framework from War to Peace Transition</w:t>
      </w:r>
      <w:r w:rsidRPr="00B513F4">
        <w:t xml:space="preserve"> (eventually publishe</w:t>
      </w:r>
      <w:r>
        <w:t>d in August 2004) (Deng 2013).</w:t>
      </w:r>
    </w:p>
    <w:p w14:paraId="585E3181" w14:textId="0BB7070E" w:rsidR="00F97AAF" w:rsidRPr="00B513F4" w:rsidRDefault="00F97AAF" w:rsidP="00F97AAF">
      <w:pPr>
        <w:jc w:val="both"/>
      </w:pPr>
      <w:r w:rsidRPr="00B513F4">
        <w:t>With regard to institution building and the development of an effective public administration, the framework set out the following:</w:t>
      </w:r>
    </w:p>
    <w:p w14:paraId="309DFF26" w14:textId="77777777" w:rsidR="00F97AAF" w:rsidRPr="00B513F4" w:rsidRDefault="00F97AAF" w:rsidP="00F97AAF">
      <w:pPr>
        <w:ind w:left="720"/>
        <w:jc w:val="both"/>
        <w:rPr>
          <w:sz w:val="20"/>
          <w:szCs w:val="20"/>
        </w:rPr>
      </w:pPr>
      <w:r w:rsidRPr="00B513F4">
        <w:rPr>
          <w:sz w:val="20"/>
          <w:szCs w:val="20"/>
        </w:rPr>
        <w:t xml:space="preserve">“From the perspectives of the SPLM, the central problem of Sudan would be tackled through a comprehensive development strategy that is based on a system of participatory democracy and robust institutions of governance. Moreover, participatory democracy and good governance rely on the establishment of a broad-based civil authority, such as the Civil Authority of New Sudan (CANS), transformed into the Government of Southern Sudan (GOSS) and Governments of Nuba Mountains, Blue Nile and Abyei, which derive their legitimacy from People’s Liberation Congresses and Councils at the Boma, </w:t>
      </w:r>
      <w:r w:rsidRPr="0040738A">
        <w:rPr>
          <w:i/>
          <w:sz w:val="20"/>
          <w:szCs w:val="20"/>
        </w:rPr>
        <w:t>Payam</w:t>
      </w:r>
      <w:r w:rsidRPr="00B513F4">
        <w:rPr>
          <w:sz w:val="20"/>
          <w:szCs w:val="20"/>
        </w:rPr>
        <w:t>, County, Regional, and National levels. However, a comprehensive strategy and an effective civil authority presuppose an enabling institutional environment, which would, among other things, ensure a sustained culture of peace within and among the various communities of the country.</w:t>
      </w:r>
    </w:p>
    <w:p w14:paraId="3852341D" w14:textId="443132FE" w:rsidR="00F97AAF" w:rsidRPr="00B513F4" w:rsidRDefault="00F97AAF" w:rsidP="00F97AAF">
      <w:pPr>
        <w:ind w:left="720"/>
        <w:jc w:val="both"/>
      </w:pPr>
      <w:r w:rsidRPr="00B513F4">
        <w:rPr>
          <w:sz w:val="20"/>
          <w:szCs w:val="20"/>
        </w:rPr>
        <w:t>The urgent task before the SPLM-LC [Leadership Council] with respect to this element is how to reform the SPLM institutions of resistance to those of participatory governance, so that they are responsive to the challenges of peace and rebuilding in the postconflict environment. The institutional arrangement shown above together with the proposed system of administration of justice (</w:t>
      </w:r>
      <w:r>
        <w:rPr>
          <w:sz w:val="20"/>
          <w:szCs w:val="20"/>
        </w:rPr>
        <w:t>that is,</w:t>
      </w:r>
      <w:r w:rsidRPr="00B513F4">
        <w:rPr>
          <w:sz w:val="20"/>
          <w:szCs w:val="20"/>
        </w:rPr>
        <w:t xml:space="preserve"> judiciary and associated rule of law enforcement agencies/organs) would demand the establishment of an efficient cabinet supported by a robust public service with competent</w:t>
      </w:r>
      <w:r w:rsidRPr="00B513F4">
        <w:t xml:space="preserve"> </w:t>
      </w:r>
      <w:r w:rsidRPr="00B513F4">
        <w:rPr>
          <w:sz w:val="20"/>
          <w:szCs w:val="20"/>
        </w:rPr>
        <w:t>technical skills. In this regard, capacity development and /or enhancement would be required at all levels of government.</w:t>
      </w:r>
      <w:r>
        <w:rPr>
          <w:sz w:val="20"/>
          <w:szCs w:val="20"/>
        </w:rPr>
        <w:t>”</w:t>
      </w:r>
    </w:p>
    <w:p w14:paraId="44A6182C" w14:textId="77777777" w:rsidR="00F97AAF" w:rsidRPr="00B513F4" w:rsidRDefault="00F97AAF" w:rsidP="00F97AAF">
      <w:r w:rsidRPr="00B513F4">
        <w:t xml:space="preserve">However, the framework also includes reference to a key factor that subsequently became a fundamental challenge for developing a capable public service. </w:t>
      </w:r>
    </w:p>
    <w:p w14:paraId="32FA2F72" w14:textId="4601EBB6" w:rsidR="00F97AAF" w:rsidRPr="00B513F4" w:rsidRDefault="00F97AAF" w:rsidP="00F97AAF">
      <w:pPr>
        <w:ind w:left="720"/>
        <w:jc w:val="both"/>
        <w:rPr>
          <w:sz w:val="20"/>
          <w:szCs w:val="20"/>
        </w:rPr>
      </w:pPr>
      <w:r w:rsidRPr="00B513F4">
        <w:rPr>
          <w:sz w:val="20"/>
          <w:szCs w:val="20"/>
        </w:rPr>
        <w:lastRenderedPageBreak/>
        <w:t xml:space="preserve">“The second Cluster will be chaired by a senior member of the SPLM-LC and membership of ten other members of the Leadership Council, and it consists of five Transition Teams: 3, 4, 6, 7 and 9. These five teams are to assist the SPLM leadership in five broad areas of activities: (i) the transformation of the present SPLM-CANS structures of guerilla movement into the Government of Southern Sudan (GOSS) and State Governments of the Nuba Mountains and Blue Nile and the autonomous Abyei Executive Council (AEC) of the Ngok Dinka; (ii) the prioritization and building up of physical transport infrastructure, (iii) organizing and transforming the current SPLM law enforcement agencies into those of the emerging GOSS and Governments of Nuba Mountains and Blue Nile States and Abyei Area; (iv) </w:t>
      </w:r>
      <w:r w:rsidRPr="00B513F4">
        <w:rPr>
          <w:i/>
          <w:sz w:val="20"/>
          <w:szCs w:val="20"/>
        </w:rPr>
        <w:t>mobilization of human and financial resources and planning and budgeting for postconflict economic recovery and re-construction;</w:t>
      </w:r>
      <w:r w:rsidRPr="00B513F4">
        <w:rPr>
          <w:sz w:val="20"/>
          <w:szCs w:val="20"/>
        </w:rPr>
        <w:t xml:space="preserve"> (v) the formulation of policies and monitoring of implementation of policy decisions and focal point for the international community and donor funding. Each of these five areas of activities will be headed by an SPLM Leadership Council member under the overall supervision of the Cluster 2 Chairman.</w:t>
      </w:r>
    </w:p>
    <w:p w14:paraId="42FAEBA0" w14:textId="52BC8241" w:rsidR="00F97AAF" w:rsidRPr="00B513F4" w:rsidRDefault="00F97AAF" w:rsidP="00F97AAF">
      <w:pPr>
        <w:ind w:left="720"/>
        <w:jc w:val="both"/>
        <w:rPr>
          <w:sz w:val="20"/>
          <w:szCs w:val="20"/>
        </w:rPr>
      </w:pPr>
      <w:r w:rsidRPr="00B513F4">
        <w:rPr>
          <w:sz w:val="20"/>
          <w:szCs w:val="20"/>
        </w:rPr>
        <w:t xml:space="preserve">The third Cluster will be chaired by a senior member of the SPLM-LC and membership of four other members of the Leadership council and it consists of two Transition Teams: 5 and 8. Team 8 is for organizing the office of the SPLM Chairman and transforming it into the office of the President of the GOSS (eventually in Juba) and office of the 1st Vice President of the Republic (eventually in Khartoum) and how these two offices shall be coordinated. Team 5 is for organizing the military elements referred to in the Security Arrangements Agreement of September 2003. </w:t>
      </w:r>
      <w:r w:rsidRPr="00B513F4">
        <w:rPr>
          <w:i/>
          <w:sz w:val="20"/>
          <w:szCs w:val="20"/>
        </w:rPr>
        <w:t>The task of Team 5 will focus encampment and screening of SPLA forces as to those who will remain in the SPLA standing armed forces, those who will go into the Joint Integrated Units (JIUs), those who will go into the Police, Prisons, Firefighters and Wildlife services and those who will undergo disarmament, demobilization and reintegration (DDR) into civil service</w:t>
      </w:r>
      <w:r w:rsidRPr="00B513F4">
        <w:rPr>
          <w:sz w:val="20"/>
          <w:szCs w:val="20"/>
        </w:rPr>
        <w:t>.” (emphas</w:t>
      </w:r>
      <w:r w:rsidR="00304C5B">
        <w:rPr>
          <w:sz w:val="20"/>
          <w:szCs w:val="20"/>
        </w:rPr>
        <w:t>i</w:t>
      </w:r>
      <w:r w:rsidRPr="00B513F4">
        <w:rPr>
          <w:sz w:val="20"/>
          <w:szCs w:val="20"/>
        </w:rPr>
        <w:t>s added)</w:t>
      </w:r>
    </w:p>
    <w:p w14:paraId="2F2E3058" w14:textId="77777777" w:rsidR="00F97AAF" w:rsidRPr="00B513F4" w:rsidRDefault="00F97AAF" w:rsidP="00F97AAF">
      <w:pPr>
        <w:jc w:val="both"/>
      </w:pPr>
      <w:r w:rsidRPr="00B513F4">
        <w:t xml:space="preserve">Thus, while there was a clearly stated commitment to establishing an effective government that would deliver goods and services to citizens, there was also an agreement from the start to bring a significant number of SPLA forces onto the public sector payroll. </w:t>
      </w:r>
    </w:p>
    <w:p w14:paraId="1A0163EE" w14:textId="69308FB3" w:rsidR="00F97AAF" w:rsidRPr="00B513F4" w:rsidRDefault="00F97AAF" w:rsidP="00F97AAF">
      <w:pPr>
        <w:jc w:val="both"/>
      </w:pPr>
      <w:r w:rsidRPr="00B513F4">
        <w:rPr>
          <w:b/>
        </w:rPr>
        <w:t>While the ethnic composition of the public service is an important underlying issue in South Sudan, it is only to a limited extent being addressed explicitly</w:t>
      </w:r>
      <w:r w:rsidRPr="00B513F4">
        <w:t xml:space="preserve">. There is a provision in the 2011 Civil Service </w:t>
      </w:r>
      <w:r w:rsidR="004E6543">
        <w:t>L</w:t>
      </w:r>
      <w:r w:rsidRPr="00B513F4">
        <w:t>aw stipulating ‘geographic balance’ as one of the criteria to be used in recruitment (see box 1).</w:t>
      </w:r>
      <w:r w:rsidRPr="00B513F4">
        <w:rPr>
          <w:rStyle w:val="FootnoteReference"/>
        </w:rPr>
        <w:footnoteReference w:id="46"/>
      </w:r>
      <w:r w:rsidRPr="00B513F4">
        <w:t xml:space="preserve"> The main concern has been a public perception that the government came to be dominated by the largest ethnic group (the Dinka) (Jok 2011); while various groups are seen to have formed patronage networks to access government employment across levels of government (Cook and Moro 2012</w:t>
      </w:r>
      <w:r w:rsidR="00304C5B">
        <w:t>,</w:t>
      </w:r>
      <w:r w:rsidRPr="00B513F4">
        <w:t xml:space="preserve"> 6). As will be discussed further below, there is no readily available ‘good practice’ approach to this issue. Even an empirical mapping of actual current practices across countries is challenging due to the fact that data on the ethnic identity of public sector staff is usually not officially collected (see </w:t>
      </w:r>
      <w:r>
        <w:t>for example,</w:t>
      </w:r>
      <w:r w:rsidRPr="00B513F4">
        <w:t xml:space="preserve"> Protsyk and Sachariew 2008). At the same time, a growing body of research indicates that perceptions of inter-group inequality and unfairness increase risks for conflict (Stewart 2008</w:t>
      </w:r>
      <w:r>
        <w:t>;</w:t>
      </w:r>
      <w:r w:rsidRPr="00B513F4">
        <w:t xml:space="preserve"> Cederman</w:t>
      </w:r>
      <w:r>
        <w:t>, Gleditsch, and Buhaug</w:t>
      </w:r>
      <w:r w:rsidRPr="00B513F4">
        <w:t xml:space="preserve"> 2013).</w:t>
      </w:r>
    </w:p>
    <w:p w14:paraId="426371A2" w14:textId="71F38625" w:rsidR="00F97AAF" w:rsidRPr="00B513F4" w:rsidRDefault="00F97AAF" w:rsidP="00F97AAF">
      <w:pPr>
        <w:jc w:val="both"/>
      </w:pPr>
      <w:r w:rsidRPr="00B513F4">
        <w:t xml:space="preserve">As the CPA began to concretize, development partners and the </w:t>
      </w:r>
      <w:r>
        <w:t>g</w:t>
      </w:r>
      <w:r w:rsidRPr="00B513F4">
        <w:t xml:space="preserve">overnment of Sudan (including representatives of </w:t>
      </w:r>
      <w:r>
        <w:t>s</w:t>
      </w:r>
      <w:r w:rsidRPr="00B513F4">
        <w:t xml:space="preserve">outhern Sudan) launched an initial development aid planning exercise, the </w:t>
      </w:r>
      <w:r w:rsidRPr="004C591C">
        <w:t>JAM</w:t>
      </w:r>
      <w:r w:rsidRPr="00B513F4">
        <w:t xml:space="preserve"> organized in 2004</w:t>
      </w:r>
      <w:r>
        <w:t>–</w:t>
      </w:r>
      <w:r w:rsidRPr="00B513F4">
        <w:t xml:space="preserve">2005 and coordinated on the partner side by the Bank and the </w:t>
      </w:r>
      <w:r w:rsidRPr="004C591C">
        <w:t>United Nations</w:t>
      </w:r>
      <w:r w:rsidRPr="00B513F4">
        <w:t>.</w:t>
      </w:r>
      <w:r w:rsidRPr="00B513F4">
        <w:rPr>
          <w:rStyle w:val="FootnoteReference"/>
        </w:rPr>
        <w:footnoteReference w:id="47"/>
      </w:r>
      <w:r w:rsidRPr="00B513F4">
        <w:t xml:space="preserve"> The </w:t>
      </w:r>
      <w:r w:rsidRPr="00B513F4">
        <w:lastRenderedPageBreak/>
        <w:t xml:space="preserve">emerging plan was first approved by the </w:t>
      </w:r>
      <w:r>
        <w:t>g</w:t>
      </w:r>
      <w:r w:rsidRPr="00B513F4">
        <w:t>overnment. It was then presented at a donor conference in Oslo in April 2005, at which US</w:t>
      </w:r>
      <w:r>
        <w:t>$</w:t>
      </w:r>
      <w:r w:rsidRPr="00B513F4">
        <w:t>4.5</w:t>
      </w:r>
      <w:r>
        <w:t xml:space="preserve"> </w:t>
      </w:r>
      <w:r w:rsidRPr="00B513F4">
        <w:t>b</w:t>
      </w:r>
      <w:r>
        <w:t>illio</w:t>
      </w:r>
      <w:r w:rsidRPr="00B513F4">
        <w:t xml:space="preserve">n were pledged for </w:t>
      </w:r>
      <w:r>
        <w:t>s</w:t>
      </w:r>
      <w:r w:rsidRPr="00B513F4">
        <w:t xml:space="preserve">outhern Sudan’s reconstruction. The report set out eight clusters, of which Capacity Building and Institutional Development was the first (including public service, local government and service delivery, decentralization, </w:t>
      </w:r>
      <w:r w:rsidR="0040738A">
        <w:t>Public Financial Management (</w:t>
      </w:r>
      <w:r w:rsidRPr="002D00B0">
        <w:t>PFM</w:t>
      </w:r>
      <w:r w:rsidR="0040738A">
        <w:t>)</w:t>
      </w:r>
      <w:r w:rsidRPr="00B513F4">
        <w:t xml:space="preserve">, and procurement; the second cluster comprised governance and the rule of law). The main recommendations from the report on institutional development are reflected in </w:t>
      </w:r>
      <w:r>
        <w:t>a</w:t>
      </w:r>
      <w:r w:rsidRPr="00B513F4">
        <w:t xml:space="preserve">nnex 1. However, the JAM report never achieved the ability to provide binding guidance on government allocation of funds or for the efforts of development partners. </w:t>
      </w:r>
    </w:p>
    <w:p w14:paraId="7C0B3B53" w14:textId="78D15AD9" w:rsidR="00F97AAF" w:rsidRPr="00B513F4" w:rsidRDefault="00F97AAF" w:rsidP="00F97AAF">
      <w:pPr>
        <w:jc w:val="both"/>
      </w:pPr>
      <w:r w:rsidRPr="00B513F4">
        <w:t>G</w:t>
      </w:r>
      <w:r w:rsidR="00BB24E5">
        <w:t>O</w:t>
      </w:r>
      <w:r w:rsidRPr="00B513F4">
        <w:t>SS ministers were appointed in late October 2005; and by the end of 2005, 22 ministries were functional. In 2007, a further ministry was added (Ministry for Presidential Affairs). The configuration of ministries has evolved since then, most notably with the restructuring of government in mid-2013 and again in early 2014. In parallel, a major and rapid expansion of the public service took place, which began to undermine some o</w:t>
      </w:r>
      <w:r>
        <w:t>f the initial good intentions.</w:t>
      </w:r>
    </w:p>
    <w:p w14:paraId="55EFD96F" w14:textId="58AAF658" w:rsidR="00F97AAF" w:rsidRPr="00B513F4" w:rsidRDefault="00F97AAF" w:rsidP="00F97AAF">
      <w:pPr>
        <w:jc w:val="both"/>
      </w:pPr>
      <w:r w:rsidRPr="00B513F4">
        <w:rPr>
          <w:b/>
        </w:rPr>
        <w:t>A survey of the public service was undertaken</w:t>
      </w:r>
      <w:r w:rsidRPr="00B513F4">
        <w:t xml:space="preserve"> </w:t>
      </w:r>
      <w:r w:rsidRPr="00B513F4">
        <w:rPr>
          <w:b/>
        </w:rPr>
        <w:t>in 2005</w:t>
      </w:r>
      <w:r w:rsidRPr="00B513F4">
        <w:t xml:space="preserve"> (including the organized forces</w:t>
      </w:r>
      <w:r>
        <w:t>—</w:t>
      </w:r>
      <w:r w:rsidRPr="00B513F4">
        <w:t>police, prison, wildlife</w:t>
      </w:r>
      <w:r>
        <w:t>,</w:t>
      </w:r>
      <w:r w:rsidRPr="00B513F4">
        <w:t xml:space="preserve"> and fire) through a Coordination and Verification Committee, headed by Deng Chuol Malang, and supported by the Bank, the CBTF, and USAID. The survey covered over 60,000 public servants at the time. While now outdated given the changes in staff numbers, it is worth reviewing some of the headline figures from the survey as they reflect some of the key challenges faced in building an effective public service in South Sudan. Moreover, since 2005, resistance to systematic data collection on the public service increased. </w:t>
      </w:r>
    </w:p>
    <w:p w14:paraId="6D7561F2" w14:textId="0E6164DB" w:rsidR="00F97AAF" w:rsidRPr="00AD5DBB" w:rsidRDefault="00F97AAF" w:rsidP="00F97AAF">
      <w:pPr>
        <w:jc w:val="both"/>
      </w:pPr>
      <w:r w:rsidRPr="00B513F4">
        <w:rPr>
          <w:b/>
        </w:rPr>
        <w:t>Key issues highlighted by the survey include the following:</w:t>
      </w:r>
      <w:r w:rsidRPr="00B513F4">
        <w:t xml:space="preserve"> (</w:t>
      </w:r>
      <w:r>
        <w:t>a</w:t>
      </w:r>
      <w:r w:rsidRPr="00B513F4">
        <w:t xml:space="preserve">) overall low educational levels in the public service (42.5 percent of respondents only had early education, and another 23 percent chose ‘no education/unspecified’; see </w:t>
      </w:r>
      <w:r w:rsidR="00246074">
        <w:fldChar w:fldCharType="begin"/>
      </w:r>
      <w:r w:rsidR="00246074">
        <w:instrText xml:space="preserve"> REF _Ref447304403 \h </w:instrText>
      </w:r>
      <w:r w:rsidR="00246074">
        <w:fldChar w:fldCharType="separate"/>
      </w:r>
      <w:r w:rsidR="00246074">
        <w:t xml:space="preserve">figure </w:t>
      </w:r>
      <w:r w:rsidR="00246074">
        <w:rPr>
          <w:noProof/>
        </w:rPr>
        <w:t>7</w:t>
      </w:r>
      <w:r w:rsidR="00246074">
        <w:fldChar w:fldCharType="end"/>
      </w:r>
      <w:r w:rsidRPr="00B513F4">
        <w:t xml:space="preserve"> in section 3.3)</w:t>
      </w:r>
      <w:r w:rsidR="007D532E">
        <w:t>;</w:t>
      </w:r>
      <w:r w:rsidRPr="00B513F4">
        <w:t xml:space="preserve"> (</w:t>
      </w:r>
      <w:r>
        <w:t>b</w:t>
      </w:r>
      <w:r w:rsidRPr="00B513F4">
        <w:t>) a linguistic divide, with only about one</w:t>
      </w:r>
      <w:r>
        <w:t>-</w:t>
      </w:r>
      <w:r w:rsidRPr="00B513F4">
        <w:t xml:space="preserve">third of respondents indicating having a good or excellent proficiency in English, the new main administrative language of </w:t>
      </w:r>
      <w:r>
        <w:t>s</w:t>
      </w:r>
      <w:r w:rsidRPr="00B513F4">
        <w:t>outhern Sudan (most others were proficient in Arabic, and some only in local languages)</w:t>
      </w:r>
      <w:r w:rsidRPr="00B513F4">
        <w:rPr>
          <w:rStyle w:val="FootnoteReference"/>
        </w:rPr>
        <w:footnoteReference w:id="48"/>
      </w:r>
      <w:r w:rsidRPr="00B513F4">
        <w:t xml:space="preserve"> (see </w:t>
      </w:r>
      <w:r>
        <w:t>t</w:t>
      </w:r>
      <w:r w:rsidRPr="00B513F4">
        <w:t>able 12); and (</w:t>
      </w:r>
      <w:r>
        <w:t>c</w:t>
      </w:r>
      <w:r w:rsidRPr="00B513F4">
        <w:t>) concentration of staff in a small number of counties: 80 percent of staff was concentrated in 31 out of 122 counties; (</w:t>
      </w:r>
      <w:r>
        <w:t>d</w:t>
      </w:r>
      <w:r w:rsidRPr="00B513F4">
        <w:t>) the organized forces accounted already for 27.2 percent of the entire public service, education for 21 percent</w:t>
      </w:r>
      <w:r>
        <w:t>,</w:t>
      </w:r>
      <w:r w:rsidRPr="00B513F4">
        <w:t xml:space="preserve"> and health for 9 percent; and (</w:t>
      </w:r>
      <w:r>
        <w:t>e</w:t>
      </w:r>
      <w:r w:rsidRPr="00B513F4">
        <w:t>) a low female to male ratio</w:t>
      </w:r>
      <w:r>
        <w:t>—</w:t>
      </w:r>
      <w:r w:rsidRPr="00B513F4">
        <w:t xml:space="preserve">of those respondents providing their gender, 19.2 percent were female; the ratio was lower for CANS than for </w:t>
      </w:r>
      <w:r w:rsidR="00721452">
        <w:t>the Coordinating Council for Southern States (</w:t>
      </w:r>
      <w:r w:rsidRPr="00B513F4">
        <w:t>CCSS</w:t>
      </w:r>
      <w:r w:rsidR="00721452">
        <w:t>)</w:t>
      </w:r>
      <w:r w:rsidRPr="00B513F4">
        <w:t xml:space="preserve"> staff (14.4 to 24.7 percent) and lower at higher ranks (professional and super scale) with 16.6 percent (</w:t>
      </w:r>
      <w:r w:rsidRPr="00B34FB2">
        <w:t>GOSS 2006</w:t>
      </w:r>
      <w:r w:rsidRPr="00B513F4">
        <w:t xml:space="preserve">). </w:t>
      </w:r>
    </w:p>
    <w:p w14:paraId="41CFF082" w14:textId="7CA19CF2" w:rsidR="00F97AAF" w:rsidRDefault="00F97AAF" w:rsidP="00F97AAF">
      <w:pPr>
        <w:pStyle w:val="Caption"/>
        <w:keepNext/>
      </w:pPr>
      <w:r>
        <w:t xml:space="preserve">Table </w:t>
      </w:r>
      <w:fldSimple w:instr=" SEQ Table \* ARABIC ">
        <w:r>
          <w:rPr>
            <w:noProof/>
          </w:rPr>
          <w:t>12</w:t>
        </w:r>
      </w:fldSimple>
      <w:r>
        <w:t xml:space="preserve">. </w:t>
      </w:r>
      <w:r w:rsidRPr="00477885">
        <w:t xml:space="preserve">English Language Proficiency as of 2005, </w:t>
      </w:r>
      <w:r>
        <w:t>S</w:t>
      </w:r>
      <w:r w:rsidRPr="00477885">
        <w:t>tate</w:t>
      </w:r>
      <w:r>
        <w:t xml:space="preserve"> B</w:t>
      </w:r>
      <w:r w:rsidRPr="00477885">
        <w:t>y</w:t>
      </w:r>
      <w:r>
        <w:t xml:space="preserve"> S</w:t>
      </w:r>
      <w:r w:rsidRPr="00477885">
        <w:t>tate</w:t>
      </w:r>
    </w:p>
    <w:tbl>
      <w:tblPr>
        <w:tblW w:w="935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83"/>
        <w:gridCol w:w="878"/>
        <w:gridCol w:w="810"/>
        <w:gridCol w:w="773"/>
        <w:gridCol w:w="811"/>
        <w:gridCol w:w="773"/>
        <w:gridCol w:w="811"/>
        <w:gridCol w:w="770"/>
        <w:gridCol w:w="811"/>
        <w:gridCol w:w="1030"/>
      </w:tblGrid>
      <w:tr w:rsidR="00F97AAF" w:rsidRPr="00156A92" w14:paraId="75582A85" w14:textId="77777777" w:rsidTr="00F6457D">
        <w:trPr>
          <w:trHeight w:val="300"/>
          <w:tblHeader/>
          <w:jc w:val="center"/>
        </w:trPr>
        <w:tc>
          <w:tcPr>
            <w:tcW w:w="1885" w:type="dxa"/>
            <w:vMerge w:val="restart"/>
            <w:tcBorders>
              <w:bottom w:val="nil"/>
            </w:tcBorders>
            <w:shd w:val="clear" w:color="auto" w:fill="auto"/>
            <w:noWrap/>
            <w:vAlign w:val="center"/>
            <w:hideMark/>
          </w:tcPr>
          <w:p w14:paraId="614A8E94" w14:textId="77777777" w:rsidR="00F97AAF" w:rsidRPr="00156A92" w:rsidRDefault="00F97AAF" w:rsidP="00C0377E">
            <w:pPr>
              <w:spacing w:after="0" w:line="240" w:lineRule="auto"/>
              <w:jc w:val="center"/>
              <w:rPr>
                <w:rFonts w:eastAsia="Times New Roman" w:cs="Times New Roman"/>
                <w:b/>
                <w:bCs/>
                <w:color w:val="000000"/>
                <w:sz w:val="20"/>
                <w:szCs w:val="20"/>
              </w:rPr>
            </w:pPr>
            <w:r w:rsidRPr="00156A92">
              <w:rPr>
                <w:rFonts w:eastAsia="Times New Roman" w:cs="Times New Roman"/>
                <w:b/>
                <w:bCs/>
                <w:color w:val="000000"/>
                <w:sz w:val="20"/>
                <w:szCs w:val="20"/>
              </w:rPr>
              <w:t>State</w:t>
            </w:r>
          </w:p>
        </w:tc>
        <w:tc>
          <w:tcPr>
            <w:tcW w:w="1691" w:type="dxa"/>
            <w:gridSpan w:val="2"/>
            <w:tcBorders>
              <w:bottom w:val="nil"/>
            </w:tcBorders>
            <w:shd w:val="clear" w:color="auto" w:fill="auto"/>
            <w:noWrap/>
            <w:vAlign w:val="bottom"/>
            <w:hideMark/>
          </w:tcPr>
          <w:p w14:paraId="044CBE6D" w14:textId="5F0EDCEF" w:rsidR="00F97AAF" w:rsidRPr="00156A92" w:rsidRDefault="00F97AAF" w:rsidP="002A03B4">
            <w:pPr>
              <w:spacing w:after="0" w:line="240" w:lineRule="auto"/>
              <w:jc w:val="center"/>
              <w:rPr>
                <w:rFonts w:eastAsia="Times New Roman" w:cs="Times New Roman"/>
                <w:b/>
                <w:bCs/>
                <w:color w:val="000000"/>
                <w:sz w:val="20"/>
                <w:szCs w:val="20"/>
              </w:rPr>
            </w:pPr>
            <w:r w:rsidRPr="00156A92">
              <w:rPr>
                <w:rFonts w:eastAsia="Times New Roman" w:cs="Times New Roman"/>
                <w:b/>
                <w:bCs/>
                <w:color w:val="000000"/>
                <w:sz w:val="20"/>
                <w:szCs w:val="20"/>
              </w:rPr>
              <w:t xml:space="preserve">No </w:t>
            </w:r>
            <w:r w:rsidR="002A03B4">
              <w:rPr>
                <w:rFonts w:eastAsia="Times New Roman" w:cs="Times New Roman"/>
                <w:b/>
                <w:bCs/>
                <w:color w:val="000000"/>
                <w:sz w:val="20"/>
                <w:szCs w:val="20"/>
              </w:rPr>
              <w:t>K</w:t>
            </w:r>
            <w:r w:rsidRPr="00156A92">
              <w:rPr>
                <w:rFonts w:eastAsia="Times New Roman" w:cs="Times New Roman"/>
                <w:b/>
                <w:bCs/>
                <w:color w:val="000000"/>
                <w:sz w:val="20"/>
                <w:szCs w:val="20"/>
              </w:rPr>
              <w:t>nowledge</w:t>
            </w:r>
          </w:p>
        </w:tc>
        <w:tc>
          <w:tcPr>
            <w:tcW w:w="1581" w:type="dxa"/>
            <w:gridSpan w:val="2"/>
            <w:tcBorders>
              <w:bottom w:val="nil"/>
            </w:tcBorders>
            <w:shd w:val="clear" w:color="auto" w:fill="auto"/>
            <w:noWrap/>
            <w:vAlign w:val="bottom"/>
            <w:hideMark/>
          </w:tcPr>
          <w:p w14:paraId="0F321C57" w14:textId="77777777" w:rsidR="00F97AAF" w:rsidRPr="00156A92" w:rsidRDefault="00F97AAF" w:rsidP="00C0377E">
            <w:pPr>
              <w:spacing w:after="0" w:line="240" w:lineRule="auto"/>
              <w:jc w:val="center"/>
              <w:rPr>
                <w:rFonts w:eastAsia="Times New Roman" w:cs="Times New Roman"/>
                <w:b/>
                <w:bCs/>
                <w:color w:val="000000"/>
                <w:sz w:val="20"/>
                <w:szCs w:val="20"/>
              </w:rPr>
            </w:pPr>
            <w:r w:rsidRPr="00156A92">
              <w:rPr>
                <w:rFonts w:eastAsia="Times New Roman" w:cs="Times New Roman"/>
                <w:b/>
                <w:bCs/>
                <w:color w:val="000000"/>
                <w:sz w:val="20"/>
                <w:szCs w:val="20"/>
              </w:rPr>
              <w:t>Fair</w:t>
            </w:r>
          </w:p>
        </w:tc>
        <w:tc>
          <w:tcPr>
            <w:tcW w:w="1581" w:type="dxa"/>
            <w:gridSpan w:val="2"/>
            <w:tcBorders>
              <w:bottom w:val="nil"/>
            </w:tcBorders>
            <w:shd w:val="clear" w:color="auto" w:fill="auto"/>
            <w:noWrap/>
            <w:vAlign w:val="bottom"/>
            <w:hideMark/>
          </w:tcPr>
          <w:p w14:paraId="1075E6B0" w14:textId="77777777" w:rsidR="00F97AAF" w:rsidRPr="00156A92" w:rsidRDefault="00F97AAF" w:rsidP="00C0377E">
            <w:pPr>
              <w:spacing w:after="0" w:line="240" w:lineRule="auto"/>
              <w:jc w:val="center"/>
              <w:rPr>
                <w:rFonts w:eastAsia="Times New Roman" w:cs="Times New Roman"/>
                <w:b/>
                <w:bCs/>
                <w:color w:val="000000"/>
                <w:sz w:val="20"/>
                <w:szCs w:val="20"/>
              </w:rPr>
            </w:pPr>
            <w:r w:rsidRPr="00156A92">
              <w:rPr>
                <w:rFonts w:eastAsia="Times New Roman" w:cs="Times New Roman"/>
                <w:b/>
                <w:bCs/>
                <w:color w:val="000000"/>
                <w:sz w:val="20"/>
                <w:szCs w:val="20"/>
              </w:rPr>
              <w:t>Good</w:t>
            </w:r>
          </w:p>
        </w:tc>
        <w:tc>
          <w:tcPr>
            <w:tcW w:w="1581" w:type="dxa"/>
            <w:gridSpan w:val="2"/>
            <w:tcBorders>
              <w:bottom w:val="nil"/>
            </w:tcBorders>
            <w:shd w:val="clear" w:color="auto" w:fill="auto"/>
            <w:noWrap/>
            <w:vAlign w:val="bottom"/>
            <w:hideMark/>
          </w:tcPr>
          <w:p w14:paraId="161FA071" w14:textId="77777777" w:rsidR="00F97AAF" w:rsidRPr="00156A92" w:rsidRDefault="00F97AAF" w:rsidP="00C0377E">
            <w:pPr>
              <w:spacing w:after="0" w:line="240" w:lineRule="auto"/>
              <w:jc w:val="center"/>
              <w:rPr>
                <w:rFonts w:eastAsia="Times New Roman" w:cs="Times New Roman"/>
                <w:b/>
                <w:bCs/>
                <w:color w:val="000000"/>
                <w:sz w:val="20"/>
                <w:szCs w:val="20"/>
              </w:rPr>
            </w:pPr>
            <w:r w:rsidRPr="00156A92">
              <w:rPr>
                <w:rFonts w:eastAsia="Times New Roman" w:cs="Times New Roman"/>
                <w:b/>
                <w:bCs/>
                <w:color w:val="000000"/>
                <w:sz w:val="20"/>
                <w:szCs w:val="20"/>
              </w:rPr>
              <w:t>Excellent</w:t>
            </w:r>
          </w:p>
        </w:tc>
        <w:tc>
          <w:tcPr>
            <w:tcW w:w="1031" w:type="dxa"/>
            <w:vMerge w:val="restart"/>
            <w:tcBorders>
              <w:bottom w:val="nil"/>
            </w:tcBorders>
            <w:shd w:val="clear" w:color="auto" w:fill="auto"/>
            <w:vAlign w:val="bottom"/>
            <w:hideMark/>
          </w:tcPr>
          <w:p w14:paraId="565AD2DC" w14:textId="4FBF922B" w:rsidR="00F97AAF" w:rsidRPr="00156A92" w:rsidRDefault="00F97AAF" w:rsidP="002A03B4">
            <w:pPr>
              <w:spacing w:after="0" w:line="240" w:lineRule="auto"/>
              <w:jc w:val="center"/>
              <w:rPr>
                <w:rFonts w:eastAsia="Times New Roman" w:cs="Times New Roman"/>
                <w:b/>
                <w:bCs/>
                <w:color w:val="000000"/>
                <w:sz w:val="20"/>
                <w:szCs w:val="20"/>
              </w:rPr>
            </w:pPr>
            <w:r w:rsidRPr="00156A92">
              <w:rPr>
                <w:rFonts w:eastAsia="Times New Roman" w:cs="Times New Roman"/>
                <w:b/>
                <w:bCs/>
                <w:color w:val="000000"/>
                <w:sz w:val="20"/>
                <w:szCs w:val="20"/>
              </w:rPr>
              <w:t xml:space="preserve">% </w:t>
            </w:r>
            <w:r w:rsidR="002A03B4">
              <w:rPr>
                <w:rFonts w:eastAsia="Times New Roman" w:cs="Times New Roman"/>
                <w:b/>
                <w:bCs/>
                <w:color w:val="000000"/>
                <w:sz w:val="20"/>
                <w:szCs w:val="20"/>
              </w:rPr>
              <w:t>W</w:t>
            </w:r>
            <w:r w:rsidRPr="00156A92">
              <w:rPr>
                <w:rFonts w:eastAsia="Times New Roman" w:cs="Times New Roman"/>
                <w:b/>
                <w:bCs/>
                <w:color w:val="000000"/>
                <w:sz w:val="20"/>
                <w:szCs w:val="20"/>
              </w:rPr>
              <w:t xml:space="preserve">rite </w:t>
            </w:r>
            <w:r w:rsidR="002A03B4">
              <w:rPr>
                <w:rFonts w:eastAsia="Times New Roman" w:cs="Times New Roman"/>
                <w:b/>
                <w:bCs/>
                <w:color w:val="000000"/>
                <w:sz w:val="20"/>
                <w:szCs w:val="20"/>
              </w:rPr>
              <w:t>G</w:t>
            </w:r>
            <w:r w:rsidRPr="00156A92">
              <w:rPr>
                <w:rFonts w:eastAsia="Times New Roman" w:cs="Times New Roman"/>
                <w:b/>
                <w:bCs/>
                <w:color w:val="000000"/>
                <w:sz w:val="20"/>
                <w:szCs w:val="20"/>
              </w:rPr>
              <w:t xml:space="preserve">ood or </w:t>
            </w:r>
            <w:r w:rsidR="002A03B4">
              <w:rPr>
                <w:rFonts w:eastAsia="Times New Roman" w:cs="Times New Roman"/>
                <w:b/>
                <w:bCs/>
                <w:color w:val="000000"/>
                <w:sz w:val="20"/>
                <w:szCs w:val="20"/>
              </w:rPr>
              <w:t>E</w:t>
            </w:r>
            <w:r w:rsidRPr="00156A92">
              <w:rPr>
                <w:rFonts w:eastAsia="Times New Roman" w:cs="Times New Roman"/>
                <w:b/>
                <w:bCs/>
                <w:color w:val="000000"/>
                <w:sz w:val="20"/>
                <w:szCs w:val="20"/>
              </w:rPr>
              <w:t>xcellent</w:t>
            </w:r>
          </w:p>
        </w:tc>
      </w:tr>
      <w:tr w:rsidR="00F97AAF" w:rsidRPr="00156A92" w14:paraId="177CBF84" w14:textId="77777777" w:rsidTr="00F6457D">
        <w:trPr>
          <w:trHeight w:val="300"/>
          <w:tblHeader/>
          <w:jc w:val="center"/>
        </w:trPr>
        <w:tc>
          <w:tcPr>
            <w:tcW w:w="1885" w:type="dxa"/>
            <w:vMerge/>
            <w:tcBorders>
              <w:top w:val="nil"/>
              <w:bottom w:val="single" w:sz="4" w:space="0" w:color="auto"/>
            </w:tcBorders>
            <w:vAlign w:val="center"/>
            <w:hideMark/>
          </w:tcPr>
          <w:p w14:paraId="52642009" w14:textId="77777777" w:rsidR="00F97AAF" w:rsidRPr="00156A92" w:rsidRDefault="00F97AAF" w:rsidP="00C0377E">
            <w:pPr>
              <w:spacing w:after="0" w:line="240" w:lineRule="auto"/>
              <w:rPr>
                <w:rFonts w:eastAsia="Times New Roman" w:cs="Times New Roman"/>
                <w:b/>
                <w:bCs/>
                <w:color w:val="000000"/>
                <w:sz w:val="20"/>
                <w:szCs w:val="20"/>
              </w:rPr>
            </w:pPr>
          </w:p>
        </w:tc>
        <w:tc>
          <w:tcPr>
            <w:tcW w:w="880" w:type="dxa"/>
            <w:tcBorders>
              <w:top w:val="nil"/>
              <w:bottom w:val="single" w:sz="4" w:space="0" w:color="auto"/>
            </w:tcBorders>
            <w:shd w:val="clear" w:color="auto" w:fill="auto"/>
            <w:noWrap/>
            <w:vAlign w:val="bottom"/>
            <w:hideMark/>
          </w:tcPr>
          <w:p w14:paraId="662DCC83" w14:textId="03575B02" w:rsidR="00F97AAF" w:rsidRPr="00156A92" w:rsidRDefault="002A03B4" w:rsidP="00C0377E">
            <w:pPr>
              <w:spacing w:after="0" w:line="240" w:lineRule="auto"/>
              <w:rPr>
                <w:rFonts w:eastAsia="Times New Roman" w:cs="Times New Roman"/>
                <w:b/>
                <w:bCs/>
                <w:color w:val="000000"/>
                <w:sz w:val="20"/>
                <w:szCs w:val="20"/>
              </w:rPr>
            </w:pPr>
            <w:r>
              <w:rPr>
                <w:rFonts w:eastAsia="Times New Roman" w:cs="Times New Roman"/>
                <w:b/>
                <w:bCs/>
                <w:color w:val="000000"/>
                <w:sz w:val="20"/>
                <w:szCs w:val="20"/>
              </w:rPr>
              <w:t>S</w:t>
            </w:r>
            <w:r w:rsidR="00F97AAF" w:rsidRPr="00156A92">
              <w:rPr>
                <w:rFonts w:eastAsia="Times New Roman" w:cs="Times New Roman"/>
                <w:b/>
                <w:bCs/>
                <w:color w:val="000000"/>
                <w:sz w:val="20"/>
                <w:szCs w:val="20"/>
              </w:rPr>
              <w:t xml:space="preserve">peak </w:t>
            </w:r>
          </w:p>
        </w:tc>
        <w:tc>
          <w:tcPr>
            <w:tcW w:w="811" w:type="dxa"/>
            <w:tcBorders>
              <w:top w:val="nil"/>
              <w:bottom w:val="single" w:sz="4" w:space="0" w:color="auto"/>
            </w:tcBorders>
            <w:shd w:val="clear" w:color="auto" w:fill="auto"/>
            <w:noWrap/>
            <w:vAlign w:val="bottom"/>
            <w:hideMark/>
          </w:tcPr>
          <w:p w14:paraId="060BB63A" w14:textId="494B17F8" w:rsidR="00F97AAF" w:rsidRPr="00156A92" w:rsidRDefault="002A03B4" w:rsidP="00C0377E">
            <w:pPr>
              <w:spacing w:after="0" w:line="240" w:lineRule="auto"/>
              <w:rPr>
                <w:rFonts w:eastAsia="Times New Roman" w:cs="Times New Roman"/>
                <w:b/>
                <w:bCs/>
                <w:color w:val="000000"/>
                <w:sz w:val="20"/>
                <w:szCs w:val="20"/>
              </w:rPr>
            </w:pPr>
            <w:r>
              <w:rPr>
                <w:rFonts w:eastAsia="Times New Roman" w:cs="Times New Roman"/>
                <w:b/>
                <w:bCs/>
                <w:color w:val="000000"/>
                <w:sz w:val="20"/>
                <w:szCs w:val="20"/>
              </w:rPr>
              <w:t>W</w:t>
            </w:r>
            <w:r w:rsidR="00F97AAF" w:rsidRPr="00156A92">
              <w:rPr>
                <w:rFonts w:eastAsia="Times New Roman" w:cs="Times New Roman"/>
                <w:b/>
                <w:bCs/>
                <w:color w:val="000000"/>
                <w:sz w:val="20"/>
                <w:szCs w:val="20"/>
              </w:rPr>
              <w:t>rite</w:t>
            </w:r>
          </w:p>
        </w:tc>
        <w:tc>
          <w:tcPr>
            <w:tcW w:w="770" w:type="dxa"/>
            <w:tcBorders>
              <w:top w:val="nil"/>
              <w:bottom w:val="single" w:sz="4" w:space="0" w:color="auto"/>
            </w:tcBorders>
            <w:shd w:val="clear" w:color="auto" w:fill="auto"/>
            <w:noWrap/>
            <w:vAlign w:val="bottom"/>
            <w:hideMark/>
          </w:tcPr>
          <w:p w14:paraId="0A5A937C" w14:textId="60E3606E" w:rsidR="00F97AAF" w:rsidRPr="00156A92" w:rsidRDefault="002A03B4" w:rsidP="00C0377E">
            <w:pPr>
              <w:spacing w:after="0" w:line="240" w:lineRule="auto"/>
              <w:rPr>
                <w:rFonts w:eastAsia="Times New Roman" w:cs="Times New Roman"/>
                <w:b/>
                <w:bCs/>
                <w:color w:val="000000"/>
                <w:sz w:val="20"/>
                <w:szCs w:val="20"/>
              </w:rPr>
            </w:pPr>
            <w:r>
              <w:rPr>
                <w:rFonts w:eastAsia="Times New Roman" w:cs="Times New Roman"/>
                <w:b/>
                <w:bCs/>
                <w:color w:val="000000"/>
                <w:sz w:val="20"/>
                <w:szCs w:val="20"/>
              </w:rPr>
              <w:t>S</w:t>
            </w:r>
            <w:r w:rsidR="00F97AAF" w:rsidRPr="00156A92">
              <w:rPr>
                <w:rFonts w:eastAsia="Times New Roman" w:cs="Times New Roman"/>
                <w:b/>
                <w:bCs/>
                <w:color w:val="000000"/>
                <w:sz w:val="20"/>
                <w:szCs w:val="20"/>
              </w:rPr>
              <w:t xml:space="preserve">peak </w:t>
            </w:r>
          </w:p>
        </w:tc>
        <w:tc>
          <w:tcPr>
            <w:tcW w:w="811" w:type="dxa"/>
            <w:tcBorders>
              <w:top w:val="nil"/>
              <w:bottom w:val="single" w:sz="4" w:space="0" w:color="auto"/>
            </w:tcBorders>
            <w:shd w:val="clear" w:color="auto" w:fill="auto"/>
            <w:noWrap/>
            <w:vAlign w:val="bottom"/>
            <w:hideMark/>
          </w:tcPr>
          <w:p w14:paraId="4FD8A94E" w14:textId="0DF745EA" w:rsidR="00F97AAF" w:rsidRPr="00156A92" w:rsidRDefault="002A03B4" w:rsidP="00C0377E">
            <w:pPr>
              <w:spacing w:after="0" w:line="240" w:lineRule="auto"/>
              <w:rPr>
                <w:rFonts w:eastAsia="Times New Roman" w:cs="Times New Roman"/>
                <w:b/>
                <w:bCs/>
                <w:color w:val="000000"/>
                <w:sz w:val="20"/>
                <w:szCs w:val="20"/>
              </w:rPr>
            </w:pPr>
            <w:r>
              <w:rPr>
                <w:rFonts w:eastAsia="Times New Roman" w:cs="Times New Roman"/>
                <w:b/>
                <w:bCs/>
                <w:color w:val="000000"/>
                <w:sz w:val="20"/>
                <w:szCs w:val="20"/>
              </w:rPr>
              <w:t>W</w:t>
            </w:r>
            <w:r w:rsidR="00F97AAF" w:rsidRPr="00156A92">
              <w:rPr>
                <w:rFonts w:eastAsia="Times New Roman" w:cs="Times New Roman"/>
                <w:b/>
                <w:bCs/>
                <w:color w:val="000000"/>
                <w:sz w:val="20"/>
                <w:szCs w:val="20"/>
              </w:rPr>
              <w:t>rite</w:t>
            </w:r>
          </w:p>
        </w:tc>
        <w:tc>
          <w:tcPr>
            <w:tcW w:w="770" w:type="dxa"/>
            <w:tcBorders>
              <w:top w:val="nil"/>
              <w:bottom w:val="single" w:sz="4" w:space="0" w:color="auto"/>
            </w:tcBorders>
            <w:shd w:val="clear" w:color="auto" w:fill="auto"/>
            <w:noWrap/>
            <w:vAlign w:val="bottom"/>
            <w:hideMark/>
          </w:tcPr>
          <w:p w14:paraId="45E3E416" w14:textId="6241CF56" w:rsidR="00F97AAF" w:rsidRPr="00156A92" w:rsidRDefault="002A03B4" w:rsidP="00C0377E">
            <w:pPr>
              <w:spacing w:after="0" w:line="240" w:lineRule="auto"/>
              <w:rPr>
                <w:rFonts w:eastAsia="Times New Roman" w:cs="Times New Roman"/>
                <w:b/>
                <w:bCs/>
                <w:color w:val="000000"/>
                <w:sz w:val="20"/>
                <w:szCs w:val="20"/>
              </w:rPr>
            </w:pPr>
            <w:r>
              <w:rPr>
                <w:rFonts w:eastAsia="Times New Roman" w:cs="Times New Roman"/>
                <w:b/>
                <w:bCs/>
                <w:color w:val="000000"/>
                <w:sz w:val="20"/>
                <w:szCs w:val="20"/>
              </w:rPr>
              <w:t>S</w:t>
            </w:r>
            <w:r w:rsidR="00F97AAF" w:rsidRPr="00156A92">
              <w:rPr>
                <w:rFonts w:eastAsia="Times New Roman" w:cs="Times New Roman"/>
                <w:b/>
                <w:bCs/>
                <w:color w:val="000000"/>
                <w:sz w:val="20"/>
                <w:szCs w:val="20"/>
              </w:rPr>
              <w:t xml:space="preserve">peak </w:t>
            </w:r>
          </w:p>
        </w:tc>
        <w:tc>
          <w:tcPr>
            <w:tcW w:w="811" w:type="dxa"/>
            <w:tcBorders>
              <w:top w:val="nil"/>
              <w:bottom w:val="single" w:sz="4" w:space="0" w:color="auto"/>
            </w:tcBorders>
            <w:shd w:val="clear" w:color="auto" w:fill="auto"/>
            <w:noWrap/>
            <w:vAlign w:val="bottom"/>
            <w:hideMark/>
          </w:tcPr>
          <w:p w14:paraId="52B1F629" w14:textId="11BC1254" w:rsidR="00F97AAF" w:rsidRPr="00156A92" w:rsidRDefault="002A03B4" w:rsidP="00C0377E">
            <w:pPr>
              <w:spacing w:after="0" w:line="240" w:lineRule="auto"/>
              <w:rPr>
                <w:rFonts w:eastAsia="Times New Roman" w:cs="Times New Roman"/>
                <w:b/>
                <w:bCs/>
                <w:color w:val="000000"/>
                <w:sz w:val="20"/>
                <w:szCs w:val="20"/>
              </w:rPr>
            </w:pPr>
            <w:r>
              <w:rPr>
                <w:rFonts w:eastAsia="Times New Roman" w:cs="Times New Roman"/>
                <w:b/>
                <w:bCs/>
                <w:color w:val="000000"/>
                <w:sz w:val="20"/>
                <w:szCs w:val="20"/>
              </w:rPr>
              <w:t>W</w:t>
            </w:r>
            <w:r w:rsidR="00F97AAF" w:rsidRPr="00156A92">
              <w:rPr>
                <w:rFonts w:eastAsia="Times New Roman" w:cs="Times New Roman"/>
                <w:b/>
                <w:bCs/>
                <w:color w:val="000000"/>
                <w:sz w:val="20"/>
                <w:szCs w:val="20"/>
              </w:rPr>
              <w:t>rite</w:t>
            </w:r>
          </w:p>
        </w:tc>
        <w:tc>
          <w:tcPr>
            <w:tcW w:w="770" w:type="dxa"/>
            <w:tcBorders>
              <w:top w:val="nil"/>
              <w:bottom w:val="single" w:sz="4" w:space="0" w:color="auto"/>
            </w:tcBorders>
            <w:shd w:val="clear" w:color="auto" w:fill="auto"/>
            <w:noWrap/>
            <w:vAlign w:val="bottom"/>
            <w:hideMark/>
          </w:tcPr>
          <w:p w14:paraId="103D5864" w14:textId="7717CC32" w:rsidR="00F97AAF" w:rsidRPr="00156A92" w:rsidRDefault="002A03B4" w:rsidP="00C0377E">
            <w:pPr>
              <w:spacing w:after="0" w:line="240" w:lineRule="auto"/>
              <w:rPr>
                <w:rFonts w:eastAsia="Times New Roman" w:cs="Times New Roman"/>
                <w:b/>
                <w:bCs/>
                <w:color w:val="000000"/>
                <w:sz w:val="20"/>
                <w:szCs w:val="20"/>
              </w:rPr>
            </w:pPr>
            <w:r>
              <w:rPr>
                <w:rFonts w:eastAsia="Times New Roman" w:cs="Times New Roman"/>
                <w:b/>
                <w:bCs/>
                <w:color w:val="000000"/>
                <w:sz w:val="20"/>
                <w:szCs w:val="20"/>
              </w:rPr>
              <w:t>S</w:t>
            </w:r>
            <w:r w:rsidR="00F97AAF" w:rsidRPr="00156A92">
              <w:rPr>
                <w:rFonts w:eastAsia="Times New Roman" w:cs="Times New Roman"/>
                <w:b/>
                <w:bCs/>
                <w:color w:val="000000"/>
                <w:sz w:val="20"/>
                <w:szCs w:val="20"/>
              </w:rPr>
              <w:t xml:space="preserve">peak </w:t>
            </w:r>
          </w:p>
        </w:tc>
        <w:tc>
          <w:tcPr>
            <w:tcW w:w="811" w:type="dxa"/>
            <w:tcBorders>
              <w:top w:val="nil"/>
              <w:bottom w:val="single" w:sz="4" w:space="0" w:color="auto"/>
            </w:tcBorders>
            <w:shd w:val="clear" w:color="auto" w:fill="auto"/>
            <w:noWrap/>
            <w:vAlign w:val="bottom"/>
            <w:hideMark/>
          </w:tcPr>
          <w:p w14:paraId="1C74B179" w14:textId="67019665" w:rsidR="00F97AAF" w:rsidRPr="00156A92" w:rsidRDefault="002A03B4" w:rsidP="00C0377E">
            <w:pPr>
              <w:spacing w:after="0" w:line="240" w:lineRule="auto"/>
              <w:rPr>
                <w:rFonts w:eastAsia="Times New Roman" w:cs="Times New Roman"/>
                <w:b/>
                <w:bCs/>
                <w:color w:val="000000"/>
                <w:sz w:val="20"/>
                <w:szCs w:val="20"/>
              </w:rPr>
            </w:pPr>
            <w:r>
              <w:rPr>
                <w:rFonts w:eastAsia="Times New Roman" w:cs="Times New Roman"/>
                <w:b/>
                <w:bCs/>
                <w:color w:val="000000"/>
                <w:sz w:val="20"/>
                <w:szCs w:val="20"/>
              </w:rPr>
              <w:t>W</w:t>
            </w:r>
            <w:r w:rsidR="00F97AAF" w:rsidRPr="00156A92">
              <w:rPr>
                <w:rFonts w:eastAsia="Times New Roman" w:cs="Times New Roman"/>
                <w:b/>
                <w:bCs/>
                <w:color w:val="000000"/>
                <w:sz w:val="20"/>
                <w:szCs w:val="20"/>
              </w:rPr>
              <w:t>rite</w:t>
            </w:r>
          </w:p>
        </w:tc>
        <w:tc>
          <w:tcPr>
            <w:tcW w:w="1031" w:type="dxa"/>
            <w:vMerge/>
            <w:tcBorders>
              <w:top w:val="nil"/>
              <w:bottom w:val="single" w:sz="4" w:space="0" w:color="auto"/>
            </w:tcBorders>
            <w:vAlign w:val="center"/>
            <w:hideMark/>
          </w:tcPr>
          <w:p w14:paraId="43C92AD3" w14:textId="77777777" w:rsidR="00F97AAF" w:rsidRPr="00156A92" w:rsidRDefault="00F97AAF" w:rsidP="00C0377E">
            <w:pPr>
              <w:spacing w:after="0" w:line="240" w:lineRule="auto"/>
              <w:rPr>
                <w:rFonts w:eastAsia="Times New Roman" w:cs="Times New Roman"/>
                <w:b/>
                <w:bCs/>
                <w:color w:val="000000"/>
                <w:sz w:val="20"/>
                <w:szCs w:val="20"/>
              </w:rPr>
            </w:pPr>
          </w:p>
        </w:tc>
      </w:tr>
      <w:tr w:rsidR="00F97AAF" w:rsidRPr="00156A92" w14:paraId="084A49D3" w14:textId="77777777" w:rsidTr="00F6457D">
        <w:trPr>
          <w:trHeight w:val="300"/>
          <w:jc w:val="center"/>
        </w:trPr>
        <w:tc>
          <w:tcPr>
            <w:tcW w:w="1885" w:type="dxa"/>
            <w:tcBorders>
              <w:top w:val="single" w:sz="4" w:space="0" w:color="auto"/>
            </w:tcBorders>
            <w:shd w:val="clear" w:color="auto" w:fill="auto"/>
            <w:noWrap/>
            <w:vAlign w:val="bottom"/>
            <w:hideMark/>
          </w:tcPr>
          <w:p w14:paraId="27CBDCC8" w14:textId="77777777" w:rsidR="00F97AAF" w:rsidRPr="00156A92" w:rsidRDefault="00F97AAF" w:rsidP="00C0377E">
            <w:pPr>
              <w:spacing w:after="0" w:line="240" w:lineRule="auto"/>
              <w:rPr>
                <w:rFonts w:eastAsia="Times New Roman" w:cs="Times New Roman"/>
                <w:b/>
                <w:bCs/>
                <w:color w:val="000000"/>
                <w:sz w:val="20"/>
                <w:szCs w:val="20"/>
              </w:rPr>
            </w:pPr>
            <w:r w:rsidRPr="00156A92">
              <w:rPr>
                <w:rFonts w:eastAsia="Times New Roman" w:cs="Times New Roman"/>
                <w:b/>
                <w:bCs/>
                <w:color w:val="000000"/>
                <w:sz w:val="20"/>
                <w:szCs w:val="20"/>
              </w:rPr>
              <w:t>Central Level</w:t>
            </w:r>
          </w:p>
        </w:tc>
        <w:tc>
          <w:tcPr>
            <w:tcW w:w="880" w:type="dxa"/>
            <w:tcBorders>
              <w:top w:val="single" w:sz="4" w:space="0" w:color="auto"/>
            </w:tcBorders>
            <w:shd w:val="clear" w:color="auto" w:fill="auto"/>
            <w:noWrap/>
            <w:vAlign w:val="center"/>
            <w:hideMark/>
          </w:tcPr>
          <w:p w14:paraId="52E1B67A" w14:textId="77777777"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164</w:t>
            </w:r>
          </w:p>
        </w:tc>
        <w:tc>
          <w:tcPr>
            <w:tcW w:w="811" w:type="dxa"/>
            <w:tcBorders>
              <w:top w:val="single" w:sz="4" w:space="0" w:color="auto"/>
            </w:tcBorders>
            <w:shd w:val="clear" w:color="auto" w:fill="auto"/>
            <w:noWrap/>
            <w:vAlign w:val="center"/>
            <w:hideMark/>
          </w:tcPr>
          <w:p w14:paraId="38224DA6" w14:textId="77777777"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270</w:t>
            </w:r>
          </w:p>
        </w:tc>
        <w:tc>
          <w:tcPr>
            <w:tcW w:w="770" w:type="dxa"/>
            <w:tcBorders>
              <w:top w:val="single" w:sz="4" w:space="0" w:color="auto"/>
            </w:tcBorders>
            <w:shd w:val="clear" w:color="auto" w:fill="auto"/>
            <w:noWrap/>
            <w:vAlign w:val="center"/>
            <w:hideMark/>
          </w:tcPr>
          <w:p w14:paraId="17099F4A" w14:textId="77777777"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160</w:t>
            </w:r>
          </w:p>
        </w:tc>
        <w:tc>
          <w:tcPr>
            <w:tcW w:w="811" w:type="dxa"/>
            <w:tcBorders>
              <w:top w:val="single" w:sz="4" w:space="0" w:color="auto"/>
            </w:tcBorders>
            <w:shd w:val="clear" w:color="auto" w:fill="auto"/>
            <w:noWrap/>
            <w:vAlign w:val="center"/>
            <w:hideMark/>
          </w:tcPr>
          <w:p w14:paraId="6730A662" w14:textId="77777777"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131</w:t>
            </w:r>
          </w:p>
        </w:tc>
        <w:tc>
          <w:tcPr>
            <w:tcW w:w="770" w:type="dxa"/>
            <w:tcBorders>
              <w:top w:val="single" w:sz="4" w:space="0" w:color="auto"/>
            </w:tcBorders>
            <w:shd w:val="clear" w:color="auto" w:fill="auto"/>
            <w:noWrap/>
            <w:vAlign w:val="center"/>
            <w:hideMark/>
          </w:tcPr>
          <w:p w14:paraId="506BE8E6" w14:textId="77777777"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409</w:t>
            </w:r>
          </w:p>
        </w:tc>
        <w:tc>
          <w:tcPr>
            <w:tcW w:w="811" w:type="dxa"/>
            <w:tcBorders>
              <w:top w:val="single" w:sz="4" w:space="0" w:color="auto"/>
            </w:tcBorders>
            <w:shd w:val="clear" w:color="auto" w:fill="auto"/>
            <w:noWrap/>
            <w:vAlign w:val="center"/>
            <w:hideMark/>
          </w:tcPr>
          <w:p w14:paraId="56D29D97" w14:textId="77777777"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371</w:t>
            </w:r>
          </w:p>
        </w:tc>
        <w:tc>
          <w:tcPr>
            <w:tcW w:w="770" w:type="dxa"/>
            <w:tcBorders>
              <w:top w:val="single" w:sz="4" w:space="0" w:color="auto"/>
            </w:tcBorders>
            <w:shd w:val="clear" w:color="auto" w:fill="auto"/>
            <w:noWrap/>
            <w:vAlign w:val="center"/>
            <w:hideMark/>
          </w:tcPr>
          <w:p w14:paraId="68F4821E" w14:textId="77777777"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368</w:t>
            </w:r>
          </w:p>
        </w:tc>
        <w:tc>
          <w:tcPr>
            <w:tcW w:w="811" w:type="dxa"/>
            <w:tcBorders>
              <w:top w:val="single" w:sz="4" w:space="0" w:color="auto"/>
            </w:tcBorders>
            <w:shd w:val="clear" w:color="auto" w:fill="auto"/>
            <w:noWrap/>
            <w:vAlign w:val="center"/>
            <w:hideMark/>
          </w:tcPr>
          <w:p w14:paraId="0730B80E" w14:textId="77777777"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329</w:t>
            </w:r>
          </w:p>
        </w:tc>
        <w:tc>
          <w:tcPr>
            <w:tcW w:w="1031" w:type="dxa"/>
            <w:tcBorders>
              <w:top w:val="single" w:sz="4" w:space="0" w:color="auto"/>
            </w:tcBorders>
            <w:shd w:val="clear" w:color="auto" w:fill="auto"/>
            <w:noWrap/>
            <w:vAlign w:val="center"/>
            <w:hideMark/>
          </w:tcPr>
          <w:p w14:paraId="7311ADED" w14:textId="77777777" w:rsidR="00F97AAF" w:rsidRPr="00156A92" w:rsidRDefault="00F97AAF" w:rsidP="00C0377E">
            <w:pPr>
              <w:spacing w:after="0" w:line="240" w:lineRule="auto"/>
              <w:jc w:val="center"/>
              <w:rPr>
                <w:rFonts w:eastAsia="Times New Roman" w:cs="Times New Roman"/>
                <w:i/>
                <w:color w:val="000000"/>
                <w:sz w:val="20"/>
                <w:szCs w:val="20"/>
              </w:rPr>
            </w:pPr>
            <w:r w:rsidRPr="00156A92">
              <w:rPr>
                <w:rFonts w:eastAsia="Times New Roman" w:cs="Times New Roman"/>
                <w:i/>
                <w:color w:val="000000"/>
                <w:sz w:val="20"/>
                <w:szCs w:val="20"/>
              </w:rPr>
              <w:t>63.6</w:t>
            </w:r>
          </w:p>
        </w:tc>
      </w:tr>
      <w:tr w:rsidR="00F97AAF" w:rsidRPr="00156A92" w14:paraId="3378F56E" w14:textId="77777777" w:rsidTr="00F6457D">
        <w:trPr>
          <w:trHeight w:val="300"/>
          <w:jc w:val="center"/>
        </w:trPr>
        <w:tc>
          <w:tcPr>
            <w:tcW w:w="1885" w:type="dxa"/>
            <w:shd w:val="clear" w:color="auto" w:fill="auto"/>
            <w:noWrap/>
            <w:vAlign w:val="bottom"/>
            <w:hideMark/>
          </w:tcPr>
          <w:p w14:paraId="24FEC659" w14:textId="77777777" w:rsidR="00F97AAF" w:rsidRPr="00156A92" w:rsidRDefault="00F97AAF" w:rsidP="00C0377E">
            <w:pPr>
              <w:spacing w:after="0" w:line="240" w:lineRule="auto"/>
              <w:rPr>
                <w:rFonts w:eastAsia="Times New Roman" w:cs="Times New Roman"/>
                <w:b/>
                <w:bCs/>
                <w:color w:val="000000"/>
                <w:sz w:val="20"/>
                <w:szCs w:val="20"/>
              </w:rPr>
            </w:pPr>
            <w:r w:rsidRPr="00156A92">
              <w:rPr>
                <w:rFonts w:eastAsia="Times New Roman" w:cs="Times New Roman"/>
                <w:b/>
                <w:bCs/>
                <w:color w:val="000000"/>
                <w:sz w:val="20"/>
                <w:szCs w:val="20"/>
              </w:rPr>
              <w:lastRenderedPageBreak/>
              <w:t>Central Equatoria</w:t>
            </w:r>
          </w:p>
        </w:tc>
        <w:tc>
          <w:tcPr>
            <w:tcW w:w="880" w:type="dxa"/>
            <w:shd w:val="clear" w:color="auto" w:fill="auto"/>
            <w:noWrap/>
            <w:vAlign w:val="center"/>
            <w:hideMark/>
          </w:tcPr>
          <w:p w14:paraId="5D0BFBA1" w14:textId="4589C012"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2</w:t>
            </w:r>
            <w:r w:rsidR="005A215A">
              <w:rPr>
                <w:rFonts w:eastAsia="Times New Roman" w:cs="Times New Roman"/>
                <w:color w:val="000000"/>
                <w:sz w:val="20"/>
                <w:szCs w:val="20"/>
              </w:rPr>
              <w:t>,</w:t>
            </w:r>
            <w:r w:rsidRPr="00156A92">
              <w:rPr>
                <w:rFonts w:eastAsia="Times New Roman" w:cs="Times New Roman"/>
                <w:color w:val="000000"/>
                <w:sz w:val="20"/>
                <w:szCs w:val="20"/>
              </w:rPr>
              <w:t>922</w:t>
            </w:r>
          </w:p>
        </w:tc>
        <w:tc>
          <w:tcPr>
            <w:tcW w:w="811" w:type="dxa"/>
            <w:shd w:val="clear" w:color="auto" w:fill="auto"/>
            <w:noWrap/>
            <w:vAlign w:val="center"/>
            <w:hideMark/>
          </w:tcPr>
          <w:p w14:paraId="2FC12B47" w14:textId="5E59F7E5"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4</w:t>
            </w:r>
            <w:r w:rsidR="005A215A">
              <w:rPr>
                <w:rFonts w:eastAsia="Times New Roman" w:cs="Times New Roman"/>
                <w:color w:val="000000"/>
                <w:sz w:val="20"/>
                <w:szCs w:val="20"/>
              </w:rPr>
              <w:t>,</w:t>
            </w:r>
            <w:r w:rsidRPr="00156A92">
              <w:rPr>
                <w:rFonts w:eastAsia="Times New Roman" w:cs="Times New Roman"/>
                <w:color w:val="000000"/>
                <w:sz w:val="20"/>
                <w:szCs w:val="20"/>
              </w:rPr>
              <w:t>105</w:t>
            </w:r>
          </w:p>
        </w:tc>
        <w:tc>
          <w:tcPr>
            <w:tcW w:w="770" w:type="dxa"/>
            <w:shd w:val="clear" w:color="auto" w:fill="auto"/>
            <w:noWrap/>
            <w:vAlign w:val="center"/>
            <w:hideMark/>
          </w:tcPr>
          <w:p w14:paraId="20A609D4" w14:textId="458F5627"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3</w:t>
            </w:r>
            <w:r w:rsidR="005A215A">
              <w:rPr>
                <w:rFonts w:eastAsia="Times New Roman" w:cs="Times New Roman"/>
                <w:color w:val="000000"/>
                <w:sz w:val="20"/>
                <w:szCs w:val="20"/>
              </w:rPr>
              <w:t>,</w:t>
            </w:r>
            <w:r w:rsidRPr="00156A92">
              <w:rPr>
                <w:rFonts w:eastAsia="Times New Roman" w:cs="Times New Roman"/>
                <w:color w:val="000000"/>
                <w:sz w:val="20"/>
                <w:szCs w:val="20"/>
              </w:rPr>
              <w:t>119</w:t>
            </w:r>
          </w:p>
        </w:tc>
        <w:tc>
          <w:tcPr>
            <w:tcW w:w="811" w:type="dxa"/>
            <w:shd w:val="clear" w:color="auto" w:fill="auto"/>
            <w:noWrap/>
            <w:vAlign w:val="center"/>
            <w:hideMark/>
          </w:tcPr>
          <w:p w14:paraId="1CD3C4FD" w14:textId="4BDD478B"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2</w:t>
            </w:r>
            <w:r w:rsidR="005A215A">
              <w:rPr>
                <w:rFonts w:eastAsia="Times New Roman" w:cs="Times New Roman"/>
                <w:color w:val="000000"/>
                <w:sz w:val="20"/>
                <w:szCs w:val="20"/>
              </w:rPr>
              <w:t>,</w:t>
            </w:r>
            <w:r w:rsidRPr="00156A92">
              <w:rPr>
                <w:rFonts w:eastAsia="Times New Roman" w:cs="Times New Roman"/>
                <w:color w:val="000000"/>
                <w:sz w:val="20"/>
                <w:szCs w:val="20"/>
              </w:rPr>
              <w:t>553</w:t>
            </w:r>
          </w:p>
        </w:tc>
        <w:tc>
          <w:tcPr>
            <w:tcW w:w="770" w:type="dxa"/>
            <w:shd w:val="clear" w:color="auto" w:fill="auto"/>
            <w:noWrap/>
            <w:vAlign w:val="center"/>
            <w:hideMark/>
          </w:tcPr>
          <w:p w14:paraId="0338CF84" w14:textId="75C275D1"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4</w:t>
            </w:r>
            <w:r w:rsidR="005A215A">
              <w:rPr>
                <w:rFonts w:eastAsia="Times New Roman" w:cs="Times New Roman"/>
                <w:color w:val="000000"/>
                <w:sz w:val="20"/>
                <w:szCs w:val="20"/>
              </w:rPr>
              <w:t>,</w:t>
            </w:r>
            <w:r w:rsidRPr="00156A92">
              <w:rPr>
                <w:rFonts w:eastAsia="Times New Roman" w:cs="Times New Roman"/>
                <w:color w:val="000000"/>
                <w:sz w:val="20"/>
                <w:szCs w:val="20"/>
              </w:rPr>
              <w:t>506</w:t>
            </w:r>
          </w:p>
        </w:tc>
        <w:tc>
          <w:tcPr>
            <w:tcW w:w="811" w:type="dxa"/>
            <w:shd w:val="clear" w:color="auto" w:fill="auto"/>
            <w:noWrap/>
            <w:vAlign w:val="center"/>
            <w:hideMark/>
          </w:tcPr>
          <w:p w14:paraId="357DB7DF" w14:textId="68558F11"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4</w:t>
            </w:r>
            <w:r w:rsidR="005A215A">
              <w:rPr>
                <w:rFonts w:eastAsia="Times New Roman" w:cs="Times New Roman"/>
                <w:color w:val="000000"/>
                <w:sz w:val="20"/>
                <w:szCs w:val="20"/>
              </w:rPr>
              <w:t>,</w:t>
            </w:r>
            <w:r w:rsidRPr="00156A92">
              <w:rPr>
                <w:rFonts w:eastAsia="Times New Roman" w:cs="Times New Roman"/>
                <w:color w:val="000000"/>
                <w:sz w:val="20"/>
                <w:szCs w:val="20"/>
              </w:rPr>
              <w:t>028</w:t>
            </w:r>
          </w:p>
        </w:tc>
        <w:tc>
          <w:tcPr>
            <w:tcW w:w="770" w:type="dxa"/>
            <w:shd w:val="clear" w:color="auto" w:fill="auto"/>
            <w:noWrap/>
            <w:vAlign w:val="center"/>
            <w:hideMark/>
          </w:tcPr>
          <w:p w14:paraId="3303B357" w14:textId="0F53CB58"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2</w:t>
            </w:r>
            <w:r w:rsidR="005A215A">
              <w:rPr>
                <w:rFonts w:eastAsia="Times New Roman" w:cs="Times New Roman"/>
                <w:color w:val="000000"/>
                <w:sz w:val="20"/>
                <w:szCs w:val="20"/>
              </w:rPr>
              <w:t>,</w:t>
            </w:r>
            <w:r w:rsidRPr="00156A92">
              <w:rPr>
                <w:rFonts w:eastAsia="Times New Roman" w:cs="Times New Roman"/>
                <w:color w:val="000000"/>
                <w:sz w:val="20"/>
                <w:szCs w:val="20"/>
              </w:rPr>
              <w:t>139</w:t>
            </w:r>
          </w:p>
        </w:tc>
        <w:tc>
          <w:tcPr>
            <w:tcW w:w="811" w:type="dxa"/>
            <w:shd w:val="clear" w:color="auto" w:fill="auto"/>
            <w:noWrap/>
            <w:vAlign w:val="center"/>
            <w:hideMark/>
          </w:tcPr>
          <w:p w14:paraId="3003EC78" w14:textId="1CAC9723"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2</w:t>
            </w:r>
            <w:r w:rsidR="005A215A">
              <w:rPr>
                <w:rFonts w:eastAsia="Times New Roman" w:cs="Times New Roman"/>
                <w:color w:val="000000"/>
                <w:sz w:val="20"/>
                <w:szCs w:val="20"/>
              </w:rPr>
              <w:t>,</w:t>
            </w:r>
            <w:r w:rsidRPr="00156A92">
              <w:rPr>
                <w:rFonts w:eastAsia="Times New Roman" w:cs="Times New Roman"/>
                <w:color w:val="000000"/>
                <w:sz w:val="20"/>
                <w:szCs w:val="20"/>
              </w:rPr>
              <w:t>000</w:t>
            </w:r>
          </w:p>
        </w:tc>
        <w:tc>
          <w:tcPr>
            <w:tcW w:w="1031" w:type="dxa"/>
            <w:shd w:val="clear" w:color="auto" w:fill="auto"/>
            <w:noWrap/>
            <w:vAlign w:val="center"/>
            <w:hideMark/>
          </w:tcPr>
          <w:p w14:paraId="21938599" w14:textId="77777777" w:rsidR="00F97AAF" w:rsidRPr="00156A92" w:rsidRDefault="00F97AAF" w:rsidP="00C0377E">
            <w:pPr>
              <w:spacing w:after="0" w:line="240" w:lineRule="auto"/>
              <w:jc w:val="center"/>
              <w:rPr>
                <w:rFonts w:eastAsia="Times New Roman" w:cs="Times New Roman"/>
                <w:i/>
                <w:color w:val="000000"/>
                <w:sz w:val="20"/>
                <w:szCs w:val="20"/>
              </w:rPr>
            </w:pPr>
            <w:r w:rsidRPr="00156A92">
              <w:rPr>
                <w:rFonts w:eastAsia="Times New Roman" w:cs="Times New Roman"/>
                <w:i/>
                <w:color w:val="000000"/>
                <w:sz w:val="20"/>
                <w:szCs w:val="20"/>
              </w:rPr>
              <w:t>47.5</w:t>
            </w:r>
          </w:p>
        </w:tc>
      </w:tr>
      <w:tr w:rsidR="00F97AAF" w:rsidRPr="00156A92" w14:paraId="762C87CB" w14:textId="77777777" w:rsidTr="00F6457D">
        <w:trPr>
          <w:trHeight w:val="300"/>
          <w:jc w:val="center"/>
        </w:trPr>
        <w:tc>
          <w:tcPr>
            <w:tcW w:w="1885" w:type="dxa"/>
            <w:shd w:val="clear" w:color="auto" w:fill="auto"/>
            <w:noWrap/>
            <w:vAlign w:val="bottom"/>
            <w:hideMark/>
          </w:tcPr>
          <w:p w14:paraId="426C554D" w14:textId="77777777" w:rsidR="00F97AAF" w:rsidRPr="00156A92" w:rsidRDefault="00F97AAF" w:rsidP="00C0377E">
            <w:pPr>
              <w:spacing w:after="0" w:line="240" w:lineRule="auto"/>
              <w:rPr>
                <w:rFonts w:eastAsia="Times New Roman" w:cs="Times New Roman"/>
                <w:b/>
                <w:bCs/>
                <w:color w:val="000000"/>
                <w:sz w:val="20"/>
                <w:szCs w:val="20"/>
              </w:rPr>
            </w:pPr>
            <w:r w:rsidRPr="00156A92">
              <w:rPr>
                <w:rFonts w:eastAsia="Times New Roman" w:cs="Times New Roman"/>
                <w:b/>
                <w:bCs/>
                <w:color w:val="000000"/>
                <w:sz w:val="20"/>
                <w:szCs w:val="20"/>
              </w:rPr>
              <w:t>Eastern Equatoria</w:t>
            </w:r>
          </w:p>
        </w:tc>
        <w:tc>
          <w:tcPr>
            <w:tcW w:w="880" w:type="dxa"/>
            <w:shd w:val="clear" w:color="auto" w:fill="auto"/>
            <w:noWrap/>
            <w:vAlign w:val="center"/>
            <w:hideMark/>
          </w:tcPr>
          <w:p w14:paraId="51114ABB" w14:textId="509A56B8"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1</w:t>
            </w:r>
            <w:r w:rsidR="005A215A">
              <w:rPr>
                <w:rFonts w:eastAsia="Times New Roman" w:cs="Times New Roman"/>
                <w:color w:val="000000"/>
                <w:sz w:val="20"/>
                <w:szCs w:val="20"/>
              </w:rPr>
              <w:t>,</w:t>
            </w:r>
            <w:r w:rsidRPr="00156A92">
              <w:rPr>
                <w:rFonts w:eastAsia="Times New Roman" w:cs="Times New Roman"/>
                <w:color w:val="000000"/>
                <w:sz w:val="20"/>
                <w:szCs w:val="20"/>
              </w:rPr>
              <w:t>263</w:t>
            </w:r>
          </w:p>
        </w:tc>
        <w:tc>
          <w:tcPr>
            <w:tcW w:w="811" w:type="dxa"/>
            <w:shd w:val="clear" w:color="auto" w:fill="auto"/>
            <w:noWrap/>
            <w:vAlign w:val="center"/>
            <w:hideMark/>
          </w:tcPr>
          <w:p w14:paraId="1F6CC705" w14:textId="3C87E309"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1</w:t>
            </w:r>
            <w:r w:rsidR="005A215A">
              <w:rPr>
                <w:rFonts w:eastAsia="Times New Roman" w:cs="Times New Roman"/>
                <w:color w:val="000000"/>
                <w:sz w:val="20"/>
                <w:szCs w:val="20"/>
              </w:rPr>
              <w:t>,</w:t>
            </w:r>
            <w:r w:rsidRPr="00156A92">
              <w:rPr>
                <w:rFonts w:eastAsia="Times New Roman" w:cs="Times New Roman"/>
                <w:color w:val="000000"/>
                <w:sz w:val="20"/>
                <w:szCs w:val="20"/>
              </w:rPr>
              <w:t>724</w:t>
            </w:r>
          </w:p>
        </w:tc>
        <w:tc>
          <w:tcPr>
            <w:tcW w:w="770" w:type="dxa"/>
            <w:shd w:val="clear" w:color="auto" w:fill="auto"/>
            <w:noWrap/>
            <w:vAlign w:val="center"/>
            <w:hideMark/>
          </w:tcPr>
          <w:p w14:paraId="2B1BD18D" w14:textId="26E8F8DA"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1</w:t>
            </w:r>
            <w:r w:rsidR="005A215A">
              <w:rPr>
                <w:rFonts w:eastAsia="Times New Roman" w:cs="Times New Roman"/>
                <w:color w:val="000000"/>
                <w:sz w:val="20"/>
                <w:szCs w:val="20"/>
              </w:rPr>
              <w:t>,</w:t>
            </w:r>
            <w:r w:rsidRPr="00156A92">
              <w:rPr>
                <w:rFonts w:eastAsia="Times New Roman" w:cs="Times New Roman"/>
                <w:color w:val="000000"/>
                <w:sz w:val="20"/>
                <w:szCs w:val="20"/>
              </w:rPr>
              <w:t>452</w:t>
            </w:r>
          </w:p>
        </w:tc>
        <w:tc>
          <w:tcPr>
            <w:tcW w:w="811" w:type="dxa"/>
            <w:shd w:val="clear" w:color="auto" w:fill="auto"/>
            <w:noWrap/>
            <w:vAlign w:val="center"/>
            <w:hideMark/>
          </w:tcPr>
          <w:p w14:paraId="6542D3AE" w14:textId="030E7392"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1</w:t>
            </w:r>
            <w:r w:rsidR="005A215A">
              <w:rPr>
                <w:rFonts w:eastAsia="Times New Roman" w:cs="Times New Roman"/>
                <w:color w:val="000000"/>
                <w:sz w:val="20"/>
                <w:szCs w:val="20"/>
              </w:rPr>
              <w:t>,</w:t>
            </w:r>
            <w:r w:rsidRPr="00156A92">
              <w:rPr>
                <w:rFonts w:eastAsia="Times New Roman" w:cs="Times New Roman"/>
                <w:color w:val="000000"/>
                <w:sz w:val="20"/>
                <w:szCs w:val="20"/>
              </w:rPr>
              <w:t>243</w:t>
            </w:r>
          </w:p>
        </w:tc>
        <w:tc>
          <w:tcPr>
            <w:tcW w:w="770" w:type="dxa"/>
            <w:shd w:val="clear" w:color="auto" w:fill="auto"/>
            <w:noWrap/>
            <w:vAlign w:val="center"/>
            <w:hideMark/>
          </w:tcPr>
          <w:p w14:paraId="4FBFA2A9" w14:textId="402EC1AC"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2</w:t>
            </w:r>
            <w:r w:rsidR="005A215A">
              <w:rPr>
                <w:rFonts w:eastAsia="Times New Roman" w:cs="Times New Roman"/>
                <w:color w:val="000000"/>
                <w:sz w:val="20"/>
                <w:szCs w:val="20"/>
              </w:rPr>
              <w:t>,</w:t>
            </w:r>
            <w:r w:rsidRPr="00156A92">
              <w:rPr>
                <w:rFonts w:eastAsia="Times New Roman" w:cs="Times New Roman"/>
                <w:color w:val="000000"/>
                <w:sz w:val="20"/>
                <w:szCs w:val="20"/>
              </w:rPr>
              <w:t>019</w:t>
            </w:r>
          </w:p>
        </w:tc>
        <w:tc>
          <w:tcPr>
            <w:tcW w:w="811" w:type="dxa"/>
            <w:shd w:val="clear" w:color="auto" w:fill="auto"/>
            <w:noWrap/>
            <w:vAlign w:val="center"/>
            <w:hideMark/>
          </w:tcPr>
          <w:p w14:paraId="05D00F2E" w14:textId="355E7018"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1</w:t>
            </w:r>
            <w:r w:rsidR="005A215A">
              <w:rPr>
                <w:rFonts w:eastAsia="Times New Roman" w:cs="Times New Roman"/>
                <w:color w:val="000000"/>
                <w:sz w:val="20"/>
                <w:szCs w:val="20"/>
              </w:rPr>
              <w:t>,</w:t>
            </w:r>
            <w:r w:rsidRPr="00156A92">
              <w:rPr>
                <w:rFonts w:eastAsia="Times New Roman" w:cs="Times New Roman"/>
                <w:color w:val="000000"/>
                <w:sz w:val="20"/>
                <w:szCs w:val="20"/>
              </w:rPr>
              <w:t>838</w:t>
            </w:r>
          </w:p>
        </w:tc>
        <w:tc>
          <w:tcPr>
            <w:tcW w:w="770" w:type="dxa"/>
            <w:shd w:val="clear" w:color="auto" w:fill="auto"/>
            <w:noWrap/>
            <w:vAlign w:val="center"/>
            <w:hideMark/>
          </w:tcPr>
          <w:p w14:paraId="19E30CC3" w14:textId="77777777"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920</w:t>
            </w:r>
          </w:p>
        </w:tc>
        <w:tc>
          <w:tcPr>
            <w:tcW w:w="811" w:type="dxa"/>
            <w:shd w:val="clear" w:color="auto" w:fill="auto"/>
            <w:noWrap/>
            <w:vAlign w:val="center"/>
            <w:hideMark/>
          </w:tcPr>
          <w:p w14:paraId="366D5F65" w14:textId="77777777"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849</w:t>
            </w:r>
          </w:p>
        </w:tc>
        <w:tc>
          <w:tcPr>
            <w:tcW w:w="1031" w:type="dxa"/>
            <w:shd w:val="clear" w:color="auto" w:fill="auto"/>
            <w:noWrap/>
            <w:vAlign w:val="center"/>
            <w:hideMark/>
          </w:tcPr>
          <w:p w14:paraId="1CF17545" w14:textId="77777777" w:rsidR="00F97AAF" w:rsidRPr="00156A92" w:rsidRDefault="00F97AAF" w:rsidP="00C0377E">
            <w:pPr>
              <w:spacing w:after="0" w:line="240" w:lineRule="auto"/>
              <w:jc w:val="center"/>
              <w:rPr>
                <w:rFonts w:eastAsia="Times New Roman" w:cs="Times New Roman"/>
                <w:i/>
                <w:color w:val="000000"/>
                <w:sz w:val="20"/>
                <w:szCs w:val="20"/>
              </w:rPr>
            </w:pPr>
            <w:r w:rsidRPr="00156A92">
              <w:rPr>
                <w:rFonts w:eastAsia="Times New Roman" w:cs="Times New Roman"/>
                <w:i/>
                <w:color w:val="000000"/>
                <w:sz w:val="20"/>
                <w:szCs w:val="20"/>
              </w:rPr>
              <w:t>47.5</w:t>
            </w:r>
          </w:p>
        </w:tc>
      </w:tr>
      <w:tr w:rsidR="00F97AAF" w:rsidRPr="00156A92" w14:paraId="6590F4D1" w14:textId="77777777" w:rsidTr="00F6457D">
        <w:trPr>
          <w:trHeight w:val="300"/>
          <w:jc w:val="center"/>
        </w:trPr>
        <w:tc>
          <w:tcPr>
            <w:tcW w:w="1885" w:type="dxa"/>
            <w:shd w:val="clear" w:color="auto" w:fill="auto"/>
            <w:noWrap/>
            <w:vAlign w:val="bottom"/>
            <w:hideMark/>
          </w:tcPr>
          <w:p w14:paraId="25626BA3" w14:textId="77777777" w:rsidR="00F97AAF" w:rsidRPr="00156A92" w:rsidRDefault="00F97AAF" w:rsidP="00C0377E">
            <w:pPr>
              <w:spacing w:after="0" w:line="240" w:lineRule="auto"/>
              <w:rPr>
                <w:rFonts w:eastAsia="Times New Roman" w:cs="Times New Roman"/>
                <w:b/>
                <w:bCs/>
                <w:color w:val="000000"/>
                <w:sz w:val="20"/>
                <w:szCs w:val="20"/>
              </w:rPr>
            </w:pPr>
            <w:r w:rsidRPr="00156A92">
              <w:rPr>
                <w:rFonts w:eastAsia="Times New Roman" w:cs="Times New Roman"/>
                <w:b/>
                <w:bCs/>
                <w:color w:val="000000"/>
                <w:sz w:val="20"/>
                <w:szCs w:val="20"/>
              </w:rPr>
              <w:t>Jonglei</w:t>
            </w:r>
          </w:p>
        </w:tc>
        <w:tc>
          <w:tcPr>
            <w:tcW w:w="880" w:type="dxa"/>
            <w:shd w:val="clear" w:color="auto" w:fill="auto"/>
            <w:noWrap/>
            <w:vAlign w:val="center"/>
            <w:hideMark/>
          </w:tcPr>
          <w:p w14:paraId="4BC80D7A" w14:textId="4BFDA510"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1</w:t>
            </w:r>
            <w:r w:rsidR="005A215A">
              <w:rPr>
                <w:rFonts w:eastAsia="Times New Roman" w:cs="Times New Roman"/>
                <w:color w:val="000000"/>
                <w:sz w:val="20"/>
                <w:szCs w:val="20"/>
              </w:rPr>
              <w:t>,</w:t>
            </w:r>
            <w:r w:rsidRPr="00156A92">
              <w:rPr>
                <w:rFonts w:eastAsia="Times New Roman" w:cs="Times New Roman"/>
                <w:color w:val="000000"/>
                <w:sz w:val="20"/>
                <w:szCs w:val="20"/>
              </w:rPr>
              <w:t>977</w:t>
            </w:r>
          </w:p>
        </w:tc>
        <w:tc>
          <w:tcPr>
            <w:tcW w:w="811" w:type="dxa"/>
            <w:shd w:val="clear" w:color="auto" w:fill="auto"/>
            <w:noWrap/>
            <w:vAlign w:val="center"/>
            <w:hideMark/>
          </w:tcPr>
          <w:p w14:paraId="54B9E32D" w14:textId="441D97C0"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2</w:t>
            </w:r>
            <w:r w:rsidR="005A215A">
              <w:rPr>
                <w:rFonts w:eastAsia="Times New Roman" w:cs="Times New Roman"/>
                <w:color w:val="000000"/>
                <w:sz w:val="20"/>
                <w:szCs w:val="20"/>
              </w:rPr>
              <w:t>,</w:t>
            </w:r>
            <w:r w:rsidRPr="00156A92">
              <w:rPr>
                <w:rFonts w:eastAsia="Times New Roman" w:cs="Times New Roman"/>
                <w:color w:val="000000"/>
                <w:sz w:val="20"/>
                <w:szCs w:val="20"/>
              </w:rPr>
              <w:t>255</w:t>
            </w:r>
          </w:p>
        </w:tc>
        <w:tc>
          <w:tcPr>
            <w:tcW w:w="770" w:type="dxa"/>
            <w:shd w:val="clear" w:color="auto" w:fill="auto"/>
            <w:noWrap/>
            <w:vAlign w:val="center"/>
            <w:hideMark/>
          </w:tcPr>
          <w:p w14:paraId="7A4D17BA" w14:textId="77777777"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725</w:t>
            </w:r>
          </w:p>
        </w:tc>
        <w:tc>
          <w:tcPr>
            <w:tcW w:w="811" w:type="dxa"/>
            <w:shd w:val="clear" w:color="auto" w:fill="auto"/>
            <w:noWrap/>
            <w:vAlign w:val="center"/>
            <w:hideMark/>
          </w:tcPr>
          <w:p w14:paraId="7A94275D" w14:textId="77777777"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640</w:t>
            </w:r>
          </w:p>
        </w:tc>
        <w:tc>
          <w:tcPr>
            <w:tcW w:w="770" w:type="dxa"/>
            <w:shd w:val="clear" w:color="auto" w:fill="auto"/>
            <w:noWrap/>
            <w:vAlign w:val="center"/>
            <w:hideMark/>
          </w:tcPr>
          <w:p w14:paraId="20B71119" w14:textId="5CC8A8F1"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1</w:t>
            </w:r>
            <w:r w:rsidR="005A215A">
              <w:rPr>
                <w:rFonts w:eastAsia="Times New Roman" w:cs="Times New Roman"/>
                <w:color w:val="000000"/>
                <w:sz w:val="20"/>
                <w:szCs w:val="20"/>
              </w:rPr>
              <w:t>,</w:t>
            </w:r>
            <w:r w:rsidRPr="00156A92">
              <w:rPr>
                <w:rFonts w:eastAsia="Times New Roman" w:cs="Times New Roman"/>
                <w:color w:val="000000"/>
                <w:sz w:val="20"/>
                <w:szCs w:val="20"/>
              </w:rPr>
              <w:t>224</w:t>
            </w:r>
          </w:p>
        </w:tc>
        <w:tc>
          <w:tcPr>
            <w:tcW w:w="811" w:type="dxa"/>
            <w:shd w:val="clear" w:color="auto" w:fill="auto"/>
            <w:noWrap/>
            <w:vAlign w:val="center"/>
            <w:hideMark/>
          </w:tcPr>
          <w:p w14:paraId="2A17BEBB" w14:textId="02FF184C"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1</w:t>
            </w:r>
            <w:r w:rsidR="005A215A">
              <w:rPr>
                <w:rFonts w:eastAsia="Times New Roman" w:cs="Times New Roman"/>
                <w:color w:val="000000"/>
                <w:sz w:val="20"/>
                <w:szCs w:val="20"/>
              </w:rPr>
              <w:t>,</w:t>
            </w:r>
            <w:r w:rsidRPr="00156A92">
              <w:rPr>
                <w:rFonts w:eastAsia="Times New Roman" w:cs="Times New Roman"/>
                <w:color w:val="000000"/>
                <w:sz w:val="20"/>
                <w:szCs w:val="20"/>
              </w:rPr>
              <w:t>067</w:t>
            </w:r>
          </w:p>
        </w:tc>
        <w:tc>
          <w:tcPr>
            <w:tcW w:w="770" w:type="dxa"/>
            <w:shd w:val="clear" w:color="auto" w:fill="auto"/>
            <w:noWrap/>
            <w:vAlign w:val="center"/>
            <w:hideMark/>
          </w:tcPr>
          <w:p w14:paraId="6BFCCCD2" w14:textId="77777777"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470</w:t>
            </w:r>
          </w:p>
        </w:tc>
        <w:tc>
          <w:tcPr>
            <w:tcW w:w="811" w:type="dxa"/>
            <w:shd w:val="clear" w:color="auto" w:fill="auto"/>
            <w:noWrap/>
            <w:vAlign w:val="center"/>
            <w:hideMark/>
          </w:tcPr>
          <w:p w14:paraId="5C4A79AA" w14:textId="77777777"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434</w:t>
            </w:r>
          </w:p>
        </w:tc>
        <w:tc>
          <w:tcPr>
            <w:tcW w:w="1031" w:type="dxa"/>
            <w:shd w:val="clear" w:color="auto" w:fill="auto"/>
            <w:noWrap/>
            <w:vAlign w:val="center"/>
            <w:hideMark/>
          </w:tcPr>
          <w:p w14:paraId="302A65D2" w14:textId="77777777" w:rsidR="00F97AAF" w:rsidRPr="00156A92" w:rsidRDefault="00F97AAF" w:rsidP="00C0377E">
            <w:pPr>
              <w:spacing w:after="0" w:line="240" w:lineRule="auto"/>
              <w:jc w:val="center"/>
              <w:rPr>
                <w:rFonts w:eastAsia="Times New Roman" w:cs="Times New Roman"/>
                <w:i/>
                <w:color w:val="000000"/>
                <w:sz w:val="20"/>
                <w:szCs w:val="20"/>
              </w:rPr>
            </w:pPr>
            <w:r w:rsidRPr="00156A92">
              <w:rPr>
                <w:rFonts w:eastAsia="Times New Roman" w:cs="Times New Roman"/>
                <w:i/>
                <w:color w:val="000000"/>
                <w:sz w:val="20"/>
                <w:szCs w:val="20"/>
              </w:rPr>
              <w:t>34.1</w:t>
            </w:r>
          </w:p>
        </w:tc>
      </w:tr>
      <w:tr w:rsidR="00F97AAF" w:rsidRPr="00156A92" w14:paraId="1A9AAAA6" w14:textId="77777777" w:rsidTr="00F6457D">
        <w:trPr>
          <w:trHeight w:val="300"/>
          <w:jc w:val="center"/>
        </w:trPr>
        <w:tc>
          <w:tcPr>
            <w:tcW w:w="1885" w:type="dxa"/>
            <w:shd w:val="clear" w:color="auto" w:fill="auto"/>
            <w:noWrap/>
            <w:vAlign w:val="bottom"/>
            <w:hideMark/>
          </w:tcPr>
          <w:p w14:paraId="050CD35E" w14:textId="77777777" w:rsidR="00F97AAF" w:rsidRPr="00156A92" w:rsidRDefault="00F97AAF" w:rsidP="00C0377E">
            <w:pPr>
              <w:spacing w:after="0" w:line="240" w:lineRule="auto"/>
              <w:rPr>
                <w:rFonts w:eastAsia="Times New Roman" w:cs="Times New Roman"/>
                <w:b/>
                <w:bCs/>
                <w:color w:val="000000"/>
                <w:sz w:val="20"/>
                <w:szCs w:val="20"/>
              </w:rPr>
            </w:pPr>
            <w:r w:rsidRPr="00156A92">
              <w:rPr>
                <w:rFonts w:eastAsia="Times New Roman" w:cs="Times New Roman"/>
                <w:b/>
                <w:bCs/>
                <w:color w:val="000000"/>
                <w:sz w:val="20"/>
                <w:szCs w:val="20"/>
              </w:rPr>
              <w:t>Lakes</w:t>
            </w:r>
          </w:p>
        </w:tc>
        <w:tc>
          <w:tcPr>
            <w:tcW w:w="880" w:type="dxa"/>
            <w:shd w:val="clear" w:color="auto" w:fill="auto"/>
            <w:noWrap/>
            <w:vAlign w:val="center"/>
            <w:hideMark/>
          </w:tcPr>
          <w:p w14:paraId="58155DAB" w14:textId="5CB236F2"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3</w:t>
            </w:r>
            <w:r w:rsidR="005A215A">
              <w:rPr>
                <w:rFonts w:eastAsia="Times New Roman" w:cs="Times New Roman"/>
                <w:color w:val="000000"/>
                <w:sz w:val="20"/>
                <w:szCs w:val="20"/>
              </w:rPr>
              <w:t>,</w:t>
            </w:r>
            <w:r w:rsidRPr="00156A92">
              <w:rPr>
                <w:rFonts w:eastAsia="Times New Roman" w:cs="Times New Roman"/>
                <w:color w:val="000000"/>
                <w:sz w:val="20"/>
                <w:szCs w:val="20"/>
              </w:rPr>
              <w:t>489</w:t>
            </w:r>
          </w:p>
        </w:tc>
        <w:tc>
          <w:tcPr>
            <w:tcW w:w="811" w:type="dxa"/>
            <w:shd w:val="clear" w:color="auto" w:fill="auto"/>
            <w:noWrap/>
            <w:vAlign w:val="center"/>
            <w:hideMark/>
          </w:tcPr>
          <w:p w14:paraId="46B73C84" w14:textId="3E538587"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4</w:t>
            </w:r>
            <w:r w:rsidR="005A215A">
              <w:rPr>
                <w:rFonts w:eastAsia="Times New Roman" w:cs="Times New Roman"/>
                <w:color w:val="000000"/>
                <w:sz w:val="20"/>
                <w:szCs w:val="20"/>
              </w:rPr>
              <w:t>,</w:t>
            </w:r>
            <w:r w:rsidRPr="00156A92">
              <w:rPr>
                <w:rFonts w:eastAsia="Times New Roman" w:cs="Times New Roman"/>
                <w:color w:val="000000"/>
                <w:sz w:val="20"/>
                <w:szCs w:val="20"/>
              </w:rPr>
              <w:t>117</w:t>
            </w:r>
          </w:p>
        </w:tc>
        <w:tc>
          <w:tcPr>
            <w:tcW w:w="770" w:type="dxa"/>
            <w:shd w:val="clear" w:color="auto" w:fill="auto"/>
            <w:noWrap/>
            <w:vAlign w:val="center"/>
            <w:hideMark/>
          </w:tcPr>
          <w:p w14:paraId="7E997428" w14:textId="77777777"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931</w:t>
            </w:r>
          </w:p>
        </w:tc>
        <w:tc>
          <w:tcPr>
            <w:tcW w:w="811" w:type="dxa"/>
            <w:shd w:val="clear" w:color="auto" w:fill="auto"/>
            <w:noWrap/>
            <w:vAlign w:val="center"/>
            <w:hideMark/>
          </w:tcPr>
          <w:p w14:paraId="600A2B6C" w14:textId="77777777"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700</w:t>
            </w:r>
          </w:p>
        </w:tc>
        <w:tc>
          <w:tcPr>
            <w:tcW w:w="770" w:type="dxa"/>
            <w:shd w:val="clear" w:color="auto" w:fill="auto"/>
            <w:noWrap/>
            <w:vAlign w:val="center"/>
            <w:hideMark/>
          </w:tcPr>
          <w:p w14:paraId="0130C90C" w14:textId="19060E01"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1</w:t>
            </w:r>
            <w:r w:rsidR="005A215A">
              <w:rPr>
                <w:rFonts w:eastAsia="Times New Roman" w:cs="Times New Roman"/>
                <w:color w:val="000000"/>
                <w:sz w:val="20"/>
                <w:szCs w:val="20"/>
              </w:rPr>
              <w:t>,</w:t>
            </w:r>
            <w:r w:rsidRPr="00156A92">
              <w:rPr>
                <w:rFonts w:eastAsia="Times New Roman" w:cs="Times New Roman"/>
                <w:color w:val="000000"/>
                <w:sz w:val="20"/>
                <w:szCs w:val="20"/>
              </w:rPr>
              <w:t>154</w:t>
            </w:r>
          </w:p>
        </w:tc>
        <w:tc>
          <w:tcPr>
            <w:tcW w:w="811" w:type="dxa"/>
            <w:shd w:val="clear" w:color="auto" w:fill="auto"/>
            <w:noWrap/>
            <w:vAlign w:val="center"/>
            <w:hideMark/>
          </w:tcPr>
          <w:p w14:paraId="479D79AC" w14:textId="77777777"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955</w:t>
            </w:r>
          </w:p>
        </w:tc>
        <w:tc>
          <w:tcPr>
            <w:tcW w:w="770" w:type="dxa"/>
            <w:shd w:val="clear" w:color="auto" w:fill="auto"/>
            <w:noWrap/>
            <w:vAlign w:val="center"/>
            <w:hideMark/>
          </w:tcPr>
          <w:p w14:paraId="7F518AAE" w14:textId="77777777"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795</w:t>
            </w:r>
          </w:p>
        </w:tc>
        <w:tc>
          <w:tcPr>
            <w:tcW w:w="811" w:type="dxa"/>
            <w:shd w:val="clear" w:color="auto" w:fill="auto"/>
            <w:noWrap/>
            <w:vAlign w:val="center"/>
            <w:hideMark/>
          </w:tcPr>
          <w:p w14:paraId="764240A6" w14:textId="77777777"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597</w:t>
            </w:r>
          </w:p>
        </w:tc>
        <w:tc>
          <w:tcPr>
            <w:tcW w:w="1031" w:type="dxa"/>
            <w:shd w:val="clear" w:color="auto" w:fill="auto"/>
            <w:noWrap/>
            <w:vAlign w:val="center"/>
            <w:hideMark/>
          </w:tcPr>
          <w:p w14:paraId="66B721DB" w14:textId="77777777" w:rsidR="00F97AAF" w:rsidRPr="00156A92" w:rsidRDefault="00F97AAF" w:rsidP="00C0377E">
            <w:pPr>
              <w:spacing w:after="0" w:line="240" w:lineRule="auto"/>
              <w:jc w:val="center"/>
              <w:rPr>
                <w:rFonts w:eastAsia="Times New Roman" w:cs="Times New Roman"/>
                <w:i/>
                <w:color w:val="000000"/>
                <w:sz w:val="20"/>
                <w:szCs w:val="20"/>
              </w:rPr>
            </w:pPr>
            <w:r w:rsidRPr="00156A92">
              <w:rPr>
                <w:rFonts w:eastAsia="Times New Roman" w:cs="Times New Roman"/>
                <w:i/>
                <w:color w:val="000000"/>
                <w:sz w:val="20"/>
                <w:szCs w:val="20"/>
              </w:rPr>
              <w:t>24.4</w:t>
            </w:r>
          </w:p>
        </w:tc>
      </w:tr>
      <w:tr w:rsidR="00F97AAF" w:rsidRPr="00156A92" w14:paraId="5AD67D33" w14:textId="77777777" w:rsidTr="00F6457D">
        <w:trPr>
          <w:trHeight w:val="300"/>
          <w:jc w:val="center"/>
        </w:trPr>
        <w:tc>
          <w:tcPr>
            <w:tcW w:w="1885" w:type="dxa"/>
            <w:shd w:val="clear" w:color="auto" w:fill="auto"/>
            <w:noWrap/>
            <w:vAlign w:val="bottom"/>
            <w:hideMark/>
          </w:tcPr>
          <w:p w14:paraId="3A915ED9" w14:textId="77777777" w:rsidR="00F97AAF" w:rsidRPr="00156A92" w:rsidRDefault="00F97AAF" w:rsidP="00C0377E">
            <w:pPr>
              <w:spacing w:after="0" w:line="240" w:lineRule="auto"/>
              <w:rPr>
                <w:rFonts w:eastAsia="Times New Roman" w:cs="Times New Roman"/>
                <w:b/>
                <w:bCs/>
                <w:color w:val="000000"/>
                <w:sz w:val="20"/>
                <w:szCs w:val="20"/>
              </w:rPr>
            </w:pPr>
            <w:r w:rsidRPr="00156A92">
              <w:rPr>
                <w:rFonts w:eastAsia="Times New Roman" w:cs="Times New Roman"/>
                <w:b/>
                <w:bCs/>
                <w:color w:val="000000"/>
                <w:sz w:val="20"/>
                <w:szCs w:val="20"/>
              </w:rPr>
              <w:t>Northern Bahr-el-Ghazal</w:t>
            </w:r>
          </w:p>
        </w:tc>
        <w:tc>
          <w:tcPr>
            <w:tcW w:w="880" w:type="dxa"/>
            <w:shd w:val="clear" w:color="auto" w:fill="auto"/>
            <w:noWrap/>
            <w:vAlign w:val="center"/>
            <w:hideMark/>
          </w:tcPr>
          <w:p w14:paraId="75F07BAD" w14:textId="3BF2BD7A"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2</w:t>
            </w:r>
            <w:r w:rsidR="005A215A">
              <w:rPr>
                <w:rFonts w:eastAsia="Times New Roman" w:cs="Times New Roman"/>
                <w:color w:val="000000"/>
                <w:sz w:val="20"/>
                <w:szCs w:val="20"/>
              </w:rPr>
              <w:t>,</w:t>
            </w:r>
            <w:r w:rsidRPr="00156A92">
              <w:rPr>
                <w:rFonts w:eastAsia="Times New Roman" w:cs="Times New Roman"/>
                <w:color w:val="000000"/>
                <w:sz w:val="20"/>
                <w:szCs w:val="20"/>
              </w:rPr>
              <w:t>756</w:t>
            </w:r>
          </w:p>
        </w:tc>
        <w:tc>
          <w:tcPr>
            <w:tcW w:w="811" w:type="dxa"/>
            <w:shd w:val="clear" w:color="auto" w:fill="auto"/>
            <w:noWrap/>
            <w:vAlign w:val="center"/>
            <w:hideMark/>
          </w:tcPr>
          <w:p w14:paraId="25C59BAD" w14:textId="253671A6"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3</w:t>
            </w:r>
            <w:r w:rsidR="005A215A">
              <w:rPr>
                <w:rFonts w:eastAsia="Times New Roman" w:cs="Times New Roman"/>
                <w:color w:val="000000"/>
                <w:sz w:val="20"/>
                <w:szCs w:val="20"/>
              </w:rPr>
              <w:t>,</w:t>
            </w:r>
            <w:r w:rsidRPr="00156A92">
              <w:rPr>
                <w:rFonts w:eastAsia="Times New Roman" w:cs="Times New Roman"/>
                <w:color w:val="000000"/>
                <w:sz w:val="20"/>
                <w:szCs w:val="20"/>
              </w:rPr>
              <w:t>235</w:t>
            </w:r>
          </w:p>
        </w:tc>
        <w:tc>
          <w:tcPr>
            <w:tcW w:w="770" w:type="dxa"/>
            <w:shd w:val="clear" w:color="auto" w:fill="auto"/>
            <w:noWrap/>
            <w:vAlign w:val="center"/>
            <w:hideMark/>
          </w:tcPr>
          <w:p w14:paraId="28F21131" w14:textId="529F7F23"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1</w:t>
            </w:r>
            <w:r w:rsidR="005A215A">
              <w:rPr>
                <w:rFonts w:eastAsia="Times New Roman" w:cs="Times New Roman"/>
                <w:color w:val="000000"/>
                <w:sz w:val="20"/>
                <w:szCs w:val="20"/>
              </w:rPr>
              <w:t>,</w:t>
            </w:r>
            <w:r w:rsidRPr="00156A92">
              <w:rPr>
                <w:rFonts w:eastAsia="Times New Roman" w:cs="Times New Roman"/>
                <w:color w:val="000000"/>
                <w:sz w:val="20"/>
                <w:szCs w:val="20"/>
              </w:rPr>
              <w:t>576</w:t>
            </w:r>
          </w:p>
        </w:tc>
        <w:tc>
          <w:tcPr>
            <w:tcW w:w="811" w:type="dxa"/>
            <w:shd w:val="clear" w:color="auto" w:fill="auto"/>
            <w:noWrap/>
            <w:vAlign w:val="center"/>
            <w:hideMark/>
          </w:tcPr>
          <w:p w14:paraId="698A5A5E" w14:textId="5C7453DF"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1</w:t>
            </w:r>
            <w:r w:rsidR="005A215A">
              <w:rPr>
                <w:rFonts w:eastAsia="Times New Roman" w:cs="Times New Roman"/>
                <w:color w:val="000000"/>
                <w:sz w:val="20"/>
                <w:szCs w:val="20"/>
              </w:rPr>
              <w:t>,</w:t>
            </w:r>
            <w:r w:rsidRPr="00156A92">
              <w:rPr>
                <w:rFonts w:eastAsia="Times New Roman" w:cs="Times New Roman"/>
                <w:color w:val="000000"/>
                <w:sz w:val="20"/>
                <w:szCs w:val="20"/>
              </w:rPr>
              <w:t>343</w:t>
            </w:r>
          </w:p>
        </w:tc>
        <w:tc>
          <w:tcPr>
            <w:tcW w:w="770" w:type="dxa"/>
            <w:shd w:val="clear" w:color="auto" w:fill="auto"/>
            <w:noWrap/>
            <w:vAlign w:val="center"/>
            <w:hideMark/>
          </w:tcPr>
          <w:p w14:paraId="7BB9B29E" w14:textId="1853F7C9"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1</w:t>
            </w:r>
            <w:r w:rsidR="005A215A">
              <w:rPr>
                <w:rFonts w:eastAsia="Times New Roman" w:cs="Times New Roman"/>
                <w:color w:val="000000"/>
                <w:sz w:val="20"/>
                <w:szCs w:val="20"/>
              </w:rPr>
              <w:t>,</w:t>
            </w:r>
            <w:r w:rsidRPr="00156A92">
              <w:rPr>
                <w:rFonts w:eastAsia="Times New Roman" w:cs="Times New Roman"/>
                <w:color w:val="000000"/>
                <w:sz w:val="20"/>
                <w:szCs w:val="20"/>
              </w:rPr>
              <w:t>168</w:t>
            </w:r>
          </w:p>
        </w:tc>
        <w:tc>
          <w:tcPr>
            <w:tcW w:w="811" w:type="dxa"/>
            <w:shd w:val="clear" w:color="auto" w:fill="auto"/>
            <w:noWrap/>
            <w:vAlign w:val="center"/>
            <w:hideMark/>
          </w:tcPr>
          <w:p w14:paraId="1E065BE0" w14:textId="77777777"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949</w:t>
            </w:r>
          </w:p>
        </w:tc>
        <w:tc>
          <w:tcPr>
            <w:tcW w:w="770" w:type="dxa"/>
            <w:shd w:val="clear" w:color="auto" w:fill="auto"/>
            <w:noWrap/>
            <w:vAlign w:val="center"/>
            <w:hideMark/>
          </w:tcPr>
          <w:p w14:paraId="74FF593E" w14:textId="77777777"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129</w:t>
            </w:r>
          </w:p>
        </w:tc>
        <w:tc>
          <w:tcPr>
            <w:tcW w:w="811" w:type="dxa"/>
            <w:shd w:val="clear" w:color="auto" w:fill="auto"/>
            <w:noWrap/>
            <w:vAlign w:val="center"/>
            <w:hideMark/>
          </w:tcPr>
          <w:p w14:paraId="030F9A8F" w14:textId="77777777"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102</w:t>
            </w:r>
          </w:p>
        </w:tc>
        <w:tc>
          <w:tcPr>
            <w:tcW w:w="1031" w:type="dxa"/>
            <w:shd w:val="clear" w:color="auto" w:fill="auto"/>
            <w:noWrap/>
            <w:vAlign w:val="center"/>
            <w:hideMark/>
          </w:tcPr>
          <w:p w14:paraId="08A91D52" w14:textId="77777777" w:rsidR="00F97AAF" w:rsidRPr="00156A92" w:rsidRDefault="00F97AAF" w:rsidP="00C0377E">
            <w:pPr>
              <w:spacing w:after="0" w:line="240" w:lineRule="auto"/>
              <w:jc w:val="center"/>
              <w:rPr>
                <w:rFonts w:eastAsia="Times New Roman" w:cs="Times New Roman"/>
                <w:i/>
                <w:color w:val="000000"/>
                <w:sz w:val="20"/>
                <w:szCs w:val="20"/>
              </w:rPr>
            </w:pPr>
            <w:r w:rsidRPr="00156A92">
              <w:rPr>
                <w:rFonts w:eastAsia="Times New Roman" w:cs="Times New Roman"/>
                <w:i/>
                <w:color w:val="000000"/>
                <w:sz w:val="20"/>
                <w:szCs w:val="20"/>
              </w:rPr>
              <w:t>18.7</w:t>
            </w:r>
          </w:p>
        </w:tc>
      </w:tr>
      <w:tr w:rsidR="00F97AAF" w:rsidRPr="00156A92" w14:paraId="1644CFAB" w14:textId="77777777" w:rsidTr="00F6457D">
        <w:trPr>
          <w:trHeight w:val="300"/>
          <w:jc w:val="center"/>
        </w:trPr>
        <w:tc>
          <w:tcPr>
            <w:tcW w:w="1885" w:type="dxa"/>
            <w:shd w:val="clear" w:color="auto" w:fill="auto"/>
            <w:noWrap/>
            <w:vAlign w:val="bottom"/>
            <w:hideMark/>
          </w:tcPr>
          <w:p w14:paraId="718DF704" w14:textId="77777777" w:rsidR="00F97AAF" w:rsidRPr="00156A92" w:rsidRDefault="00F97AAF" w:rsidP="00C0377E">
            <w:pPr>
              <w:spacing w:after="0" w:line="240" w:lineRule="auto"/>
              <w:rPr>
                <w:rFonts w:eastAsia="Times New Roman" w:cs="Times New Roman"/>
                <w:b/>
                <w:bCs/>
                <w:color w:val="000000"/>
                <w:sz w:val="20"/>
                <w:szCs w:val="20"/>
              </w:rPr>
            </w:pPr>
            <w:r w:rsidRPr="00156A92">
              <w:rPr>
                <w:rFonts w:eastAsia="Times New Roman" w:cs="Times New Roman"/>
                <w:b/>
                <w:bCs/>
                <w:color w:val="000000"/>
                <w:sz w:val="20"/>
                <w:szCs w:val="20"/>
              </w:rPr>
              <w:t>Unity</w:t>
            </w:r>
          </w:p>
        </w:tc>
        <w:tc>
          <w:tcPr>
            <w:tcW w:w="880" w:type="dxa"/>
            <w:shd w:val="clear" w:color="auto" w:fill="auto"/>
            <w:noWrap/>
            <w:vAlign w:val="center"/>
            <w:hideMark/>
          </w:tcPr>
          <w:p w14:paraId="6E4A3BC7" w14:textId="6A5BC9CF"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1</w:t>
            </w:r>
            <w:r w:rsidR="005A215A">
              <w:rPr>
                <w:rFonts w:eastAsia="Times New Roman" w:cs="Times New Roman"/>
                <w:color w:val="000000"/>
                <w:sz w:val="20"/>
                <w:szCs w:val="20"/>
              </w:rPr>
              <w:t>,</w:t>
            </w:r>
            <w:r w:rsidRPr="00156A92">
              <w:rPr>
                <w:rFonts w:eastAsia="Times New Roman" w:cs="Times New Roman"/>
                <w:color w:val="000000"/>
                <w:sz w:val="20"/>
                <w:szCs w:val="20"/>
              </w:rPr>
              <w:t>093</w:t>
            </w:r>
          </w:p>
        </w:tc>
        <w:tc>
          <w:tcPr>
            <w:tcW w:w="811" w:type="dxa"/>
            <w:shd w:val="clear" w:color="auto" w:fill="auto"/>
            <w:noWrap/>
            <w:vAlign w:val="center"/>
            <w:hideMark/>
          </w:tcPr>
          <w:p w14:paraId="30E42DB7" w14:textId="34B2AC78"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1</w:t>
            </w:r>
            <w:r w:rsidR="005A215A">
              <w:rPr>
                <w:rFonts w:eastAsia="Times New Roman" w:cs="Times New Roman"/>
                <w:color w:val="000000"/>
                <w:sz w:val="20"/>
                <w:szCs w:val="20"/>
              </w:rPr>
              <w:t>,</w:t>
            </w:r>
            <w:r w:rsidRPr="00156A92">
              <w:rPr>
                <w:rFonts w:eastAsia="Times New Roman" w:cs="Times New Roman"/>
                <w:color w:val="000000"/>
                <w:sz w:val="20"/>
                <w:szCs w:val="20"/>
              </w:rPr>
              <w:t>442</w:t>
            </w:r>
          </w:p>
        </w:tc>
        <w:tc>
          <w:tcPr>
            <w:tcW w:w="770" w:type="dxa"/>
            <w:shd w:val="clear" w:color="auto" w:fill="auto"/>
            <w:noWrap/>
            <w:vAlign w:val="center"/>
            <w:hideMark/>
          </w:tcPr>
          <w:p w14:paraId="3CBA9907" w14:textId="77777777"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820</w:t>
            </w:r>
          </w:p>
        </w:tc>
        <w:tc>
          <w:tcPr>
            <w:tcW w:w="811" w:type="dxa"/>
            <w:shd w:val="clear" w:color="auto" w:fill="auto"/>
            <w:noWrap/>
            <w:vAlign w:val="center"/>
            <w:hideMark/>
          </w:tcPr>
          <w:p w14:paraId="5D8D6953" w14:textId="77777777"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640</w:t>
            </w:r>
          </w:p>
        </w:tc>
        <w:tc>
          <w:tcPr>
            <w:tcW w:w="770" w:type="dxa"/>
            <w:shd w:val="clear" w:color="auto" w:fill="auto"/>
            <w:noWrap/>
            <w:vAlign w:val="center"/>
            <w:hideMark/>
          </w:tcPr>
          <w:p w14:paraId="150E6F72" w14:textId="77777777"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982</w:t>
            </w:r>
          </w:p>
        </w:tc>
        <w:tc>
          <w:tcPr>
            <w:tcW w:w="811" w:type="dxa"/>
            <w:shd w:val="clear" w:color="auto" w:fill="auto"/>
            <w:noWrap/>
            <w:vAlign w:val="center"/>
            <w:hideMark/>
          </w:tcPr>
          <w:p w14:paraId="65D6172B" w14:textId="77777777"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854</w:t>
            </w:r>
          </w:p>
        </w:tc>
        <w:tc>
          <w:tcPr>
            <w:tcW w:w="770" w:type="dxa"/>
            <w:shd w:val="clear" w:color="auto" w:fill="auto"/>
            <w:noWrap/>
            <w:vAlign w:val="center"/>
            <w:hideMark/>
          </w:tcPr>
          <w:p w14:paraId="6143B3A5" w14:textId="77777777"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370</w:t>
            </w:r>
          </w:p>
        </w:tc>
        <w:tc>
          <w:tcPr>
            <w:tcW w:w="811" w:type="dxa"/>
            <w:shd w:val="clear" w:color="auto" w:fill="auto"/>
            <w:noWrap/>
            <w:vAlign w:val="center"/>
            <w:hideMark/>
          </w:tcPr>
          <w:p w14:paraId="7D4FB7C6" w14:textId="77777777"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329</w:t>
            </w:r>
          </w:p>
        </w:tc>
        <w:tc>
          <w:tcPr>
            <w:tcW w:w="1031" w:type="dxa"/>
            <w:shd w:val="clear" w:color="auto" w:fill="auto"/>
            <w:noWrap/>
            <w:vAlign w:val="center"/>
            <w:hideMark/>
          </w:tcPr>
          <w:p w14:paraId="764A2A47" w14:textId="77777777" w:rsidR="00F97AAF" w:rsidRPr="00156A92" w:rsidRDefault="00F97AAF" w:rsidP="00C0377E">
            <w:pPr>
              <w:spacing w:after="0" w:line="240" w:lineRule="auto"/>
              <w:jc w:val="center"/>
              <w:rPr>
                <w:rFonts w:eastAsia="Times New Roman" w:cs="Times New Roman"/>
                <w:i/>
                <w:color w:val="000000"/>
                <w:sz w:val="20"/>
                <w:szCs w:val="20"/>
              </w:rPr>
            </w:pPr>
            <w:r w:rsidRPr="00156A92">
              <w:rPr>
                <w:rFonts w:eastAsia="Times New Roman" w:cs="Times New Roman"/>
                <w:i/>
                <w:color w:val="000000"/>
                <w:sz w:val="20"/>
                <w:szCs w:val="20"/>
              </w:rPr>
              <w:t>36.2</w:t>
            </w:r>
          </w:p>
        </w:tc>
      </w:tr>
      <w:tr w:rsidR="00F97AAF" w:rsidRPr="00156A92" w14:paraId="611E81A5" w14:textId="77777777" w:rsidTr="00F6457D">
        <w:trPr>
          <w:trHeight w:val="300"/>
          <w:jc w:val="center"/>
        </w:trPr>
        <w:tc>
          <w:tcPr>
            <w:tcW w:w="1885" w:type="dxa"/>
            <w:shd w:val="clear" w:color="auto" w:fill="auto"/>
            <w:noWrap/>
            <w:vAlign w:val="bottom"/>
            <w:hideMark/>
          </w:tcPr>
          <w:p w14:paraId="68DF9FEC" w14:textId="77777777" w:rsidR="00F97AAF" w:rsidRPr="00156A92" w:rsidRDefault="00F97AAF" w:rsidP="00C0377E">
            <w:pPr>
              <w:spacing w:after="0" w:line="240" w:lineRule="auto"/>
              <w:rPr>
                <w:rFonts w:eastAsia="Times New Roman" w:cs="Times New Roman"/>
                <w:b/>
                <w:bCs/>
                <w:color w:val="000000"/>
                <w:sz w:val="20"/>
                <w:szCs w:val="20"/>
              </w:rPr>
            </w:pPr>
            <w:r w:rsidRPr="00156A92">
              <w:rPr>
                <w:rFonts w:eastAsia="Times New Roman" w:cs="Times New Roman"/>
                <w:b/>
                <w:bCs/>
                <w:color w:val="000000"/>
                <w:sz w:val="20"/>
                <w:szCs w:val="20"/>
              </w:rPr>
              <w:t>Upper Nile</w:t>
            </w:r>
          </w:p>
        </w:tc>
        <w:tc>
          <w:tcPr>
            <w:tcW w:w="880" w:type="dxa"/>
            <w:shd w:val="clear" w:color="auto" w:fill="auto"/>
            <w:noWrap/>
            <w:vAlign w:val="center"/>
            <w:hideMark/>
          </w:tcPr>
          <w:p w14:paraId="6607018A" w14:textId="242ECB9E"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1</w:t>
            </w:r>
            <w:r w:rsidR="005A215A">
              <w:rPr>
                <w:rFonts w:eastAsia="Times New Roman" w:cs="Times New Roman"/>
                <w:color w:val="000000"/>
                <w:sz w:val="20"/>
                <w:szCs w:val="20"/>
              </w:rPr>
              <w:t>,</w:t>
            </w:r>
            <w:r w:rsidRPr="00156A92">
              <w:rPr>
                <w:rFonts w:eastAsia="Times New Roman" w:cs="Times New Roman"/>
                <w:color w:val="000000"/>
                <w:sz w:val="20"/>
                <w:szCs w:val="20"/>
              </w:rPr>
              <w:t>279</w:t>
            </w:r>
          </w:p>
        </w:tc>
        <w:tc>
          <w:tcPr>
            <w:tcW w:w="811" w:type="dxa"/>
            <w:shd w:val="clear" w:color="auto" w:fill="auto"/>
            <w:noWrap/>
            <w:vAlign w:val="center"/>
            <w:hideMark/>
          </w:tcPr>
          <w:p w14:paraId="35D2FF0C" w14:textId="334A6A55"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1</w:t>
            </w:r>
            <w:r w:rsidR="005A215A">
              <w:rPr>
                <w:rFonts w:eastAsia="Times New Roman" w:cs="Times New Roman"/>
                <w:color w:val="000000"/>
                <w:sz w:val="20"/>
                <w:szCs w:val="20"/>
              </w:rPr>
              <w:t>,</w:t>
            </w:r>
            <w:r w:rsidRPr="00156A92">
              <w:rPr>
                <w:rFonts w:eastAsia="Times New Roman" w:cs="Times New Roman"/>
                <w:color w:val="000000"/>
                <w:sz w:val="20"/>
                <w:szCs w:val="20"/>
              </w:rPr>
              <w:t>932</w:t>
            </w:r>
          </w:p>
        </w:tc>
        <w:tc>
          <w:tcPr>
            <w:tcW w:w="770" w:type="dxa"/>
            <w:shd w:val="clear" w:color="auto" w:fill="auto"/>
            <w:noWrap/>
            <w:vAlign w:val="center"/>
            <w:hideMark/>
          </w:tcPr>
          <w:p w14:paraId="7A8F491F" w14:textId="457CA9E1"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2</w:t>
            </w:r>
            <w:r w:rsidR="005A215A">
              <w:rPr>
                <w:rFonts w:eastAsia="Times New Roman" w:cs="Times New Roman"/>
                <w:color w:val="000000"/>
                <w:sz w:val="20"/>
                <w:szCs w:val="20"/>
              </w:rPr>
              <w:t>,</w:t>
            </w:r>
            <w:r w:rsidRPr="00156A92">
              <w:rPr>
                <w:rFonts w:eastAsia="Times New Roman" w:cs="Times New Roman"/>
                <w:color w:val="000000"/>
                <w:sz w:val="20"/>
                <w:szCs w:val="20"/>
              </w:rPr>
              <w:t>579</w:t>
            </w:r>
          </w:p>
        </w:tc>
        <w:tc>
          <w:tcPr>
            <w:tcW w:w="811" w:type="dxa"/>
            <w:shd w:val="clear" w:color="auto" w:fill="auto"/>
            <w:noWrap/>
            <w:vAlign w:val="center"/>
            <w:hideMark/>
          </w:tcPr>
          <w:p w14:paraId="65F51B54" w14:textId="750B0379"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2</w:t>
            </w:r>
            <w:r w:rsidR="005A215A">
              <w:rPr>
                <w:rFonts w:eastAsia="Times New Roman" w:cs="Times New Roman"/>
                <w:color w:val="000000"/>
                <w:sz w:val="20"/>
                <w:szCs w:val="20"/>
              </w:rPr>
              <w:t>,</w:t>
            </w:r>
            <w:r w:rsidRPr="00156A92">
              <w:rPr>
                <w:rFonts w:eastAsia="Times New Roman" w:cs="Times New Roman"/>
                <w:color w:val="000000"/>
                <w:sz w:val="20"/>
                <w:szCs w:val="20"/>
              </w:rPr>
              <w:t>299</w:t>
            </w:r>
          </w:p>
        </w:tc>
        <w:tc>
          <w:tcPr>
            <w:tcW w:w="770" w:type="dxa"/>
            <w:shd w:val="clear" w:color="auto" w:fill="auto"/>
            <w:noWrap/>
            <w:vAlign w:val="center"/>
            <w:hideMark/>
          </w:tcPr>
          <w:p w14:paraId="0726431B" w14:textId="28C8DFD4"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2</w:t>
            </w:r>
            <w:r w:rsidR="005A215A">
              <w:rPr>
                <w:rFonts w:eastAsia="Times New Roman" w:cs="Times New Roman"/>
                <w:color w:val="000000"/>
                <w:sz w:val="20"/>
                <w:szCs w:val="20"/>
              </w:rPr>
              <w:t>,</w:t>
            </w:r>
            <w:r w:rsidRPr="00156A92">
              <w:rPr>
                <w:rFonts w:eastAsia="Times New Roman" w:cs="Times New Roman"/>
                <w:color w:val="000000"/>
                <w:sz w:val="20"/>
                <w:szCs w:val="20"/>
              </w:rPr>
              <w:t>163</w:t>
            </w:r>
          </w:p>
        </w:tc>
        <w:tc>
          <w:tcPr>
            <w:tcW w:w="811" w:type="dxa"/>
            <w:shd w:val="clear" w:color="auto" w:fill="auto"/>
            <w:noWrap/>
            <w:vAlign w:val="center"/>
            <w:hideMark/>
          </w:tcPr>
          <w:p w14:paraId="61E91143" w14:textId="00D57665"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1</w:t>
            </w:r>
            <w:r w:rsidR="005A215A">
              <w:rPr>
                <w:rFonts w:eastAsia="Times New Roman" w:cs="Times New Roman"/>
                <w:color w:val="000000"/>
                <w:sz w:val="20"/>
                <w:szCs w:val="20"/>
              </w:rPr>
              <w:t>,</w:t>
            </w:r>
            <w:r w:rsidRPr="00156A92">
              <w:rPr>
                <w:rFonts w:eastAsia="Times New Roman" w:cs="Times New Roman"/>
                <w:color w:val="000000"/>
                <w:sz w:val="20"/>
                <w:szCs w:val="20"/>
              </w:rPr>
              <w:t>842</w:t>
            </w:r>
          </w:p>
        </w:tc>
        <w:tc>
          <w:tcPr>
            <w:tcW w:w="770" w:type="dxa"/>
            <w:shd w:val="clear" w:color="auto" w:fill="auto"/>
            <w:noWrap/>
            <w:vAlign w:val="center"/>
            <w:hideMark/>
          </w:tcPr>
          <w:p w14:paraId="454828DB" w14:textId="77777777"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482</w:t>
            </w:r>
          </w:p>
        </w:tc>
        <w:tc>
          <w:tcPr>
            <w:tcW w:w="811" w:type="dxa"/>
            <w:shd w:val="clear" w:color="auto" w:fill="auto"/>
            <w:noWrap/>
            <w:vAlign w:val="center"/>
            <w:hideMark/>
          </w:tcPr>
          <w:p w14:paraId="7C543A83" w14:textId="77777777"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430</w:t>
            </w:r>
          </w:p>
        </w:tc>
        <w:tc>
          <w:tcPr>
            <w:tcW w:w="1031" w:type="dxa"/>
            <w:shd w:val="clear" w:color="auto" w:fill="auto"/>
            <w:noWrap/>
            <w:vAlign w:val="center"/>
            <w:hideMark/>
          </w:tcPr>
          <w:p w14:paraId="4655B571" w14:textId="77777777" w:rsidR="00F97AAF" w:rsidRPr="00156A92" w:rsidRDefault="00F97AAF" w:rsidP="00C0377E">
            <w:pPr>
              <w:spacing w:after="0" w:line="240" w:lineRule="auto"/>
              <w:jc w:val="center"/>
              <w:rPr>
                <w:rFonts w:eastAsia="Times New Roman" w:cs="Times New Roman"/>
                <w:i/>
                <w:color w:val="000000"/>
                <w:sz w:val="20"/>
                <w:szCs w:val="20"/>
              </w:rPr>
            </w:pPr>
            <w:r w:rsidRPr="00156A92">
              <w:rPr>
                <w:rFonts w:eastAsia="Times New Roman" w:cs="Times New Roman"/>
                <w:i/>
                <w:color w:val="000000"/>
                <w:sz w:val="20"/>
                <w:szCs w:val="20"/>
              </w:rPr>
              <w:t>34.9</w:t>
            </w:r>
          </w:p>
        </w:tc>
      </w:tr>
      <w:tr w:rsidR="00F97AAF" w:rsidRPr="00156A92" w14:paraId="241C664C" w14:textId="77777777" w:rsidTr="00F6457D">
        <w:trPr>
          <w:trHeight w:val="300"/>
          <w:jc w:val="center"/>
        </w:trPr>
        <w:tc>
          <w:tcPr>
            <w:tcW w:w="1885" w:type="dxa"/>
            <w:shd w:val="clear" w:color="auto" w:fill="auto"/>
            <w:noWrap/>
            <w:vAlign w:val="bottom"/>
            <w:hideMark/>
          </w:tcPr>
          <w:p w14:paraId="6A608FB9" w14:textId="77777777" w:rsidR="00F97AAF" w:rsidRPr="00156A92" w:rsidRDefault="00F97AAF" w:rsidP="00C0377E">
            <w:pPr>
              <w:spacing w:after="0" w:line="240" w:lineRule="auto"/>
              <w:rPr>
                <w:rFonts w:eastAsia="Times New Roman" w:cs="Times New Roman"/>
                <w:b/>
                <w:bCs/>
                <w:color w:val="000000"/>
                <w:sz w:val="20"/>
                <w:szCs w:val="20"/>
              </w:rPr>
            </w:pPr>
            <w:r w:rsidRPr="00156A92">
              <w:rPr>
                <w:rFonts w:eastAsia="Times New Roman" w:cs="Times New Roman"/>
                <w:b/>
                <w:bCs/>
                <w:color w:val="000000"/>
                <w:sz w:val="20"/>
                <w:szCs w:val="20"/>
              </w:rPr>
              <w:t>Warrap</w:t>
            </w:r>
          </w:p>
        </w:tc>
        <w:tc>
          <w:tcPr>
            <w:tcW w:w="880" w:type="dxa"/>
            <w:shd w:val="clear" w:color="auto" w:fill="auto"/>
            <w:noWrap/>
            <w:vAlign w:val="center"/>
            <w:hideMark/>
          </w:tcPr>
          <w:p w14:paraId="1576A4EB" w14:textId="32464531"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3</w:t>
            </w:r>
            <w:r w:rsidR="005A215A">
              <w:rPr>
                <w:rFonts w:eastAsia="Times New Roman" w:cs="Times New Roman"/>
                <w:color w:val="000000"/>
                <w:sz w:val="20"/>
                <w:szCs w:val="20"/>
              </w:rPr>
              <w:t>,</w:t>
            </w:r>
            <w:r w:rsidRPr="00156A92">
              <w:rPr>
                <w:rFonts w:eastAsia="Times New Roman" w:cs="Times New Roman"/>
                <w:color w:val="000000"/>
                <w:sz w:val="20"/>
                <w:szCs w:val="20"/>
              </w:rPr>
              <w:t>518</w:t>
            </w:r>
          </w:p>
        </w:tc>
        <w:tc>
          <w:tcPr>
            <w:tcW w:w="811" w:type="dxa"/>
            <w:shd w:val="clear" w:color="auto" w:fill="auto"/>
            <w:noWrap/>
            <w:vAlign w:val="center"/>
            <w:hideMark/>
          </w:tcPr>
          <w:p w14:paraId="03A196C1" w14:textId="48DE1EC9"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3</w:t>
            </w:r>
            <w:r w:rsidR="005A215A">
              <w:rPr>
                <w:rFonts w:eastAsia="Times New Roman" w:cs="Times New Roman"/>
                <w:color w:val="000000"/>
                <w:sz w:val="20"/>
                <w:szCs w:val="20"/>
              </w:rPr>
              <w:t>,</w:t>
            </w:r>
            <w:r w:rsidRPr="00156A92">
              <w:rPr>
                <w:rFonts w:eastAsia="Times New Roman" w:cs="Times New Roman"/>
                <w:color w:val="000000"/>
                <w:sz w:val="20"/>
                <w:szCs w:val="20"/>
              </w:rPr>
              <w:t>925</w:t>
            </w:r>
          </w:p>
        </w:tc>
        <w:tc>
          <w:tcPr>
            <w:tcW w:w="770" w:type="dxa"/>
            <w:shd w:val="clear" w:color="auto" w:fill="auto"/>
            <w:noWrap/>
            <w:vAlign w:val="center"/>
            <w:hideMark/>
          </w:tcPr>
          <w:p w14:paraId="6921133F" w14:textId="77777777"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564</w:t>
            </w:r>
          </w:p>
        </w:tc>
        <w:tc>
          <w:tcPr>
            <w:tcW w:w="811" w:type="dxa"/>
            <w:shd w:val="clear" w:color="auto" w:fill="auto"/>
            <w:noWrap/>
            <w:vAlign w:val="center"/>
            <w:hideMark/>
          </w:tcPr>
          <w:p w14:paraId="34EC4D60" w14:textId="77777777"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464</w:t>
            </w:r>
          </w:p>
        </w:tc>
        <w:tc>
          <w:tcPr>
            <w:tcW w:w="770" w:type="dxa"/>
            <w:shd w:val="clear" w:color="auto" w:fill="auto"/>
            <w:noWrap/>
            <w:vAlign w:val="center"/>
            <w:hideMark/>
          </w:tcPr>
          <w:p w14:paraId="68612E85" w14:textId="3D3F9F75"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1</w:t>
            </w:r>
            <w:r w:rsidR="005A215A">
              <w:rPr>
                <w:rFonts w:eastAsia="Times New Roman" w:cs="Times New Roman"/>
                <w:color w:val="000000"/>
                <w:sz w:val="20"/>
                <w:szCs w:val="20"/>
              </w:rPr>
              <w:t>,</w:t>
            </w:r>
            <w:r w:rsidRPr="00156A92">
              <w:rPr>
                <w:rFonts w:eastAsia="Times New Roman" w:cs="Times New Roman"/>
                <w:color w:val="000000"/>
                <w:sz w:val="20"/>
                <w:szCs w:val="20"/>
              </w:rPr>
              <w:t>380</w:t>
            </w:r>
          </w:p>
        </w:tc>
        <w:tc>
          <w:tcPr>
            <w:tcW w:w="811" w:type="dxa"/>
            <w:shd w:val="clear" w:color="auto" w:fill="auto"/>
            <w:noWrap/>
            <w:vAlign w:val="center"/>
            <w:hideMark/>
          </w:tcPr>
          <w:p w14:paraId="73428B91" w14:textId="182BA3B0"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1</w:t>
            </w:r>
            <w:r w:rsidR="005A215A">
              <w:rPr>
                <w:rFonts w:eastAsia="Times New Roman" w:cs="Times New Roman"/>
                <w:color w:val="000000"/>
                <w:sz w:val="20"/>
                <w:szCs w:val="20"/>
              </w:rPr>
              <w:t>,</w:t>
            </w:r>
            <w:r w:rsidRPr="00156A92">
              <w:rPr>
                <w:rFonts w:eastAsia="Times New Roman" w:cs="Times New Roman"/>
                <w:color w:val="000000"/>
                <w:sz w:val="20"/>
                <w:szCs w:val="20"/>
              </w:rPr>
              <w:t>184</w:t>
            </w:r>
          </w:p>
        </w:tc>
        <w:tc>
          <w:tcPr>
            <w:tcW w:w="770" w:type="dxa"/>
            <w:shd w:val="clear" w:color="auto" w:fill="auto"/>
            <w:noWrap/>
            <w:vAlign w:val="center"/>
            <w:hideMark/>
          </w:tcPr>
          <w:p w14:paraId="5AF11F0D" w14:textId="77777777"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700</w:t>
            </w:r>
          </w:p>
        </w:tc>
        <w:tc>
          <w:tcPr>
            <w:tcW w:w="811" w:type="dxa"/>
            <w:shd w:val="clear" w:color="auto" w:fill="auto"/>
            <w:noWrap/>
            <w:vAlign w:val="center"/>
            <w:hideMark/>
          </w:tcPr>
          <w:p w14:paraId="6F412CC8" w14:textId="77777777"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589</w:t>
            </w:r>
          </w:p>
        </w:tc>
        <w:tc>
          <w:tcPr>
            <w:tcW w:w="1031" w:type="dxa"/>
            <w:shd w:val="clear" w:color="auto" w:fill="auto"/>
            <w:noWrap/>
            <w:vAlign w:val="center"/>
            <w:hideMark/>
          </w:tcPr>
          <w:p w14:paraId="325FE68C" w14:textId="77777777" w:rsidR="00F97AAF" w:rsidRPr="00156A92" w:rsidRDefault="00F97AAF" w:rsidP="00C0377E">
            <w:pPr>
              <w:spacing w:after="0" w:line="240" w:lineRule="auto"/>
              <w:jc w:val="center"/>
              <w:rPr>
                <w:rFonts w:eastAsia="Times New Roman" w:cs="Times New Roman"/>
                <w:i/>
                <w:color w:val="000000"/>
                <w:sz w:val="20"/>
                <w:szCs w:val="20"/>
              </w:rPr>
            </w:pPr>
            <w:r w:rsidRPr="00156A92">
              <w:rPr>
                <w:rFonts w:eastAsia="Times New Roman" w:cs="Times New Roman"/>
                <w:i/>
                <w:color w:val="000000"/>
                <w:sz w:val="20"/>
                <w:szCs w:val="20"/>
              </w:rPr>
              <w:t>28.8</w:t>
            </w:r>
          </w:p>
        </w:tc>
      </w:tr>
      <w:tr w:rsidR="00F97AAF" w:rsidRPr="00156A92" w14:paraId="4C2B022C" w14:textId="77777777" w:rsidTr="00F6457D">
        <w:trPr>
          <w:trHeight w:val="225"/>
          <w:jc w:val="center"/>
        </w:trPr>
        <w:tc>
          <w:tcPr>
            <w:tcW w:w="1885" w:type="dxa"/>
            <w:shd w:val="clear" w:color="auto" w:fill="auto"/>
            <w:noWrap/>
            <w:vAlign w:val="bottom"/>
            <w:hideMark/>
          </w:tcPr>
          <w:p w14:paraId="708D387D" w14:textId="77777777" w:rsidR="00F97AAF" w:rsidRPr="00156A92" w:rsidRDefault="00F97AAF" w:rsidP="00C0377E">
            <w:pPr>
              <w:spacing w:after="0" w:line="240" w:lineRule="auto"/>
              <w:rPr>
                <w:rFonts w:eastAsia="Times New Roman" w:cs="Times New Roman"/>
                <w:b/>
                <w:bCs/>
                <w:color w:val="000000"/>
                <w:sz w:val="20"/>
                <w:szCs w:val="20"/>
              </w:rPr>
            </w:pPr>
            <w:r w:rsidRPr="00156A92">
              <w:rPr>
                <w:rFonts w:eastAsia="Times New Roman" w:cs="Times New Roman"/>
                <w:b/>
                <w:bCs/>
                <w:color w:val="000000"/>
                <w:sz w:val="20"/>
                <w:szCs w:val="20"/>
              </w:rPr>
              <w:t>Western Bahr el Ghazal</w:t>
            </w:r>
          </w:p>
        </w:tc>
        <w:tc>
          <w:tcPr>
            <w:tcW w:w="880" w:type="dxa"/>
            <w:shd w:val="clear" w:color="auto" w:fill="auto"/>
            <w:noWrap/>
            <w:vAlign w:val="center"/>
            <w:hideMark/>
          </w:tcPr>
          <w:p w14:paraId="74BD0D2A" w14:textId="4CD925A4"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2</w:t>
            </w:r>
            <w:r w:rsidR="005A215A">
              <w:rPr>
                <w:rFonts w:eastAsia="Times New Roman" w:cs="Times New Roman"/>
                <w:color w:val="000000"/>
                <w:sz w:val="20"/>
                <w:szCs w:val="20"/>
              </w:rPr>
              <w:t>,</w:t>
            </w:r>
            <w:r w:rsidRPr="00156A92">
              <w:rPr>
                <w:rFonts w:eastAsia="Times New Roman" w:cs="Times New Roman"/>
                <w:color w:val="000000"/>
                <w:sz w:val="20"/>
                <w:szCs w:val="20"/>
              </w:rPr>
              <w:t>059</w:t>
            </w:r>
          </w:p>
        </w:tc>
        <w:tc>
          <w:tcPr>
            <w:tcW w:w="811" w:type="dxa"/>
            <w:shd w:val="clear" w:color="auto" w:fill="auto"/>
            <w:noWrap/>
            <w:vAlign w:val="center"/>
            <w:hideMark/>
          </w:tcPr>
          <w:p w14:paraId="13AF0AE8" w14:textId="0C4FF20B"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2</w:t>
            </w:r>
            <w:r w:rsidR="005A215A">
              <w:rPr>
                <w:rFonts w:eastAsia="Times New Roman" w:cs="Times New Roman"/>
                <w:color w:val="000000"/>
                <w:sz w:val="20"/>
                <w:szCs w:val="20"/>
              </w:rPr>
              <w:t>,</w:t>
            </w:r>
            <w:r w:rsidRPr="00156A92">
              <w:rPr>
                <w:rFonts w:eastAsia="Times New Roman" w:cs="Times New Roman"/>
                <w:color w:val="000000"/>
                <w:sz w:val="20"/>
                <w:szCs w:val="20"/>
              </w:rPr>
              <w:t>234</w:t>
            </w:r>
          </w:p>
        </w:tc>
        <w:tc>
          <w:tcPr>
            <w:tcW w:w="770" w:type="dxa"/>
            <w:shd w:val="clear" w:color="auto" w:fill="auto"/>
            <w:noWrap/>
            <w:vAlign w:val="center"/>
            <w:hideMark/>
          </w:tcPr>
          <w:p w14:paraId="3D42297E" w14:textId="77777777"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745</w:t>
            </w:r>
          </w:p>
        </w:tc>
        <w:tc>
          <w:tcPr>
            <w:tcW w:w="811" w:type="dxa"/>
            <w:shd w:val="clear" w:color="auto" w:fill="auto"/>
            <w:noWrap/>
            <w:vAlign w:val="center"/>
            <w:hideMark/>
          </w:tcPr>
          <w:p w14:paraId="2E3E9DFE" w14:textId="77777777"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668</w:t>
            </w:r>
          </w:p>
        </w:tc>
        <w:tc>
          <w:tcPr>
            <w:tcW w:w="770" w:type="dxa"/>
            <w:shd w:val="clear" w:color="auto" w:fill="auto"/>
            <w:noWrap/>
            <w:vAlign w:val="center"/>
            <w:hideMark/>
          </w:tcPr>
          <w:p w14:paraId="333FDD3C" w14:textId="77777777"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818</w:t>
            </w:r>
          </w:p>
        </w:tc>
        <w:tc>
          <w:tcPr>
            <w:tcW w:w="811" w:type="dxa"/>
            <w:shd w:val="clear" w:color="auto" w:fill="auto"/>
            <w:noWrap/>
            <w:vAlign w:val="center"/>
            <w:hideMark/>
          </w:tcPr>
          <w:p w14:paraId="341716F9" w14:textId="77777777"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759</w:t>
            </w:r>
          </w:p>
        </w:tc>
        <w:tc>
          <w:tcPr>
            <w:tcW w:w="770" w:type="dxa"/>
            <w:shd w:val="clear" w:color="auto" w:fill="auto"/>
            <w:noWrap/>
            <w:vAlign w:val="center"/>
            <w:hideMark/>
          </w:tcPr>
          <w:p w14:paraId="74D90F91" w14:textId="77777777"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362</w:t>
            </w:r>
          </w:p>
        </w:tc>
        <w:tc>
          <w:tcPr>
            <w:tcW w:w="811" w:type="dxa"/>
            <w:shd w:val="clear" w:color="auto" w:fill="auto"/>
            <w:noWrap/>
            <w:vAlign w:val="center"/>
            <w:hideMark/>
          </w:tcPr>
          <w:p w14:paraId="463727F5" w14:textId="77777777"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323</w:t>
            </w:r>
          </w:p>
        </w:tc>
        <w:tc>
          <w:tcPr>
            <w:tcW w:w="1031" w:type="dxa"/>
            <w:shd w:val="clear" w:color="auto" w:fill="auto"/>
            <w:noWrap/>
            <w:vAlign w:val="center"/>
            <w:hideMark/>
          </w:tcPr>
          <w:p w14:paraId="4D04CCA0" w14:textId="77777777" w:rsidR="00F97AAF" w:rsidRPr="00156A92" w:rsidRDefault="00F97AAF" w:rsidP="00C0377E">
            <w:pPr>
              <w:spacing w:after="0" w:line="240" w:lineRule="auto"/>
              <w:jc w:val="center"/>
              <w:rPr>
                <w:rFonts w:eastAsia="Times New Roman" w:cs="Times New Roman"/>
                <w:i/>
                <w:color w:val="000000"/>
                <w:sz w:val="20"/>
                <w:szCs w:val="20"/>
              </w:rPr>
            </w:pPr>
            <w:r w:rsidRPr="00156A92">
              <w:rPr>
                <w:rFonts w:eastAsia="Times New Roman" w:cs="Times New Roman"/>
                <w:i/>
                <w:color w:val="000000"/>
                <w:sz w:val="20"/>
                <w:szCs w:val="20"/>
              </w:rPr>
              <w:t>27.2</w:t>
            </w:r>
          </w:p>
        </w:tc>
      </w:tr>
      <w:tr w:rsidR="00F97AAF" w:rsidRPr="00156A92" w14:paraId="661174CB" w14:textId="77777777" w:rsidTr="00F6457D">
        <w:trPr>
          <w:trHeight w:val="300"/>
          <w:jc w:val="center"/>
        </w:trPr>
        <w:tc>
          <w:tcPr>
            <w:tcW w:w="1885" w:type="dxa"/>
            <w:shd w:val="clear" w:color="auto" w:fill="auto"/>
            <w:noWrap/>
            <w:vAlign w:val="bottom"/>
            <w:hideMark/>
          </w:tcPr>
          <w:p w14:paraId="28FF28FA" w14:textId="77777777" w:rsidR="00F97AAF" w:rsidRPr="00156A92" w:rsidRDefault="00F97AAF" w:rsidP="00C0377E">
            <w:pPr>
              <w:spacing w:after="0" w:line="240" w:lineRule="auto"/>
              <w:rPr>
                <w:rFonts w:eastAsia="Times New Roman" w:cs="Times New Roman"/>
                <w:b/>
                <w:bCs/>
                <w:color w:val="000000"/>
                <w:sz w:val="20"/>
                <w:szCs w:val="20"/>
              </w:rPr>
            </w:pPr>
            <w:r w:rsidRPr="00156A92">
              <w:rPr>
                <w:rFonts w:eastAsia="Times New Roman" w:cs="Times New Roman"/>
                <w:b/>
                <w:bCs/>
                <w:color w:val="000000"/>
                <w:sz w:val="20"/>
                <w:szCs w:val="20"/>
              </w:rPr>
              <w:t>Western Equatoria</w:t>
            </w:r>
          </w:p>
        </w:tc>
        <w:tc>
          <w:tcPr>
            <w:tcW w:w="880" w:type="dxa"/>
            <w:shd w:val="clear" w:color="auto" w:fill="auto"/>
            <w:noWrap/>
            <w:vAlign w:val="center"/>
            <w:hideMark/>
          </w:tcPr>
          <w:p w14:paraId="5FD3D43D" w14:textId="4185F14D"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1</w:t>
            </w:r>
            <w:r w:rsidR="005A215A">
              <w:rPr>
                <w:rFonts w:eastAsia="Times New Roman" w:cs="Times New Roman"/>
                <w:color w:val="000000"/>
                <w:sz w:val="20"/>
                <w:szCs w:val="20"/>
              </w:rPr>
              <w:t>,</w:t>
            </w:r>
            <w:r w:rsidRPr="00156A92">
              <w:rPr>
                <w:rFonts w:eastAsia="Times New Roman" w:cs="Times New Roman"/>
                <w:color w:val="000000"/>
                <w:sz w:val="20"/>
                <w:szCs w:val="20"/>
              </w:rPr>
              <w:t>140</w:t>
            </w:r>
          </w:p>
        </w:tc>
        <w:tc>
          <w:tcPr>
            <w:tcW w:w="811" w:type="dxa"/>
            <w:shd w:val="clear" w:color="auto" w:fill="auto"/>
            <w:noWrap/>
            <w:vAlign w:val="center"/>
            <w:hideMark/>
          </w:tcPr>
          <w:p w14:paraId="5C8204B2" w14:textId="72054E7C"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1</w:t>
            </w:r>
            <w:r w:rsidR="005A215A">
              <w:rPr>
                <w:rFonts w:eastAsia="Times New Roman" w:cs="Times New Roman"/>
                <w:color w:val="000000"/>
                <w:sz w:val="20"/>
                <w:szCs w:val="20"/>
              </w:rPr>
              <w:t>,</w:t>
            </w:r>
            <w:r w:rsidRPr="00156A92">
              <w:rPr>
                <w:rFonts w:eastAsia="Times New Roman" w:cs="Times New Roman"/>
                <w:color w:val="000000"/>
                <w:sz w:val="20"/>
                <w:szCs w:val="20"/>
              </w:rPr>
              <w:t>560</w:t>
            </w:r>
          </w:p>
        </w:tc>
        <w:tc>
          <w:tcPr>
            <w:tcW w:w="770" w:type="dxa"/>
            <w:shd w:val="clear" w:color="auto" w:fill="auto"/>
            <w:noWrap/>
            <w:vAlign w:val="center"/>
            <w:hideMark/>
          </w:tcPr>
          <w:p w14:paraId="02FB0705" w14:textId="5A8E02A4"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1</w:t>
            </w:r>
            <w:r w:rsidR="005A215A">
              <w:rPr>
                <w:rFonts w:eastAsia="Times New Roman" w:cs="Times New Roman"/>
                <w:color w:val="000000"/>
                <w:sz w:val="20"/>
                <w:szCs w:val="20"/>
              </w:rPr>
              <w:t>,</w:t>
            </w:r>
            <w:r w:rsidRPr="00156A92">
              <w:rPr>
                <w:rFonts w:eastAsia="Times New Roman" w:cs="Times New Roman"/>
                <w:color w:val="000000"/>
                <w:sz w:val="20"/>
                <w:szCs w:val="20"/>
              </w:rPr>
              <w:t>629</w:t>
            </w:r>
          </w:p>
        </w:tc>
        <w:tc>
          <w:tcPr>
            <w:tcW w:w="811" w:type="dxa"/>
            <w:shd w:val="clear" w:color="auto" w:fill="auto"/>
            <w:noWrap/>
            <w:vAlign w:val="center"/>
            <w:hideMark/>
          </w:tcPr>
          <w:p w14:paraId="734902EF" w14:textId="42911D23"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1</w:t>
            </w:r>
            <w:r w:rsidR="005A215A">
              <w:rPr>
                <w:rFonts w:eastAsia="Times New Roman" w:cs="Times New Roman"/>
                <w:color w:val="000000"/>
                <w:sz w:val="20"/>
                <w:szCs w:val="20"/>
              </w:rPr>
              <w:t>,</w:t>
            </w:r>
            <w:r w:rsidRPr="00156A92">
              <w:rPr>
                <w:rFonts w:eastAsia="Times New Roman" w:cs="Times New Roman"/>
                <w:color w:val="000000"/>
                <w:sz w:val="20"/>
                <w:szCs w:val="20"/>
              </w:rPr>
              <w:t>422</w:t>
            </w:r>
          </w:p>
        </w:tc>
        <w:tc>
          <w:tcPr>
            <w:tcW w:w="770" w:type="dxa"/>
            <w:shd w:val="clear" w:color="auto" w:fill="auto"/>
            <w:noWrap/>
            <w:vAlign w:val="center"/>
            <w:hideMark/>
          </w:tcPr>
          <w:p w14:paraId="53028CE7" w14:textId="4CD5245E"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2</w:t>
            </w:r>
            <w:r w:rsidR="005A215A">
              <w:rPr>
                <w:rFonts w:eastAsia="Times New Roman" w:cs="Times New Roman"/>
                <w:color w:val="000000"/>
                <w:sz w:val="20"/>
                <w:szCs w:val="20"/>
              </w:rPr>
              <w:t>,</w:t>
            </w:r>
            <w:r w:rsidRPr="00156A92">
              <w:rPr>
                <w:rFonts w:eastAsia="Times New Roman" w:cs="Times New Roman"/>
                <w:color w:val="000000"/>
                <w:sz w:val="20"/>
                <w:szCs w:val="20"/>
              </w:rPr>
              <w:t>391</w:t>
            </w:r>
          </w:p>
        </w:tc>
        <w:tc>
          <w:tcPr>
            <w:tcW w:w="811" w:type="dxa"/>
            <w:shd w:val="clear" w:color="auto" w:fill="auto"/>
            <w:noWrap/>
            <w:vAlign w:val="center"/>
            <w:hideMark/>
          </w:tcPr>
          <w:p w14:paraId="23E45110" w14:textId="5D3343BF"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2</w:t>
            </w:r>
            <w:r w:rsidR="005A215A">
              <w:rPr>
                <w:rFonts w:eastAsia="Times New Roman" w:cs="Times New Roman"/>
                <w:color w:val="000000"/>
                <w:sz w:val="20"/>
                <w:szCs w:val="20"/>
              </w:rPr>
              <w:t>,</w:t>
            </w:r>
            <w:r w:rsidRPr="00156A92">
              <w:rPr>
                <w:rFonts w:eastAsia="Times New Roman" w:cs="Times New Roman"/>
                <w:color w:val="000000"/>
                <w:sz w:val="20"/>
                <w:szCs w:val="20"/>
              </w:rPr>
              <w:t>242</w:t>
            </w:r>
          </w:p>
        </w:tc>
        <w:tc>
          <w:tcPr>
            <w:tcW w:w="770" w:type="dxa"/>
            <w:shd w:val="clear" w:color="auto" w:fill="auto"/>
            <w:noWrap/>
            <w:vAlign w:val="center"/>
            <w:hideMark/>
          </w:tcPr>
          <w:p w14:paraId="09068FCF" w14:textId="77777777"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601</w:t>
            </w:r>
          </w:p>
        </w:tc>
        <w:tc>
          <w:tcPr>
            <w:tcW w:w="811" w:type="dxa"/>
            <w:shd w:val="clear" w:color="auto" w:fill="auto"/>
            <w:noWrap/>
            <w:vAlign w:val="center"/>
            <w:hideMark/>
          </w:tcPr>
          <w:p w14:paraId="5BC7A621" w14:textId="77777777"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537</w:t>
            </w:r>
          </w:p>
        </w:tc>
        <w:tc>
          <w:tcPr>
            <w:tcW w:w="1031" w:type="dxa"/>
            <w:shd w:val="clear" w:color="auto" w:fill="auto"/>
            <w:noWrap/>
            <w:vAlign w:val="center"/>
            <w:hideMark/>
          </w:tcPr>
          <w:p w14:paraId="153D2718" w14:textId="77777777" w:rsidR="00F97AAF" w:rsidRPr="00156A92" w:rsidRDefault="00F97AAF" w:rsidP="00C0377E">
            <w:pPr>
              <w:spacing w:after="0" w:line="240" w:lineRule="auto"/>
              <w:jc w:val="center"/>
              <w:rPr>
                <w:rFonts w:eastAsia="Times New Roman" w:cs="Times New Roman"/>
                <w:i/>
                <w:color w:val="000000"/>
                <w:sz w:val="20"/>
                <w:szCs w:val="20"/>
              </w:rPr>
            </w:pPr>
            <w:r w:rsidRPr="00156A92">
              <w:rPr>
                <w:rFonts w:eastAsia="Times New Roman" w:cs="Times New Roman"/>
                <w:i/>
                <w:color w:val="000000"/>
                <w:sz w:val="20"/>
                <w:szCs w:val="20"/>
              </w:rPr>
              <w:t>48.2</w:t>
            </w:r>
          </w:p>
        </w:tc>
      </w:tr>
      <w:tr w:rsidR="00F97AAF" w:rsidRPr="00156A92" w14:paraId="2578796D" w14:textId="77777777" w:rsidTr="00F6457D">
        <w:trPr>
          <w:trHeight w:val="300"/>
          <w:jc w:val="center"/>
        </w:trPr>
        <w:tc>
          <w:tcPr>
            <w:tcW w:w="1885" w:type="dxa"/>
            <w:shd w:val="clear" w:color="auto" w:fill="auto"/>
            <w:noWrap/>
            <w:vAlign w:val="bottom"/>
            <w:hideMark/>
          </w:tcPr>
          <w:p w14:paraId="46BA8EF9" w14:textId="77777777" w:rsidR="00F97AAF" w:rsidRPr="00156A92" w:rsidRDefault="00F97AAF" w:rsidP="00C0377E">
            <w:pPr>
              <w:spacing w:after="0" w:line="240" w:lineRule="auto"/>
              <w:rPr>
                <w:rFonts w:eastAsia="Times New Roman" w:cs="Times New Roman"/>
                <w:b/>
                <w:bCs/>
                <w:color w:val="000000"/>
                <w:sz w:val="20"/>
                <w:szCs w:val="20"/>
              </w:rPr>
            </w:pPr>
            <w:r w:rsidRPr="00156A92">
              <w:rPr>
                <w:rFonts w:eastAsia="Times New Roman" w:cs="Times New Roman"/>
                <w:b/>
                <w:bCs/>
                <w:color w:val="000000"/>
                <w:sz w:val="20"/>
                <w:szCs w:val="20"/>
              </w:rPr>
              <w:t>Unspecified</w:t>
            </w:r>
          </w:p>
        </w:tc>
        <w:tc>
          <w:tcPr>
            <w:tcW w:w="880" w:type="dxa"/>
            <w:shd w:val="clear" w:color="auto" w:fill="auto"/>
            <w:noWrap/>
            <w:vAlign w:val="center"/>
            <w:hideMark/>
          </w:tcPr>
          <w:p w14:paraId="7E0BD0A1" w14:textId="77777777"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252</w:t>
            </w:r>
          </w:p>
        </w:tc>
        <w:tc>
          <w:tcPr>
            <w:tcW w:w="811" w:type="dxa"/>
            <w:shd w:val="clear" w:color="auto" w:fill="auto"/>
            <w:noWrap/>
            <w:vAlign w:val="center"/>
            <w:hideMark/>
          </w:tcPr>
          <w:p w14:paraId="264F9917" w14:textId="77777777"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302</w:t>
            </w:r>
          </w:p>
        </w:tc>
        <w:tc>
          <w:tcPr>
            <w:tcW w:w="770" w:type="dxa"/>
            <w:shd w:val="clear" w:color="auto" w:fill="auto"/>
            <w:noWrap/>
            <w:vAlign w:val="center"/>
            <w:hideMark/>
          </w:tcPr>
          <w:p w14:paraId="56B0D0B6" w14:textId="77777777"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143</w:t>
            </w:r>
          </w:p>
        </w:tc>
        <w:tc>
          <w:tcPr>
            <w:tcW w:w="811" w:type="dxa"/>
            <w:shd w:val="clear" w:color="auto" w:fill="auto"/>
            <w:noWrap/>
            <w:vAlign w:val="center"/>
            <w:hideMark/>
          </w:tcPr>
          <w:p w14:paraId="5843A949" w14:textId="77777777"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117</w:t>
            </w:r>
          </w:p>
        </w:tc>
        <w:tc>
          <w:tcPr>
            <w:tcW w:w="770" w:type="dxa"/>
            <w:shd w:val="clear" w:color="auto" w:fill="auto"/>
            <w:noWrap/>
            <w:vAlign w:val="center"/>
            <w:hideMark/>
          </w:tcPr>
          <w:p w14:paraId="36C24730" w14:textId="77777777"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158</w:t>
            </w:r>
          </w:p>
        </w:tc>
        <w:tc>
          <w:tcPr>
            <w:tcW w:w="811" w:type="dxa"/>
            <w:shd w:val="clear" w:color="auto" w:fill="auto"/>
            <w:noWrap/>
            <w:vAlign w:val="center"/>
            <w:hideMark/>
          </w:tcPr>
          <w:p w14:paraId="5631C4F8" w14:textId="77777777"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142</w:t>
            </w:r>
          </w:p>
        </w:tc>
        <w:tc>
          <w:tcPr>
            <w:tcW w:w="770" w:type="dxa"/>
            <w:shd w:val="clear" w:color="auto" w:fill="auto"/>
            <w:noWrap/>
            <w:vAlign w:val="center"/>
            <w:hideMark/>
          </w:tcPr>
          <w:p w14:paraId="4E5E3157" w14:textId="77777777"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109</w:t>
            </w:r>
          </w:p>
        </w:tc>
        <w:tc>
          <w:tcPr>
            <w:tcW w:w="811" w:type="dxa"/>
            <w:shd w:val="clear" w:color="auto" w:fill="auto"/>
            <w:noWrap/>
            <w:vAlign w:val="center"/>
            <w:hideMark/>
          </w:tcPr>
          <w:p w14:paraId="0E97A8E1" w14:textId="77777777"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95</w:t>
            </w:r>
          </w:p>
        </w:tc>
        <w:tc>
          <w:tcPr>
            <w:tcW w:w="1031" w:type="dxa"/>
            <w:shd w:val="clear" w:color="auto" w:fill="auto"/>
            <w:noWrap/>
            <w:vAlign w:val="center"/>
            <w:hideMark/>
          </w:tcPr>
          <w:p w14:paraId="6B368425" w14:textId="77777777" w:rsidR="00F97AAF" w:rsidRPr="00156A92" w:rsidRDefault="00F97AAF" w:rsidP="00C0377E">
            <w:pPr>
              <w:spacing w:after="0" w:line="240" w:lineRule="auto"/>
              <w:jc w:val="center"/>
              <w:rPr>
                <w:rFonts w:eastAsia="Times New Roman" w:cs="Times New Roman"/>
                <w:i/>
                <w:color w:val="000000"/>
                <w:sz w:val="20"/>
                <w:szCs w:val="20"/>
              </w:rPr>
            </w:pPr>
            <w:r w:rsidRPr="00156A92">
              <w:rPr>
                <w:rFonts w:eastAsia="Times New Roman" w:cs="Times New Roman"/>
                <w:i/>
                <w:color w:val="000000"/>
                <w:sz w:val="20"/>
                <w:szCs w:val="20"/>
              </w:rPr>
              <w:t>36.1</w:t>
            </w:r>
          </w:p>
        </w:tc>
      </w:tr>
      <w:tr w:rsidR="00F97AAF" w:rsidRPr="00156A92" w14:paraId="0157C4CB" w14:textId="77777777" w:rsidTr="00F6457D">
        <w:trPr>
          <w:trHeight w:val="300"/>
          <w:jc w:val="center"/>
        </w:trPr>
        <w:tc>
          <w:tcPr>
            <w:tcW w:w="1885" w:type="dxa"/>
            <w:shd w:val="clear" w:color="auto" w:fill="auto"/>
            <w:noWrap/>
            <w:vAlign w:val="bottom"/>
            <w:hideMark/>
          </w:tcPr>
          <w:p w14:paraId="19D7195A" w14:textId="77777777" w:rsidR="00F97AAF" w:rsidRPr="00156A92" w:rsidRDefault="00F97AAF" w:rsidP="00C0377E">
            <w:pPr>
              <w:spacing w:after="0" w:line="240" w:lineRule="auto"/>
              <w:rPr>
                <w:rFonts w:eastAsia="Times New Roman" w:cs="Times New Roman"/>
                <w:b/>
                <w:bCs/>
                <w:color w:val="000000"/>
                <w:sz w:val="20"/>
                <w:szCs w:val="20"/>
              </w:rPr>
            </w:pPr>
            <w:r w:rsidRPr="00156A92">
              <w:rPr>
                <w:rFonts w:eastAsia="Times New Roman" w:cs="Times New Roman"/>
                <w:b/>
                <w:bCs/>
                <w:color w:val="000000"/>
                <w:sz w:val="20"/>
                <w:szCs w:val="20"/>
              </w:rPr>
              <w:t>Totals</w:t>
            </w:r>
          </w:p>
        </w:tc>
        <w:tc>
          <w:tcPr>
            <w:tcW w:w="880" w:type="dxa"/>
            <w:shd w:val="clear" w:color="auto" w:fill="auto"/>
            <w:noWrap/>
            <w:vAlign w:val="center"/>
            <w:hideMark/>
          </w:tcPr>
          <w:p w14:paraId="6BF4417F" w14:textId="4A86DFF4"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21</w:t>
            </w:r>
            <w:r w:rsidR="005A215A">
              <w:rPr>
                <w:rFonts w:eastAsia="Times New Roman" w:cs="Times New Roman"/>
                <w:color w:val="000000"/>
                <w:sz w:val="20"/>
                <w:szCs w:val="20"/>
              </w:rPr>
              <w:t>,</w:t>
            </w:r>
            <w:r w:rsidRPr="00156A92">
              <w:rPr>
                <w:rFonts w:eastAsia="Times New Roman" w:cs="Times New Roman"/>
                <w:color w:val="000000"/>
                <w:sz w:val="20"/>
                <w:szCs w:val="20"/>
              </w:rPr>
              <w:t>748</w:t>
            </w:r>
          </w:p>
        </w:tc>
        <w:tc>
          <w:tcPr>
            <w:tcW w:w="811" w:type="dxa"/>
            <w:shd w:val="clear" w:color="auto" w:fill="auto"/>
            <w:noWrap/>
            <w:vAlign w:val="center"/>
            <w:hideMark/>
          </w:tcPr>
          <w:p w14:paraId="1481A0FF" w14:textId="50A0D79E"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26</w:t>
            </w:r>
            <w:r w:rsidR="005A215A">
              <w:rPr>
                <w:rFonts w:eastAsia="Times New Roman" w:cs="Times New Roman"/>
                <w:color w:val="000000"/>
                <w:sz w:val="20"/>
                <w:szCs w:val="20"/>
              </w:rPr>
              <w:t>,</w:t>
            </w:r>
            <w:r w:rsidRPr="00156A92">
              <w:rPr>
                <w:rFonts w:eastAsia="Times New Roman" w:cs="Times New Roman"/>
                <w:color w:val="000000"/>
                <w:sz w:val="20"/>
                <w:szCs w:val="20"/>
              </w:rPr>
              <w:t>831</w:t>
            </w:r>
          </w:p>
        </w:tc>
        <w:tc>
          <w:tcPr>
            <w:tcW w:w="770" w:type="dxa"/>
            <w:shd w:val="clear" w:color="auto" w:fill="auto"/>
            <w:noWrap/>
            <w:vAlign w:val="center"/>
            <w:hideMark/>
          </w:tcPr>
          <w:p w14:paraId="4C0A13DA" w14:textId="1508289E"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14</w:t>
            </w:r>
            <w:r w:rsidR="005A215A">
              <w:rPr>
                <w:rFonts w:eastAsia="Times New Roman" w:cs="Times New Roman"/>
                <w:color w:val="000000"/>
                <w:sz w:val="20"/>
                <w:szCs w:val="20"/>
              </w:rPr>
              <w:t>,</w:t>
            </w:r>
            <w:r w:rsidRPr="00156A92">
              <w:rPr>
                <w:rFonts w:eastAsia="Times New Roman" w:cs="Times New Roman"/>
                <w:color w:val="000000"/>
                <w:sz w:val="20"/>
                <w:szCs w:val="20"/>
              </w:rPr>
              <w:t>283</w:t>
            </w:r>
          </w:p>
        </w:tc>
        <w:tc>
          <w:tcPr>
            <w:tcW w:w="811" w:type="dxa"/>
            <w:shd w:val="clear" w:color="auto" w:fill="auto"/>
            <w:noWrap/>
            <w:vAlign w:val="center"/>
            <w:hideMark/>
          </w:tcPr>
          <w:p w14:paraId="39A87B65" w14:textId="54179C02"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12</w:t>
            </w:r>
            <w:r w:rsidR="005A215A">
              <w:rPr>
                <w:rFonts w:eastAsia="Times New Roman" w:cs="Times New Roman"/>
                <w:color w:val="000000"/>
                <w:sz w:val="20"/>
                <w:szCs w:val="20"/>
              </w:rPr>
              <w:t>,</w:t>
            </w:r>
            <w:r w:rsidRPr="00156A92">
              <w:rPr>
                <w:rFonts w:eastAsia="Times New Roman" w:cs="Times New Roman"/>
                <w:color w:val="000000"/>
                <w:sz w:val="20"/>
                <w:szCs w:val="20"/>
              </w:rPr>
              <w:t>089</w:t>
            </w:r>
          </w:p>
        </w:tc>
        <w:tc>
          <w:tcPr>
            <w:tcW w:w="770" w:type="dxa"/>
            <w:shd w:val="clear" w:color="auto" w:fill="auto"/>
            <w:noWrap/>
            <w:vAlign w:val="center"/>
            <w:hideMark/>
          </w:tcPr>
          <w:p w14:paraId="0F92AC6F" w14:textId="27E11453"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17</w:t>
            </w:r>
            <w:r w:rsidR="005A215A">
              <w:rPr>
                <w:rFonts w:eastAsia="Times New Roman" w:cs="Times New Roman"/>
                <w:color w:val="000000"/>
                <w:sz w:val="20"/>
                <w:szCs w:val="20"/>
              </w:rPr>
              <w:t>,</w:t>
            </w:r>
            <w:r w:rsidRPr="00156A92">
              <w:rPr>
                <w:rFonts w:eastAsia="Times New Roman" w:cs="Times New Roman"/>
                <w:color w:val="000000"/>
                <w:sz w:val="20"/>
                <w:szCs w:val="20"/>
              </w:rPr>
              <w:t>963</w:t>
            </w:r>
          </w:p>
        </w:tc>
        <w:tc>
          <w:tcPr>
            <w:tcW w:w="811" w:type="dxa"/>
            <w:shd w:val="clear" w:color="auto" w:fill="auto"/>
            <w:noWrap/>
            <w:vAlign w:val="center"/>
            <w:hideMark/>
          </w:tcPr>
          <w:p w14:paraId="08EDD088" w14:textId="12BACD32"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15</w:t>
            </w:r>
            <w:r w:rsidR="005A215A">
              <w:rPr>
                <w:rFonts w:eastAsia="Times New Roman" w:cs="Times New Roman"/>
                <w:color w:val="000000"/>
                <w:sz w:val="20"/>
                <w:szCs w:val="20"/>
              </w:rPr>
              <w:t>,</w:t>
            </w:r>
            <w:r w:rsidRPr="00156A92">
              <w:rPr>
                <w:rFonts w:eastAsia="Times New Roman" w:cs="Times New Roman"/>
                <w:color w:val="000000"/>
                <w:sz w:val="20"/>
                <w:szCs w:val="20"/>
              </w:rPr>
              <w:t>860</w:t>
            </w:r>
          </w:p>
        </w:tc>
        <w:tc>
          <w:tcPr>
            <w:tcW w:w="770" w:type="dxa"/>
            <w:shd w:val="clear" w:color="auto" w:fill="auto"/>
            <w:noWrap/>
            <w:vAlign w:val="center"/>
            <w:hideMark/>
          </w:tcPr>
          <w:p w14:paraId="26659958" w14:textId="235EA805"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7</w:t>
            </w:r>
            <w:r w:rsidR="005A215A">
              <w:rPr>
                <w:rFonts w:eastAsia="Times New Roman" w:cs="Times New Roman"/>
                <w:color w:val="000000"/>
                <w:sz w:val="20"/>
                <w:szCs w:val="20"/>
              </w:rPr>
              <w:t>,</w:t>
            </w:r>
            <w:r w:rsidRPr="00156A92">
              <w:rPr>
                <w:rFonts w:eastAsia="Times New Roman" w:cs="Times New Roman"/>
                <w:color w:val="000000"/>
                <w:sz w:val="20"/>
                <w:szCs w:val="20"/>
              </w:rPr>
              <w:t>077</w:t>
            </w:r>
          </w:p>
        </w:tc>
        <w:tc>
          <w:tcPr>
            <w:tcW w:w="811" w:type="dxa"/>
            <w:shd w:val="clear" w:color="auto" w:fill="auto"/>
            <w:noWrap/>
            <w:vAlign w:val="center"/>
            <w:hideMark/>
          </w:tcPr>
          <w:p w14:paraId="22B897B1" w14:textId="01608BC8" w:rsidR="00F97AAF" w:rsidRPr="00156A92" w:rsidRDefault="00F97AAF" w:rsidP="00C0377E">
            <w:pPr>
              <w:spacing w:after="0" w:line="240" w:lineRule="auto"/>
              <w:jc w:val="center"/>
              <w:rPr>
                <w:rFonts w:eastAsia="Times New Roman" w:cs="Times New Roman"/>
                <w:color w:val="000000"/>
                <w:sz w:val="20"/>
                <w:szCs w:val="20"/>
              </w:rPr>
            </w:pPr>
            <w:r w:rsidRPr="00156A92">
              <w:rPr>
                <w:rFonts w:eastAsia="Times New Roman" w:cs="Times New Roman"/>
                <w:color w:val="000000"/>
                <w:sz w:val="20"/>
                <w:szCs w:val="20"/>
              </w:rPr>
              <w:t>6</w:t>
            </w:r>
            <w:r w:rsidR="005A215A">
              <w:rPr>
                <w:rFonts w:eastAsia="Times New Roman" w:cs="Times New Roman"/>
                <w:color w:val="000000"/>
                <w:sz w:val="20"/>
                <w:szCs w:val="20"/>
              </w:rPr>
              <w:t>,</w:t>
            </w:r>
            <w:r w:rsidRPr="00156A92">
              <w:rPr>
                <w:rFonts w:eastAsia="Times New Roman" w:cs="Times New Roman"/>
                <w:color w:val="000000"/>
                <w:sz w:val="20"/>
                <w:szCs w:val="20"/>
              </w:rPr>
              <w:t>285</w:t>
            </w:r>
          </w:p>
        </w:tc>
        <w:tc>
          <w:tcPr>
            <w:tcW w:w="1031" w:type="dxa"/>
            <w:shd w:val="clear" w:color="auto" w:fill="auto"/>
            <w:noWrap/>
            <w:vAlign w:val="center"/>
            <w:hideMark/>
          </w:tcPr>
          <w:p w14:paraId="1EA02929" w14:textId="77777777" w:rsidR="00F97AAF" w:rsidRPr="00156A92" w:rsidRDefault="00F97AAF" w:rsidP="00C0377E">
            <w:pPr>
              <w:spacing w:after="0" w:line="240" w:lineRule="auto"/>
              <w:jc w:val="center"/>
              <w:rPr>
                <w:rFonts w:eastAsia="Times New Roman" w:cs="Times New Roman"/>
                <w:color w:val="000000"/>
                <w:sz w:val="20"/>
                <w:szCs w:val="20"/>
              </w:rPr>
            </w:pPr>
          </w:p>
        </w:tc>
      </w:tr>
    </w:tbl>
    <w:p w14:paraId="1F254A62" w14:textId="307846A2" w:rsidR="00F97AAF" w:rsidRPr="00F6457D" w:rsidRDefault="00F97AAF" w:rsidP="00F97AAF">
      <w:pPr>
        <w:autoSpaceDE w:val="0"/>
        <w:autoSpaceDN w:val="0"/>
        <w:adjustRightInd w:val="0"/>
        <w:spacing w:after="0" w:line="240" w:lineRule="auto"/>
        <w:rPr>
          <w:sz w:val="20"/>
        </w:rPr>
      </w:pPr>
      <w:r w:rsidRPr="00F6457D">
        <w:rPr>
          <w:i/>
          <w:sz w:val="20"/>
        </w:rPr>
        <w:t>Source:</w:t>
      </w:r>
      <w:r w:rsidRPr="00F6457D">
        <w:rPr>
          <w:sz w:val="20"/>
        </w:rPr>
        <w:t xml:space="preserve"> Report on the Survey of Serving Public Service Personnel in Southern Sudan (2006)</w:t>
      </w:r>
      <w:r w:rsidR="00F6457D">
        <w:rPr>
          <w:sz w:val="20"/>
        </w:rPr>
        <w:t>.</w:t>
      </w:r>
    </w:p>
    <w:p w14:paraId="74A352A3" w14:textId="412EBABA" w:rsidR="00F97AAF" w:rsidRPr="00B513F4" w:rsidRDefault="00F97AAF" w:rsidP="00F97AAF">
      <w:pPr>
        <w:spacing w:before="240"/>
        <w:jc w:val="both"/>
      </w:pPr>
      <w:r w:rsidRPr="00B513F4">
        <w:t xml:space="preserve">Among functional areas, the organized forces and education had a higher number of staff who had come from the CANS/SPLM, while staff working on finance and economic planning functions came mostly from the CCSS </w:t>
      </w:r>
      <w:r w:rsidR="00721452">
        <w:t>(</w:t>
      </w:r>
      <w:r>
        <w:t>that is,</w:t>
      </w:r>
      <w:r w:rsidRPr="00B513F4">
        <w:t xml:space="preserve"> the Khartoum-run public administration for </w:t>
      </w:r>
      <w:r w:rsidR="00234584">
        <w:t>s</w:t>
      </w:r>
      <w:r w:rsidRPr="00B513F4">
        <w:t>outhern states at the time) (84.7 percent of this category) (</w:t>
      </w:r>
      <w:r w:rsidR="007D532E">
        <w:fldChar w:fldCharType="begin"/>
      </w:r>
      <w:r w:rsidR="007D532E">
        <w:instrText xml:space="preserve"> REF _Ref447533399 \h </w:instrText>
      </w:r>
      <w:r w:rsidR="007D532E">
        <w:fldChar w:fldCharType="separate"/>
      </w:r>
      <w:r w:rsidR="007D532E">
        <w:t xml:space="preserve">figure </w:t>
      </w:r>
      <w:r w:rsidR="007D532E">
        <w:rPr>
          <w:noProof/>
        </w:rPr>
        <w:t>11</w:t>
      </w:r>
      <w:r w:rsidR="007D532E">
        <w:fldChar w:fldCharType="end"/>
      </w:r>
      <w:r>
        <w:t>).</w:t>
      </w:r>
    </w:p>
    <w:p w14:paraId="5B73A80C" w14:textId="4568D922" w:rsidR="00F97AAF" w:rsidRDefault="00F97AAF" w:rsidP="00F97AAF">
      <w:pPr>
        <w:pStyle w:val="Caption"/>
        <w:keepNext/>
      </w:pPr>
      <w:bookmarkStart w:id="34" w:name="_Ref447533399"/>
      <w:r>
        <w:t xml:space="preserve">Figure </w:t>
      </w:r>
      <w:fldSimple w:instr=" SEQ Figure \* ARABIC ">
        <w:r w:rsidR="00807923">
          <w:rPr>
            <w:noProof/>
          </w:rPr>
          <w:t>11</w:t>
        </w:r>
      </w:fldSimple>
      <w:bookmarkEnd w:id="34"/>
      <w:r>
        <w:t xml:space="preserve">. </w:t>
      </w:r>
      <w:r w:rsidRPr="00DE5D59">
        <w:t xml:space="preserve">Staff </w:t>
      </w:r>
      <w:r>
        <w:t>C</w:t>
      </w:r>
      <w:r w:rsidRPr="00DE5D59">
        <w:t xml:space="preserve">oming from CCSS versus SPLM </w:t>
      </w:r>
      <w:r w:rsidR="00024D5E">
        <w:t>a</w:t>
      </w:r>
      <w:r w:rsidRPr="00DE5D59">
        <w:t xml:space="preserve">cross </w:t>
      </w:r>
      <w:r>
        <w:t>Nine</w:t>
      </w:r>
      <w:r w:rsidRPr="00DE5D59">
        <w:t xml:space="preserve"> </w:t>
      </w:r>
      <w:r>
        <w:t>F</w:t>
      </w:r>
      <w:r w:rsidRPr="00DE5D59">
        <w:t xml:space="preserve">unctional </w:t>
      </w:r>
      <w:r>
        <w:t>A</w:t>
      </w:r>
      <w:r w:rsidRPr="00DE5D59">
        <w:t>reas</w:t>
      </w:r>
    </w:p>
    <w:p w14:paraId="7F02B7B6" w14:textId="77777777" w:rsidR="00F97AAF" w:rsidRPr="00B513F4" w:rsidRDefault="00F97AAF" w:rsidP="00F97AAF">
      <w:pPr>
        <w:spacing w:after="0"/>
        <w:jc w:val="center"/>
      </w:pPr>
      <w:r w:rsidRPr="00B513F4">
        <w:rPr>
          <w:noProof/>
        </w:rPr>
        <w:drawing>
          <wp:inline distT="0" distB="0" distL="0" distR="0" wp14:anchorId="0BE785D0" wp14:editId="47A10ECA">
            <wp:extent cx="5772647" cy="3513780"/>
            <wp:effectExtent l="19050" t="19050" r="19050" b="1079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1">
                      <a:extLst>
                        <a:ext uri="{28A0092B-C50C-407E-A947-70E740481C1C}">
                          <a14:useLocalDpi xmlns:a14="http://schemas.microsoft.com/office/drawing/2010/main" val="0"/>
                        </a:ext>
                      </a:extLst>
                    </a:blip>
                    <a:srcRect l="1070" t="2164" r="1753" b="2162"/>
                    <a:stretch/>
                  </pic:blipFill>
                  <pic:spPr bwMode="auto">
                    <a:xfrm>
                      <a:off x="0" y="0"/>
                      <a:ext cx="5775786" cy="3515691"/>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p>
    <w:p w14:paraId="264EBBC7" w14:textId="51232F55" w:rsidR="00F97AAF" w:rsidRPr="003A3E56" w:rsidRDefault="00F97AAF" w:rsidP="00F97AAF">
      <w:pPr>
        <w:autoSpaceDE w:val="0"/>
        <w:autoSpaceDN w:val="0"/>
        <w:adjustRightInd w:val="0"/>
        <w:spacing w:after="0" w:line="240" w:lineRule="auto"/>
        <w:rPr>
          <w:sz w:val="18"/>
        </w:rPr>
      </w:pPr>
      <w:r w:rsidRPr="00C162EA">
        <w:rPr>
          <w:i/>
          <w:sz w:val="20"/>
        </w:rPr>
        <w:t>Source:</w:t>
      </w:r>
      <w:r w:rsidRPr="003A3E56">
        <w:rPr>
          <w:sz w:val="20"/>
        </w:rPr>
        <w:t xml:space="preserve"> Report on the Survey of Serving Public Service Personnel in Southern Sudan (2006)</w:t>
      </w:r>
      <w:r w:rsidR="002C58D3">
        <w:rPr>
          <w:sz w:val="20"/>
        </w:rPr>
        <w:t>.</w:t>
      </w:r>
    </w:p>
    <w:p w14:paraId="3586821B" w14:textId="625ECFA8" w:rsidR="00F97AAF" w:rsidRPr="00B513F4" w:rsidRDefault="00F97AAF" w:rsidP="00F97AAF">
      <w:pPr>
        <w:spacing w:before="240"/>
        <w:jc w:val="both"/>
      </w:pPr>
      <w:r w:rsidRPr="00B513F4">
        <w:lastRenderedPageBreak/>
        <w:t>The vast majority of public servants at the time (54,040 out of 62,172 respondents) were not specified by grades. There were 1,460 staff in the highest grades (1</w:t>
      </w:r>
      <w:r>
        <w:t>–</w:t>
      </w:r>
      <w:r w:rsidRPr="00B513F4">
        <w:t>5) at the time, out of which 387 served in the organized forces (police, prisons, wildlife), versus 371 in education, science</w:t>
      </w:r>
      <w:r w:rsidR="00304C5B">
        <w:t>,</w:t>
      </w:r>
      <w:r w:rsidRPr="00B513F4">
        <w:t xml:space="preserve"> and technology, and 109 in </w:t>
      </w:r>
      <w:r w:rsidR="00304C5B">
        <w:t xml:space="preserve">the </w:t>
      </w:r>
      <w:r w:rsidRPr="00B513F4">
        <w:t xml:space="preserve">local government. The survey also included a detailed age profile of the public service and included estimated retirement cohorts for the coming years. </w:t>
      </w:r>
    </w:p>
    <w:p w14:paraId="043A2439" w14:textId="6A5145DB" w:rsidR="00F97AAF" w:rsidRPr="00B513F4" w:rsidRDefault="00F97AAF" w:rsidP="00F97AAF">
      <w:pPr>
        <w:jc w:val="both"/>
      </w:pPr>
      <w:r w:rsidRPr="00B513F4">
        <w:rPr>
          <w:b/>
        </w:rPr>
        <w:t>From 2005 onwards, a very rapid expansion of the public service took place</w:t>
      </w:r>
      <w:r w:rsidRPr="00B513F4">
        <w:t>. In particular, the organized forces (police, prison, and wildlife services) expanded significantly between 20</w:t>
      </w:r>
      <w:r>
        <w:t xml:space="preserve">06 and 2008 as shown in </w:t>
      </w:r>
      <w:r w:rsidR="00024D5E">
        <w:fldChar w:fldCharType="begin"/>
      </w:r>
      <w:r w:rsidR="00024D5E">
        <w:instrText xml:space="preserve"> REF _Ref447533437 \h </w:instrText>
      </w:r>
      <w:r w:rsidR="00024D5E">
        <w:fldChar w:fldCharType="separate"/>
      </w:r>
      <w:r w:rsidR="00024D5E">
        <w:t xml:space="preserve">figure </w:t>
      </w:r>
      <w:r w:rsidR="00024D5E">
        <w:rPr>
          <w:noProof/>
        </w:rPr>
        <w:t>12</w:t>
      </w:r>
      <w:r w:rsidR="00024D5E">
        <w:fldChar w:fldCharType="end"/>
      </w:r>
      <w:r w:rsidRPr="00B513F4">
        <w:t>. The growth then slowed between 2008 and 2010 (in the context of stagnating fiscal revenue), but resumed in 2011, the year of independence.</w:t>
      </w:r>
    </w:p>
    <w:p w14:paraId="32762F8B" w14:textId="4658CAA1" w:rsidR="00F97AAF" w:rsidRDefault="00F97AAF" w:rsidP="00F97AAF">
      <w:pPr>
        <w:pStyle w:val="Caption"/>
        <w:keepNext/>
      </w:pPr>
      <w:bookmarkStart w:id="35" w:name="_Ref447533437"/>
      <w:r>
        <w:t xml:space="preserve">Figure </w:t>
      </w:r>
      <w:fldSimple w:instr=" SEQ Figure \* ARABIC ">
        <w:r w:rsidR="00807923">
          <w:rPr>
            <w:noProof/>
          </w:rPr>
          <w:t>12</w:t>
        </w:r>
      </w:fldSimple>
      <w:bookmarkEnd w:id="35"/>
      <w:r>
        <w:t>. S</w:t>
      </w:r>
      <w:r w:rsidRPr="00195714">
        <w:t xml:space="preserve">ize of the </w:t>
      </w:r>
      <w:r>
        <w:t>P</w:t>
      </w:r>
      <w:r w:rsidRPr="00195714">
        <w:t xml:space="preserve">ublic </w:t>
      </w:r>
      <w:r>
        <w:t>S</w:t>
      </w:r>
      <w:r w:rsidRPr="00195714">
        <w:t>ervice in South Sudan 2005</w:t>
      </w:r>
      <w:r>
        <w:t>–</w:t>
      </w:r>
      <w:r w:rsidRPr="00195714">
        <w:t>2013</w:t>
      </w:r>
    </w:p>
    <w:p w14:paraId="7B0AA635" w14:textId="77777777" w:rsidR="00F97AAF" w:rsidRPr="00B513F4" w:rsidRDefault="00F97AAF" w:rsidP="00F97AAF">
      <w:pPr>
        <w:spacing w:after="0"/>
        <w:jc w:val="center"/>
      </w:pPr>
      <w:r w:rsidRPr="00B513F4">
        <w:rPr>
          <w:noProof/>
        </w:rPr>
        <w:drawing>
          <wp:inline distT="0" distB="0" distL="0" distR="0" wp14:anchorId="7F30345E" wp14:editId="775603CA">
            <wp:extent cx="3762375" cy="226553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srcRect/>
                    <a:stretch>
                      <a:fillRect/>
                    </a:stretch>
                  </pic:blipFill>
                  <pic:spPr bwMode="auto">
                    <a:xfrm>
                      <a:off x="0" y="0"/>
                      <a:ext cx="3782891" cy="2277887"/>
                    </a:xfrm>
                    <a:prstGeom prst="rect">
                      <a:avLst/>
                    </a:prstGeom>
                    <a:noFill/>
                    <a:ln w="9525">
                      <a:noFill/>
                      <a:miter lim="800000"/>
                      <a:headEnd/>
                      <a:tailEnd/>
                    </a:ln>
                  </pic:spPr>
                </pic:pic>
              </a:graphicData>
            </a:graphic>
          </wp:inline>
        </w:drawing>
      </w:r>
    </w:p>
    <w:p w14:paraId="629740BA" w14:textId="599D6AF5" w:rsidR="00F97AAF" w:rsidRPr="003A3E56" w:rsidRDefault="00F97AAF" w:rsidP="00F97AAF">
      <w:pPr>
        <w:spacing w:after="0" w:line="240" w:lineRule="auto"/>
        <w:jc w:val="both"/>
        <w:rPr>
          <w:sz w:val="20"/>
        </w:rPr>
      </w:pPr>
      <w:r w:rsidRPr="003A3E56">
        <w:rPr>
          <w:i/>
          <w:sz w:val="20"/>
        </w:rPr>
        <w:t>Source:</w:t>
      </w:r>
      <w:r w:rsidRPr="00B513F4">
        <w:rPr>
          <w:sz w:val="20"/>
        </w:rPr>
        <w:t xml:space="preserve"> Case study </w:t>
      </w:r>
      <w:r w:rsidR="002C58D3">
        <w:rPr>
          <w:sz w:val="20"/>
        </w:rPr>
        <w:t xml:space="preserve">on </w:t>
      </w:r>
      <w:r w:rsidRPr="00B513F4">
        <w:rPr>
          <w:sz w:val="20"/>
        </w:rPr>
        <w:t xml:space="preserve">South Sudan, based on budget books </w:t>
      </w:r>
      <w:r w:rsidR="002C58D3">
        <w:rPr>
          <w:sz w:val="20"/>
        </w:rPr>
        <w:t xml:space="preserve">from </w:t>
      </w:r>
      <w:r w:rsidRPr="00B513F4">
        <w:rPr>
          <w:sz w:val="20"/>
        </w:rPr>
        <w:t>various years</w:t>
      </w:r>
      <w:r w:rsidR="002C58D3">
        <w:rPr>
          <w:sz w:val="20"/>
        </w:rPr>
        <w:t>.</w:t>
      </w:r>
    </w:p>
    <w:p w14:paraId="5F9B1AFA" w14:textId="726EA057" w:rsidR="00F97AAF" w:rsidRPr="00B513F4" w:rsidRDefault="00F97AAF" w:rsidP="00F97AAF">
      <w:pPr>
        <w:spacing w:before="240"/>
        <w:jc w:val="both"/>
      </w:pPr>
      <w:r w:rsidRPr="00B513F4">
        <w:rPr>
          <w:b/>
        </w:rPr>
        <w:t>A further distortion in the public service was the emergence of ghost employees on a large scale</w:t>
      </w:r>
      <w:r w:rsidRPr="00B513F4">
        <w:t>. Because hiring was decentralized, in particular with regard to hiring of skilled and unskilled workers (grades 17</w:t>
      </w:r>
      <w:r>
        <w:t>–</w:t>
      </w:r>
      <w:r w:rsidRPr="00B513F4">
        <w:t xml:space="preserve">11), many officials added the names of relatives to the public sector payroll. </w:t>
      </w:r>
    </w:p>
    <w:p w14:paraId="5C66C8E1" w14:textId="5AC0638E" w:rsidR="00F97AAF" w:rsidRPr="009B521B" w:rsidRDefault="00F97AAF" w:rsidP="009B521B">
      <w:pPr>
        <w:pStyle w:val="LB1"/>
        <w:numPr>
          <w:ilvl w:val="0"/>
          <w:numId w:val="0"/>
        </w:numPr>
        <w:spacing w:before="0" w:after="200" w:line="276" w:lineRule="auto"/>
        <w:ind w:left="720" w:right="720"/>
        <w:rPr>
          <w:rFonts w:asciiTheme="minorHAnsi" w:hAnsiTheme="minorHAnsi"/>
        </w:rPr>
      </w:pPr>
      <w:r w:rsidRPr="009B521B">
        <w:rPr>
          <w:rFonts w:asciiTheme="minorHAnsi" w:hAnsiTheme="minorHAnsi"/>
          <w:i/>
        </w:rPr>
        <w:t>“Just in Jonglei state, we found 14,000 ghosts; in the police, 31,000 ghosts… and so on. They even included the names of their cows and bulls of the payroll!! … It was not just ghost workers, but also ghost institutions that did not exist at all, such as fake hospitals, a fake public service institute with 1,000 staff on the payroll… We had no files of the civil servants, not even for the MoLPS staff!”</w:t>
      </w:r>
      <w:r w:rsidRPr="009B521B">
        <w:rPr>
          <w:rFonts w:asciiTheme="minorHAnsi" w:hAnsiTheme="minorHAnsi"/>
        </w:rPr>
        <w:t xml:space="preserve"> (Interview with a </w:t>
      </w:r>
      <w:r w:rsidR="00C162EA">
        <w:rPr>
          <w:rFonts w:asciiTheme="minorHAnsi" w:hAnsiTheme="minorHAnsi"/>
        </w:rPr>
        <w:t xml:space="preserve">former top official at </w:t>
      </w:r>
      <w:r w:rsidR="000754F1">
        <w:rPr>
          <w:rFonts w:asciiTheme="minorHAnsi" w:hAnsiTheme="minorHAnsi"/>
        </w:rPr>
        <w:t>MoLPSHRD</w:t>
      </w:r>
      <w:r w:rsidRPr="009B521B">
        <w:rPr>
          <w:rFonts w:asciiTheme="minorHAnsi" w:hAnsiTheme="minorHAnsi"/>
        </w:rPr>
        <w:t>; reported in Ferreiro Rodriguez 2013)</w:t>
      </w:r>
    </w:p>
    <w:p w14:paraId="6E353454" w14:textId="209CE4A8" w:rsidR="00F97AAF" w:rsidRDefault="00F97AAF" w:rsidP="00F97AAF">
      <w:pPr>
        <w:jc w:val="both"/>
      </w:pPr>
      <w:r w:rsidRPr="00B513F4">
        <w:rPr>
          <w:b/>
        </w:rPr>
        <w:t>Parallel to the expansion of the civil service and the organized forces, the SPLA also rapidly grew in numbers during this period</w:t>
      </w:r>
      <w:r w:rsidRPr="00B513F4">
        <w:t>. In 2005, the numerical strength of the SPLA was estimated at 40,000 (Small Arms Survey 2011)</w:t>
      </w:r>
      <w:r w:rsidRPr="00B513F4">
        <w:rPr>
          <w:rStyle w:val="FootnoteReference"/>
        </w:rPr>
        <w:footnoteReference w:id="49"/>
      </w:r>
      <w:r w:rsidRPr="00B513F4">
        <w:t xml:space="preserve">. Based on the post-CPA Juba declaration, Other Armed Groups were merged with the SPLA, and by 2006, its estimated size was 80,000; swelling to 140,000 by 2010 through a period of </w:t>
      </w:r>
      <w:r w:rsidRPr="00B513F4">
        <w:lastRenderedPageBreak/>
        <w:t>recruitment, and 210,000 as of November 2011. As of 2013, the number stood at about 195,000 (budget figures) (see also Norad 2010</w:t>
      </w:r>
      <w:r>
        <w:t>, annex 5</w:t>
      </w:r>
      <w:r w:rsidRPr="00B513F4">
        <w:t>; Rands 2010).</w:t>
      </w:r>
      <w:r w:rsidRPr="00B513F4">
        <w:rPr>
          <w:rStyle w:val="FootnoteReference"/>
        </w:rPr>
        <w:footnoteReference w:id="50"/>
      </w:r>
    </w:p>
    <w:p w14:paraId="0A257D7E" w14:textId="77777777" w:rsidR="00F97AAF" w:rsidRPr="00B513F4" w:rsidRDefault="00F97AAF" w:rsidP="00F97AAF">
      <w:pPr>
        <w:pStyle w:val="Heading3"/>
      </w:pPr>
      <w:bookmarkStart w:id="36" w:name="_Toc447892401"/>
      <w:r w:rsidRPr="00B513F4">
        <w:t>5.3 Links between public service and challenge of DDR in South Sudan</w:t>
      </w:r>
      <w:bookmarkEnd w:id="36"/>
    </w:p>
    <w:p w14:paraId="5B4C11BB" w14:textId="3261D664" w:rsidR="00F97AAF" w:rsidRPr="00B513F4" w:rsidRDefault="00F97AAF" w:rsidP="00F97AAF">
      <w:pPr>
        <w:jc w:val="both"/>
        <w:rPr>
          <w:b/>
          <w:color w:val="000000" w:themeColor="text1"/>
        </w:rPr>
      </w:pPr>
      <w:r w:rsidRPr="00B513F4">
        <w:rPr>
          <w:b/>
        </w:rPr>
        <w:t>As is analyzed elsewhere, South Sudan has not pursued an effective DDR strategy</w:t>
      </w:r>
      <w:r>
        <w:t>—</w:t>
      </w:r>
      <w:r w:rsidRPr="00B513F4">
        <w:rPr>
          <w:b/>
        </w:rPr>
        <w:t>rather, it has pursued a strategy of ‘parking’ ex-combatants in the organized forces and of integrating rebel groups into the new nation’s armed forces</w:t>
      </w:r>
      <w:r w:rsidRPr="00B513F4">
        <w:t xml:space="preserve"> (Small Arms Survey 2011</w:t>
      </w:r>
      <w:r w:rsidR="00712DA9">
        <w:t>;</w:t>
      </w:r>
      <w:r w:rsidRPr="00B513F4">
        <w:t xml:space="preserve"> </w:t>
      </w:r>
      <w:r>
        <w:t>Rand</w:t>
      </w:r>
      <w:r w:rsidRPr="00B513F4">
        <w:t xml:space="preserve"> 2010</w:t>
      </w:r>
      <w:r w:rsidR="00712DA9">
        <w:t>;</w:t>
      </w:r>
      <w:r w:rsidRPr="00B513F4">
        <w:t xml:space="preserve"> Baas 2012). By mid-2011, only 13 percent of the target ‘case load’ of ex-combatants had entered the DDR process (Small Arms Survey 2011). For each of the organized forces (police, fire, prison guards, </w:t>
      </w:r>
      <w:r w:rsidR="001B7E61">
        <w:t xml:space="preserve">and </w:t>
      </w:r>
      <w:r w:rsidRPr="00B513F4">
        <w:t>wildlife guards) there is an explicit provision built into their relevant law that they can be merged back into the SPLA if and when needed (see box 1). There appear to have been two security-related rationales: (</w:t>
      </w:r>
      <w:r>
        <w:t>a</w:t>
      </w:r>
      <w:r w:rsidRPr="00B513F4">
        <w:t xml:space="preserve">) a perceived continued security threat from the </w:t>
      </w:r>
      <w:r>
        <w:t>n</w:t>
      </w:r>
      <w:r w:rsidRPr="00B513F4">
        <w:t>orth and (</w:t>
      </w:r>
      <w:r>
        <w:t>b</w:t>
      </w:r>
      <w:r w:rsidRPr="00B513F4">
        <w:t xml:space="preserve">) a perceived security threat within South Sudan, if a large number of soldiers were demobilized </w:t>
      </w:r>
      <w:r w:rsidRPr="00B513F4">
        <w:rPr>
          <w:color w:val="000000" w:themeColor="text1"/>
        </w:rPr>
        <w:t xml:space="preserve">without a clear perspective. As pointed out in section 2.1, there has been a significant and continuous pressure to accommodate various groups, and this has favored an expansion of the military and organized forces, rather than DDR. </w:t>
      </w:r>
    </w:p>
    <w:p w14:paraId="10510D4D" w14:textId="7D3097DC" w:rsidR="00F97AAF" w:rsidRPr="00B513F4" w:rsidRDefault="00F97AAF" w:rsidP="00F97AAF">
      <w:pPr>
        <w:jc w:val="both"/>
      </w:pPr>
      <w:r w:rsidRPr="00B513F4">
        <w:rPr>
          <w:b/>
        </w:rPr>
        <w:t>Inclusion in the SPLA and in the public service (civilian and organized forces) has been used to bring potentially violent groups into the ‘big tent’</w:t>
      </w:r>
      <w:r w:rsidRPr="00607D61">
        <w:rPr>
          <w:b/>
        </w:rPr>
        <w:t>.</w:t>
      </w:r>
      <w:r w:rsidRPr="00B513F4">
        <w:t xml:space="preserve"> This started with the South Sudan Defense Force in 2006 (Baas 2012). Salary payments to soldiers started in 2005</w:t>
      </w:r>
      <w:r>
        <w:t>–</w:t>
      </w:r>
      <w:r w:rsidRPr="00B513F4">
        <w:t>06 making it attractive for combatants to remain in the military (and respectively, made demobilization less attractive). The policy of integrating rebel groups continued throughout 2012 and 2013, essentially until the outbreak of conflict in mid-December 2013</w:t>
      </w:r>
      <w:r>
        <w:t>—</w:t>
      </w:r>
      <w:r w:rsidRPr="00B513F4">
        <w:t xml:space="preserve">and despite the hiring freeze and austerity measures in place at the time. </w:t>
      </w:r>
    </w:p>
    <w:p w14:paraId="1077F8B3" w14:textId="732403D8" w:rsidR="00F97AAF" w:rsidRPr="00B513F4" w:rsidRDefault="00F97AAF" w:rsidP="00F97AAF">
      <w:pPr>
        <w:jc w:val="both"/>
      </w:pPr>
      <w:r w:rsidRPr="00B513F4">
        <w:rPr>
          <w:b/>
        </w:rPr>
        <w:t>According to public records, five armed groups were amnestied and integrated into the armed forces in 2012, and a further eight in 2013</w:t>
      </w:r>
      <w:r w:rsidRPr="00607D61">
        <w:rPr>
          <w:b/>
        </w:rPr>
        <w:t>.</w:t>
      </w:r>
      <w:r w:rsidRPr="00B513F4">
        <w:t xml:space="preserve"> In each of these instances, the groups were allocated a certain number of top and rank and file positions, mainly in the army, but also in the police forces and the civil service. For example, the</w:t>
      </w:r>
      <w:r w:rsidR="00607D61">
        <w:t xml:space="preserve"> South Sudan Liberation Army</w:t>
      </w:r>
      <w:r w:rsidRPr="00B513F4">
        <w:t xml:space="preserve"> </w:t>
      </w:r>
      <w:r w:rsidR="00607D61">
        <w:t>(</w:t>
      </w:r>
      <w:r w:rsidRPr="00B513F4">
        <w:t>SSLA</w:t>
      </w:r>
      <w:r w:rsidR="00607D61">
        <w:t>)</w:t>
      </w:r>
      <w:r w:rsidRPr="00B513F4">
        <w:t xml:space="preserve"> was given: “army position</w:t>
      </w:r>
      <w:r>
        <w:t>[</w:t>
      </w:r>
      <w:r w:rsidRPr="00B513F4">
        <w:t>s] of one lieutenant general, five major generals, six brigadier generals and the remaining ranks from colonel up to NCOs shall be arranged based upon the strength of [the] forces of [the] SSLA</w:t>
      </w:r>
      <w:r>
        <w:t>;</w:t>
      </w:r>
      <w:r w:rsidRPr="00B513F4">
        <w:t>” as well as one presidential adviser positions, two ambassadorships, and furthermore advisory and ministerial positions in the respective state governments (Upper Nile and Unity State).</w:t>
      </w:r>
      <w:r w:rsidRPr="00B513F4">
        <w:rPr>
          <w:rStyle w:val="FootnoteReference"/>
        </w:rPr>
        <w:footnoteReference w:id="51"/>
      </w:r>
    </w:p>
    <w:p w14:paraId="658CA791" w14:textId="4B914EE3" w:rsidR="00F97AAF" w:rsidRPr="00B513F4" w:rsidRDefault="00F97AAF" w:rsidP="00F97AAF">
      <w:pPr>
        <w:jc w:val="both"/>
        <w:rPr>
          <w:color w:val="000000" w:themeColor="text1"/>
        </w:rPr>
      </w:pPr>
      <w:r w:rsidRPr="00B513F4">
        <w:rPr>
          <w:b/>
          <w:color w:val="000000" w:themeColor="text1"/>
        </w:rPr>
        <w:t xml:space="preserve">Disarmament and a reduction and restructuring of the military and the organized forces will therefore continue to pose a fundamental and difficult-to-resolve challenge in the years ahead. </w:t>
      </w:r>
      <w:r w:rsidRPr="00B513F4">
        <w:rPr>
          <w:color w:val="000000" w:themeColor="text1"/>
        </w:rPr>
        <w:t xml:space="preserve">These issues will pose </w:t>
      </w:r>
      <w:r w:rsidR="00021767">
        <w:rPr>
          <w:color w:val="000000" w:themeColor="text1"/>
        </w:rPr>
        <w:t>an even more</w:t>
      </w:r>
      <w:r w:rsidRPr="00B513F4">
        <w:rPr>
          <w:color w:val="000000" w:themeColor="text1"/>
        </w:rPr>
        <w:t xml:space="preserve"> significant challenge </w:t>
      </w:r>
      <w:r w:rsidR="00021767">
        <w:rPr>
          <w:color w:val="000000" w:themeColor="text1"/>
        </w:rPr>
        <w:t>following the end of the 2013-2015 civil conflict</w:t>
      </w:r>
      <w:r w:rsidRPr="00B513F4">
        <w:rPr>
          <w:color w:val="000000" w:themeColor="text1"/>
        </w:rPr>
        <w:t>. The pressure is likely to be to include yet more groups. To do so may be necessary from a ‘negative peace’ perspective (</w:t>
      </w:r>
      <w:r>
        <w:rPr>
          <w:color w:val="000000" w:themeColor="text1"/>
        </w:rPr>
        <w:t>that is,</w:t>
      </w:r>
      <w:r w:rsidRPr="00B513F4">
        <w:rPr>
          <w:color w:val="000000" w:themeColor="text1"/>
        </w:rPr>
        <w:t xml:space="preserve"> bringing an end to violence), but will come at a high cost from a fiscal perspective and in terms of building longer-term resilience. </w:t>
      </w:r>
      <w:r w:rsidR="00021767">
        <w:rPr>
          <w:color w:val="000000" w:themeColor="text1"/>
        </w:rPr>
        <w:t>With low oil prices</w:t>
      </w:r>
      <w:r w:rsidRPr="00B513F4">
        <w:rPr>
          <w:color w:val="000000" w:themeColor="text1"/>
        </w:rPr>
        <w:t xml:space="preserve">, the trade-offs between additional salary spending on </w:t>
      </w:r>
      <w:r w:rsidRPr="00B513F4">
        <w:rPr>
          <w:color w:val="000000" w:themeColor="text1"/>
        </w:rPr>
        <w:lastRenderedPageBreak/>
        <w:t>the security sector and other spending</w:t>
      </w:r>
      <w:r>
        <w:rPr>
          <w:color w:val="000000" w:themeColor="text1"/>
        </w:rPr>
        <w:t>—</w:t>
      </w:r>
      <w:r w:rsidRPr="00B513F4">
        <w:rPr>
          <w:color w:val="000000" w:themeColor="text1"/>
        </w:rPr>
        <w:t>on service delivery and on capital expenditures</w:t>
      </w:r>
      <w:r>
        <w:rPr>
          <w:color w:val="000000" w:themeColor="text1"/>
        </w:rPr>
        <w:t>—</w:t>
      </w:r>
      <w:r w:rsidR="00021767">
        <w:rPr>
          <w:color w:val="000000" w:themeColor="text1"/>
        </w:rPr>
        <w:t>are further sharpening</w:t>
      </w:r>
      <w:r w:rsidRPr="00B513F4">
        <w:rPr>
          <w:color w:val="000000" w:themeColor="text1"/>
        </w:rPr>
        <w:t xml:space="preserve">. In addition, imbalances among ethnic groups </w:t>
      </w:r>
      <w:r w:rsidR="00021767">
        <w:rPr>
          <w:color w:val="000000" w:themeColor="text1"/>
        </w:rPr>
        <w:t>cannot simply</w:t>
      </w:r>
      <w:r w:rsidRPr="00B513F4">
        <w:rPr>
          <w:color w:val="000000" w:themeColor="text1"/>
        </w:rPr>
        <w:t xml:space="preserve"> be addressed through accommodation. </w:t>
      </w:r>
      <w:r w:rsidR="00021767">
        <w:rPr>
          <w:color w:val="000000" w:themeColor="text1"/>
        </w:rPr>
        <w:t>P</w:t>
      </w:r>
      <w:r w:rsidRPr="00B513F4">
        <w:rPr>
          <w:color w:val="000000" w:themeColor="text1"/>
        </w:rPr>
        <w:t xml:space="preserve">roviding a ‘social safety net through employment in security sectors’ will continue to be perceived as unfair by underrepresented groups, in particular when it comes at the cost of continued underfunding of service delivery. </w:t>
      </w:r>
    </w:p>
    <w:p w14:paraId="60055CE3" w14:textId="4E20544F" w:rsidR="00F97AAF" w:rsidRPr="00B513F4" w:rsidRDefault="00F97AAF" w:rsidP="00F97AAF">
      <w:pPr>
        <w:jc w:val="both"/>
        <w:rPr>
          <w:b/>
        </w:rPr>
      </w:pPr>
      <w:r w:rsidRPr="00B513F4">
        <w:rPr>
          <w:b/>
          <w:color w:val="000000" w:themeColor="text1"/>
        </w:rPr>
        <w:t>Furthermore, disarmament is likely to be met by resistance due to the deepened distrust between various groups</w:t>
      </w:r>
      <w:r w:rsidRPr="00B513F4">
        <w:rPr>
          <w:color w:val="000000" w:themeColor="text1"/>
        </w:rPr>
        <w:t>. In the years since independence, citizens in South Sudan have experienced both localized conflicts and larger</w:t>
      </w:r>
      <w:r>
        <w:rPr>
          <w:color w:val="000000" w:themeColor="text1"/>
        </w:rPr>
        <w:t>-</w:t>
      </w:r>
      <w:r w:rsidRPr="00B513F4">
        <w:rPr>
          <w:color w:val="000000" w:themeColor="text1"/>
        </w:rPr>
        <w:t>scale conflict, particularly in the three northeastern states (Jonglei, Unity, and Upper Nile). Both types of conflict are likely to generate substantial fear of being attacked, and of not being sufficiently protected by the state, in particular if the state is not seen as impartial. Thus, both at the local/smaller</w:t>
      </w:r>
      <w:r>
        <w:rPr>
          <w:color w:val="000000" w:themeColor="text1"/>
        </w:rPr>
        <w:t>-</w:t>
      </w:r>
      <w:r w:rsidRPr="00B513F4">
        <w:rPr>
          <w:color w:val="000000" w:themeColor="text1"/>
        </w:rPr>
        <w:t>scale group level, and at the level of larger political alliances, reluctance and possibly resistance to being disarmed is likely. While some recent small</w:t>
      </w:r>
      <w:r>
        <w:rPr>
          <w:color w:val="000000" w:themeColor="text1"/>
        </w:rPr>
        <w:t>-</w:t>
      </w:r>
      <w:r w:rsidRPr="00B513F4">
        <w:rPr>
          <w:color w:val="000000" w:themeColor="text1"/>
        </w:rPr>
        <w:t>scale DDR efforts have continued and the capacity of the DDR Commission at the national level has been developed, the prospect for a larger-scale effort is likely to be very challenging and to require both social reconciliation on the one hand, and a more credible protection of citizens by the state on the other hand. For the latter, progress with professionalizing the police</w:t>
      </w:r>
      <w:r>
        <w:rPr>
          <w:color w:val="000000" w:themeColor="text1"/>
        </w:rPr>
        <w:t>—</w:t>
      </w:r>
      <w:r w:rsidRPr="00B513F4">
        <w:rPr>
          <w:color w:val="000000" w:themeColor="text1"/>
        </w:rPr>
        <w:t>the single largest of the four organ</w:t>
      </w:r>
      <w:r>
        <w:rPr>
          <w:color w:val="000000" w:themeColor="text1"/>
        </w:rPr>
        <w:t>ized forces—will be crucial.</w:t>
      </w:r>
    </w:p>
    <w:p w14:paraId="48C949EE" w14:textId="02345A8E" w:rsidR="00F97AAF" w:rsidRPr="00B513F4" w:rsidRDefault="00F97AAF" w:rsidP="00F97AAF">
      <w:pPr>
        <w:jc w:val="both"/>
      </w:pPr>
      <w:r w:rsidRPr="00B513F4">
        <w:rPr>
          <w:b/>
        </w:rPr>
        <w:t xml:space="preserve">Overall, initially formulated good intentions of developing an effective public service have been undermined in practice over the past decade. </w:t>
      </w:r>
      <w:r w:rsidRPr="00B513F4">
        <w:t>The expansion of public employment has been used to accommodate numerous groups</w:t>
      </w:r>
      <w:r>
        <w:t>—</w:t>
      </w:r>
      <w:r w:rsidRPr="00B513F4">
        <w:t xml:space="preserve">but this ultimately contributes to the public sector being seen as unfair and self-serving. The following subsections (5.4 and 5.5) map the institutional responsibilities and legal provisions that emerged over this period, as well as the governance challenges that are seen to affect the public sector. Sections 5.6 and 5.7 then track the reform efforts made and the support provided by development partners. </w:t>
      </w:r>
    </w:p>
    <w:p w14:paraId="6D2604A7" w14:textId="77777777" w:rsidR="00F97AAF" w:rsidRPr="00B513F4" w:rsidRDefault="00F97AAF" w:rsidP="00F97AAF">
      <w:pPr>
        <w:pStyle w:val="Heading3"/>
      </w:pPr>
      <w:bookmarkStart w:id="37" w:name="_Toc447892402"/>
      <w:r w:rsidRPr="00B513F4">
        <w:t>5.4 Reform efforts from 2007 to 2012</w:t>
      </w:r>
      <w:bookmarkEnd w:id="37"/>
    </w:p>
    <w:p w14:paraId="668D68A9" w14:textId="2D82A259" w:rsidR="00F97AAF" w:rsidRPr="00B513F4" w:rsidRDefault="00F97AAF" w:rsidP="00F97AAF">
      <w:pPr>
        <w:jc w:val="both"/>
      </w:pPr>
      <w:r w:rsidRPr="00B513F4">
        <w:rPr>
          <w:b/>
        </w:rPr>
        <w:t>While the overall development of the public sector in South Sudan has been far from ideal, it is important to acknowledge that reform efforts have been repeatedly initiated along the way</w:t>
      </w:r>
      <w:r w:rsidRPr="008E522B">
        <w:rPr>
          <w:b/>
        </w:rPr>
        <w:t>.</w:t>
      </w:r>
      <w:r w:rsidRPr="00B513F4">
        <w:t xml:space="preserve"> In a broad sense, these reform efforts have had limited success to date (see also Larson</w:t>
      </w:r>
      <w:r>
        <w:t>,</w:t>
      </w:r>
      <w:r w:rsidRPr="00B513F4">
        <w:t xml:space="preserve"> </w:t>
      </w:r>
      <w:r>
        <w:t>Ajak, and Pritchett</w:t>
      </w:r>
      <w:r w:rsidRPr="00B513F4">
        <w:t xml:space="preserve"> 2013), while both the direction and speed of ‘travel’ (relative to comparative parameters as discussed in section 1) has been volatile. However, some particular reform efforts have resulted in actual changes, such as the reform of the pay and grading scale discussed in the preceding section. Furthermore, a review of reform efforts provides an important reminder that the knowledge of what a better public sector system would look like is actually quite present in South Sudan (and as already highlighted in the context of the initial pre-CPA discussions about the public sector). The problem is therefore rather one of making progress feasible, and of conflicting incentives. </w:t>
      </w:r>
    </w:p>
    <w:p w14:paraId="59F50E1C" w14:textId="2F6B3550" w:rsidR="00F97AAF" w:rsidRPr="00B513F4" w:rsidRDefault="00F97AAF" w:rsidP="00F97AAF">
      <w:pPr>
        <w:jc w:val="both"/>
      </w:pPr>
      <w:r w:rsidRPr="00B513F4">
        <w:t>This section summarizes key reform efforts made during the period 2007 to 2013. Table 13 list</w:t>
      </w:r>
      <w:r>
        <w:t>s</w:t>
      </w:r>
      <w:r w:rsidRPr="00B513F4">
        <w:t xml:space="preserve"> the key office holders in the </w:t>
      </w:r>
      <w:r w:rsidR="000754F1">
        <w:t>MoLPSHRD</w:t>
      </w:r>
      <w:r w:rsidRPr="00B513F4">
        <w:t xml:space="preserve"> and the </w:t>
      </w:r>
      <w:r w:rsidR="00FF7927">
        <w:t>Civil Service Commission (</w:t>
      </w:r>
      <w:r w:rsidRPr="00FF7927">
        <w:t>CSC</w:t>
      </w:r>
      <w:r w:rsidR="00FF7927">
        <w:t>)</w:t>
      </w:r>
      <w:r w:rsidRPr="00B513F4">
        <w:t xml:space="preserve"> who have been involved in these efforts. The subsequent section then discusses the efforts made at supporting the development of a capable public sector by development partners. </w:t>
      </w:r>
    </w:p>
    <w:p w14:paraId="292B2589" w14:textId="7386390A" w:rsidR="00F97AAF" w:rsidRPr="00B513F4" w:rsidRDefault="00F97AAF" w:rsidP="00F97AAF">
      <w:pPr>
        <w:jc w:val="both"/>
      </w:pPr>
      <w:r w:rsidRPr="00B513F4">
        <w:rPr>
          <w:b/>
        </w:rPr>
        <w:lastRenderedPageBreak/>
        <w:t xml:space="preserve">An initial push for public sector reforms was made in 2008 during the early stage of Minister Awut’s tenure as </w:t>
      </w:r>
      <w:r w:rsidR="0029026D">
        <w:rPr>
          <w:b/>
        </w:rPr>
        <w:t>m</w:t>
      </w:r>
      <w:r w:rsidRPr="00B513F4">
        <w:rPr>
          <w:b/>
        </w:rPr>
        <w:t>inister of Labor and Public Service</w:t>
      </w:r>
      <w:r w:rsidRPr="008E522B">
        <w:rPr>
          <w:b/>
        </w:rPr>
        <w:t>.</w:t>
      </w:r>
      <w:r w:rsidRPr="00B513F4">
        <w:t xml:space="preserve"> This push for reforms had been supported by the Bank (with ASI as the implementing partner). In September 2007, </w:t>
      </w:r>
      <w:r w:rsidR="00F92549">
        <w:t xml:space="preserve">the </w:t>
      </w:r>
      <w:r w:rsidRPr="00B513F4">
        <w:t xml:space="preserve">MOFEP had requested ASI to provide a rapid assessment of rightsizing options; as there were growing problems with wage bill arrears due to excessively rapid hiring since 2005 and fiscal constraints. Box 2 summarizes the propositions made at the time. However, as reflected in </w:t>
      </w:r>
      <w:r w:rsidR="00B40B1C">
        <w:fldChar w:fldCharType="begin"/>
      </w:r>
      <w:r w:rsidR="00B40B1C">
        <w:instrText xml:space="preserve"> REF _Ref447292984 \h </w:instrText>
      </w:r>
      <w:r w:rsidR="00B40B1C">
        <w:fldChar w:fldCharType="separate"/>
      </w:r>
      <w:r w:rsidR="00B40B1C">
        <w:t xml:space="preserve">figure </w:t>
      </w:r>
      <w:r w:rsidR="00B40B1C">
        <w:rPr>
          <w:noProof/>
        </w:rPr>
        <w:t>4</w:t>
      </w:r>
      <w:r w:rsidR="00B40B1C">
        <w:fldChar w:fldCharType="end"/>
      </w:r>
      <w:r w:rsidR="00B40B1C">
        <w:t>(a)</w:t>
      </w:r>
      <w:r w:rsidRPr="00B513F4">
        <w:t xml:space="preserve"> (section 3.1), between 2007 and 2008, fiscal revenues for </w:t>
      </w:r>
      <w:r>
        <w:t>s</w:t>
      </w:r>
      <w:r w:rsidRPr="00B513F4">
        <w:t xml:space="preserve">outhern Sudan accelerated, thus taking the immediate edge off the problem of a growing public sector wage bill. This lessened the pressure to proceed with the proposals made. </w:t>
      </w:r>
    </w:p>
    <w:p w14:paraId="2EF8E918" w14:textId="0DA5FD58" w:rsidR="00F97AAF" w:rsidRDefault="00F97AAF" w:rsidP="00F97AAF">
      <w:pPr>
        <w:pStyle w:val="Caption"/>
        <w:keepNext/>
      </w:pPr>
      <w:bookmarkStart w:id="38" w:name="_Ref447538506"/>
      <w:r>
        <w:t xml:space="preserve">Table </w:t>
      </w:r>
      <w:fldSimple w:instr=" SEQ Table \* ARABIC ">
        <w:r>
          <w:rPr>
            <w:noProof/>
          </w:rPr>
          <w:t>13</w:t>
        </w:r>
      </w:fldSimple>
      <w:bookmarkEnd w:id="38"/>
      <w:r>
        <w:t xml:space="preserve">. Key Office Holders in the </w:t>
      </w:r>
      <w:r w:rsidR="000754F1">
        <w:t>MoLPSHRD</w:t>
      </w:r>
      <w:r>
        <w:t xml:space="preserve"> and CSC</w:t>
      </w:r>
    </w:p>
    <w:tbl>
      <w:tblPr>
        <w:tblStyle w:val="TableGrid"/>
        <w:tblW w:w="9265" w:type="dxa"/>
        <w:jc w:val="center"/>
        <w:tblLook w:val="04A0" w:firstRow="1" w:lastRow="0" w:firstColumn="1" w:lastColumn="0" w:noHBand="0" w:noVBand="1"/>
      </w:tblPr>
      <w:tblGrid>
        <w:gridCol w:w="2178"/>
        <w:gridCol w:w="1507"/>
        <w:gridCol w:w="5580"/>
      </w:tblGrid>
      <w:tr w:rsidR="00F97AAF" w:rsidRPr="006A1C99" w14:paraId="650A11CC" w14:textId="77777777" w:rsidTr="00C0377E">
        <w:trPr>
          <w:trHeight w:val="440"/>
          <w:tblHeader/>
          <w:jc w:val="center"/>
        </w:trPr>
        <w:tc>
          <w:tcPr>
            <w:tcW w:w="2178" w:type="dxa"/>
          </w:tcPr>
          <w:p w14:paraId="1E12F731" w14:textId="77777777" w:rsidR="00F97AAF" w:rsidRPr="006A1C99" w:rsidRDefault="00F97AAF" w:rsidP="00C0377E">
            <w:pPr>
              <w:spacing w:after="0" w:line="240" w:lineRule="auto"/>
              <w:rPr>
                <w:b/>
                <w:sz w:val="20"/>
                <w:szCs w:val="20"/>
              </w:rPr>
            </w:pPr>
            <w:r w:rsidRPr="006A1C99">
              <w:rPr>
                <w:b/>
                <w:sz w:val="20"/>
                <w:szCs w:val="20"/>
              </w:rPr>
              <w:t>Name</w:t>
            </w:r>
          </w:p>
        </w:tc>
        <w:tc>
          <w:tcPr>
            <w:tcW w:w="1507" w:type="dxa"/>
          </w:tcPr>
          <w:p w14:paraId="58A1D27D" w14:textId="77777777" w:rsidR="00F97AAF" w:rsidRPr="006A1C99" w:rsidRDefault="00F97AAF" w:rsidP="00C0377E">
            <w:pPr>
              <w:spacing w:after="0" w:line="240" w:lineRule="auto"/>
              <w:rPr>
                <w:b/>
                <w:sz w:val="20"/>
                <w:szCs w:val="20"/>
              </w:rPr>
            </w:pPr>
            <w:r w:rsidRPr="006A1C99">
              <w:rPr>
                <w:b/>
                <w:sz w:val="20"/>
                <w:szCs w:val="20"/>
              </w:rPr>
              <w:t>Time in post</w:t>
            </w:r>
          </w:p>
        </w:tc>
        <w:tc>
          <w:tcPr>
            <w:tcW w:w="5580" w:type="dxa"/>
          </w:tcPr>
          <w:p w14:paraId="5314EE62" w14:textId="77777777" w:rsidR="00F97AAF" w:rsidRPr="006A1C99" w:rsidRDefault="00F97AAF" w:rsidP="00C0377E">
            <w:pPr>
              <w:spacing w:after="0" w:line="240" w:lineRule="auto"/>
              <w:rPr>
                <w:b/>
                <w:sz w:val="20"/>
                <w:szCs w:val="20"/>
              </w:rPr>
            </w:pPr>
            <w:r w:rsidRPr="006A1C99">
              <w:rPr>
                <w:b/>
                <w:sz w:val="20"/>
                <w:szCs w:val="20"/>
              </w:rPr>
              <w:t>Background</w:t>
            </w:r>
          </w:p>
        </w:tc>
      </w:tr>
      <w:tr w:rsidR="00F97AAF" w:rsidRPr="006A1C99" w14:paraId="5FF6E0CF" w14:textId="77777777" w:rsidTr="00C0377E">
        <w:trPr>
          <w:trHeight w:val="350"/>
          <w:jc w:val="center"/>
        </w:trPr>
        <w:tc>
          <w:tcPr>
            <w:tcW w:w="9265" w:type="dxa"/>
            <w:gridSpan w:val="3"/>
          </w:tcPr>
          <w:p w14:paraId="4E59A40A" w14:textId="77777777" w:rsidR="00F97AAF" w:rsidRPr="006A1C99" w:rsidRDefault="00F97AAF" w:rsidP="00C0377E">
            <w:pPr>
              <w:spacing w:after="0" w:line="240" w:lineRule="auto"/>
              <w:rPr>
                <w:b/>
                <w:sz w:val="20"/>
                <w:szCs w:val="20"/>
              </w:rPr>
            </w:pPr>
            <w:r w:rsidRPr="006A1C99">
              <w:rPr>
                <w:b/>
                <w:sz w:val="20"/>
                <w:szCs w:val="20"/>
              </w:rPr>
              <w:t>Ministers of Labor, Public Service, and Human Resource Development</w:t>
            </w:r>
          </w:p>
        </w:tc>
      </w:tr>
      <w:tr w:rsidR="00F97AAF" w:rsidRPr="006A1C99" w14:paraId="417181B0" w14:textId="77777777" w:rsidTr="00C0377E">
        <w:trPr>
          <w:trHeight w:val="800"/>
          <w:jc w:val="center"/>
        </w:trPr>
        <w:tc>
          <w:tcPr>
            <w:tcW w:w="2178" w:type="dxa"/>
          </w:tcPr>
          <w:p w14:paraId="1D1B427D" w14:textId="77777777" w:rsidR="00F97AAF" w:rsidRPr="006A1C99" w:rsidRDefault="00F97AAF" w:rsidP="00C0377E">
            <w:pPr>
              <w:spacing w:after="0" w:line="240" w:lineRule="auto"/>
              <w:rPr>
                <w:sz w:val="20"/>
                <w:szCs w:val="20"/>
              </w:rPr>
            </w:pPr>
            <w:r w:rsidRPr="006A1C99">
              <w:rPr>
                <w:sz w:val="20"/>
                <w:szCs w:val="20"/>
              </w:rPr>
              <w:t>Ngor Kolong Ngor</w:t>
            </w:r>
          </w:p>
        </w:tc>
        <w:tc>
          <w:tcPr>
            <w:tcW w:w="1507" w:type="dxa"/>
          </w:tcPr>
          <w:p w14:paraId="39D26E5B" w14:textId="77777777" w:rsidR="00F97AAF" w:rsidRPr="006A1C99" w:rsidRDefault="00F97AAF" w:rsidP="00C0377E">
            <w:pPr>
              <w:spacing w:after="0" w:line="240" w:lineRule="auto"/>
              <w:rPr>
                <w:sz w:val="20"/>
                <w:szCs w:val="20"/>
              </w:rPr>
            </w:pPr>
            <w:r w:rsidRPr="006A1C99">
              <w:rPr>
                <w:sz w:val="20"/>
                <w:szCs w:val="20"/>
              </w:rPr>
              <w:t>August 2013</w:t>
            </w:r>
          </w:p>
          <w:p w14:paraId="58E074B2" w14:textId="77777777" w:rsidR="00F97AAF" w:rsidRPr="006A1C99" w:rsidRDefault="00F97AAF" w:rsidP="00C0377E">
            <w:pPr>
              <w:spacing w:after="0" w:line="240" w:lineRule="auto"/>
              <w:rPr>
                <w:sz w:val="20"/>
                <w:szCs w:val="20"/>
              </w:rPr>
            </w:pPr>
          </w:p>
          <w:p w14:paraId="35E9B020" w14:textId="77777777" w:rsidR="00F97AAF" w:rsidRPr="006A1C99" w:rsidRDefault="00F97AAF" w:rsidP="00C0377E">
            <w:pPr>
              <w:spacing w:after="0" w:line="240" w:lineRule="auto"/>
              <w:rPr>
                <w:sz w:val="20"/>
                <w:szCs w:val="20"/>
              </w:rPr>
            </w:pPr>
          </w:p>
        </w:tc>
        <w:tc>
          <w:tcPr>
            <w:tcW w:w="5580" w:type="dxa"/>
          </w:tcPr>
          <w:p w14:paraId="61167ED6" w14:textId="77777777" w:rsidR="00F97AAF" w:rsidRPr="006A1C99" w:rsidRDefault="00F97AAF" w:rsidP="00C0377E">
            <w:pPr>
              <w:spacing w:after="0" w:line="240" w:lineRule="auto"/>
              <w:rPr>
                <w:sz w:val="20"/>
                <w:szCs w:val="20"/>
              </w:rPr>
            </w:pPr>
            <w:r w:rsidRPr="006A1C99">
              <w:rPr>
                <w:sz w:val="20"/>
                <w:szCs w:val="20"/>
              </w:rPr>
              <w:t xml:space="preserve">Lawyer; from Northern Bahr el Ghazal </w:t>
            </w:r>
          </w:p>
          <w:p w14:paraId="370CAEF6" w14:textId="77777777" w:rsidR="00F97AAF" w:rsidRPr="006A1C99" w:rsidRDefault="00F97AAF" w:rsidP="00C0377E">
            <w:pPr>
              <w:spacing w:after="0" w:line="240" w:lineRule="auto"/>
              <w:rPr>
                <w:sz w:val="20"/>
                <w:szCs w:val="20"/>
              </w:rPr>
            </w:pPr>
            <w:r w:rsidRPr="006A1C99">
              <w:rPr>
                <w:sz w:val="20"/>
                <w:szCs w:val="20"/>
              </w:rPr>
              <w:t>Previously with the Ministry of Justice</w:t>
            </w:r>
          </w:p>
          <w:p w14:paraId="7CA0D753" w14:textId="77777777" w:rsidR="00F97AAF" w:rsidRPr="006A1C99" w:rsidRDefault="00F97AAF" w:rsidP="00C0377E">
            <w:pPr>
              <w:spacing w:after="0" w:line="240" w:lineRule="auto"/>
              <w:rPr>
                <w:sz w:val="20"/>
                <w:szCs w:val="20"/>
              </w:rPr>
            </w:pPr>
            <w:r w:rsidRPr="006A1C99">
              <w:rPr>
                <w:sz w:val="20"/>
                <w:szCs w:val="20"/>
              </w:rPr>
              <w:t>First appointment as minister</w:t>
            </w:r>
          </w:p>
        </w:tc>
      </w:tr>
      <w:tr w:rsidR="00F97AAF" w:rsidRPr="006A1C99" w14:paraId="0D84CACD" w14:textId="77777777" w:rsidTr="00C0377E">
        <w:trPr>
          <w:trHeight w:val="872"/>
          <w:jc w:val="center"/>
        </w:trPr>
        <w:tc>
          <w:tcPr>
            <w:tcW w:w="2178" w:type="dxa"/>
          </w:tcPr>
          <w:p w14:paraId="3A892490" w14:textId="77777777" w:rsidR="00F97AAF" w:rsidRPr="006A1C99" w:rsidRDefault="00F97AAF" w:rsidP="00C0377E">
            <w:pPr>
              <w:spacing w:after="0" w:line="240" w:lineRule="auto"/>
              <w:rPr>
                <w:sz w:val="20"/>
                <w:szCs w:val="20"/>
              </w:rPr>
            </w:pPr>
            <w:r w:rsidRPr="006A1C99">
              <w:rPr>
                <w:sz w:val="20"/>
                <w:szCs w:val="20"/>
              </w:rPr>
              <w:t>Kwong Danhier Gatluak (acting)</w:t>
            </w:r>
          </w:p>
        </w:tc>
        <w:tc>
          <w:tcPr>
            <w:tcW w:w="1507" w:type="dxa"/>
          </w:tcPr>
          <w:p w14:paraId="3A4C8A2B" w14:textId="1D446447" w:rsidR="00F97AAF" w:rsidRPr="006A1C99" w:rsidRDefault="00F97AAF" w:rsidP="00C0377E">
            <w:pPr>
              <w:spacing w:after="0" w:line="240" w:lineRule="auto"/>
              <w:rPr>
                <w:sz w:val="20"/>
                <w:szCs w:val="20"/>
              </w:rPr>
            </w:pPr>
            <w:r w:rsidRPr="006A1C99">
              <w:rPr>
                <w:sz w:val="20"/>
                <w:szCs w:val="20"/>
              </w:rPr>
              <w:t>2011</w:t>
            </w:r>
            <w:r>
              <w:rPr>
                <w:sz w:val="20"/>
                <w:szCs w:val="20"/>
              </w:rPr>
              <w:t>–</w:t>
            </w:r>
            <w:r w:rsidRPr="006A1C99">
              <w:rPr>
                <w:sz w:val="20"/>
                <w:szCs w:val="20"/>
              </w:rPr>
              <w:t>2013</w:t>
            </w:r>
          </w:p>
        </w:tc>
        <w:tc>
          <w:tcPr>
            <w:tcW w:w="5580" w:type="dxa"/>
          </w:tcPr>
          <w:p w14:paraId="255D7601" w14:textId="5492BDB6" w:rsidR="00F97AAF" w:rsidRPr="006A1C99" w:rsidRDefault="00F97AAF" w:rsidP="00F92549">
            <w:pPr>
              <w:spacing w:after="0" w:line="240" w:lineRule="auto"/>
              <w:rPr>
                <w:sz w:val="20"/>
                <w:szCs w:val="20"/>
              </w:rPr>
            </w:pPr>
            <w:r w:rsidRPr="006A1C99">
              <w:rPr>
                <w:sz w:val="20"/>
                <w:szCs w:val="20"/>
              </w:rPr>
              <w:t xml:space="preserve">Deputy </w:t>
            </w:r>
            <w:r w:rsidR="00F92549">
              <w:rPr>
                <w:sz w:val="20"/>
                <w:szCs w:val="20"/>
              </w:rPr>
              <w:t>m</w:t>
            </w:r>
            <w:r w:rsidRPr="006A1C99">
              <w:rPr>
                <w:sz w:val="20"/>
                <w:szCs w:val="20"/>
              </w:rPr>
              <w:t xml:space="preserve">inister during Mme Awut’s tenure, announced as minister of </w:t>
            </w:r>
            <w:r w:rsidR="000754F1">
              <w:rPr>
                <w:sz w:val="20"/>
                <w:szCs w:val="20"/>
              </w:rPr>
              <w:t>MoLPSHRD</w:t>
            </w:r>
            <w:r w:rsidRPr="006A1C99">
              <w:rPr>
                <w:sz w:val="20"/>
                <w:szCs w:val="20"/>
              </w:rPr>
              <w:t xml:space="preserve"> in July 2013 but then appointed as minister of Transport in early August 2013.</w:t>
            </w:r>
          </w:p>
        </w:tc>
      </w:tr>
      <w:tr w:rsidR="00F97AAF" w:rsidRPr="006A1C99" w14:paraId="2AFABE95" w14:textId="77777777" w:rsidTr="00C0377E">
        <w:trPr>
          <w:trHeight w:val="818"/>
          <w:jc w:val="center"/>
        </w:trPr>
        <w:tc>
          <w:tcPr>
            <w:tcW w:w="2178" w:type="dxa"/>
          </w:tcPr>
          <w:p w14:paraId="3A64C40F" w14:textId="77777777" w:rsidR="00F97AAF" w:rsidRPr="006A1C99" w:rsidRDefault="00F97AAF" w:rsidP="00C0377E">
            <w:pPr>
              <w:spacing w:after="0" w:line="240" w:lineRule="auto"/>
              <w:rPr>
                <w:sz w:val="20"/>
                <w:szCs w:val="20"/>
              </w:rPr>
            </w:pPr>
            <w:r w:rsidRPr="006A1C99">
              <w:rPr>
                <w:sz w:val="20"/>
                <w:szCs w:val="20"/>
              </w:rPr>
              <w:t>Deng Acuil Awut</w:t>
            </w:r>
          </w:p>
        </w:tc>
        <w:tc>
          <w:tcPr>
            <w:tcW w:w="1507" w:type="dxa"/>
          </w:tcPr>
          <w:p w14:paraId="46C24605" w14:textId="6CF90ABC" w:rsidR="00F97AAF" w:rsidRPr="006A1C99" w:rsidRDefault="00F97AAF" w:rsidP="00C0377E">
            <w:pPr>
              <w:spacing w:after="0" w:line="240" w:lineRule="auto"/>
              <w:rPr>
                <w:sz w:val="20"/>
                <w:szCs w:val="20"/>
              </w:rPr>
            </w:pPr>
            <w:r w:rsidRPr="006A1C99">
              <w:rPr>
                <w:sz w:val="20"/>
                <w:szCs w:val="20"/>
              </w:rPr>
              <w:t>July 2007</w:t>
            </w:r>
            <w:r>
              <w:rPr>
                <w:sz w:val="20"/>
                <w:szCs w:val="20"/>
              </w:rPr>
              <w:t xml:space="preserve"> to </w:t>
            </w:r>
            <w:r w:rsidRPr="006A1C99">
              <w:rPr>
                <w:sz w:val="20"/>
                <w:szCs w:val="20"/>
              </w:rPr>
              <w:t>October 2011 (resigned)</w:t>
            </w:r>
          </w:p>
        </w:tc>
        <w:tc>
          <w:tcPr>
            <w:tcW w:w="5580" w:type="dxa"/>
          </w:tcPr>
          <w:p w14:paraId="26050E1A" w14:textId="291DBA6C" w:rsidR="00F97AAF" w:rsidRPr="006A1C99" w:rsidRDefault="00F97AAF" w:rsidP="00F92549">
            <w:pPr>
              <w:spacing w:after="0" w:line="240" w:lineRule="auto"/>
              <w:rPr>
                <w:sz w:val="20"/>
                <w:szCs w:val="20"/>
              </w:rPr>
            </w:pPr>
            <w:r w:rsidRPr="006A1C99">
              <w:rPr>
                <w:sz w:val="20"/>
                <w:szCs w:val="20"/>
              </w:rPr>
              <w:t>First minister making a serious effort to reform the civil service; resigned in October 2011; reappointed as minister of Gender and Social Welfare in August 2013</w:t>
            </w:r>
          </w:p>
        </w:tc>
      </w:tr>
      <w:tr w:rsidR="00F97AAF" w:rsidRPr="006A1C99" w14:paraId="0CA442BB" w14:textId="77777777" w:rsidTr="00C0377E">
        <w:trPr>
          <w:trHeight w:val="1565"/>
          <w:jc w:val="center"/>
        </w:trPr>
        <w:tc>
          <w:tcPr>
            <w:tcW w:w="2178" w:type="dxa"/>
          </w:tcPr>
          <w:p w14:paraId="706E2A60" w14:textId="77777777" w:rsidR="00F97AAF" w:rsidRPr="006A1C99" w:rsidRDefault="00F97AAF" w:rsidP="00C0377E">
            <w:pPr>
              <w:spacing w:after="0" w:line="240" w:lineRule="auto"/>
              <w:rPr>
                <w:sz w:val="20"/>
                <w:szCs w:val="20"/>
              </w:rPr>
            </w:pPr>
            <w:r w:rsidRPr="006A1C99">
              <w:rPr>
                <w:sz w:val="20"/>
                <w:szCs w:val="20"/>
              </w:rPr>
              <w:t>David Deng Athorbei</w:t>
            </w:r>
          </w:p>
          <w:p w14:paraId="4D5C9352" w14:textId="77777777" w:rsidR="00F97AAF" w:rsidRPr="006A1C99" w:rsidRDefault="00F97AAF" w:rsidP="00C0377E">
            <w:pPr>
              <w:spacing w:after="0" w:line="240" w:lineRule="auto"/>
              <w:rPr>
                <w:sz w:val="20"/>
                <w:szCs w:val="20"/>
              </w:rPr>
            </w:pPr>
          </w:p>
          <w:p w14:paraId="738C80BC" w14:textId="77777777" w:rsidR="00F97AAF" w:rsidRPr="006A1C99" w:rsidRDefault="00F97AAF" w:rsidP="00C0377E">
            <w:pPr>
              <w:spacing w:after="0" w:line="240" w:lineRule="auto"/>
              <w:rPr>
                <w:sz w:val="20"/>
                <w:szCs w:val="20"/>
              </w:rPr>
            </w:pPr>
          </w:p>
          <w:p w14:paraId="7033A53B" w14:textId="77777777" w:rsidR="00F97AAF" w:rsidRPr="006A1C99" w:rsidRDefault="00F97AAF" w:rsidP="00C0377E">
            <w:pPr>
              <w:spacing w:after="0" w:line="240" w:lineRule="auto"/>
              <w:rPr>
                <w:sz w:val="20"/>
                <w:szCs w:val="20"/>
              </w:rPr>
            </w:pPr>
          </w:p>
          <w:p w14:paraId="0856A8DF" w14:textId="77777777" w:rsidR="00F97AAF" w:rsidRPr="006A1C99" w:rsidRDefault="00F97AAF" w:rsidP="00C0377E">
            <w:pPr>
              <w:spacing w:after="0" w:line="240" w:lineRule="auto"/>
              <w:rPr>
                <w:sz w:val="20"/>
                <w:szCs w:val="20"/>
              </w:rPr>
            </w:pPr>
          </w:p>
        </w:tc>
        <w:tc>
          <w:tcPr>
            <w:tcW w:w="1507" w:type="dxa"/>
          </w:tcPr>
          <w:p w14:paraId="7F991DCB" w14:textId="77777777" w:rsidR="00F97AAF" w:rsidRPr="006A1C99" w:rsidRDefault="00F97AAF" w:rsidP="00C0377E">
            <w:pPr>
              <w:spacing w:after="0" w:line="240" w:lineRule="auto"/>
              <w:rPr>
                <w:sz w:val="20"/>
                <w:szCs w:val="20"/>
              </w:rPr>
            </w:pPr>
            <w:r w:rsidRPr="006A1C99">
              <w:rPr>
                <w:sz w:val="20"/>
                <w:szCs w:val="20"/>
              </w:rPr>
              <w:t>October 2005 to July 2007</w:t>
            </w:r>
          </w:p>
        </w:tc>
        <w:tc>
          <w:tcPr>
            <w:tcW w:w="5580" w:type="dxa"/>
          </w:tcPr>
          <w:p w14:paraId="3018EA16" w14:textId="74858FD5" w:rsidR="00F97AAF" w:rsidRPr="006A1C99" w:rsidRDefault="00F97AAF" w:rsidP="00C0377E">
            <w:pPr>
              <w:pStyle w:val="HTMLPreformatted"/>
              <w:rPr>
                <w:rFonts w:asciiTheme="minorHAnsi" w:eastAsiaTheme="minorHAnsi" w:hAnsiTheme="minorHAnsi" w:cstheme="minorBidi"/>
                <w:sz w:val="20"/>
                <w:szCs w:val="20"/>
              </w:rPr>
            </w:pPr>
            <w:r w:rsidRPr="006A1C99">
              <w:rPr>
                <w:rFonts w:asciiTheme="minorHAnsi" w:eastAsiaTheme="minorHAnsi" w:hAnsiTheme="minorHAnsi" w:cstheme="minorBidi"/>
                <w:sz w:val="20"/>
                <w:szCs w:val="20"/>
              </w:rPr>
              <w:t xml:space="preserve">Subsequently minister of </w:t>
            </w:r>
            <w:r w:rsidR="00F92549">
              <w:rPr>
                <w:rFonts w:asciiTheme="minorHAnsi" w:eastAsiaTheme="minorHAnsi" w:hAnsiTheme="minorHAnsi" w:cstheme="minorBidi"/>
                <w:sz w:val="20"/>
                <w:szCs w:val="20"/>
              </w:rPr>
              <w:t>T</w:t>
            </w:r>
            <w:r w:rsidRPr="006A1C99">
              <w:rPr>
                <w:rFonts w:asciiTheme="minorHAnsi" w:eastAsiaTheme="minorHAnsi" w:hAnsiTheme="minorHAnsi" w:cstheme="minorBidi"/>
                <w:sz w:val="20"/>
                <w:szCs w:val="20"/>
              </w:rPr>
              <w:t xml:space="preserve">ransport and </w:t>
            </w:r>
            <w:r w:rsidR="00F92549">
              <w:rPr>
                <w:rFonts w:asciiTheme="minorHAnsi" w:eastAsiaTheme="minorHAnsi" w:hAnsiTheme="minorHAnsi" w:cstheme="minorBidi"/>
                <w:sz w:val="20"/>
                <w:szCs w:val="20"/>
              </w:rPr>
              <w:t>R</w:t>
            </w:r>
            <w:r w:rsidRPr="006A1C99">
              <w:rPr>
                <w:rFonts w:asciiTheme="minorHAnsi" w:eastAsiaTheme="minorHAnsi" w:hAnsiTheme="minorHAnsi" w:cstheme="minorBidi"/>
                <w:sz w:val="20"/>
                <w:szCs w:val="20"/>
              </w:rPr>
              <w:t xml:space="preserve">oads (July 2007), </w:t>
            </w:r>
            <w:r w:rsidR="00FD1D4C">
              <w:rPr>
                <w:rFonts w:asciiTheme="minorHAnsi" w:eastAsiaTheme="minorHAnsi" w:hAnsiTheme="minorHAnsi" w:cstheme="minorBidi"/>
                <w:sz w:val="20"/>
                <w:szCs w:val="20"/>
              </w:rPr>
              <w:t>Minister of Finance (2009-2010), Minister</w:t>
            </w:r>
            <w:r w:rsidRPr="006A1C99">
              <w:rPr>
                <w:rFonts w:asciiTheme="minorHAnsi" w:eastAsiaTheme="minorHAnsi" w:hAnsiTheme="minorHAnsi" w:cstheme="minorBidi"/>
                <w:sz w:val="20"/>
                <w:szCs w:val="20"/>
              </w:rPr>
              <w:t xml:space="preserve"> of </w:t>
            </w:r>
            <w:r w:rsidR="00F92549">
              <w:rPr>
                <w:rFonts w:asciiTheme="minorHAnsi" w:eastAsiaTheme="minorHAnsi" w:hAnsiTheme="minorHAnsi" w:cstheme="minorBidi"/>
                <w:sz w:val="20"/>
                <w:szCs w:val="20"/>
              </w:rPr>
              <w:t>D</w:t>
            </w:r>
            <w:r w:rsidRPr="006A1C99">
              <w:rPr>
                <w:rFonts w:asciiTheme="minorHAnsi" w:eastAsiaTheme="minorHAnsi" w:hAnsiTheme="minorHAnsi" w:cstheme="minorBidi"/>
                <w:sz w:val="20"/>
                <w:szCs w:val="20"/>
              </w:rPr>
              <w:t xml:space="preserve">ams and </w:t>
            </w:r>
            <w:r w:rsidR="00F92549">
              <w:rPr>
                <w:rFonts w:asciiTheme="minorHAnsi" w:eastAsiaTheme="minorHAnsi" w:hAnsiTheme="minorHAnsi" w:cstheme="minorBidi"/>
                <w:sz w:val="20"/>
                <w:szCs w:val="20"/>
              </w:rPr>
              <w:t>E</w:t>
            </w:r>
            <w:r w:rsidRPr="006A1C99">
              <w:rPr>
                <w:rFonts w:asciiTheme="minorHAnsi" w:eastAsiaTheme="minorHAnsi" w:hAnsiTheme="minorHAnsi" w:cstheme="minorBidi"/>
                <w:sz w:val="20"/>
                <w:szCs w:val="20"/>
              </w:rPr>
              <w:t>lectricity (July 2011</w:t>
            </w:r>
            <w:r w:rsidR="00FD1D4C">
              <w:rPr>
                <w:rFonts w:asciiTheme="minorHAnsi" w:eastAsiaTheme="minorHAnsi" w:hAnsiTheme="minorHAnsi" w:cstheme="minorBidi"/>
                <w:sz w:val="20"/>
                <w:szCs w:val="20"/>
              </w:rPr>
              <w:t>-2015</w:t>
            </w:r>
            <w:r w:rsidRPr="006A1C99">
              <w:rPr>
                <w:rFonts w:asciiTheme="minorHAnsi" w:eastAsiaTheme="minorHAnsi" w:hAnsiTheme="minorHAnsi" w:cstheme="minorBidi"/>
                <w:sz w:val="20"/>
                <w:szCs w:val="20"/>
              </w:rPr>
              <w:t>)</w:t>
            </w:r>
            <w:r w:rsidR="00FD1D4C">
              <w:rPr>
                <w:rFonts w:asciiTheme="minorHAnsi" w:eastAsiaTheme="minorHAnsi" w:hAnsiTheme="minorHAnsi" w:cstheme="minorBidi"/>
                <w:sz w:val="20"/>
                <w:szCs w:val="20"/>
              </w:rPr>
              <w:t>, and again Minister of Finance (since January 2015)</w:t>
            </w:r>
          </w:p>
          <w:p w14:paraId="46D912DA" w14:textId="77777777" w:rsidR="00F97AAF" w:rsidRPr="006A1C99" w:rsidRDefault="00F97AAF" w:rsidP="00C0377E">
            <w:pPr>
              <w:pStyle w:val="HTMLPreformatted"/>
              <w:rPr>
                <w:rFonts w:asciiTheme="minorHAnsi" w:eastAsiaTheme="minorHAnsi" w:hAnsiTheme="minorHAnsi" w:cstheme="minorBidi"/>
                <w:sz w:val="20"/>
                <w:szCs w:val="20"/>
              </w:rPr>
            </w:pPr>
          </w:p>
          <w:p w14:paraId="10B50C44" w14:textId="539D13C6" w:rsidR="00F97AAF" w:rsidRPr="006A1C99" w:rsidRDefault="00F97AAF" w:rsidP="00C0377E">
            <w:pPr>
              <w:pStyle w:val="HTMLPreformatted"/>
              <w:rPr>
                <w:rFonts w:asciiTheme="minorHAnsi" w:eastAsiaTheme="minorHAnsi" w:hAnsiTheme="minorHAnsi" w:cstheme="minorBidi"/>
                <w:sz w:val="20"/>
                <w:szCs w:val="20"/>
              </w:rPr>
            </w:pPr>
            <w:r w:rsidRPr="006A1C99">
              <w:rPr>
                <w:rFonts w:asciiTheme="minorHAnsi" w:eastAsiaTheme="minorHAnsi" w:hAnsiTheme="minorHAnsi" w:cstheme="minorBidi"/>
                <w:sz w:val="20"/>
                <w:szCs w:val="20"/>
              </w:rPr>
              <w:t xml:space="preserve">Had initial discussions with the </w:t>
            </w:r>
            <w:r w:rsidR="00FD1D4C">
              <w:rPr>
                <w:rFonts w:asciiTheme="minorHAnsi" w:eastAsiaTheme="minorHAnsi" w:hAnsiTheme="minorHAnsi" w:cstheme="minorBidi"/>
                <w:sz w:val="20"/>
                <w:szCs w:val="20"/>
              </w:rPr>
              <w:t>National Legislative Assembly (</w:t>
            </w:r>
            <w:r w:rsidRPr="006A1C99">
              <w:rPr>
                <w:rFonts w:asciiTheme="minorHAnsi" w:eastAsiaTheme="minorHAnsi" w:hAnsiTheme="minorHAnsi" w:cstheme="minorBidi"/>
                <w:sz w:val="20"/>
                <w:szCs w:val="20"/>
              </w:rPr>
              <w:t>NLA</w:t>
            </w:r>
            <w:r w:rsidR="00FD1D4C">
              <w:rPr>
                <w:rFonts w:asciiTheme="minorHAnsi" w:eastAsiaTheme="minorHAnsi" w:hAnsiTheme="minorHAnsi" w:cstheme="minorBidi"/>
                <w:sz w:val="20"/>
                <w:szCs w:val="20"/>
              </w:rPr>
              <w:t>)</w:t>
            </w:r>
            <w:r w:rsidRPr="006A1C99">
              <w:rPr>
                <w:rFonts w:asciiTheme="minorHAnsi" w:eastAsiaTheme="minorHAnsi" w:hAnsiTheme="minorHAnsi" w:cstheme="minorBidi"/>
                <w:sz w:val="20"/>
                <w:szCs w:val="20"/>
              </w:rPr>
              <w:t xml:space="preserve"> about the appropriate size of the public service</w:t>
            </w:r>
          </w:p>
        </w:tc>
      </w:tr>
      <w:tr w:rsidR="00F97AAF" w:rsidRPr="006A1C99" w14:paraId="73D8F745" w14:textId="77777777" w:rsidTr="00C0377E">
        <w:trPr>
          <w:trHeight w:val="323"/>
          <w:jc w:val="center"/>
        </w:trPr>
        <w:tc>
          <w:tcPr>
            <w:tcW w:w="9265" w:type="dxa"/>
            <w:gridSpan w:val="3"/>
          </w:tcPr>
          <w:p w14:paraId="14A0B1FD" w14:textId="43E21C8E" w:rsidR="00F97AAF" w:rsidRPr="006A1C99" w:rsidRDefault="00F97AAF" w:rsidP="00EB4FD3">
            <w:pPr>
              <w:pStyle w:val="HTMLPreformatted"/>
              <w:rPr>
                <w:rFonts w:asciiTheme="minorHAnsi" w:eastAsiaTheme="minorHAnsi" w:hAnsiTheme="minorHAnsi" w:cstheme="minorBidi"/>
                <w:b/>
                <w:sz w:val="20"/>
                <w:szCs w:val="20"/>
              </w:rPr>
            </w:pPr>
            <w:r w:rsidRPr="006A1C99">
              <w:rPr>
                <w:rFonts w:asciiTheme="minorHAnsi" w:eastAsiaTheme="minorHAnsi" w:hAnsiTheme="minorHAnsi" w:cstheme="minorBidi"/>
                <w:b/>
                <w:sz w:val="20"/>
                <w:szCs w:val="20"/>
              </w:rPr>
              <w:t>Heads of the CSC</w:t>
            </w:r>
          </w:p>
        </w:tc>
      </w:tr>
      <w:tr w:rsidR="00F97AAF" w:rsidRPr="006A1C99" w14:paraId="06E53AF9" w14:textId="77777777" w:rsidTr="00C0377E">
        <w:trPr>
          <w:trHeight w:val="1313"/>
          <w:jc w:val="center"/>
        </w:trPr>
        <w:tc>
          <w:tcPr>
            <w:tcW w:w="2178" w:type="dxa"/>
          </w:tcPr>
          <w:p w14:paraId="65931364" w14:textId="77777777" w:rsidR="00F97AAF" w:rsidRPr="006A1C99" w:rsidRDefault="00F97AAF" w:rsidP="00C0377E">
            <w:pPr>
              <w:spacing w:after="0" w:line="240" w:lineRule="auto"/>
              <w:rPr>
                <w:sz w:val="20"/>
                <w:szCs w:val="20"/>
              </w:rPr>
            </w:pPr>
            <w:r w:rsidRPr="006A1C99">
              <w:rPr>
                <w:color w:val="000000"/>
                <w:sz w:val="20"/>
                <w:szCs w:val="20"/>
                <w:lang w:val="en"/>
              </w:rPr>
              <w:t>Philister Baya Lawiri</w:t>
            </w:r>
          </w:p>
        </w:tc>
        <w:tc>
          <w:tcPr>
            <w:tcW w:w="1507" w:type="dxa"/>
          </w:tcPr>
          <w:p w14:paraId="565BD0F2" w14:textId="546E5D02" w:rsidR="00F97AAF" w:rsidRPr="006A1C99" w:rsidRDefault="00F97AAF" w:rsidP="00C0377E">
            <w:pPr>
              <w:spacing w:after="0" w:line="240" w:lineRule="auto"/>
              <w:rPr>
                <w:sz w:val="20"/>
                <w:szCs w:val="20"/>
              </w:rPr>
            </w:pPr>
            <w:r w:rsidRPr="006A1C99">
              <w:rPr>
                <w:sz w:val="20"/>
                <w:szCs w:val="20"/>
              </w:rPr>
              <w:t>Since 2010</w:t>
            </w:r>
            <w:r>
              <w:rPr>
                <w:sz w:val="20"/>
                <w:szCs w:val="20"/>
              </w:rPr>
              <w:t xml:space="preserve"> to </w:t>
            </w:r>
            <w:r w:rsidRPr="006A1C99">
              <w:rPr>
                <w:sz w:val="20"/>
                <w:szCs w:val="20"/>
              </w:rPr>
              <w:t>now</w:t>
            </w:r>
          </w:p>
        </w:tc>
        <w:tc>
          <w:tcPr>
            <w:tcW w:w="5580" w:type="dxa"/>
          </w:tcPr>
          <w:p w14:paraId="1B6BCA27" w14:textId="28F3055F" w:rsidR="00F97AAF" w:rsidRPr="006A1C99" w:rsidRDefault="00F97AAF" w:rsidP="00C0377E">
            <w:pPr>
              <w:spacing w:after="0" w:line="240" w:lineRule="auto"/>
              <w:rPr>
                <w:sz w:val="20"/>
                <w:szCs w:val="20"/>
              </w:rPr>
            </w:pPr>
            <w:r w:rsidRPr="006A1C99">
              <w:rPr>
                <w:sz w:val="20"/>
                <w:szCs w:val="20"/>
              </w:rPr>
              <w:t xml:space="preserve">Previously member of the Sudan National Electoral Commission; also </w:t>
            </w:r>
            <w:r w:rsidR="00B6184A">
              <w:rPr>
                <w:sz w:val="20"/>
                <w:szCs w:val="20"/>
              </w:rPr>
              <w:t>c</w:t>
            </w:r>
            <w:r w:rsidRPr="006A1C99">
              <w:rPr>
                <w:sz w:val="20"/>
                <w:szCs w:val="20"/>
              </w:rPr>
              <w:t xml:space="preserve">hairperson for Southern Women Solidarity for Peace and Development </w:t>
            </w:r>
          </w:p>
          <w:p w14:paraId="113705C6" w14:textId="77777777" w:rsidR="00F97AAF" w:rsidRPr="006A1C99" w:rsidRDefault="00F97AAF" w:rsidP="00C0377E">
            <w:pPr>
              <w:pStyle w:val="HTMLPreformatted"/>
              <w:rPr>
                <w:rFonts w:asciiTheme="minorHAnsi" w:eastAsiaTheme="minorHAnsi" w:hAnsiTheme="minorHAnsi" w:cstheme="minorBidi"/>
                <w:sz w:val="20"/>
                <w:szCs w:val="20"/>
              </w:rPr>
            </w:pPr>
            <w:r w:rsidRPr="006A1C99">
              <w:rPr>
                <w:rFonts w:asciiTheme="minorHAnsi" w:hAnsiTheme="minorHAnsi"/>
                <w:sz w:val="20"/>
                <w:szCs w:val="20"/>
              </w:rPr>
              <w:t>http://www.inclusivesecurity.org/network-bio/philister-baya-lawiri/</w:t>
            </w:r>
          </w:p>
        </w:tc>
      </w:tr>
      <w:tr w:rsidR="00F97AAF" w:rsidRPr="006A1C99" w14:paraId="1F814AA2" w14:textId="77777777" w:rsidTr="00C0377E">
        <w:trPr>
          <w:trHeight w:val="890"/>
          <w:jc w:val="center"/>
        </w:trPr>
        <w:tc>
          <w:tcPr>
            <w:tcW w:w="2178" w:type="dxa"/>
          </w:tcPr>
          <w:p w14:paraId="23142538" w14:textId="77777777" w:rsidR="00F97AAF" w:rsidRPr="006A1C99" w:rsidRDefault="00F97AAF" w:rsidP="00C0377E">
            <w:pPr>
              <w:spacing w:after="0" w:line="240" w:lineRule="auto"/>
              <w:rPr>
                <w:sz w:val="20"/>
                <w:szCs w:val="20"/>
              </w:rPr>
            </w:pPr>
            <w:r w:rsidRPr="006A1C99">
              <w:rPr>
                <w:sz w:val="20"/>
                <w:szCs w:val="20"/>
              </w:rPr>
              <w:t>Deng Chuol Malang</w:t>
            </w:r>
          </w:p>
        </w:tc>
        <w:tc>
          <w:tcPr>
            <w:tcW w:w="1507" w:type="dxa"/>
          </w:tcPr>
          <w:p w14:paraId="56E4A91D" w14:textId="77777777" w:rsidR="00F97AAF" w:rsidRPr="006A1C99" w:rsidRDefault="00F97AAF" w:rsidP="00C0377E">
            <w:pPr>
              <w:spacing w:after="0" w:line="240" w:lineRule="auto"/>
              <w:rPr>
                <w:sz w:val="20"/>
                <w:szCs w:val="20"/>
              </w:rPr>
            </w:pPr>
            <w:r w:rsidRPr="006A1C99">
              <w:rPr>
                <w:sz w:val="20"/>
                <w:szCs w:val="20"/>
              </w:rPr>
              <w:t>Ca. 2008 when the commission was established</w:t>
            </w:r>
          </w:p>
        </w:tc>
        <w:tc>
          <w:tcPr>
            <w:tcW w:w="5580" w:type="dxa"/>
          </w:tcPr>
          <w:p w14:paraId="1D389A39" w14:textId="79236A17" w:rsidR="00F97AAF" w:rsidRPr="006A1C99" w:rsidRDefault="00F97AAF" w:rsidP="00FD1D4C">
            <w:pPr>
              <w:pStyle w:val="HTMLPreformatted"/>
              <w:rPr>
                <w:rFonts w:asciiTheme="minorHAnsi" w:eastAsiaTheme="minorHAnsi" w:hAnsiTheme="minorHAnsi" w:cstheme="minorBidi"/>
                <w:sz w:val="20"/>
                <w:szCs w:val="20"/>
              </w:rPr>
            </w:pPr>
            <w:r w:rsidRPr="006A1C99">
              <w:rPr>
                <w:rFonts w:asciiTheme="minorHAnsi" w:hAnsiTheme="minorHAnsi"/>
                <w:sz w:val="20"/>
                <w:szCs w:val="20"/>
              </w:rPr>
              <w:t xml:space="preserve">Previously head of the Coordination and Verification Committee that lead the </w:t>
            </w:r>
            <w:r w:rsidR="00B6184A">
              <w:rPr>
                <w:rFonts w:asciiTheme="minorHAnsi" w:hAnsiTheme="minorHAnsi"/>
                <w:sz w:val="20"/>
                <w:szCs w:val="20"/>
              </w:rPr>
              <w:t>p</w:t>
            </w:r>
            <w:r w:rsidRPr="006A1C99">
              <w:rPr>
                <w:rFonts w:asciiTheme="minorHAnsi" w:hAnsiTheme="minorHAnsi"/>
                <w:sz w:val="20"/>
                <w:szCs w:val="20"/>
              </w:rPr>
              <w:t xml:space="preserve">ublic </w:t>
            </w:r>
            <w:r w:rsidR="00B6184A">
              <w:rPr>
                <w:rFonts w:asciiTheme="minorHAnsi" w:hAnsiTheme="minorHAnsi"/>
                <w:sz w:val="20"/>
                <w:szCs w:val="20"/>
              </w:rPr>
              <w:t>s</w:t>
            </w:r>
            <w:r w:rsidRPr="006A1C99">
              <w:rPr>
                <w:rFonts w:asciiTheme="minorHAnsi" w:hAnsiTheme="minorHAnsi"/>
                <w:sz w:val="20"/>
                <w:szCs w:val="20"/>
              </w:rPr>
              <w:t xml:space="preserve">ervice </w:t>
            </w:r>
            <w:r w:rsidR="00B6184A">
              <w:rPr>
                <w:rFonts w:asciiTheme="minorHAnsi" w:hAnsiTheme="minorHAnsi"/>
                <w:sz w:val="20"/>
                <w:szCs w:val="20"/>
              </w:rPr>
              <w:t>p</w:t>
            </w:r>
            <w:r w:rsidRPr="006A1C99">
              <w:rPr>
                <w:rFonts w:asciiTheme="minorHAnsi" w:hAnsiTheme="minorHAnsi"/>
                <w:sz w:val="20"/>
                <w:szCs w:val="20"/>
              </w:rPr>
              <w:t xml:space="preserve">ersonnel survey in late 2005 (published in </w:t>
            </w:r>
            <w:r w:rsidR="00FD1D4C">
              <w:rPr>
                <w:rFonts w:asciiTheme="minorHAnsi" w:hAnsiTheme="minorHAnsi"/>
                <w:sz w:val="20"/>
                <w:szCs w:val="20"/>
              </w:rPr>
              <w:t>2006</w:t>
            </w:r>
            <w:r w:rsidRPr="006A1C99">
              <w:rPr>
                <w:rFonts w:asciiTheme="minorHAnsi" w:hAnsiTheme="minorHAnsi"/>
                <w:sz w:val="20"/>
                <w:szCs w:val="20"/>
              </w:rPr>
              <w:t>)</w:t>
            </w:r>
          </w:p>
        </w:tc>
      </w:tr>
    </w:tbl>
    <w:p w14:paraId="3E18FF18" w14:textId="77777777" w:rsidR="00F97AAF" w:rsidRPr="00B513F4" w:rsidRDefault="00F97AAF" w:rsidP="00F97AAF">
      <w:pPr>
        <w:pStyle w:val="ListParagraph"/>
      </w:pPr>
    </w:p>
    <w:tbl>
      <w:tblPr>
        <w:tblStyle w:val="TableGrid"/>
        <w:tblW w:w="0" w:type="auto"/>
        <w:tblLook w:val="04A0" w:firstRow="1" w:lastRow="0" w:firstColumn="1" w:lastColumn="0" w:noHBand="0" w:noVBand="1"/>
      </w:tblPr>
      <w:tblGrid>
        <w:gridCol w:w="9350"/>
      </w:tblGrid>
      <w:tr w:rsidR="00F97AAF" w:rsidRPr="00B513F4" w14:paraId="035AE51E" w14:textId="77777777" w:rsidTr="00C0377E">
        <w:tc>
          <w:tcPr>
            <w:tcW w:w="9576" w:type="dxa"/>
          </w:tcPr>
          <w:p w14:paraId="5A48DCBB" w14:textId="6B7F4D7E" w:rsidR="00F97AAF" w:rsidRPr="00354D31" w:rsidRDefault="00F97AAF" w:rsidP="00C0377E">
            <w:pPr>
              <w:rPr>
                <w:b/>
                <w:sz w:val="20"/>
                <w:szCs w:val="20"/>
              </w:rPr>
            </w:pPr>
            <w:r w:rsidRPr="00354D31">
              <w:rPr>
                <w:b/>
                <w:sz w:val="20"/>
                <w:szCs w:val="20"/>
              </w:rPr>
              <w:t>Box 1</w:t>
            </w:r>
            <w:r>
              <w:rPr>
                <w:b/>
                <w:sz w:val="20"/>
                <w:szCs w:val="20"/>
              </w:rPr>
              <w:t>.</w:t>
            </w:r>
            <w:r w:rsidRPr="00354D31">
              <w:rPr>
                <w:b/>
                <w:sz w:val="20"/>
                <w:szCs w:val="20"/>
              </w:rPr>
              <w:t xml:space="preserve"> Rapid Assessment of Retrenchment Options (</w:t>
            </w:r>
            <w:r>
              <w:rPr>
                <w:b/>
                <w:sz w:val="20"/>
                <w:szCs w:val="20"/>
              </w:rPr>
              <w:t>F</w:t>
            </w:r>
            <w:r w:rsidRPr="00354D31">
              <w:rPr>
                <w:b/>
                <w:sz w:val="20"/>
                <w:szCs w:val="20"/>
              </w:rPr>
              <w:t>all 2007)</w:t>
            </w:r>
          </w:p>
          <w:p w14:paraId="3848DF2E" w14:textId="0DCCCD44" w:rsidR="00F97AAF" w:rsidRPr="00354D31" w:rsidRDefault="00F97AAF" w:rsidP="00C0377E">
            <w:pPr>
              <w:rPr>
                <w:sz w:val="20"/>
                <w:szCs w:val="20"/>
              </w:rPr>
            </w:pPr>
            <w:r w:rsidRPr="00354D31">
              <w:rPr>
                <w:sz w:val="20"/>
                <w:szCs w:val="20"/>
              </w:rPr>
              <w:t xml:space="preserve">The </w:t>
            </w:r>
            <w:r>
              <w:rPr>
                <w:sz w:val="20"/>
                <w:szCs w:val="20"/>
              </w:rPr>
              <w:t>ASI</w:t>
            </w:r>
            <w:r w:rsidRPr="00354D31">
              <w:rPr>
                <w:sz w:val="20"/>
                <w:szCs w:val="20"/>
              </w:rPr>
              <w:t xml:space="preserve"> </w:t>
            </w:r>
            <w:r w:rsidRPr="00354D31">
              <w:rPr>
                <w:i/>
                <w:sz w:val="20"/>
                <w:szCs w:val="20"/>
              </w:rPr>
              <w:t xml:space="preserve">Rapid Assessment of Retrenchment Options </w:t>
            </w:r>
            <w:r w:rsidRPr="00354D31">
              <w:rPr>
                <w:sz w:val="20"/>
                <w:szCs w:val="20"/>
              </w:rPr>
              <w:t>makes the following recommendations for a phased downsizing and retrenchment program:</w:t>
            </w:r>
          </w:p>
          <w:p w14:paraId="5EA6BB1B" w14:textId="121CACFD" w:rsidR="00F97AAF" w:rsidRPr="00354D31" w:rsidRDefault="00F97AAF" w:rsidP="00C0377E">
            <w:pPr>
              <w:numPr>
                <w:ilvl w:val="0"/>
                <w:numId w:val="7"/>
              </w:numPr>
              <w:spacing w:after="0" w:line="240" w:lineRule="auto"/>
              <w:rPr>
                <w:sz w:val="20"/>
                <w:szCs w:val="20"/>
              </w:rPr>
            </w:pPr>
            <w:r w:rsidRPr="00354D31">
              <w:rPr>
                <w:sz w:val="20"/>
                <w:szCs w:val="20"/>
              </w:rPr>
              <w:t xml:space="preserve">Establish a cut-off date, preferably before end </w:t>
            </w:r>
            <w:r>
              <w:rPr>
                <w:sz w:val="20"/>
                <w:szCs w:val="20"/>
              </w:rPr>
              <w:t>20</w:t>
            </w:r>
            <w:r w:rsidRPr="00354D31">
              <w:rPr>
                <w:sz w:val="20"/>
                <w:szCs w:val="20"/>
              </w:rPr>
              <w:t xml:space="preserve">07, for reintegration into SLPA, </w:t>
            </w:r>
            <w:r w:rsidR="00EB6981">
              <w:rPr>
                <w:sz w:val="20"/>
                <w:szCs w:val="20"/>
              </w:rPr>
              <w:t>o</w:t>
            </w:r>
            <w:r w:rsidRPr="00354D31">
              <w:rPr>
                <w:sz w:val="20"/>
                <w:szCs w:val="20"/>
              </w:rPr>
              <w:t xml:space="preserve">rganized </w:t>
            </w:r>
            <w:r w:rsidR="00EB6981">
              <w:rPr>
                <w:sz w:val="20"/>
                <w:szCs w:val="20"/>
              </w:rPr>
              <w:t>f</w:t>
            </w:r>
            <w:r w:rsidRPr="00354D31">
              <w:rPr>
                <w:sz w:val="20"/>
                <w:szCs w:val="20"/>
              </w:rPr>
              <w:t>orces, G</w:t>
            </w:r>
            <w:r>
              <w:rPr>
                <w:sz w:val="20"/>
                <w:szCs w:val="20"/>
              </w:rPr>
              <w:t>OSS,</w:t>
            </w:r>
            <w:r w:rsidRPr="00354D31">
              <w:rPr>
                <w:sz w:val="20"/>
                <w:szCs w:val="20"/>
              </w:rPr>
              <w:t xml:space="preserve"> and </w:t>
            </w:r>
            <w:r>
              <w:rPr>
                <w:sz w:val="20"/>
                <w:szCs w:val="20"/>
              </w:rPr>
              <w:t>s</w:t>
            </w:r>
            <w:r w:rsidRPr="00354D31">
              <w:rPr>
                <w:sz w:val="20"/>
                <w:szCs w:val="20"/>
              </w:rPr>
              <w:t>tate civil services</w:t>
            </w:r>
            <w:r>
              <w:rPr>
                <w:sz w:val="20"/>
                <w:szCs w:val="20"/>
              </w:rPr>
              <w:t>.</w:t>
            </w:r>
          </w:p>
          <w:p w14:paraId="3D64DB04" w14:textId="6364D6A0" w:rsidR="00F97AAF" w:rsidRPr="00354D31" w:rsidRDefault="00F97AAF" w:rsidP="00C0377E">
            <w:pPr>
              <w:numPr>
                <w:ilvl w:val="0"/>
                <w:numId w:val="7"/>
              </w:numPr>
              <w:spacing w:after="0" w:line="240" w:lineRule="auto"/>
              <w:rPr>
                <w:sz w:val="20"/>
                <w:szCs w:val="20"/>
              </w:rPr>
            </w:pPr>
            <w:r w:rsidRPr="00354D31">
              <w:rPr>
                <w:sz w:val="20"/>
                <w:szCs w:val="20"/>
              </w:rPr>
              <w:lastRenderedPageBreak/>
              <w:t>Impose recruitment freeze across all payroll, with possible exceptions for teachers, health workers, priority technical positions</w:t>
            </w:r>
            <w:r>
              <w:rPr>
                <w:sz w:val="20"/>
                <w:szCs w:val="20"/>
              </w:rPr>
              <w:t>,</w:t>
            </w:r>
            <w:r w:rsidRPr="00354D31">
              <w:rPr>
                <w:sz w:val="20"/>
                <w:szCs w:val="20"/>
              </w:rPr>
              <w:t xml:space="preserve"> and key vacancies. Any new recruits must fit within </w:t>
            </w:r>
            <w:r w:rsidR="007A38BF">
              <w:rPr>
                <w:sz w:val="20"/>
                <w:szCs w:val="20"/>
              </w:rPr>
              <w:t>n</w:t>
            </w:r>
            <w:r w:rsidRPr="00354D31">
              <w:rPr>
                <w:sz w:val="20"/>
                <w:szCs w:val="20"/>
              </w:rPr>
              <w:t xml:space="preserve">ominal </w:t>
            </w:r>
            <w:r w:rsidR="007A38BF">
              <w:rPr>
                <w:sz w:val="20"/>
                <w:szCs w:val="20"/>
              </w:rPr>
              <w:t>r</w:t>
            </w:r>
            <w:r w:rsidRPr="00354D31">
              <w:rPr>
                <w:sz w:val="20"/>
                <w:szCs w:val="20"/>
              </w:rPr>
              <w:t xml:space="preserve">olls set for </w:t>
            </w:r>
            <w:r>
              <w:rPr>
                <w:sz w:val="20"/>
                <w:szCs w:val="20"/>
              </w:rPr>
              <w:t>20</w:t>
            </w:r>
            <w:r w:rsidRPr="00354D31">
              <w:rPr>
                <w:sz w:val="20"/>
                <w:szCs w:val="20"/>
              </w:rPr>
              <w:t>08 budget</w:t>
            </w:r>
            <w:r>
              <w:rPr>
                <w:sz w:val="20"/>
                <w:szCs w:val="20"/>
              </w:rPr>
              <w:t>.</w:t>
            </w:r>
          </w:p>
          <w:p w14:paraId="61330AFB" w14:textId="2CCAD46D" w:rsidR="00F97AAF" w:rsidRPr="00354D31" w:rsidRDefault="00F97AAF" w:rsidP="00C0377E">
            <w:pPr>
              <w:numPr>
                <w:ilvl w:val="0"/>
                <w:numId w:val="7"/>
              </w:numPr>
              <w:spacing w:after="0" w:line="240" w:lineRule="auto"/>
              <w:rPr>
                <w:sz w:val="20"/>
                <w:szCs w:val="20"/>
              </w:rPr>
            </w:pPr>
            <w:r w:rsidRPr="00354D31">
              <w:rPr>
                <w:sz w:val="20"/>
                <w:szCs w:val="20"/>
              </w:rPr>
              <w:t xml:space="preserve">Complete payroll cleansing by building on </w:t>
            </w:r>
            <w:r w:rsidR="00F92549">
              <w:rPr>
                <w:sz w:val="20"/>
                <w:szCs w:val="20"/>
              </w:rPr>
              <w:t xml:space="preserve">the </w:t>
            </w:r>
            <w:r w:rsidRPr="00354D31">
              <w:rPr>
                <w:sz w:val="20"/>
                <w:szCs w:val="20"/>
              </w:rPr>
              <w:t>M</w:t>
            </w:r>
            <w:r w:rsidR="00FD1D4C">
              <w:rPr>
                <w:sz w:val="20"/>
                <w:szCs w:val="20"/>
              </w:rPr>
              <w:t>O</w:t>
            </w:r>
            <w:r w:rsidRPr="00354D31">
              <w:rPr>
                <w:sz w:val="20"/>
                <w:szCs w:val="20"/>
              </w:rPr>
              <w:t xml:space="preserve">FEP and </w:t>
            </w:r>
            <w:r w:rsidR="000754F1">
              <w:rPr>
                <w:sz w:val="20"/>
                <w:szCs w:val="20"/>
              </w:rPr>
              <w:t>MoLPSHRD</w:t>
            </w:r>
            <w:r w:rsidRPr="00354D31">
              <w:rPr>
                <w:sz w:val="20"/>
                <w:szCs w:val="20"/>
              </w:rPr>
              <w:t xml:space="preserve"> current efforts, with pay parades and comparing payroll across ministries and states, to eliminate duplication</w:t>
            </w:r>
            <w:r>
              <w:rPr>
                <w:sz w:val="20"/>
                <w:szCs w:val="20"/>
              </w:rPr>
              <w:t>.</w:t>
            </w:r>
          </w:p>
          <w:p w14:paraId="7E3939EA" w14:textId="77777777" w:rsidR="00F97AAF" w:rsidRPr="00354D31" w:rsidRDefault="00F97AAF" w:rsidP="00C0377E">
            <w:pPr>
              <w:numPr>
                <w:ilvl w:val="0"/>
                <w:numId w:val="7"/>
              </w:numPr>
              <w:spacing w:after="0" w:line="240" w:lineRule="auto"/>
              <w:rPr>
                <w:sz w:val="20"/>
                <w:szCs w:val="20"/>
              </w:rPr>
            </w:pPr>
            <w:r w:rsidRPr="00354D31">
              <w:rPr>
                <w:sz w:val="20"/>
                <w:szCs w:val="20"/>
              </w:rPr>
              <w:t>Capture payroll data in a simple off-the-shelf computerized system, such as EXCEL</w:t>
            </w:r>
            <w:r>
              <w:rPr>
                <w:sz w:val="20"/>
                <w:szCs w:val="20"/>
              </w:rPr>
              <w:t>.</w:t>
            </w:r>
          </w:p>
          <w:p w14:paraId="746FB413" w14:textId="77777777" w:rsidR="00F97AAF" w:rsidRPr="00354D31" w:rsidRDefault="00F97AAF" w:rsidP="00C0377E">
            <w:pPr>
              <w:numPr>
                <w:ilvl w:val="0"/>
                <w:numId w:val="7"/>
              </w:numPr>
              <w:spacing w:after="0" w:line="240" w:lineRule="auto"/>
              <w:rPr>
                <w:sz w:val="20"/>
                <w:szCs w:val="20"/>
              </w:rPr>
            </w:pPr>
            <w:r w:rsidRPr="00354D31">
              <w:rPr>
                <w:sz w:val="20"/>
                <w:szCs w:val="20"/>
              </w:rPr>
              <w:t>Dismiss illegal hires, duplicate names without termination benefits</w:t>
            </w:r>
            <w:r>
              <w:rPr>
                <w:sz w:val="20"/>
                <w:szCs w:val="20"/>
              </w:rPr>
              <w:t>.</w:t>
            </w:r>
          </w:p>
          <w:p w14:paraId="7C5C36A8" w14:textId="05EF8E69" w:rsidR="00F97AAF" w:rsidRPr="00354D31" w:rsidRDefault="00F97AAF" w:rsidP="00C0377E">
            <w:pPr>
              <w:numPr>
                <w:ilvl w:val="0"/>
                <w:numId w:val="7"/>
              </w:numPr>
              <w:spacing w:after="0" w:line="240" w:lineRule="auto"/>
              <w:rPr>
                <w:sz w:val="20"/>
                <w:szCs w:val="20"/>
              </w:rPr>
            </w:pPr>
            <w:r w:rsidRPr="00354D31">
              <w:rPr>
                <w:sz w:val="20"/>
                <w:szCs w:val="20"/>
              </w:rPr>
              <w:t xml:space="preserve">Begin procuring an all </w:t>
            </w:r>
            <w:r>
              <w:rPr>
                <w:sz w:val="20"/>
                <w:szCs w:val="20"/>
              </w:rPr>
              <w:t>g</w:t>
            </w:r>
            <w:r w:rsidRPr="00354D31">
              <w:rPr>
                <w:sz w:val="20"/>
                <w:szCs w:val="20"/>
              </w:rPr>
              <w:t>overnment</w:t>
            </w:r>
            <w:r>
              <w:rPr>
                <w:sz w:val="20"/>
                <w:szCs w:val="20"/>
              </w:rPr>
              <w:t>-</w:t>
            </w:r>
            <w:r w:rsidRPr="00354D31">
              <w:rPr>
                <w:sz w:val="20"/>
                <w:szCs w:val="20"/>
              </w:rPr>
              <w:t>integrated payroll and HR records system</w:t>
            </w:r>
            <w:r>
              <w:rPr>
                <w:sz w:val="20"/>
                <w:szCs w:val="20"/>
              </w:rPr>
              <w:t>.</w:t>
            </w:r>
          </w:p>
          <w:p w14:paraId="78A9D1AD" w14:textId="77777777" w:rsidR="00F97AAF" w:rsidRPr="00354D31" w:rsidRDefault="00F97AAF" w:rsidP="00C0377E">
            <w:pPr>
              <w:numPr>
                <w:ilvl w:val="0"/>
                <w:numId w:val="7"/>
              </w:numPr>
              <w:spacing w:after="0" w:line="240" w:lineRule="auto"/>
              <w:rPr>
                <w:sz w:val="20"/>
                <w:szCs w:val="20"/>
              </w:rPr>
            </w:pPr>
            <w:r w:rsidRPr="00354D31">
              <w:rPr>
                <w:sz w:val="20"/>
                <w:szCs w:val="20"/>
              </w:rPr>
              <w:t>Remove/retire under/over age</w:t>
            </w:r>
            <w:r>
              <w:rPr>
                <w:sz w:val="20"/>
                <w:szCs w:val="20"/>
              </w:rPr>
              <w:t>.</w:t>
            </w:r>
          </w:p>
          <w:p w14:paraId="25DDC36C" w14:textId="77777777" w:rsidR="00F97AAF" w:rsidRPr="00354D31" w:rsidRDefault="00F97AAF" w:rsidP="00C0377E">
            <w:pPr>
              <w:numPr>
                <w:ilvl w:val="0"/>
                <w:numId w:val="7"/>
              </w:numPr>
              <w:spacing w:after="0" w:line="240" w:lineRule="auto"/>
              <w:rPr>
                <w:sz w:val="20"/>
                <w:szCs w:val="20"/>
              </w:rPr>
            </w:pPr>
            <w:r w:rsidRPr="00354D31">
              <w:rPr>
                <w:sz w:val="20"/>
                <w:szCs w:val="20"/>
              </w:rPr>
              <w:t xml:space="preserve">Establish maximum numbers for unclassified staff for ministries. Workshare until excess </w:t>
            </w:r>
            <w:r>
              <w:rPr>
                <w:sz w:val="20"/>
                <w:szCs w:val="20"/>
              </w:rPr>
              <w:t xml:space="preserve">is </w:t>
            </w:r>
            <w:r w:rsidRPr="00354D31">
              <w:rPr>
                <w:sz w:val="20"/>
                <w:szCs w:val="20"/>
              </w:rPr>
              <w:t>eliminated</w:t>
            </w:r>
            <w:r>
              <w:rPr>
                <w:sz w:val="20"/>
                <w:szCs w:val="20"/>
              </w:rPr>
              <w:t>.</w:t>
            </w:r>
          </w:p>
          <w:p w14:paraId="479EDD87" w14:textId="77777777" w:rsidR="00F97AAF" w:rsidRPr="00354D31" w:rsidRDefault="00F97AAF" w:rsidP="00C0377E">
            <w:pPr>
              <w:numPr>
                <w:ilvl w:val="0"/>
                <w:numId w:val="7"/>
              </w:numPr>
              <w:spacing w:after="0" w:line="240" w:lineRule="auto"/>
              <w:rPr>
                <w:sz w:val="20"/>
                <w:szCs w:val="20"/>
              </w:rPr>
            </w:pPr>
            <w:r w:rsidRPr="00354D31">
              <w:rPr>
                <w:sz w:val="20"/>
                <w:szCs w:val="20"/>
              </w:rPr>
              <w:t>Avoid voluntary retirement schemes (adverse selection)</w:t>
            </w:r>
            <w:r>
              <w:rPr>
                <w:sz w:val="20"/>
                <w:szCs w:val="20"/>
              </w:rPr>
              <w:t>.</w:t>
            </w:r>
          </w:p>
          <w:p w14:paraId="34A54EF9" w14:textId="0CA69E71" w:rsidR="00F97AAF" w:rsidRPr="00354D31" w:rsidRDefault="00F97AAF" w:rsidP="00C0377E">
            <w:pPr>
              <w:numPr>
                <w:ilvl w:val="0"/>
                <w:numId w:val="7"/>
              </w:numPr>
              <w:spacing w:after="0" w:line="240" w:lineRule="auto"/>
              <w:rPr>
                <w:sz w:val="20"/>
                <w:szCs w:val="20"/>
              </w:rPr>
            </w:pPr>
            <w:r w:rsidRPr="00354D31">
              <w:rPr>
                <w:sz w:val="20"/>
                <w:szCs w:val="20"/>
              </w:rPr>
              <w:t xml:space="preserve">Proceed in a sequenced manner for </w:t>
            </w:r>
            <w:r w:rsidRPr="00721452">
              <w:rPr>
                <w:sz w:val="20"/>
                <w:szCs w:val="20"/>
              </w:rPr>
              <w:t>G</w:t>
            </w:r>
            <w:r w:rsidR="00BB24E5" w:rsidRPr="00721452">
              <w:rPr>
                <w:sz w:val="20"/>
                <w:szCs w:val="20"/>
              </w:rPr>
              <w:t>O</w:t>
            </w:r>
            <w:r w:rsidRPr="00721452">
              <w:rPr>
                <w:sz w:val="20"/>
                <w:szCs w:val="20"/>
              </w:rPr>
              <w:t xml:space="preserve">SS </w:t>
            </w:r>
            <w:r w:rsidR="005204FD">
              <w:rPr>
                <w:sz w:val="20"/>
                <w:szCs w:val="20"/>
              </w:rPr>
              <w:t>civil service</w:t>
            </w:r>
            <w:r w:rsidRPr="00354D31">
              <w:rPr>
                <w:sz w:val="20"/>
                <w:szCs w:val="20"/>
              </w:rPr>
              <w:t xml:space="preserve">, </w:t>
            </w:r>
            <w:r>
              <w:rPr>
                <w:sz w:val="20"/>
                <w:szCs w:val="20"/>
              </w:rPr>
              <w:t>o</w:t>
            </w:r>
            <w:r w:rsidRPr="00354D31">
              <w:rPr>
                <w:sz w:val="20"/>
                <w:szCs w:val="20"/>
              </w:rPr>
              <w:t xml:space="preserve">rganized </w:t>
            </w:r>
            <w:r>
              <w:rPr>
                <w:sz w:val="20"/>
                <w:szCs w:val="20"/>
              </w:rPr>
              <w:t>f</w:t>
            </w:r>
            <w:r w:rsidRPr="00354D31">
              <w:rPr>
                <w:sz w:val="20"/>
                <w:szCs w:val="20"/>
              </w:rPr>
              <w:t>orces, states determining desired staffing levels, via reviews of mandate/function/organizational structure/staffing, and drawing up job descriptions. Staff to reapply on a competitive, merit</w:t>
            </w:r>
            <w:r>
              <w:rPr>
                <w:sz w:val="20"/>
                <w:szCs w:val="20"/>
              </w:rPr>
              <w:t>-</w:t>
            </w:r>
            <w:r w:rsidRPr="00354D31">
              <w:rPr>
                <w:sz w:val="20"/>
                <w:szCs w:val="20"/>
              </w:rPr>
              <w:t>based selection process, using primarily competency testing, not qualifications</w:t>
            </w:r>
            <w:r>
              <w:rPr>
                <w:sz w:val="20"/>
                <w:szCs w:val="20"/>
              </w:rPr>
              <w:t>.</w:t>
            </w:r>
          </w:p>
          <w:p w14:paraId="44D37282" w14:textId="77777777" w:rsidR="00F97AAF" w:rsidRPr="00354D31" w:rsidRDefault="00F97AAF" w:rsidP="00C0377E">
            <w:pPr>
              <w:numPr>
                <w:ilvl w:val="0"/>
                <w:numId w:val="7"/>
              </w:numPr>
              <w:spacing w:after="0" w:line="240" w:lineRule="auto"/>
              <w:rPr>
                <w:sz w:val="20"/>
                <w:szCs w:val="20"/>
              </w:rPr>
            </w:pPr>
            <w:r w:rsidRPr="00354D31">
              <w:rPr>
                <w:sz w:val="20"/>
                <w:szCs w:val="20"/>
              </w:rPr>
              <w:t>Retrenchment package for those not selected</w:t>
            </w:r>
            <w:r>
              <w:rPr>
                <w:sz w:val="20"/>
                <w:szCs w:val="20"/>
              </w:rPr>
              <w:t>.</w:t>
            </w:r>
          </w:p>
          <w:p w14:paraId="7EDCCD13" w14:textId="77777777" w:rsidR="00F97AAF" w:rsidRPr="00354D31" w:rsidRDefault="00F97AAF" w:rsidP="00C0377E">
            <w:pPr>
              <w:numPr>
                <w:ilvl w:val="0"/>
                <w:numId w:val="7"/>
              </w:numPr>
              <w:spacing w:after="0" w:line="240" w:lineRule="auto"/>
              <w:rPr>
                <w:sz w:val="20"/>
                <w:szCs w:val="20"/>
              </w:rPr>
            </w:pPr>
            <w:r w:rsidRPr="00354D31">
              <w:rPr>
                <w:sz w:val="20"/>
                <w:szCs w:val="20"/>
              </w:rPr>
              <w:t>Communication of rightsizing program to all stakeholders</w:t>
            </w:r>
            <w:r>
              <w:rPr>
                <w:sz w:val="20"/>
                <w:szCs w:val="20"/>
              </w:rPr>
              <w:t>.</w:t>
            </w:r>
          </w:p>
          <w:p w14:paraId="77B448A9" w14:textId="6F1911AA" w:rsidR="00F97AAF" w:rsidRPr="00354D31" w:rsidRDefault="00F97AAF" w:rsidP="00C0377E">
            <w:pPr>
              <w:numPr>
                <w:ilvl w:val="0"/>
                <w:numId w:val="7"/>
              </w:numPr>
              <w:spacing w:after="0" w:line="240" w:lineRule="auto"/>
              <w:rPr>
                <w:sz w:val="20"/>
                <w:szCs w:val="20"/>
              </w:rPr>
            </w:pPr>
            <w:r w:rsidRPr="00354D31">
              <w:rPr>
                <w:sz w:val="20"/>
                <w:szCs w:val="20"/>
              </w:rPr>
              <w:t>Continue using other avenues of exit</w:t>
            </w:r>
            <w:r>
              <w:rPr>
                <w:sz w:val="20"/>
                <w:szCs w:val="20"/>
              </w:rPr>
              <w:t>—</w:t>
            </w:r>
            <w:r w:rsidRPr="00354D31">
              <w:rPr>
                <w:sz w:val="20"/>
                <w:szCs w:val="20"/>
              </w:rPr>
              <w:t>resignation, dismissal for incompetence, dishonest</w:t>
            </w:r>
            <w:r>
              <w:rPr>
                <w:sz w:val="20"/>
                <w:szCs w:val="20"/>
              </w:rPr>
              <w:t>y</w:t>
            </w:r>
            <w:r w:rsidRPr="00354D31">
              <w:rPr>
                <w:sz w:val="20"/>
                <w:szCs w:val="20"/>
              </w:rPr>
              <w:t>, inappropriate conduct, normal retirement</w:t>
            </w:r>
            <w:r>
              <w:rPr>
                <w:sz w:val="20"/>
                <w:szCs w:val="20"/>
              </w:rPr>
              <w:t>.</w:t>
            </w:r>
          </w:p>
          <w:p w14:paraId="5A5477D9" w14:textId="5B7BDCDD" w:rsidR="00F97AAF" w:rsidRPr="00354D31" w:rsidRDefault="00F97AAF" w:rsidP="00C0377E">
            <w:pPr>
              <w:numPr>
                <w:ilvl w:val="0"/>
                <w:numId w:val="7"/>
              </w:numPr>
              <w:spacing w:after="0" w:line="240" w:lineRule="auto"/>
              <w:rPr>
                <w:sz w:val="20"/>
                <w:szCs w:val="20"/>
              </w:rPr>
            </w:pPr>
            <w:r w:rsidRPr="00354D31">
              <w:rPr>
                <w:sz w:val="20"/>
                <w:szCs w:val="20"/>
              </w:rPr>
              <w:t>Develop a pensions policy for G</w:t>
            </w:r>
            <w:r w:rsidR="00BB24E5">
              <w:rPr>
                <w:sz w:val="20"/>
                <w:szCs w:val="20"/>
              </w:rPr>
              <w:t>O</w:t>
            </w:r>
            <w:r w:rsidRPr="00354D31">
              <w:rPr>
                <w:sz w:val="20"/>
                <w:szCs w:val="20"/>
              </w:rPr>
              <w:t>SS, crediting years of service in CANS, SPLM,</w:t>
            </w:r>
            <w:r w:rsidR="00FD1D4C">
              <w:rPr>
                <w:sz w:val="20"/>
                <w:szCs w:val="20"/>
              </w:rPr>
              <w:t xml:space="preserve"> and SLP </w:t>
            </w:r>
            <w:r w:rsidRPr="00354D31">
              <w:rPr>
                <w:sz w:val="20"/>
                <w:szCs w:val="20"/>
              </w:rPr>
              <w:t>and paying benefits through budget</w:t>
            </w:r>
            <w:r>
              <w:rPr>
                <w:sz w:val="20"/>
                <w:szCs w:val="20"/>
              </w:rPr>
              <w:t>.</w:t>
            </w:r>
          </w:p>
          <w:p w14:paraId="7586B4CB" w14:textId="77777777" w:rsidR="00F97AAF" w:rsidRPr="00354D31" w:rsidRDefault="00F97AAF" w:rsidP="00C0377E">
            <w:pPr>
              <w:numPr>
                <w:ilvl w:val="0"/>
                <w:numId w:val="7"/>
              </w:numPr>
              <w:spacing w:after="0" w:line="240" w:lineRule="auto"/>
              <w:rPr>
                <w:sz w:val="20"/>
                <w:szCs w:val="20"/>
              </w:rPr>
            </w:pPr>
            <w:r w:rsidRPr="00354D31">
              <w:rPr>
                <w:sz w:val="20"/>
                <w:szCs w:val="20"/>
              </w:rPr>
              <w:t>Continue with SPLA DDR program, providing it with additional resources</w:t>
            </w:r>
            <w:r>
              <w:rPr>
                <w:sz w:val="20"/>
                <w:szCs w:val="20"/>
              </w:rPr>
              <w:t>.</w:t>
            </w:r>
          </w:p>
          <w:p w14:paraId="4BD2BE57" w14:textId="190F6089" w:rsidR="00F97AAF" w:rsidRPr="00354D31" w:rsidRDefault="00F97AAF" w:rsidP="00C0377E">
            <w:pPr>
              <w:numPr>
                <w:ilvl w:val="0"/>
                <w:numId w:val="7"/>
              </w:numPr>
              <w:spacing w:after="0" w:line="240" w:lineRule="auto"/>
              <w:rPr>
                <w:sz w:val="20"/>
                <w:szCs w:val="20"/>
              </w:rPr>
            </w:pPr>
            <w:r w:rsidRPr="00354D31">
              <w:rPr>
                <w:sz w:val="20"/>
                <w:szCs w:val="20"/>
              </w:rPr>
              <w:t>Consider a welfare system for deserving cases: physically handicapped, widows</w:t>
            </w:r>
            <w:r>
              <w:rPr>
                <w:sz w:val="20"/>
                <w:szCs w:val="20"/>
              </w:rPr>
              <w:t>,</w:t>
            </w:r>
            <w:r w:rsidRPr="00354D31">
              <w:rPr>
                <w:sz w:val="20"/>
                <w:szCs w:val="20"/>
              </w:rPr>
              <w:t xml:space="preserve"> </w:t>
            </w:r>
            <w:r>
              <w:rPr>
                <w:sz w:val="20"/>
                <w:szCs w:val="20"/>
              </w:rPr>
              <w:t>and so on.</w:t>
            </w:r>
          </w:p>
          <w:p w14:paraId="6EDCED57" w14:textId="7DF716F9" w:rsidR="00F97AAF" w:rsidRPr="00354D31" w:rsidRDefault="00F97AAF" w:rsidP="00C0377E">
            <w:pPr>
              <w:numPr>
                <w:ilvl w:val="0"/>
                <w:numId w:val="7"/>
              </w:numPr>
              <w:spacing w:after="0" w:line="240" w:lineRule="auto"/>
              <w:rPr>
                <w:sz w:val="20"/>
                <w:szCs w:val="20"/>
              </w:rPr>
            </w:pPr>
            <w:r w:rsidRPr="00354D31">
              <w:rPr>
                <w:sz w:val="20"/>
                <w:szCs w:val="20"/>
              </w:rPr>
              <w:t>Discourage SPLA from sending further excess personnel to organized forces, G</w:t>
            </w:r>
            <w:r w:rsidR="00BB24E5">
              <w:rPr>
                <w:sz w:val="20"/>
                <w:szCs w:val="20"/>
              </w:rPr>
              <w:t>OSS,</w:t>
            </w:r>
            <w:r w:rsidRPr="00354D31">
              <w:rPr>
                <w:sz w:val="20"/>
                <w:szCs w:val="20"/>
              </w:rPr>
              <w:t xml:space="preserve"> and states</w:t>
            </w:r>
            <w:r>
              <w:rPr>
                <w:sz w:val="20"/>
                <w:szCs w:val="20"/>
              </w:rPr>
              <w:t>.</w:t>
            </w:r>
          </w:p>
          <w:p w14:paraId="2C8A055D" w14:textId="77777777" w:rsidR="00F97AAF" w:rsidRPr="009608D9" w:rsidRDefault="00F97AAF" w:rsidP="00C0377E">
            <w:pPr>
              <w:numPr>
                <w:ilvl w:val="0"/>
                <w:numId w:val="7"/>
              </w:numPr>
              <w:rPr>
                <w:sz w:val="20"/>
                <w:szCs w:val="20"/>
              </w:rPr>
            </w:pPr>
            <w:r w:rsidRPr="00354D31">
              <w:rPr>
                <w:sz w:val="20"/>
                <w:szCs w:val="20"/>
              </w:rPr>
              <w:t>Obtain donor support</w:t>
            </w:r>
            <w:r>
              <w:rPr>
                <w:sz w:val="20"/>
                <w:szCs w:val="20"/>
              </w:rPr>
              <w:t>.</w:t>
            </w:r>
          </w:p>
          <w:p w14:paraId="45FC83D9" w14:textId="606C93FB" w:rsidR="00F97AAF" w:rsidRPr="00B513F4" w:rsidRDefault="00F97AAF" w:rsidP="00C0377E">
            <w:pPr>
              <w:spacing w:after="0" w:line="240" w:lineRule="auto"/>
              <w:rPr>
                <w:sz w:val="20"/>
              </w:rPr>
            </w:pPr>
            <w:r w:rsidRPr="009608D9">
              <w:rPr>
                <w:i/>
                <w:sz w:val="20"/>
                <w:szCs w:val="20"/>
              </w:rPr>
              <w:t>Source:</w:t>
            </w:r>
            <w:r w:rsidRPr="00354D31">
              <w:rPr>
                <w:sz w:val="20"/>
                <w:szCs w:val="20"/>
              </w:rPr>
              <w:t xml:space="preserve"> Stevens 2008</w:t>
            </w:r>
            <w:r w:rsidR="00B21132">
              <w:rPr>
                <w:sz w:val="20"/>
                <w:szCs w:val="20"/>
              </w:rPr>
              <w:t>.</w:t>
            </w:r>
          </w:p>
        </w:tc>
      </w:tr>
    </w:tbl>
    <w:p w14:paraId="511455BD" w14:textId="4DBCA4B9" w:rsidR="00F97AAF" w:rsidRPr="00B513F4" w:rsidRDefault="00F97AAF" w:rsidP="00F97AAF">
      <w:pPr>
        <w:spacing w:before="240"/>
        <w:jc w:val="both"/>
      </w:pPr>
      <w:r w:rsidRPr="00B513F4">
        <w:lastRenderedPageBreak/>
        <w:t>The commitment to an effective public sector can be found in a number of government documents, speeches</w:t>
      </w:r>
      <w:r>
        <w:t>,</w:t>
      </w:r>
      <w:r w:rsidRPr="00B513F4">
        <w:t xml:space="preserve"> and announcements. As reflected in a document </w:t>
      </w:r>
      <w:r>
        <w:t>‘</w:t>
      </w:r>
      <w:r w:rsidRPr="00B513F4">
        <w:t>Guidelines for the Public Service Reform Management Structures</w:t>
      </w:r>
      <w:r>
        <w:t>:</w:t>
      </w:r>
      <w:r w:rsidRPr="00B513F4">
        <w:rPr>
          <w:rStyle w:val="FootnoteReference"/>
        </w:rPr>
        <w:footnoteReference w:id="52"/>
      </w:r>
    </w:p>
    <w:p w14:paraId="142A0316" w14:textId="77777777" w:rsidR="00F97AAF" w:rsidRPr="00B513F4" w:rsidRDefault="00F97AAF" w:rsidP="00F97AAF">
      <w:pPr>
        <w:spacing w:after="0" w:line="240" w:lineRule="auto"/>
        <w:ind w:left="720"/>
        <w:jc w:val="both"/>
        <w:rPr>
          <w:sz w:val="20"/>
          <w:szCs w:val="28"/>
        </w:rPr>
      </w:pPr>
      <w:r w:rsidRPr="00B513F4">
        <w:rPr>
          <w:sz w:val="20"/>
        </w:rPr>
        <w:t xml:space="preserve">“[A] </w:t>
      </w:r>
      <w:r w:rsidRPr="00B513F4">
        <w:rPr>
          <w:sz w:val="20"/>
          <w:szCs w:val="28"/>
        </w:rPr>
        <w:t>Public Service Reform Programme for the Government of Southern Sudan was launched by the His Excellency the President during the 6</w:t>
      </w:r>
      <w:r w:rsidRPr="00B513F4">
        <w:rPr>
          <w:sz w:val="20"/>
          <w:szCs w:val="28"/>
          <w:vertAlign w:val="superscript"/>
        </w:rPr>
        <w:t>th</w:t>
      </w:r>
      <w:r w:rsidRPr="00B513F4">
        <w:rPr>
          <w:sz w:val="20"/>
          <w:szCs w:val="28"/>
        </w:rPr>
        <w:t xml:space="preserve"> Governors’ Forum, which took place from 29</w:t>
      </w:r>
      <w:r w:rsidRPr="00B513F4">
        <w:rPr>
          <w:sz w:val="20"/>
          <w:szCs w:val="28"/>
          <w:vertAlign w:val="superscript"/>
        </w:rPr>
        <w:t>th</w:t>
      </w:r>
      <w:r w:rsidRPr="00B513F4">
        <w:rPr>
          <w:sz w:val="20"/>
          <w:szCs w:val="28"/>
        </w:rPr>
        <w:t xml:space="preserve"> September to 2</w:t>
      </w:r>
      <w:r w:rsidRPr="00B513F4">
        <w:rPr>
          <w:sz w:val="20"/>
          <w:szCs w:val="28"/>
          <w:vertAlign w:val="superscript"/>
        </w:rPr>
        <w:t>nd</w:t>
      </w:r>
      <w:r w:rsidRPr="00B513F4">
        <w:rPr>
          <w:sz w:val="20"/>
          <w:szCs w:val="28"/>
        </w:rPr>
        <w:t xml:space="preserve"> October 2008. The President articulated in his speech during the launch that the focus of the </w:t>
      </w:r>
      <w:r w:rsidRPr="00B513F4">
        <w:rPr>
          <w:i/>
          <w:sz w:val="20"/>
          <w:szCs w:val="28"/>
        </w:rPr>
        <w:t>Government of Southern Sudan should be to become the model of the models of the world in terms of its level of efficiency and effectives in customer oriented service delivery</w:t>
      </w:r>
      <w:r w:rsidRPr="00B513F4">
        <w:rPr>
          <w:sz w:val="20"/>
          <w:szCs w:val="28"/>
        </w:rPr>
        <w:t xml:space="preserve"> [emphasis added], which could only happen through an effectively managed public service reform programme. Public Service Reform, as a strategy, focuses on creating result oriented public service organizations through the review and streamlining of public service structures, processes, policies, and legal framework that underpin the functioning of government. The output of this should be a government system that is efficient, effective result oriented and customer focused and which is capable of steering the nation to the desired model of the models status.”</w:t>
      </w:r>
    </w:p>
    <w:p w14:paraId="2AC52B26" w14:textId="5FD13767" w:rsidR="00F97AAF" w:rsidRPr="00B513F4" w:rsidRDefault="00F97AAF" w:rsidP="00F97AAF">
      <w:pPr>
        <w:spacing w:before="240"/>
        <w:jc w:val="both"/>
      </w:pPr>
      <w:r w:rsidRPr="00B513F4">
        <w:t xml:space="preserve">Furthermore, the Capacity Building Unit in </w:t>
      </w:r>
      <w:r w:rsidR="00B21132">
        <w:t xml:space="preserve">the </w:t>
      </w:r>
      <w:r w:rsidR="000754F1">
        <w:t>MoLPSHRD</w:t>
      </w:r>
      <w:r w:rsidRPr="00B513F4">
        <w:t xml:space="preserve"> pursued the development of a national curriculum for training across the civil service with support from D</w:t>
      </w:r>
      <w:r>
        <w:t>f</w:t>
      </w:r>
      <w:r w:rsidRPr="00B513F4">
        <w:t xml:space="preserve">ID in 2008. However, the effort at developing a comprehensive approach to training was ultimately unsuccessful and perhaps overly </w:t>
      </w:r>
      <w:r w:rsidRPr="00B513F4">
        <w:lastRenderedPageBreak/>
        <w:t xml:space="preserve">ambitious at the time (USAID 2010). A key challenge was the fact that efforts between </w:t>
      </w:r>
      <w:r w:rsidR="00B21132">
        <w:t xml:space="preserve">the </w:t>
      </w:r>
      <w:r w:rsidR="000754F1">
        <w:t>MoLPSHRD</w:t>
      </w:r>
      <w:r w:rsidRPr="00B513F4">
        <w:t>, various line ministries</w:t>
      </w:r>
      <w:r>
        <w:t>,</w:t>
      </w:r>
      <w:r w:rsidRPr="00B513F4">
        <w:t xml:space="preserve"> and various donors were not coordinated. </w:t>
      </w:r>
    </w:p>
    <w:p w14:paraId="69152792" w14:textId="7D2FD64E" w:rsidR="00F97AAF" w:rsidRPr="00B513F4" w:rsidRDefault="00F97AAF" w:rsidP="00F97AAF">
      <w:pPr>
        <w:jc w:val="both"/>
      </w:pPr>
      <w:r w:rsidRPr="00B513F4">
        <w:t xml:space="preserve">Subsequently, the president declared 2009 to be the </w:t>
      </w:r>
      <w:r>
        <w:t>‘</w:t>
      </w:r>
      <w:r w:rsidRPr="00B513F4">
        <w:t>Year of Decentralization</w:t>
      </w:r>
      <w:r>
        <w:t>’</w:t>
      </w:r>
      <w:r w:rsidRPr="00B513F4">
        <w:t xml:space="preserve"> and the </w:t>
      </w:r>
      <w:r>
        <w:t>‘</w:t>
      </w:r>
      <w:r w:rsidRPr="00B513F4">
        <w:t>Year of Public Service Reform</w:t>
      </w:r>
      <w:r>
        <w:t>’</w:t>
      </w:r>
      <w:r w:rsidRPr="00B513F4">
        <w:t xml:space="preserve"> (World Bank 2010, 5). To pursue the implementation, a </w:t>
      </w:r>
      <w:r>
        <w:t>c</w:t>
      </w:r>
      <w:r w:rsidRPr="00B513F4">
        <w:t xml:space="preserve">abinet </w:t>
      </w:r>
      <w:r>
        <w:t>c</w:t>
      </w:r>
      <w:r w:rsidRPr="00B513F4">
        <w:t xml:space="preserve">ommittee and </w:t>
      </w:r>
      <w:r>
        <w:t>s</w:t>
      </w:r>
      <w:r w:rsidRPr="00B513F4">
        <w:t>ub-</w:t>
      </w:r>
      <w:r>
        <w:t>c</w:t>
      </w:r>
      <w:r w:rsidRPr="00B513F4">
        <w:t xml:space="preserve">ommittee on </w:t>
      </w:r>
      <w:r>
        <w:t>r</w:t>
      </w:r>
      <w:r w:rsidRPr="00B513F4">
        <w:t xml:space="preserve">eforms were formed at the time. The main result of these initiatives was the progress made </w:t>
      </w:r>
      <w:r>
        <w:t>with regard to</w:t>
      </w:r>
      <w:r w:rsidRPr="00B513F4">
        <w:t xml:space="preserve"> developing and adopting relevant legislation (the Local Government Act in 2009 and the Civil Service Act in 2011).</w:t>
      </w:r>
    </w:p>
    <w:p w14:paraId="6B9BF2EA" w14:textId="64DDFDEF" w:rsidR="00F97AAF" w:rsidRPr="00B513F4" w:rsidRDefault="00F97AAF" w:rsidP="00F97AAF">
      <w:pPr>
        <w:jc w:val="both"/>
      </w:pPr>
      <w:r w:rsidRPr="00B513F4">
        <w:rPr>
          <w:b/>
        </w:rPr>
        <w:t xml:space="preserve">Furthermore, efforts to reduce ghost workers were made and the central ministries (MOFEP and </w:t>
      </w:r>
      <w:r w:rsidR="000754F1">
        <w:rPr>
          <w:b/>
        </w:rPr>
        <w:t>MoLPSHRD</w:t>
      </w:r>
      <w:r w:rsidRPr="00B513F4">
        <w:rPr>
          <w:b/>
        </w:rPr>
        <w:t xml:space="preserve">) were gradually able to implement a system of ‘nominal rolls’, </w:t>
      </w:r>
      <w:r>
        <w:rPr>
          <w:b/>
        </w:rPr>
        <w:t>that is,</w:t>
      </w:r>
      <w:r w:rsidRPr="00B513F4">
        <w:rPr>
          <w:b/>
        </w:rPr>
        <w:t xml:space="preserve"> staff ceilings based on available budgetary resources on line ministries and agencies. </w:t>
      </w:r>
      <w:r w:rsidRPr="00B513F4">
        <w:t>Efforts to reduce ghost workers and excessive unclassified workers were made in 2008</w:t>
      </w:r>
      <w:r>
        <w:t>–</w:t>
      </w:r>
      <w:r w:rsidRPr="00B513F4">
        <w:t>09, focusing on the education sector and subsequently the health sector (Booz and Company 2010)</w:t>
      </w:r>
      <w:r w:rsidRPr="00B513F4">
        <w:rPr>
          <w:rStyle w:val="FootnoteReference"/>
        </w:rPr>
        <w:footnoteReference w:id="53"/>
      </w:r>
      <w:r w:rsidRPr="00B513F4">
        <w:t xml:space="preserve"> in early 2010</w:t>
      </w:r>
      <w:r>
        <w:t>,</w:t>
      </w:r>
      <w:r w:rsidRPr="00B513F4">
        <w:rPr>
          <w:rStyle w:val="FootnoteReference"/>
        </w:rPr>
        <w:footnoteReference w:id="54"/>
      </w:r>
      <w:r w:rsidRPr="00B513F4">
        <w:t xml:space="preserve"> April 2011</w:t>
      </w:r>
      <w:r>
        <w:t>,</w:t>
      </w:r>
      <w:r w:rsidRPr="00B513F4">
        <w:t xml:space="preserve"> and again in April 2013</w:t>
      </w:r>
      <w:r>
        <w:t>.</w:t>
      </w:r>
      <w:r w:rsidRPr="00B513F4">
        <w:rPr>
          <w:rStyle w:val="FootnoteReference"/>
        </w:rPr>
        <w:footnoteReference w:id="55"/>
      </w:r>
      <w:r w:rsidRPr="00B513F4">
        <w:t xml:space="preserve"> In August 2013, the G</w:t>
      </w:r>
      <w:r w:rsidR="00BB24E5">
        <w:t>O</w:t>
      </w:r>
      <w:r w:rsidRPr="00B513F4">
        <w:t>SS announced that around 10,000 ghost workers had been identified in the police alone</w:t>
      </w:r>
      <w:r>
        <w:t>—</w:t>
      </w:r>
      <w:r w:rsidRPr="00B513F4">
        <w:t>equivalent to 20 percent of all police force staff for that year</w:t>
      </w:r>
      <w:r>
        <w:t>—</w:t>
      </w:r>
      <w:r w:rsidRPr="00B513F4">
        <w:t>with a further 16,000 forces being investigated</w:t>
      </w:r>
      <w:r>
        <w:t>.</w:t>
      </w:r>
      <w:r w:rsidRPr="00B513F4">
        <w:rPr>
          <w:rStyle w:val="FootnoteReference"/>
        </w:rPr>
        <w:footnoteReference w:id="56"/>
      </w:r>
      <w:r w:rsidRPr="00B513F4">
        <w:t xml:space="preserve"> The 2011 Civil Service Act requires </w:t>
      </w:r>
      <w:r w:rsidR="00FD1D4C">
        <w:t>Ministries, Departments and Agencies (</w:t>
      </w:r>
      <w:r w:rsidRPr="00D13EF0">
        <w:t>MDA</w:t>
      </w:r>
      <w:r w:rsidRPr="00B513F4">
        <w:t>s</w:t>
      </w:r>
      <w:r w:rsidR="00FD1D4C">
        <w:t>)</w:t>
      </w:r>
      <w:r w:rsidRPr="00B513F4">
        <w:t xml:space="preserve"> to adopt </w:t>
      </w:r>
      <w:r>
        <w:t>e</w:t>
      </w:r>
      <w:r w:rsidRPr="00B513F4">
        <w:t xml:space="preserve">stablishment </w:t>
      </w:r>
      <w:r>
        <w:t>s</w:t>
      </w:r>
      <w:r w:rsidRPr="00B513F4">
        <w:t>tructures that set out the number and levels of posts assigned to each department of an MDA. Beyond this, each MDA then receives a nominal roll which reflects the actual allocation of positions that can be funded for a given fiscal year. However, the system only applies to the core civilian parts of the public sector, not the organized forces</w:t>
      </w:r>
      <w:r>
        <w:t>,</w:t>
      </w:r>
      <w:r w:rsidRPr="00B513F4">
        <w:t xml:space="preserve"> or the army; and there are still im</w:t>
      </w:r>
      <w:r>
        <w:t>plementation gaps across MDAs.</w:t>
      </w:r>
    </w:p>
    <w:p w14:paraId="58C2E3E8" w14:textId="57B0478A" w:rsidR="00F97AAF" w:rsidRPr="00B513F4" w:rsidRDefault="00F97AAF" w:rsidP="00F97AAF">
      <w:pPr>
        <w:jc w:val="both"/>
      </w:pPr>
      <w:r w:rsidRPr="00B513F4">
        <w:rPr>
          <w:b/>
        </w:rPr>
        <w:t xml:space="preserve">A renewed push for civil service reform was made in 2011, </w:t>
      </w:r>
      <w:r>
        <w:rPr>
          <w:b/>
        </w:rPr>
        <w:t>that is,</w:t>
      </w:r>
      <w:r w:rsidRPr="00B513F4">
        <w:rPr>
          <w:b/>
        </w:rPr>
        <w:t xml:space="preserve"> shortly after independence, during the final stretch of the tenure of Minister Awut as </w:t>
      </w:r>
      <w:r w:rsidR="001D0A64">
        <w:rPr>
          <w:b/>
        </w:rPr>
        <w:t>m</w:t>
      </w:r>
      <w:r w:rsidRPr="00B513F4">
        <w:rPr>
          <w:b/>
        </w:rPr>
        <w:t>inis</w:t>
      </w:r>
      <w:r w:rsidR="00FD1D4C">
        <w:rPr>
          <w:b/>
        </w:rPr>
        <w:t>ter of Labor and Public Service</w:t>
      </w:r>
      <w:r w:rsidRPr="00B513F4">
        <w:t>. The minister publicly stated at the time that more than 60 percent of office holders were unqualified and unproductive.</w:t>
      </w:r>
      <w:r w:rsidRPr="00B513F4">
        <w:rPr>
          <w:rStyle w:val="FootnoteReference"/>
        </w:rPr>
        <w:t xml:space="preserve"> </w:t>
      </w:r>
      <w:r w:rsidRPr="00B513F4">
        <w:t>On October 4, 2011, “President Salva Kiir ordered the civil service to weed out employees who did not have the skills, qualifications</w:t>
      </w:r>
      <w:r>
        <w:t>,</w:t>
      </w:r>
      <w:r w:rsidRPr="00B513F4">
        <w:t xml:space="preserve"> or experience for the job they were in. Education certificates from Sudan, South Sudan and internationally will be checked as part of the process. Kiir said the process should involve all levels of government from the national government in Juba, to the ten state governments of South Sudan as well as at county level.”</w:t>
      </w:r>
      <w:r w:rsidRPr="00B513F4">
        <w:rPr>
          <w:rStyle w:val="FootnoteReference"/>
        </w:rPr>
        <w:t xml:space="preserve"> </w:t>
      </w:r>
      <w:r w:rsidRPr="00B513F4">
        <w:rPr>
          <w:rStyle w:val="FootnoteReference"/>
        </w:rPr>
        <w:footnoteReference w:id="57"/>
      </w:r>
      <w:r w:rsidRPr="00B513F4">
        <w:t xml:space="preserve"> However, going against the interests of a very large share of the existing public service at once proved to be politically costly, and the effort failed. On October 30, Minister Awut resigned from the office that she had held since July 2007</w:t>
      </w:r>
      <w:r>
        <w:t>—</w:t>
      </w:r>
      <w:r w:rsidRPr="00B513F4">
        <w:t xml:space="preserve">reportedly under pressure from other ministers. Thus, the attempt to undertake a systematic effort at ensuring that staff had adequate educational qualifications failed. </w:t>
      </w:r>
    </w:p>
    <w:p w14:paraId="47AE2082" w14:textId="20B55F90" w:rsidR="00F97AAF" w:rsidRPr="00B513F4" w:rsidRDefault="00F97AAF" w:rsidP="00F97AAF">
      <w:pPr>
        <w:jc w:val="both"/>
      </w:pPr>
      <w:r w:rsidRPr="00B513F4">
        <w:rPr>
          <w:b/>
        </w:rPr>
        <w:lastRenderedPageBreak/>
        <w:t>It is important to keep in mind that these efforts at public service reforms took place against a wider context of difficult state-building progress</w:t>
      </w:r>
      <w:r w:rsidRPr="00B513F4">
        <w:t xml:space="preserve">. For example, in summer and fall 2011, a number of attacks on the government took place in Warrap and in Unity </w:t>
      </w:r>
      <w:r>
        <w:t>S</w:t>
      </w:r>
      <w:r w:rsidRPr="00B513F4">
        <w:t>tate, carried out by various militia groups.</w:t>
      </w:r>
      <w:r w:rsidRPr="00B513F4">
        <w:rPr>
          <w:rStyle w:val="FootnoteReference"/>
        </w:rPr>
        <w:footnoteReference w:id="58"/>
      </w:r>
      <w:r w:rsidRPr="00B513F4">
        <w:t xml:space="preserve"> One justification for the attacks was accusation of ‘Dinka dominance’ in the state apparatus of South Sudan. </w:t>
      </w:r>
    </w:p>
    <w:p w14:paraId="7E220446" w14:textId="5BDA0487" w:rsidR="00F97AAF" w:rsidRPr="00B513F4" w:rsidRDefault="00F97AAF" w:rsidP="00F97AAF">
      <w:pPr>
        <w:jc w:val="both"/>
      </w:pPr>
      <w:r w:rsidRPr="00B513F4">
        <w:rPr>
          <w:b/>
        </w:rPr>
        <w:t>Nonetheless, there were a few areas in which incremental and more incentive-compatible reforms progressed</w:t>
      </w:r>
      <w:r w:rsidRPr="00B513F4">
        <w:t>. These included the establishment of an electronic payroll system, at least some reductions in the number of nonexistent staff (‘ghost</w:t>
      </w:r>
      <w:r w:rsidR="00481412">
        <w:t xml:space="preserve"> </w:t>
      </w:r>
      <w:r w:rsidRPr="00B513F4">
        <w:t>workers’) from the payroll, as noted above, and some initial progress toward establishing a pension system for civil servants.</w:t>
      </w:r>
    </w:p>
    <w:p w14:paraId="7A0AE497" w14:textId="120D056D" w:rsidR="00F97AAF" w:rsidRPr="00B513F4" w:rsidRDefault="00F97AAF" w:rsidP="00F23E80">
      <w:pPr>
        <w:jc w:val="both"/>
      </w:pPr>
      <w:r w:rsidRPr="00B513F4">
        <w:rPr>
          <w:b/>
        </w:rPr>
        <w:t xml:space="preserve">In 2011 and 2012, the </w:t>
      </w:r>
      <w:r w:rsidR="000754F1">
        <w:rPr>
          <w:b/>
        </w:rPr>
        <w:t>MoLPSHRD</w:t>
      </w:r>
      <w:r w:rsidRPr="00B513F4">
        <w:rPr>
          <w:b/>
        </w:rPr>
        <w:t xml:space="preserve"> developed two strategy documents</w:t>
      </w:r>
      <w:r w:rsidRPr="00B513F4">
        <w:t xml:space="preserve">, </w:t>
      </w:r>
      <w:r w:rsidRPr="00B513F4">
        <w:rPr>
          <w:b/>
        </w:rPr>
        <w:t>(</w:t>
      </w:r>
      <w:r>
        <w:rPr>
          <w:b/>
        </w:rPr>
        <w:t>a</w:t>
      </w:r>
      <w:r w:rsidRPr="00B513F4">
        <w:rPr>
          <w:b/>
        </w:rPr>
        <w:t>) a Strategic Plan 2012</w:t>
      </w:r>
      <w:r>
        <w:rPr>
          <w:b/>
        </w:rPr>
        <w:t>–</w:t>
      </w:r>
      <w:r w:rsidRPr="00B513F4">
        <w:rPr>
          <w:b/>
        </w:rPr>
        <w:t>2016</w:t>
      </w:r>
      <w:r w:rsidR="00FD1D4C">
        <w:rPr>
          <w:b/>
        </w:rPr>
        <w:t xml:space="preserve">, </w:t>
      </w:r>
      <w:r w:rsidRPr="00B513F4">
        <w:rPr>
          <w:b/>
        </w:rPr>
        <w:t>and (</w:t>
      </w:r>
      <w:r>
        <w:rPr>
          <w:b/>
        </w:rPr>
        <w:t>b</w:t>
      </w:r>
      <w:r w:rsidRPr="00B513F4">
        <w:rPr>
          <w:b/>
        </w:rPr>
        <w:t>) a Medium Term Capacity Development Strategy for 2011</w:t>
      </w:r>
      <w:r>
        <w:rPr>
          <w:b/>
        </w:rPr>
        <w:t>–</w:t>
      </w:r>
      <w:r w:rsidRPr="00B513F4">
        <w:rPr>
          <w:b/>
        </w:rPr>
        <w:t>2013</w:t>
      </w:r>
      <w:r w:rsidRPr="00FD1D4C">
        <w:rPr>
          <w:b/>
        </w:rPr>
        <w:t>.</w:t>
      </w:r>
      <w:r w:rsidRPr="00B513F4">
        <w:t xml:space="preserve"> The strategic plan was anchored in the South Sudan Vision 2040, likewise developed in 2011</w:t>
      </w:r>
      <w:r>
        <w:t>–20</w:t>
      </w:r>
      <w:r w:rsidRPr="00B513F4">
        <w:t>12, and the 2011</w:t>
      </w:r>
      <w:r>
        <w:t>–</w:t>
      </w:r>
      <w:r w:rsidRPr="00B513F4">
        <w:t xml:space="preserve">2013 South Sudan Development Plan. As the three overarching goals, the ministry set out: </w:t>
      </w:r>
    </w:p>
    <w:p w14:paraId="3AD5C60A" w14:textId="3BE0DD91" w:rsidR="00F97AAF" w:rsidRPr="00B513F4" w:rsidRDefault="00F97AAF" w:rsidP="00F97AAF">
      <w:pPr>
        <w:pStyle w:val="ListParagraph"/>
        <w:numPr>
          <w:ilvl w:val="0"/>
          <w:numId w:val="36"/>
        </w:numPr>
        <w:autoSpaceDE w:val="0"/>
        <w:autoSpaceDN w:val="0"/>
        <w:adjustRightInd w:val="0"/>
        <w:ind w:left="720"/>
        <w:contextualSpacing w:val="0"/>
      </w:pPr>
      <w:r w:rsidRPr="00B513F4">
        <w:t xml:space="preserve">A competent, committed and accountable </w:t>
      </w:r>
      <w:r>
        <w:t>p</w:t>
      </w:r>
      <w:r w:rsidRPr="00B513F4">
        <w:t xml:space="preserve">ublic </w:t>
      </w:r>
      <w:r>
        <w:t>s</w:t>
      </w:r>
      <w:r w:rsidRPr="00B513F4">
        <w:t>ervice</w:t>
      </w:r>
    </w:p>
    <w:p w14:paraId="361B4A3F" w14:textId="77777777" w:rsidR="00F97AAF" w:rsidRPr="00B513F4" w:rsidRDefault="00F97AAF" w:rsidP="00F97AAF">
      <w:pPr>
        <w:pStyle w:val="ListParagraph"/>
        <w:numPr>
          <w:ilvl w:val="0"/>
          <w:numId w:val="36"/>
        </w:numPr>
        <w:autoSpaceDE w:val="0"/>
        <w:autoSpaceDN w:val="0"/>
        <w:adjustRightInd w:val="0"/>
        <w:ind w:left="720"/>
        <w:contextualSpacing w:val="0"/>
      </w:pPr>
      <w:r w:rsidRPr="00B513F4">
        <w:t>A public service with high standards of administration and management that enhance</w:t>
      </w:r>
      <w:r>
        <w:t>s</w:t>
      </w:r>
      <w:r w:rsidRPr="00B513F4">
        <w:t xml:space="preserve"> quality</w:t>
      </w:r>
    </w:p>
    <w:p w14:paraId="4FFC19D8" w14:textId="77777777" w:rsidR="00F97AAF" w:rsidRPr="00B513F4" w:rsidRDefault="00F97AAF" w:rsidP="00F97AAF">
      <w:pPr>
        <w:pStyle w:val="ListParagraph"/>
        <w:numPr>
          <w:ilvl w:val="0"/>
          <w:numId w:val="36"/>
        </w:numPr>
        <w:autoSpaceDE w:val="0"/>
        <w:autoSpaceDN w:val="0"/>
        <w:adjustRightInd w:val="0"/>
        <w:ind w:left="720"/>
        <w:contextualSpacing w:val="0"/>
      </w:pPr>
      <w:r w:rsidRPr="00B513F4">
        <w:t>service delivery</w:t>
      </w:r>
    </w:p>
    <w:p w14:paraId="15784DD6" w14:textId="77777777" w:rsidR="00F97AAF" w:rsidRPr="00B513F4" w:rsidRDefault="00F97AAF" w:rsidP="00F97AAF">
      <w:pPr>
        <w:pStyle w:val="ListParagraph"/>
        <w:numPr>
          <w:ilvl w:val="0"/>
          <w:numId w:val="36"/>
        </w:numPr>
        <w:autoSpaceDE w:val="0"/>
        <w:autoSpaceDN w:val="0"/>
        <w:adjustRightInd w:val="0"/>
        <w:ind w:left="720"/>
        <w:contextualSpacing w:val="0"/>
      </w:pPr>
      <w:r w:rsidRPr="00B513F4">
        <w:t>Decent and productive work environment that promotes social justice, inclusion, skills development, human dignity</w:t>
      </w:r>
      <w:r>
        <w:t>,</w:t>
      </w:r>
      <w:r w:rsidRPr="00B513F4">
        <w:t xml:space="preserve"> and employment creation</w:t>
      </w:r>
    </w:p>
    <w:p w14:paraId="434EC077" w14:textId="4B56F47C" w:rsidR="00F97AAF" w:rsidRPr="00B513F4" w:rsidRDefault="00F97AAF" w:rsidP="00F97AAF">
      <w:pPr>
        <w:jc w:val="both"/>
      </w:pPr>
      <w:r w:rsidRPr="00B513F4">
        <w:t xml:space="preserve">With regard to public service development specifically, the </w:t>
      </w:r>
      <w:r w:rsidR="000754F1">
        <w:t>MoLPSHRD</w:t>
      </w:r>
      <w:r w:rsidRPr="00B513F4">
        <w:t xml:space="preserve"> set out 17 specific goals, seeking to assert its authority over how public servants would be managed at least at the national level.</w:t>
      </w:r>
    </w:p>
    <w:p w14:paraId="3F3A7823" w14:textId="69AECADE" w:rsidR="00F97AAF" w:rsidRPr="00A13B52" w:rsidRDefault="00F97AAF" w:rsidP="00F97AAF">
      <w:pPr>
        <w:pStyle w:val="ListParagraph"/>
        <w:numPr>
          <w:ilvl w:val="0"/>
          <w:numId w:val="38"/>
        </w:numPr>
        <w:autoSpaceDE w:val="0"/>
        <w:autoSpaceDN w:val="0"/>
        <w:adjustRightInd w:val="0"/>
        <w:ind w:left="720" w:hanging="360"/>
        <w:contextualSpacing w:val="0"/>
        <w:rPr>
          <w:rFonts w:cs="Helvetica"/>
          <w:color w:val="000000"/>
          <w:szCs w:val="20"/>
        </w:rPr>
      </w:pPr>
      <w:r w:rsidRPr="00A13B52">
        <w:rPr>
          <w:rFonts w:cs="Helvetica"/>
          <w:color w:val="000000"/>
          <w:szCs w:val="20"/>
        </w:rPr>
        <w:t xml:space="preserve">Determining, in collaboration with relevant </w:t>
      </w:r>
      <w:r>
        <w:rPr>
          <w:rFonts w:cs="Helvetica"/>
          <w:color w:val="000000"/>
          <w:szCs w:val="20"/>
        </w:rPr>
        <w:t>g</w:t>
      </w:r>
      <w:r w:rsidRPr="00A13B52">
        <w:rPr>
          <w:rFonts w:cs="Helvetica"/>
          <w:color w:val="000000"/>
          <w:szCs w:val="20"/>
        </w:rPr>
        <w:t xml:space="preserve">overnment </w:t>
      </w:r>
      <w:r>
        <w:rPr>
          <w:rFonts w:cs="Helvetica"/>
          <w:color w:val="000000"/>
          <w:szCs w:val="20"/>
        </w:rPr>
        <w:t>m</w:t>
      </w:r>
      <w:r w:rsidRPr="00A13B52">
        <w:rPr>
          <w:rFonts w:cs="Helvetica"/>
          <w:color w:val="000000"/>
          <w:szCs w:val="20"/>
        </w:rPr>
        <w:t xml:space="preserve">inistries and </w:t>
      </w:r>
      <w:r>
        <w:rPr>
          <w:rFonts w:cs="Helvetica"/>
          <w:color w:val="000000"/>
          <w:szCs w:val="20"/>
        </w:rPr>
        <w:t>i</w:t>
      </w:r>
      <w:r w:rsidRPr="00A13B52">
        <w:rPr>
          <w:rFonts w:cs="Helvetica"/>
          <w:color w:val="000000"/>
          <w:szCs w:val="20"/>
        </w:rPr>
        <w:t>nstitutions, organizational and structural changes needed to improve the efficiency, effectiveness</w:t>
      </w:r>
      <w:r>
        <w:rPr>
          <w:rFonts w:cs="Helvetica"/>
          <w:color w:val="000000"/>
          <w:szCs w:val="20"/>
        </w:rPr>
        <w:t>,</w:t>
      </w:r>
      <w:r w:rsidRPr="00A13B52">
        <w:rPr>
          <w:rFonts w:cs="Helvetica"/>
          <w:color w:val="000000"/>
          <w:szCs w:val="20"/>
        </w:rPr>
        <w:t xml:space="preserve"> and affordability of the </w:t>
      </w:r>
      <w:r>
        <w:rPr>
          <w:rFonts w:cs="Helvetica"/>
          <w:color w:val="000000"/>
          <w:szCs w:val="20"/>
        </w:rPr>
        <w:t>p</w:t>
      </w:r>
      <w:r w:rsidRPr="00A13B52">
        <w:rPr>
          <w:rFonts w:cs="Helvetica"/>
          <w:color w:val="000000"/>
          <w:szCs w:val="20"/>
        </w:rPr>
        <w:t xml:space="preserve">ublic </w:t>
      </w:r>
      <w:r>
        <w:rPr>
          <w:rFonts w:cs="Helvetica"/>
          <w:color w:val="000000"/>
          <w:szCs w:val="20"/>
        </w:rPr>
        <w:t>s</w:t>
      </w:r>
      <w:r w:rsidRPr="00A13B52">
        <w:rPr>
          <w:rFonts w:cs="Helvetica"/>
          <w:color w:val="000000"/>
          <w:szCs w:val="20"/>
        </w:rPr>
        <w:t xml:space="preserve">ervice. </w:t>
      </w:r>
    </w:p>
    <w:p w14:paraId="411FA790" w14:textId="71A99697" w:rsidR="00F97AAF" w:rsidRPr="00A13B52" w:rsidRDefault="00F97AAF" w:rsidP="00F97AAF">
      <w:pPr>
        <w:pStyle w:val="ListParagraph"/>
        <w:numPr>
          <w:ilvl w:val="0"/>
          <w:numId w:val="38"/>
        </w:numPr>
        <w:autoSpaceDE w:val="0"/>
        <w:autoSpaceDN w:val="0"/>
        <w:adjustRightInd w:val="0"/>
        <w:ind w:left="720" w:hanging="360"/>
        <w:contextualSpacing w:val="0"/>
        <w:rPr>
          <w:rFonts w:cs="Helvetica"/>
          <w:color w:val="000000"/>
          <w:szCs w:val="20"/>
        </w:rPr>
      </w:pPr>
      <w:r w:rsidRPr="00A13B52">
        <w:rPr>
          <w:rFonts w:cs="Helvetica"/>
          <w:color w:val="000000"/>
          <w:szCs w:val="20"/>
        </w:rPr>
        <w:t>Initiating, developing, implementing</w:t>
      </w:r>
      <w:r>
        <w:rPr>
          <w:rFonts w:cs="Helvetica"/>
          <w:color w:val="000000"/>
          <w:szCs w:val="20"/>
        </w:rPr>
        <w:t>,</w:t>
      </w:r>
      <w:r w:rsidRPr="00A13B52">
        <w:rPr>
          <w:rFonts w:cs="Helvetica"/>
          <w:color w:val="000000"/>
          <w:szCs w:val="20"/>
        </w:rPr>
        <w:t xml:space="preserve"> and reviewing of civil service reform progra</w:t>
      </w:r>
      <w:r>
        <w:rPr>
          <w:rFonts w:cs="Helvetica"/>
          <w:color w:val="000000"/>
          <w:szCs w:val="20"/>
        </w:rPr>
        <w:t>ms</w:t>
      </w:r>
      <w:r w:rsidRPr="00A13B52">
        <w:rPr>
          <w:rFonts w:cs="Helvetica"/>
          <w:color w:val="000000"/>
          <w:szCs w:val="20"/>
        </w:rPr>
        <w:t xml:space="preserve"> in the Republic of South Sudan public service institutions.</w:t>
      </w:r>
    </w:p>
    <w:p w14:paraId="766C18C6" w14:textId="3627177E" w:rsidR="00F97AAF" w:rsidRPr="00A13B52" w:rsidRDefault="00F97AAF" w:rsidP="00F97AAF">
      <w:pPr>
        <w:pStyle w:val="ListParagraph"/>
        <w:numPr>
          <w:ilvl w:val="0"/>
          <w:numId w:val="38"/>
        </w:numPr>
        <w:autoSpaceDE w:val="0"/>
        <w:autoSpaceDN w:val="0"/>
        <w:adjustRightInd w:val="0"/>
        <w:ind w:left="720" w:hanging="360"/>
        <w:contextualSpacing w:val="0"/>
        <w:rPr>
          <w:rFonts w:cs="Helvetica"/>
          <w:color w:val="000000"/>
          <w:szCs w:val="20"/>
        </w:rPr>
      </w:pPr>
      <w:r w:rsidRPr="00A13B52">
        <w:rPr>
          <w:rFonts w:cs="Helvetica"/>
          <w:color w:val="000000"/>
          <w:szCs w:val="20"/>
        </w:rPr>
        <w:t>Undertaking and overseeing the appointment, conditions of service, promotions, discipline</w:t>
      </w:r>
      <w:r>
        <w:rPr>
          <w:rFonts w:cs="Helvetica"/>
          <w:color w:val="000000"/>
          <w:szCs w:val="20"/>
        </w:rPr>
        <w:t>,</w:t>
      </w:r>
      <w:r w:rsidRPr="00A13B52">
        <w:rPr>
          <w:rFonts w:cs="Helvetica"/>
          <w:color w:val="000000"/>
          <w:szCs w:val="20"/>
        </w:rPr>
        <w:t xml:space="preserve"> and termination of </w:t>
      </w:r>
      <w:r>
        <w:rPr>
          <w:rFonts w:cs="Helvetica"/>
          <w:color w:val="000000"/>
          <w:szCs w:val="20"/>
        </w:rPr>
        <w:t>s</w:t>
      </w:r>
      <w:r w:rsidRPr="00A13B52">
        <w:rPr>
          <w:rFonts w:cs="Helvetica"/>
          <w:color w:val="000000"/>
          <w:szCs w:val="20"/>
        </w:rPr>
        <w:t xml:space="preserve">ervice </w:t>
      </w:r>
      <w:r>
        <w:rPr>
          <w:rFonts w:cs="Helvetica"/>
          <w:color w:val="000000"/>
          <w:szCs w:val="20"/>
        </w:rPr>
        <w:t>p</w:t>
      </w:r>
      <w:r w:rsidRPr="00A13B52">
        <w:rPr>
          <w:rFonts w:cs="Helvetica"/>
          <w:color w:val="000000"/>
          <w:szCs w:val="20"/>
        </w:rPr>
        <w:t xml:space="preserve">ersonnel of the </w:t>
      </w:r>
      <w:r>
        <w:rPr>
          <w:rFonts w:cs="Helvetica"/>
          <w:color w:val="000000"/>
          <w:szCs w:val="20"/>
        </w:rPr>
        <w:t>n</w:t>
      </w:r>
      <w:r w:rsidRPr="00A13B52">
        <w:rPr>
          <w:rFonts w:cs="Helvetica"/>
          <w:color w:val="000000"/>
          <w:szCs w:val="20"/>
        </w:rPr>
        <w:t xml:space="preserve">ational </w:t>
      </w:r>
      <w:r>
        <w:rPr>
          <w:rFonts w:cs="Helvetica"/>
          <w:color w:val="000000"/>
          <w:szCs w:val="20"/>
        </w:rPr>
        <w:t>g</w:t>
      </w:r>
      <w:r w:rsidRPr="00A13B52">
        <w:rPr>
          <w:rFonts w:cs="Helvetica"/>
          <w:color w:val="000000"/>
          <w:szCs w:val="20"/>
        </w:rPr>
        <w:t>overnment.</w:t>
      </w:r>
    </w:p>
    <w:p w14:paraId="2BFF5F7D" w14:textId="27A396E2" w:rsidR="00F97AAF" w:rsidRPr="00A13B52" w:rsidRDefault="00F97AAF" w:rsidP="00F97AAF">
      <w:pPr>
        <w:pStyle w:val="ListParagraph"/>
        <w:numPr>
          <w:ilvl w:val="0"/>
          <w:numId w:val="38"/>
        </w:numPr>
        <w:autoSpaceDE w:val="0"/>
        <w:autoSpaceDN w:val="0"/>
        <w:adjustRightInd w:val="0"/>
        <w:ind w:left="720" w:hanging="360"/>
        <w:contextualSpacing w:val="0"/>
        <w:rPr>
          <w:rFonts w:cs="Helvetica"/>
          <w:color w:val="000000"/>
          <w:szCs w:val="20"/>
        </w:rPr>
      </w:pPr>
      <w:r w:rsidRPr="00A13B52">
        <w:rPr>
          <w:rFonts w:cs="Helvetica"/>
          <w:color w:val="000000"/>
          <w:szCs w:val="20"/>
        </w:rPr>
        <w:t xml:space="preserve">Creating and maintaining a human resource database of the </w:t>
      </w:r>
      <w:r>
        <w:rPr>
          <w:rFonts w:cs="Helvetica"/>
          <w:color w:val="000000"/>
          <w:szCs w:val="20"/>
        </w:rPr>
        <w:t>n</w:t>
      </w:r>
      <w:r w:rsidRPr="00A13B52">
        <w:rPr>
          <w:rFonts w:cs="Helvetica"/>
          <w:color w:val="000000"/>
          <w:szCs w:val="20"/>
        </w:rPr>
        <w:t xml:space="preserve">ational </w:t>
      </w:r>
      <w:r>
        <w:rPr>
          <w:rFonts w:cs="Helvetica"/>
          <w:color w:val="000000"/>
          <w:szCs w:val="20"/>
        </w:rPr>
        <w:t>g</w:t>
      </w:r>
      <w:r w:rsidRPr="00A13B52">
        <w:rPr>
          <w:rFonts w:cs="Helvetica"/>
          <w:color w:val="000000"/>
          <w:szCs w:val="20"/>
        </w:rPr>
        <w:t xml:space="preserve">overnment </w:t>
      </w:r>
      <w:r>
        <w:rPr>
          <w:rFonts w:cs="Helvetica"/>
          <w:color w:val="000000"/>
          <w:szCs w:val="20"/>
        </w:rPr>
        <w:t>p</w:t>
      </w:r>
      <w:r w:rsidRPr="00A13B52">
        <w:rPr>
          <w:rFonts w:cs="Helvetica"/>
          <w:color w:val="000000"/>
          <w:szCs w:val="20"/>
        </w:rPr>
        <w:t xml:space="preserve">ublic </w:t>
      </w:r>
      <w:r>
        <w:rPr>
          <w:rFonts w:cs="Helvetica"/>
          <w:color w:val="000000"/>
          <w:szCs w:val="20"/>
        </w:rPr>
        <w:t>s</w:t>
      </w:r>
      <w:r w:rsidRPr="00A13B52">
        <w:rPr>
          <w:rFonts w:cs="Helvetica"/>
          <w:color w:val="000000"/>
          <w:szCs w:val="20"/>
        </w:rPr>
        <w:t>ervice.</w:t>
      </w:r>
    </w:p>
    <w:p w14:paraId="7EFF061D" w14:textId="0E3C0E5E" w:rsidR="00F97AAF" w:rsidRPr="00A13B52" w:rsidRDefault="00F97AAF" w:rsidP="00F97AAF">
      <w:pPr>
        <w:pStyle w:val="ListParagraph"/>
        <w:numPr>
          <w:ilvl w:val="0"/>
          <w:numId w:val="38"/>
        </w:numPr>
        <w:autoSpaceDE w:val="0"/>
        <w:autoSpaceDN w:val="0"/>
        <w:adjustRightInd w:val="0"/>
        <w:ind w:left="720" w:hanging="360"/>
        <w:contextualSpacing w:val="0"/>
        <w:rPr>
          <w:rFonts w:cs="Helvetica"/>
          <w:color w:val="000000"/>
          <w:szCs w:val="20"/>
        </w:rPr>
      </w:pPr>
      <w:r w:rsidRPr="00A13B52">
        <w:rPr>
          <w:rFonts w:cs="Helvetica"/>
          <w:color w:val="000000"/>
          <w:szCs w:val="20"/>
        </w:rPr>
        <w:t xml:space="preserve">Developing and managing the Republic of South Sudan </w:t>
      </w:r>
      <w:r>
        <w:rPr>
          <w:rFonts w:cs="Helvetica"/>
          <w:color w:val="000000"/>
          <w:szCs w:val="20"/>
        </w:rPr>
        <w:t>p</w:t>
      </w:r>
      <w:r w:rsidRPr="00A13B52">
        <w:rPr>
          <w:rFonts w:cs="Helvetica"/>
          <w:color w:val="000000"/>
          <w:szCs w:val="20"/>
        </w:rPr>
        <w:t xml:space="preserve">ublic </w:t>
      </w:r>
      <w:r>
        <w:rPr>
          <w:rFonts w:cs="Helvetica"/>
          <w:color w:val="000000"/>
          <w:szCs w:val="20"/>
        </w:rPr>
        <w:t>s</w:t>
      </w:r>
      <w:r w:rsidRPr="00A13B52">
        <w:rPr>
          <w:rFonts w:cs="Helvetica"/>
          <w:color w:val="000000"/>
          <w:szCs w:val="20"/>
        </w:rPr>
        <w:t xml:space="preserve">ervice </w:t>
      </w:r>
      <w:r>
        <w:rPr>
          <w:rFonts w:cs="Helvetica"/>
          <w:color w:val="000000"/>
          <w:szCs w:val="20"/>
        </w:rPr>
        <w:t>p</w:t>
      </w:r>
      <w:r w:rsidRPr="00A13B52">
        <w:rPr>
          <w:rFonts w:cs="Helvetica"/>
          <w:color w:val="000000"/>
          <w:szCs w:val="20"/>
        </w:rPr>
        <w:t>ayroll.</w:t>
      </w:r>
    </w:p>
    <w:p w14:paraId="189A8039" w14:textId="77777777" w:rsidR="00F97AAF" w:rsidRPr="00A13B52" w:rsidRDefault="00F97AAF" w:rsidP="00F97AAF">
      <w:pPr>
        <w:pStyle w:val="ListParagraph"/>
        <w:numPr>
          <w:ilvl w:val="0"/>
          <w:numId w:val="38"/>
        </w:numPr>
        <w:autoSpaceDE w:val="0"/>
        <w:autoSpaceDN w:val="0"/>
        <w:adjustRightInd w:val="0"/>
        <w:ind w:left="720" w:hanging="360"/>
        <w:contextualSpacing w:val="0"/>
        <w:rPr>
          <w:rFonts w:cs="Helvetica"/>
          <w:color w:val="000000"/>
          <w:szCs w:val="20"/>
        </w:rPr>
      </w:pPr>
      <w:r w:rsidRPr="00A13B52">
        <w:rPr>
          <w:rFonts w:cs="Helvetica"/>
          <w:color w:val="000000"/>
          <w:szCs w:val="20"/>
        </w:rPr>
        <w:t>Developing policy and standard practices for records management in the public service.</w:t>
      </w:r>
    </w:p>
    <w:p w14:paraId="7A35BD95" w14:textId="493934F5" w:rsidR="00F97AAF" w:rsidRPr="00A13B52" w:rsidRDefault="00F97AAF" w:rsidP="00F97AAF">
      <w:pPr>
        <w:pStyle w:val="ListParagraph"/>
        <w:numPr>
          <w:ilvl w:val="0"/>
          <w:numId w:val="38"/>
        </w:numPr>
        <w:autoSpaceDE w:val="0"/>
        <w:autoSpaceDN w:val="0"/>
        <w:adjustRightInd w:val="0"/>
        <w:ind w:left="720" w:hanging="360"/>
        <w:contextualSpacing w:val="0"/>
        <w:rPr>
          <w:rFonts w:cs="Helvetica"/>
          <w:color w:val="000000"/>
          <w:szCs w:val="20"/>
        </w:rPr>
      </w:pPr>
      <w:r w:rsidRPr="00A13B52">
        <w:rPr>
          <w:rFonts w:cs="Helvetica"/>
          <w:color w:val="000000"/>
          <w:szCs w:val="20"/>
        </w:rPr>
        <w:lastRenderedPageBreak/>
        <w:t>Initiating the formulation, review</w:t>
      </w:r>
      <w:r>
        <w:rPr>
          <w:rFonts w:cs="Helvetica"/>
          <w:color w:val="000000"/>
          <w:szCs w:val="20"/>
        </w:rPr>
        <w:t>,</w:t>
      </w:r>
      <w:r w:rsidRPr="00A13B52">
        <w:rPr>
          <w:rFonts w:cs="Helvetica"/>
          <w:color w:val="000000"/>
          <w:szCs w:val="20"/>
        </w:rPr>
        <w:t xml:space="preserve"> and implementation of </w:t>
      </w:r>
      <w:r>
        <w:rPr>
          <w:rFonts w:cs="Helvetica"/>
          <w:color w:val="000000"/>
          <w:szCs w:val="20"/>
        </w:rPr>
        <w:t>n</w:t>
      </w:r>
      <w:r w:rsidRPr="00A13B52">
        <w:rPr>
          <w:rFonts w:cs="Helvetica"/>
          <w:color w:val="000000"/>
          <w:szCs w:val="20"/>
        </w:rPr>
        <w:t xml:space="preserve">ational </w:t>
      </w:r>
      <w:r>
        <w:rPr>
          <w:rFonts w:cs="Helvetica"/>
          <w:color w:val="000000"/>
          <w:szCs w:val="20"/>
        </w:rPr>
        <w:t>g</w:t>
      </w:r>
      <w:r w:rsidRPr="00A13B52">
        <w:rPr>
          <w:rFonts w:cs="Helvetica"/>
          <w:color w:val="000000"/>
          <w:szCs w:val="20"/>
        </w:rPr>
        <w:t xml:space="preserve">overnment </w:t>
      </w:r>
      <w:r>
        <w:rPr>
          <w:rFonts w:cs="Helvetica"/>
          <w:color w:val="000000"/>
          <w:szCs w:val="20"/>
        </w:rPr>
        <w:t>p</w:t>
      </w:r>
      <w:r w:rsidRPr="00A13B52">
        <w:rPr>
          <w:rFonts w:cs="Helvetica"/>
          <w:color w:val="000000"/>
          <w:szCs w:val="20"/>
        </w:rPr>
        <w:t xml:space="preserve">ublic </w:t>
      </w:r>
      <w:r>
        <w:rPr>
          <w:rFonts w:cs="Helvetica"/>
          <w:color w:val="000000"/>
          <w:szCs w:val="20"/>
        </w:rPr>
        <w:t>s</w:t>
      </w:r>
      <w:r w:rsidRPr="00A13B52">
        <w:rPr>
          <w:rFonts w:cs="Helvetica"/>
          <w:color w:val="000000"/>
          <w:szCs w:val="20"/>
        </w:rPr>
        <w:t xml:space="preserve">ervice and </w:t>
      </w:r>
      <w:r>
        <w:rPr>
          <w:rFonts w:cs="Helvetica"/>
          <w:color w:val="000000"/>
          <w:szCs w:val="20"/>
        </w:rPr>
        <w:t>p</w:t>
      </w:r>
      <w:r w:rsidRPr="00A13B52">
        <w:rPr>
          <w:rFonts w:cs="Helvetica"/>
          <w:color w:val="000000"/>
          <w:szCs w:val="20"/>
        </w:rPr>
        <w:t xml:space="preserve">ension </w:t>
      </w:r>
      <w:r>
        <w:rPr>
          <w:rFonts w:cs="Helvetica"/>
          <w:color w:val="000000"/>
          <w:szCs w:val="20"/>
        </w:rPr>
        <w:t>l</w:t>
      </w:r>
      <w:r w:rsidRPr="00A13B52">
        <w:rPr>
          <w:rFonts w:cs="Helvetica"/>
          <w:color w:val="000000"/>
          <w:szCs w:val="20"/>
        </w:rPr>
        <w:t xml:space="preserve">aws and </w:t>
      </w:r>
      <w:r>
        <w:rPr>
          <w:rFonts w:cs="Helvetica"/>
          <w:color w:val="000000"/>
          <w:szCs w:val="20"/>
        </w:rPr>
        <w:t>r</w:t>
      </w:r>
      <w:r w:rsidRPr="00A13B52">
        <w:rPr>
          <w:rFonts w:cs="Helvetica"/>
          <w:color w:val="000000"/>
          <w:szCs w:val="20"/>
        </w:rPr>
        <w:t>egulations.</w:t>
      </w:r>
    </w:p>
    <w:p w14:paraId="7AB6E3C7" w14:textId="4CA7C634" w:rsidR="00F97AAF" w:rsidRPr="00A13B52" w:rsidRDefault="00F97AAF" w:rsidP="00F97AAF">
      <w:pPr>
        <w:pStyle w:val="ListParagraph"/>
        <w:numPr>
          <w:ilvl w:val="0"/>
          <w:numId w:val="38"/>
        </w:numPr>
        <w:autoSpaceDE w:val="0"/>
        <w:autoSpaceDN w:val="0"/>
        <w:adjustRightInd w:val="0"/>
        <w:ind w:left="720" w:hanging="360"/>
        <w:contextualSpacing w:val="0"/>
        <w:rPr>
          <w:rFonts w:cs="Helvetica"/>
          <w:color w:val="000000"/>
          <w:szCs w:val="20"/>
        </w:rPr>
      </w:pPr>
      <w:r w:rsidRPr="00A13B52">
        <w:rPr>
          <w:rFonts w:cs="Helvetica"/>
          <w:color w:val="000000"/>
          <w:szCs w:val="20"/>
        </w:rPr>
        <w:t xml:space="preserve">Exercising oversight responsibility over the management of the </w:t>
      </w:r>
      <w:r>
        <w:rPr>
          <w:rFonts w:cs="Helvetica"/>
          <w:color w:val="000000"/>
          <w:szCs w:val="20"/>
        </w:rPr>
        <w:t>p</w:t>
      </w:r>
      <w:r w:rsidRPr="00A13B52">
        <w:rPr>
          <w:rFonts w:cs="Helvetica"/>
          <w:color w:val="000000"/>
          <w:szCs w:val="20"/>
        </w:rPr>
        <w:t xml:space="preserve">ublic </w:t>
      </w:r>
      <w:r>
        <w:rPr>
          <w:rFonts w:cs="Helvetica"/>
          <w:color w:val="000000"/>
          <w:szCs w:val="20"/>
        </w:rPr>
        <w:t>s</w:t>
      </w:r>
      <w:r w:rsidRPr="00A13B52">
        <w:rPr>
          <w:rFonts w:cs="Helvetica"/>
          <w:color w:val="000000"/>
          <w:szCs w:val="20"/>
        </w:rPr>
        <w:t xml:space="preserve">ervice </w:t>
      </w:r>
      <w:r>
        <w:rPr>
          <w:rFonts w:cs="Helvetica"/>
          <w:color w:val="000000"/>
          <w:szCs w:val="20"/>
        </w:rPr>
        <w:t>p</w:t>
      </w:r>
      <w:r w:rsidRPr="00A13B52">
        <w:rPr>
          <w:rFonts w:cs="Helvetica"/>
          <w:color w:val="000000"/>
          <w:szCs w:val="20"/>
        </w:rPr>
        <w:t xml:space="preserve">ension </w:t>
      </w:r>
      <w:r>
        <w:rPr>
          <w:rFonts w:cs="Helvetica"/>
          <w:color w:val="000000"/>
          <w:szCs w:val="20"/>
        </w:rPr>
        <w:t>f</w:t>
      </w:r>
      <w:r w:rsidRPr="00A13B52">
        <w:rPr>
          <w:rFonts w:cs="Helvetica"/>
          <w:color w:val="000000"/>
          <w:szCs w:val="20"/>
        </w:rPr>
        <w:t xml:space="preserve">unds and the </w:t>
      </w:r>
      <w:r>
        <w:rPr>
          <w:rFonts w:cs="Helvetica"/>
          <w:color w:val="000000"/>
          <w:szCs w:val="20"/>
        </w:rPr>
        <w:t>s</w:t>
      </w:r>
      <w:r w:rsidRPr="00A13B52">
        <w:rPr>
          <w:rFonts w:cs="Helvetica"/>
          <w:color w:val="000000"/>
          <w:szCs w:val="20"/>
        </w:rPr>
        <w:t xml:space="preserve">ocial </w:t>
      </w:r>
      <w:r>
        <w:rPr>
          <w:rFonts w:cs="Helvetica"/>
          <w:color w:val="000000"/>
          <w:szCs w:val="20"/>
        </w:rPr>
        <w:t>i</w:t>
      </w:r>
      <w:r w:rsidRPr="00A13B52">
        <w:rPr>
          <w:rFonts w:cs="Helvetica"/>
          <w:color w:val="000000"/>
          <w:szCs w:val="20"/>
        </w:rPr>
        <w:t xml:space="preserve">nsurance </w:t>
      </w:r>
      <w:r>
        <w:rPr>
          <w:rFonts w:cs="Helvetica"/>
          <w:color w:val="000000"/>
          <w:szCs w:val="20"/>
        </w:rPr>
        <w:t>s</w:t>
      </w:r>
      <w:r w:rsidRPr="00A13B52">
        <w:rPr>
          <w:rFonts w:cs="Helvetica"/>
          <w:color w:val="000000"/>
          <w:szCs w:val="20"/>
        </w:rPr>
        <w:t>cheme.</w:t>
      </w:r>
    </w:p>
    <w:p w14:paraId="554D43CD" w14:textId="4A15175F" w:rsidR="00F97AAF" w:rsidRPr="00A13B52" w:rsidRDefault="00F97AAF" w:rsidP="00F97AAF">
      <w:pPr>
        <w:pStyle w:val="ListParagraph"/>
        <w:numPr>
          <w:ilvl w:val="0"/>
          <w:numId w:val="38"/>
        </w:numPr>
        <w:autoSpaceDE w:val="0"/>
        <w:autoSpaceDN w:val="0"/>
        <w:adjustRightInd w:val="0"/>
        <w:ind w:left="720" w:hanging="360"/>
        <w:contextualSpacing w:val="0"/>
        <w:rPr>
          <w:rFonts w:cs="Helvetica"/>
          <w:color w:val="000000"/>
          <w:szCs w:val="20"/>
        </w:rPr>
      </w:pPr>
      <w:r w:rsidRPr="00A13B52">
        <w:rPr>
          <w:rFonts w:cs="Helvetica"/>
          <w:color w:val="000000"/>
          <w:szCs w:val="20"/>
        </w:rPr>
        <w:t xml:space="preserve">Ensuring the participation of women in the </w:t>
      </w:r>
      <w:r>
        <w:rPr>
          <w:rFonts w:cs="Helvetica"/>
          <w:color w:val="000000"/>
          <w:szCs w:val="20"/>
        </w:rPr>
        <w:t>p</w:t>
      </w:r>
      <w:r w:rsidRPr="00A13B52">
        <w:rPr>
          <w:rFonts w:cs="Helvetica"/>
          <w:color w:val="000000"/>
          <w:szCs w:val="20"/>
        </w:rPr>
        <w:t xml:space="preserve">ublic </w:t>
      </w:r>
      <w:r>
        <w:rPr>
          <w:rFonts w:cs="Helvetica"/>
          <w:color w:val="000000"/>
          <w:szCs w:val="20"/>
        </w:rPr>
        <w:t>s</w:t>
      </w:r>
      <w:r w:rsidRPr="00A13B52">
        <w:rPr>
          <w:rFonts w:cs="Helvetica"/>
          <w:color w:val="000000"/>
          <w:szCs w:val="20"/>
        </w:rPr>
        <w:t xml:space="preserve">ervice to the mandatory level stipulated in the </w:t>
      </w:r>
      <w:r>
        <w:rPr>
          <w:rFonts w:cs="Helvetica"/>
          <w:color w:val="000000"/>
          <w:szCs w:val="20"/>
        </w:rPr>
        <w:t>t</w:t>
      </w:r>
      <w:r w:rsidRPr="00A13B52">
        <w:rPr>
          <w:rFonts w:cs="Helvetica"/>
          <w:color w:val="000000"/>
          <w:szCs w:val="20"/>
        </w:rPr>
        <w:t xml:space="preserve">ransitional </w:t>
      </w:r>
      <w:r>
        <w:rPr>
          <w:rFonts w:cs="Helvetica"/>
          <w:color w:val="000000"/>
          <w:szCs w:val="20"/>
        </w:rPr>
        <w:t>c</w:t>
      </w:r>
      <w:r w:rsidRPr="00A13B52">
        <w:rPr>
          <w:rFonts w:cs="Helvetica"/>
          <w:color w:val="000000"/>
          <w:szCs w:val="20"/>
        </w:rPr>
        <w:t>onstitution of South Sudan.</w:t>
      </w:r>
    </w:p>
    <w:p w14:paraId="102EE8B7" w14:textId="03772B71" w:rsidR="00F97AAF" w:rsidRPr="00A13B52" w:rsidRDefault="00F97AAF" w:rsidP="00F97AAF">
      <w:pPr>
        <w:pStyle w:val="ListParagraph"/>
        <w:numPr>
          <w:ilvl w:val="0"/>
          <w:numId w:val="38"/>
        </w:numPr>
        <w:autoSpaceDE w:val="0"/>
        <w:autoSpaceDN w:val="0"/>
        <w:adjustRightInd w:val="0"/>
        <w:ind w:left="720" w:hanging="360"/>
        <w:contextualSpacing w:val="0"/>
        <w:rPr>
          <w:rFonts w:cs="Helvetica"/>
          <w:color w:val="000000"/>
          <w:szCs w:val="20"/>
        </w:rPr>
      </w:pPr>
      <w:r w:rsidRPr="00A13B52">
        <w:rPr>
          <w:rFonts w:cs="Helvetica"/>
          <w:color w:val="000000"/>
          <w:szCs w:val="20"/>
        </w:rPr>
        <w:t xml:space="preserve">Providing technical assistance and other support to the </w:t>
      </w:r>
      <w:r>
        <w:rPr>
          <w:rFonts w:cs="Helvetica"/>
          <w:color w:val="000000"/>
          <w:szCs w:val="20"/>
        </w:rPr>
        <w:t>s</w:t>
      </w:r>
      <w:r w:rsidRPr="00A13B52">
        <w:rPr>
          <w:rFonts w:cs="Helvetica"/>
          <w:color w:val="000000"/>
          <w:szCs w:val="20"/>
        </w:rPr>
        <w:t xml:space="preserve">tates and </w:t>
      </w:r>
      <w:r>
        <w:rPr>
          <w:rFonts w:cs="Helvetica"/>
          <w:color w:val="000000"/>
          <w:szCs w:val="20"/>
        </w:rPr>
        <w:t>l</w:t>
      </w:r>
      <w:r w:rsidRPr="00A13B52">
        <w:rPr>
          <w:rFonts w:cs="Helvetica"/>
          <w:color w:val="000000"/>
          <w:szCs w:val="20"/>
        </w:rPr>
        <w:t xml:space="preserve">ocal </w:t>
      </w:r>
      <w:r>
        <w:rPr>
          <w:rFonts w:cs="Helvetica"/>
          <w:color w:val="000000"/>
          <w:szCs w:val="20"/>
        </w:rPr>
        <w:t>g</w:t>
      </w:r>
      <w:r w:rsidRPr="00A13B52">
        <w:rPr>
          <w:rFonts w:cs="Helvetica"/>
          <w:color w:val="000000"/>
          <w:szCs w:val="20"/>
        </w:rPr>
        <w:t xml:space="preserve">overnments to enhance the performance of their </w:t>
      </w:r>
      <w:r>
        <w:rPr>
          <w:rFonts w:cs="Helvetica"/>
          <w:color w:val="000000"/>
          <w:szCs w:val="20"/>
        </w:rPr>
        <w:t>p</w:t>
      </w:r>
      <w:r w:rsidRPr="00A13B52">
        <w:rPr>
          <w:rFonts w:cs="Helvetica"/>
          <w:color w:val="000000"/>
          <w:szCs w:val="20"/>
        </w:rPr>
        <w:t xml:space="preserve">ublic </w:t>
      </w:r>
      <w:r>
        <w:rPr>
          <w:rFonts w:cs="Helvetica"/>
          <w:color w:val="000000"/>
          <w:szCs w:val="20"/>
        </w:rPr>
        <w:t>s</w:t>
      </w:r>
      <w:r w:rsidRPr="00A13B52">
        <w:rPr>
          <w:rFonts w:cs="Helvetica"/>
          <w:color w:val="000000"/>
          <w:szCs w:val="20"/>
        </w:rPr>
        <w:t>ervices.</w:t>
      </w:r>
    </w:p>
    <w:p w14:paraId="72A274C4" w14:textId="395AB14A" w:rsidR="00F97AAF" w:rsidRPr="00A13B52" w:rsidRDefault="00F97AAF" w:rsidP="00F97AAF">
      <w:pPr>
        <w:pStyle w:val="ListParagraph"/>
        <w:numPr>
          <w:ilvl w:val="0"/>
          <w:numId w:val="38"/>
        </w:numPr>
        <w:autoSpaceDE w:val="0"/>
        <w:autoSpaceDN w:val="0"/>
        <w:adjustRightInd w:val="0"/>
        <w:ind w:left="720" w:hanging="360"/>
        <w:contextualSpacing w:val="0"/>
        <w:rPr>
          <w:rFonts w:cs="Helvetica"/>
          <w:color w:val="000000"/>
          <w:szCs w:val="20"/>
        </w:rPr>
      </w:pPr>
      <w:r w:rsidRPr="00A13B52">
        <w:rPr>
          <w:rFonts w:cs="Helvetica"/>
          <w:color w:val="000000"/>
          <w:szCs w:val="20"/>
        </w:rPr>
        <w:t>Preparing and approving the proposed personnel budgets (works pay, salaries</w:t>
      </w:r>
      <w:r>
        <w:rPr>
          <w:rFonts w:cs="Helvetica"/>
          <w:color w:val="000000"/>
          <w:szCs w:val="20"/>
        </w:rPr>
        <w:t>,</w:t>
      </w:r>
      <w:r w:rsidRPr="00A13B52">
        <w:rPr>
          <w:rFonts w:cs="Helvetica"/>
          <w:color w:val="000000"/>
          <w:szCs w:val="20"/>
        </w:rPr>
        <w:t xml:space="preserve"> and allowances) of all </w:t>
      </w:r>
      <w:r>
        <w:rPr>
          <w:rFonts w:cs="Helvetica"/>
          <w:color w:val="000000"/>
          <w:szCs w:val="20"/>
        </w:rPr>
        <w:t>m</w:t>
      </w:r>
      <w:r w:rsidRPr="00A13B52">
        <w:rPr>
          <w:rFonts w:cs="Helvetica"/>
          <w:color w:val="000000"/>
          <w:szCs w:val="20"/>
        </w:rPr>
        <w:t xml:space="preserve">inistries and public institutions of the </w:t>
      </w:r>
      <w:r w:rsidR="00FD1D4C">
        <w:rPr>
          <w:rFonts w:cs="Helvetica"/>
          <w:color w:val="000000"/>
          <w:szCs w:val="20"/>
        </w:rPr>
        <w:t>GoSS</w:t>
      </w:r>
      <w:r w:rsidRPr="00A13B52">
        <w:rPr>
          <w:rFonts w:cs="Helvetica"/>
          <w:color w:val="000000"/>
          <w:szCs w:val="20"/>
        </w:rPr>
        <w:t>.</w:t>
      </w:r>
    </w:p>
    <w:p w14:paraId="5D667D8F" w14:textId="77777777" w:rsidR="00F97AAF" w:rsidRPr="00A13B52" w:rsidRDefault="00F97AAF" w:rsidP="00F97AAF">
      <w:pPr>
        <w:pStyle w:val="ListParagraph"/>
        <w:numPr>
          <w:ilvl w:val="0"/>
          <w:numId w:val="38"/>
        </w:numPr>
        <w:autoSpaceDE w:val="0"/>
        <w:autoSpaceDN w:val="0"/>
        <w:adjustRightInd w:val="0"/>
        <w:ind w:left="720" w:hanging="360"/>
        <w:contextualSpacing w:val="0"/>
        <w:rPr>
          <w:rFonts w:cs="Helvetica"/>
          <w:color w:val="000000"/>
          <w:szCs w:val="20"/>
        </w:rPr>
      </w:pPr>
      <w:r w:rsidRPr="00A13B52">
        <w:rPr>
          <w:rFonts w:cs="Helvetica"/>
          <w:color w:val="000000"/>
          <w:szCs w:val="20"/>
        </w:rPr>
        <w:t>Developing and executing a human resource development strategy for the South Sudan public service.</w:t>
      </w:r>
    </w:p>
    <w:p w14:paraId="3FEBC89E" w14:textId="491E3F94" w:rsidR="00F97AAF" w:rsidRPr="00A13B52" w:rsidRDefault="00F97AAF" w:rsidP="00F97AAF">
      <w:pPr>
        <w:pStyle w:val="ListParagraph"/>
        <w:numPr>
          <w:ilvl w:val="0"/>
          <w:numId w:val="38"/>
        </w:numPr>
        <w:autoSpaceDE w:val="0"/>
        <w:autoSpaceDN w:val="0"/>
        <w:adjustRightInd w:val="0"/>
        <w:ind w:left="720" w:hanging="360"/>
        <w:contextualSpacing w:val="0"/>
        <w:rPr>
          <w:rFonts w:cs="Helvetica"/>
          <w:color w:val="000000"/>
          <w:szCs w:val="20"/>
        </w:rPr>
      </w:pPr>
      <w:r w:rsidRPr="00A13B52">
        <w:rPr>
          <w:rFonts w:cs="Helvetica"/>
          <w:color w:val="000000"/>
          <w:szCs w:val="20"/>
        </w:rPr>
        <w:t xml:space="preserve">Conducting training needs assessments in the national public service institutions and developing and executing appropriate interventions through training and capacity development programs. </w:t>
      </w:r>
    </w:p>
    <w:p w14:paraId="537C1DEE" w14:textId="06E0C060" w:rsidR="00F97AAF" w:rsidRPr="00A13B52" w:rsidRDefault="00F97AAF" w:rsidP="00F97AAF">
      <w:pPr>
        <w:pStyle w:val="ListParagraph"/>
        <w:numPr>
          <w:ilvl w:val="0"/>
          <w:numId w:val="38"/>
        </w:numPr>
        <w:autoSpaceDE w:val="0"/>
        <w:autoSpaceDN w:val="0"/>
        <w:adjustRightInd w:val="0"/>
        <w:ind w:left="720" w:hanging="360"/>
        <w:contextualSpacing w:val="0"/>
        <w:rPr>
          <w:rFonts w:cs="Helvetica"/>
          <w:color w:val="000000"/>
          <w:szCs w:val="20"/>
        </w:rPr>
      </w:pPr>
      <w:r w:rsidRPr="00A13B52">
        <w:rPr>
          <w:rFonts w:cs="Helvetica"/>
          <w:color w:val="000000"/>
          <w:szCs w:val="20"/>
        </w:rPr>
        <w:t>Managing and coordinating public service training and capacity development programs and activities to assure quality, timeliness, effectiveness</w:t>
      </w:r>
      <w:r>
        <w:rPr>
          <w:rFonts w:cs="Helvetica"/>
          <w:color w:val="000000"/>
          <w:szCs w:val="20"/>
        </w:rPr>
        <w:t>,</w:t>
      </w:r>
      <w:r w:rsidRPr="00A13B52">
        <w:rPr>
          <w:rFonts w:cs="Helvetica"/>
          <w:color w:val="000000"/>
          <w:szCs w:val="20"/>
        </w:rPr>
        <w:t xml:space="preserve"> and efficiency in the delivery and utilization of training funds.</w:t>
      </w:r>
    </w:p>
    <w:p w14:paraId="5B9506B4" w14:textId="77777777" w:rsidR="00F97AAF" w:rsidRPr="00A13B52" w:rsidRDefault="00F97AAF" w:rsidP="00F97AAF">
      <w:pPr>
        <w:pStyle w:val="ListParagraph"/>
        <w:numPr>
          <w:ilvl w:val="0"/>
          <w:numId w:val="38"/>
        </w:numPr>
        <w:autoSpaceDE w:val="0"/>
        <w:autoSpaceDN w:val="0"/>
        <w:adjustRightInd w:val="0"/>
        <w:ind w:left="720" w:hanging="360"/>
        <w:contextualSpacing w:val="0"/>
        <w:rPr>
          <w:rFonts w:cs="Helvetica"/>
          <w:color w:val="000000"/>
          <w:szCs w:val="20"/>
        </w:rPr>
      </w:pPr>
      <w:r w:rsidRPr="00A13B52">
        <w:rPr>
          <w:rFonts w:cs="Helvetica"/>
          <w:color w:val="000000"/>
          <w:szCs w:val="20"/>
        </w:rPr>
        <w:t>Installing performance management systems in the civil service.</w:t>
      </w:r>
    </w:p>
    <w:p w14:paraId="7F2F2006" w14:textId="77777777" w:rsidR="00F97AAF" w:rsidRPr="00A13B52" w:rsidRDefault="00F97AAF" w:rsidP="00F97AAF">
      <w:pPr>
        <w:pStyle w:val="ListParagraph"/>
        <w:numPr>
          <w:ilvl w:val="0"/>
          <w:numId w:val="38"/>
        </w:numPr>
        <w:autoSpaceDE w:val="0"/>
        <w:autoSpaceDN w:val="0"/>
        <w:adjustRightInd w:val="0"/>
        <w:ind w:left="720" w:hanging="360"/>
        <w:contextualSpacing w:val="0"/>
        <w:rPr>
          <w:rFonts w:cs="Helvetica"/>
          <w:color w:val="000000"/>
          <w:szCs w:val="20"/>
        </w:rPr>
      </w:pPr>
      <w:r w:rsidRPr="00A13B52">
        <w:rPr>
          <w:rFonts w:cs="Helvetica"/>
          <w:color w:val="000000"/>
          <w:szCs w:val="20"/>
        </w:rPr>
        <w:t>Establishing a public service Management Development Institute and overseeing its management.</w:t>
      </w:r>
    </w:p>
    <w:p w14:paraId="4DEC70F4" w14:textId="77777777" w:rsidR="00F97AAF" w:rsidRPr="00A13B52" w:rsidRDefault="00F97AAF" w:rsidP="00F97AAF">
      <w:pPr>
        <w:pStyle w:val="ListParagraph"/>
        <w:numPr>
          <w:ilvl w:val="0"/>
          <w:numId w:val="38"/>
        </w:numPr>
        <w:autoSpaceDE w:val="0"/>
        <w:autoSpaceDN w:val="0"/>
        <w:adjustRightInd w:val="0"/>
        <w:ind w:left="720" w:hanging="360"/>
        <w:contextualSpacing w:val="0"/>
        <w:rPr>
          <w:rFonts w:cs="Helvetica"/>
          <w:color w:val="000000"/>
          <w:szCs w:val="20"/>
        </w:rPr>
      </w:pPr>
      <w:r w:rsidRPr="00A13B52">
        <w:rPr>
          <w:rFonts w:cs="Helvetica"/>
          <w:color w:val="000000"/>
          <w:szCs w:val="20"/>
        </w:rPr>
        <w:t>Establishing a credible Recruitment Board and overseeing its operations.</w:t>
      </w:r>
    </w:p>
    <w:p w14:paraId="02B61457" w14:textId="2DD6CFF5" w:rsidR="00F97AAF" w:rsidRPr="00B513F4" w:rsidRDefault="00F97AAF" w:rsidP="00F97AAF">
      <w:pPr>
        <w:jc w:val="both"/>
      </w:pPr>
      <w:r w:rsidRPr="00B513F4">
        <w:t>The 2012</w:t>
      </w:r>
      <w:r>
        <w:t>–</w:t>
      </w:r>
      <w:r w:rsidRPr="00B513F4">
        <w:t>13 austerity period</w:t>
      </w:r>
      <w:r>
        <w:t>—</w:t>
      </w:r>
      <w:r w:rsidRPr="00B513F4">
        <w:t xml:space="preserve">which then continued into </w:t>
      </w:r>
      <w:r w:rsidR="00021767">
        <w:t>2014 to 2016</w:t>
      </w:r>
      <w:r w:rsidR="00021767" w:rsidRPr="00B513F4">
        <w:t xml:space="preserve"> </w:t>
      </w:r>
      <w:r w:rsidRPr="00B513F4">
        <w:t>due to the eruption of conflict</w:t>
      </w:r>
      <w:r w:rsidR="00021767">
        <w:t xml:space="preserve"> and the drop in revenue from oil</w:t>
      </w:r>
      <w:r>
        <w:t>—</w:t>
      </w:r>
      <w:r w:rsidRPr="00B513F4">
        <w:t>put the implementation of these rather ambitious plans on hold. Specific reform efforts that nonetheless progressed during this period included mainly those directly supported by development partners: the establishment of an electronic payroll system, some initial steps toward developing a</w:t>
      </w:r>
      <w:r w:rsidR="004D6694">
        <w:t>n</w:t>
      </w:r>
      <w:r w:rsidRPr="00B513F4">
        <w:t xml:space="preserve"> HR</w:t>
      </w:r>
      <w:r w:rsidR="004D6694">
        <w:t>M</w:t>
      </w:r>
      <w:r w:rsidRPr="00B513F4">
        <w:t xml:space="preserve">IS, and efforts toward establishing a pension system. However, the latter two were also beset by various difficulties. </w:t>
      </w:r>
    </w:p>
    <w:p w14:paraId="1E36FCF6" w14:textId="78E87C3A" w:rsidR="00F97AAF" w:rsidRPr="00B513F4" w:rsidRDefault="00F97AAF" w:rsidP="00F97AAF">
      <w:pPr>
        <w:jc w:val="both"/>
        <w:rPr>
          <w:color w:val="000000"/>
        </w:rPr>
      </w:pPr>
      <w:r w:rsidRPr="00B513F4">
        <w:rPr>
          <w:b/>
        </w:rPr>
        <w:t>The regularization of public sector employment began to be further addressed with the establishment of the SSEPS</w:t>
      </w:r>
      <w:r w:rsidRPr="00B513F4">
        <w:t>. Development of the SSEPS started in 2010.</w:t>
      </w:r>
      <w:r w:rsidRPr="00B513F4">
        <w:rPr>
          <w:rStyle w:val="FootnoteReference"/>
        </w:rPr>
        <w:footnoteReference w:id="59"/>
      </w:r>
      <w:r w:rsidRPr="00B513F4">
        <w:t xml:space="preserve"> In principle, it </w:t>
      </w:r>
      <w:r w:rsidR="006C6B17">
        <w:t>is intended to cover</w:t>
      </w:r>
      <w:r w:rsidRPr="00B513F4">
        <w:t xml:space="preserve"> the entire public service at national and state levels, including both the civil service and organized forces.</w:t>
      </w:r>
      <w:r w:rsidR="00FD1D4C" w:rsidRPr="00B513F4">
        <w:t xml:space="preserve"> </w:t>
      </w:r>
      <w:r w:rsidRPr="00B513F4">
        <w:t xml:space="preserve">By March </w:t>
      </w:r>
      <w:r w:rsidRPr="00B513F4">
        <w:lastRenderedPageBreak/>
        <w:t xml:space="preserve">2012, </w:t>
      </w:r>
      <w:r w:rsidRPr="00B513F4">
        <w:rPr>
          <w:color w:val="000000"/>
        </w:rPr>
        <w:t>over 300 government institutions at the national and state levels were included in the payroll system, covering about 150,000 public servants and the processing of their monthly payroll.</w:t>
      </w:r>
      <w:r w:rsidRPr="00B513F4">
        <w:rPr>
          <w:rStyle w:val="FootnoteReference"/>
          <w:color w:val="000000"/>
        </w:rPr>
        <w:footnoteReference w:id="60"/>
      </w:r>
      <w:r w:rsidRPr="00B513F4">
        <w:rPr>
          <w:color w:val="000000"/>
        </w:rPr>
        <w:t xml:space="preserve"> However, the enforcement of limits on nominal rolls still remains limited, for organized forces in particular, but also for the civilian public service at subnational levels.</w:t>
      </w:r>
      <w:r w:rsidRPr="00B513F4">
        <w:rPr>
          <w:color w:val="000000"/>
          <w:sz w:val="19"/>
          <w:szCs w:val="19"/>
        </w:rPr>
        <w:t xml:space="preserve"> </w:t>
      </w:r>
      <w:r w:rsidRPr="00B513F4">
        <w:rPr>
          <w:color w:val="000000"/>
        </w:rPr>
        <w:t>Furthermore, during the 2013</w:t>
      </w:r>
      <w:r>
        <w:rPr>
          <w:color w:val="000000"/>
        </w:rPr>
        <w:t>–</w:t>
      </w:r>
      <w:r w:rsidRPr="00B513F4">
        <w:rPr>
          <w:color w:val="000000"/>
        </w:rPr>
        <w:t xml:space="preserve">14 crisis, the payment of salary via this regular system was suspended for two months, and payments were made via a ‘Crisis Management Committee’ and sub-committees, which sought to verify which staff members were still in their place of service. Also, delays in the actual payment of salaries emerged. However, salary payments via the </w:t>
      </w:r>
      <w:r w:rsidR="00122F31">
        <w:rPr>
          <w:color w:val="000000"/>
        </w:rPr>
        <w:t>Crisis Management Committee</w:t>
      </w:r>
      <w:r w:rsidRPr="00B513F4">
        <w:rPr>
          <w:color w:val="000000"/>
        </w:rPr>
        <w:t xml:space="preserve"> were widely criticized as (more) open to abuse, and </w:t>
      </w:r>
      <w:r w:rsidR="004D6694">
        <w:rPr>
          <w:color w:val="000000"/>
        </w:rPr>
        <w:t xml:space="preserve">the </w:t>
      </w:r>
      <w:r w:rsidRPr="00B513F4">
        <w:rPr>
          <w:color w:val="000000"/>
        </w:rPr>
        <w:t xml:space="preserve">government decided to revert to regular channels from March 2014 onwards. Delays in salary payments were reduced back to one month </w:t>
      </w:r>
      <w:r w:rsidRPr="00A13B52">
        <w:t>by</w:t>
      </w:r>
      <w:r w:rsidRPr="00B513F4">
        <w:rPr>
          <w:color w:val="000000"/>
        </w:rPr>
        <w:t xml:space="preserve"> June. </w:t>
      </w:r>
    </w:p>
    <w:p w14:paraId="3E933B6B" w14:textId="038B74D5" w:rsidR="00F97AAF" w:rsidRPr="00B513F4" w:rsidRDefault="00F97AAF" w:rsidP="00F97AAF">
      <w:pPr>
        <w:jc w:val="both"/>
      </w:pPr>
      <w:r w:rsidRPr="00B513F4">
        <w:rPr>
          <w:b/>
          <w:color w:val="000000"/>
        </w:rPr>
        <w:t>In addition, work on a</w:t>
      </w:r>
      <w:r>
        <w:rPr>
          <w:b/>
          <w:color w:val="000000"/>
        </w:rPr>
        <w:t>n</w:t>
      </w:r>
      <w:r w:rsidRPr="00B513F4">
        <w:rPr>
          <w:b/>
          <w:color w:val="000000"/>
        </w:rPr>
        <w:t xml:space="preserve"> HRMIS, led by the </w:t>
      </w:r>
      <w:r w:rsidR="000754F1">
        <w:rPr>
          <w:b/>
          <w:color w:val="000000"/>
        </w:rPr>
        <w:t>MoLPSHRD</w:t>
      </w:r>
      <w:r w:rsidRPr="00B513F4">
        <w:rPr>
          <w:b/>
          <w:color w:val="000000"/>
        </w:rPr>
        <w:t xml:space="preserve"> and funded through the CBTF, commenced in mid-2012</w:t>
      </w:r>
      <w:r w:rsidRPr="00B513F4">
        <w:rPr>
          <w:color w:val="000000"/>
        </w:rPr>
        <w:t xml:space="preserve">, </w:t>
      </w:r>
      <w:r w:rsidRPr="00B513F4">
        <w:rPr>
          <w:b/>
          <w:color w:val="000000"/>
        </w:rPr>
        <w:t>building on initial efforts funded by USAID in 2009</w:t>
      </w:r>
      <w:r>
        <w:rPr>
          <w:b/>
          <w:color w:val="000000"/>
        </w:rPr>
        <w:t>–</w:t>
      </w:r>
      <w:r w:rsidRPr="00B513F4">
        <w:rPr>
          <w:b/>
          <w:color w:val="000000"/>
        </w:rPr>
        <w:t>10</w:t>
      </w:r>
      <w:r w:rsidRPr="00B513F4">
        <w:rPr>
          <w:color w:val="000000"/>
        </w:rPr>
        <w:t xml:space="preserve">. The HRMIS is </w:t>
      </w:r>
      <w:r w:rsidRPr="00B513F4">
        <w:t>expected to establish and then maintain a database of public sector employees (civilian and organized forces) and to automate core HR functions, including recruitment, organization structure, employee profiles, training, appointments, leave, attendance, transfers, promotions, performance appraisals, payroll, succession planning, and retirement. However, it has been challenging to collect the necessary data from public servants. Therefore, the SSEPS rather than the HRMIS has remained the main instrument of recording and monitoring basic information about civil servants to date. Furthermore, both systems, the SSEPS</w:t>
      </w:r>
      <w:r w:rsidRPr="00B513F4">
        <w:rPr>
          <w:rStyle w:val="FootnoteReference"/>
        </w:rPr>
        <w:footnoteReference w:id="61"/>
      </w:r>
      <w:r w:rsidRPr="00B513F4">
        <w:t xml:space="preserve"> and HRMIS</w:t>
      </w:r>
      <w:r w:rsidR="00CB1090">
        <w:t>,</w:t>
      </w:r>
      <w:r w:rsidRPr="00B513F4">
        <w:t xml:space="preserve"> remained dependent on continuous support </w:t>
      </w:r>
      <w:r w:rsidR="00CB1090">
        <w:t>from</w:t>
      </w:r>
      <w:r w:rsidR="00CB1090" w:rsidRPr="00B513F4">
        <w:t xml:space="preserve"> </w:t>
      </w:r>
      <w:r w:rsidRPr="00B513F4">
        <w:t xml:space="preserve">development partners. This proved problematic as the CBTF was scheduled to close in early 2014, and de facto closed early when the conflict erupted in late 2013; while expected new donor support was simultaneously put on hold or suspended. On the positive side, the basic version of SSEPS continued to function at least partially during the crisis </w:t>
      </w:r>
      <w:r w:rsidRPr="00A13B52">
        <w:rPr>
          <w:color w:val="000000"/>
        </w:rPr>
        <w:t>period</w:t>
      </w:r>
      <w:r w:rsidRPr="00B513F4">
        <w:t xml:space="preserve">, with around half of all MDAs at </w:t>
      </w:r>
      <w:r w:rsidR="00FF609C">
        <w:t xml:space="preserve">the </w:t>
      </w:r>
      <w:r w:rsidRPr="00B513F4">
        <w:t>national and state levels continuing to submit their payroll through this system.</w:t>
      </w:r>
    </w:p>
    <w:p w14:paraId="315B3E61" w14:textId="68001D5E" w:rsidR="00F97AAF" w:rsidRPr="00B513F4" w:rsidRDefault="00F97AAF" w:rsidP="00F97AAF">
      <w:pPr>
        <w:jc w:val="both"/>
      </w:pPr>
      <w:r w:rsidRPr="00B513F4">
        <w:rPr>
          <w:b/>
        </w:rPr>
        <w:t>A third component was the establishment of a pension system.</w:t>
      </w:r>
      <w:r w:rsidRPr="00B513F4">
        <w:t xml:space="preserve"> In principle, this is a consensual reform as multiple stakeholders stand to gain: those above the pension age who are still working gain access to a pension, those currently employed face an opening up of promotion opportunities, as well as to a more secure future prospect for their own pensions. However, in practice it has been difficult to make progress, and it will eventually entail a further substantial fiscal cost. An inter-ministerial working group to develop the system was formed in 2011. A </w:t>
      </w:r>
      <w:r w:rsidRPr="00B513F4">
        <w:rPr>
          <w:i/>
        </w:rPr>
        <w:t>Pension Act</w:t>
      </w:r>
      <w:r w:rsidRPr="00B513F4">
        <w:t xml:space="preserve"> was promulgated in September 2013, and already in 2012, an initial agreement was reached between Sudan and South Sudan with regard to the responsibilities for pension payments</w:t>
      </w:r>
      <w:r>
        <w:t>.</w:t>
      </w:r>
      <w:r w:rsidRPr="00B513F4">
        <w:rPr>
          <w:rStyle w:val="FootnoteReference"/>
        </w:rPr>
        <w:footnoteReference w:id="62"/>
      </w:r>
      <w:r w:rsidRPr="00B513F4">
        <w:t xml:space="preserve"> However, the adoption of a </w:t>
      </w:r>
      <w:r w:rsidRPr="00B513F4">
        <w:rPr>
          <w:i/>
        </w:rPr>
        <w:t>Civil Service Pension Scheme Bill</w:t>
      </w:r>
      <w:r w:rsidRPr="00B513F4">
        <w:t xml:space="preserve"> remained pending.</w:t>
      </w:r>
      <w:r w:rsidRPr="00B513F4">
        <w:rPr>
          <w:rFonts w:ascii="Arial" w:hAnsi="Arial" w:cs="Arial"/>
          <w:color w:val="000000"/>
          <w:sz w:val="18"/>
          <w:szCs w:val="18"/>
        </w:rPr>
        <w:t xml:space="preserve"> </w:t>
      </w:r>
      <w:r w:rsidRPr="00B513F4">
        <w:rPr>
          <w:rFonts w:cs="Arial"/>
          <w:color w:val="000000"/>
        </w:rPr>
        <w:t xml:space="preserve">A key challenge is </w:t>
      </w:r>
      <w:r w:rsidRPr="00A13B52">
        <w:t>the</w:t>
      </w:r>
      <w:r w:rsidRPr="00B513F4">
        <w:rPr>
          <w:rFonts w:cs="Arial"/>
          <w:color w:val="000000"/>
        </w:rPr>
        <w:t xml:space="preserve"> expected costs of establishing a pension system, which in principle would also entail paying back pensions. A </w:t>
      </w:r>
      <w:r>
        <w:rPr>
          <w:rFonts w:cs="Arial"/>
          <w:color w:val="000000"/>
        </w:rPr>
        <w:t>seven</w:t>
      </w:r>
      <w:r w:rsidRPr="00B513F4">
        <w:rPr>
          <w:rFonts w:cs="Arial"/>
          <w:color w:val="000000"/>
        </w:rPr>
        <w:t>-member board for the pension fund was established in early 2014 despite the ongoing crisis.</w:t>
      </w:r>
    </w:p>
    <w:p w14:paraId="1474E628" w14:textId="63FBD197" w:rsidR="00F97AAF" w:rsidRPr="00B513F4" w:rsidRDefault="00F97AAF" w:rsidP="00F97AAF">
      <w:pPr>
        <w:jc w:val="both"/>
      </w:pPr>
      <w:r w:rsidRPr="00B513F4">
        <w:rPr>
          <w:b/>
        </w:rPr>
        <w:lastRenderedPageBreak/>
        <w:t>Funding the pension scheme will pose an initial significant challenge especially in the context of other demands for spending discussed in this note</w:t>
      </w:r>
      <w:r w:rsidRPr="006C6B17">
        <w:rPr>
          <w:b/>
        </w:rPr>
        <w:t>.</w:t>
      </w:r>
      <w:r w:rsidRPr="00B513F4">
        <w:t xml:space="preserve"> There are two sources</w:t>
      </w:r>
      <w:r w:rsidR="006C6B17">
        <w:t xml:space="preserve"> of problems: one, while the Go</w:t>
      </w:r>
      <w:r w:rsidRPr="00B513F4">
        <w:t xml:space="preserve">SS made pension deductions from public sector salaries, the funds were converted into current expenditures rather than being accumulated in a dedicated fund, as this has not yet been established. Second, following Sudanese rules, the pension bill foresees a right for those entering the pension age to draw </w:t>
      </w:r>
      <w:r>
        <w:t>one-third</w:t>
      </w:r>
      <w:r w:rsidRPr="00B513F4">
        <w:t xml:space="preserve"> of their total pension up front. The expected ongoing cost for paying monthly pensions is estimated to be around SSP</w:t>
      </w:r>
      <w:r>
        <w:t xml:space="preserve"> </w:t>
      </w:r>
      <w:r w:rsidRPr="00B513F4">
        <w:t>200</w:t>
      </w:r>
      <w:r>
        <w:t xml:space="preserve"> </w:t>
      </w:r>
      <w:r w:rsidRPr="00B513F4">
        <w:t>m</w:t>
      </w:r>
      <w:r>
        <w:t>illion</w:t>
      </w:r>
      <w:r w:rsidRPr="00B513F4">
        <w:t xml:space="preserve"> pe</w:t>
      </w:r>
      <w:r>
        <w:t xml:space="preserve">r year, as reflected in </w:t>
      </w:r>
      <w:r w:rsidR="00B40B1C">
        <w:fldChar w:fldCharType="begin"/>
      </w:r>
      <w:r w:rsidR="00B40B1C">
        <w:instrText xml:space="preserve"> REF _Ref447533498 \h </w:instrText>
      </w:r>
      <w:r w:rsidR="00B40B1C">
        <w:fldChar w:fldCharType="separate"/>
      </w:r>
      <w:r w:rsidR="00B40B1C">
        <w:t xml:space="preserve">figure </w:t>
      </w:r>
      <w:r w:rsidR="00B40B1C">
        <w:rPr>
          <w:noProof/>
        </w:rPr>
        <w:t>13</w:t>
      </w:r>
      <w:r w:rsidR="00B40B1C">
        <w:fldChar w:fldCharType="end"/>
      </w:r>
      <w:r w:rsidRPr="00B513F4">
        <w:t xml:space="preserve"> according to a report that was prepared on behalf of </w:t>
      </w:r>
      <w:r w:rsidR="000754F1">
        <w:t>MoLPSHRD</w:t>
      </w:r>
      <w:r w:rsidRPr="00B513F4">
        <w:t xml:space="preserve"> in late 2011, equivalent to about 5.7 percent of the total wage</w:t>
      </w:r>
      <w:r>
        <w:t xml:space="preserve"> bill for </w:t>
      </w:r>
      <w:r w:rsidR="0085757F">
        <w:t>FY</w:t>
      </w:r>
      <w:r>
        <w:t>2013/14.</w:t>
      </w:r>
    </w:p>
    <w:p w14:paraId="32E52FD8" w14:textId="7B37D096" w:rsidR="00F97AAF" w:rsidRDefault="00F97AAF" w:rsidP="00F97AAF">
      <w:pPr>
        <w:pStyle w:val="Caption"/>
        <w:keepNext/>
      </w:pPr>
      <w:bookmarkStart w:id="39" w:name="_Ref447533498"/>
      <w:r>
        <w:t xml:space="preserve">Figure </w:t>
      </w:r>
      <w:fldSimple w:instr=" SEQ Figure \* ARABIC ">
        <w:r w:rsidR="00807923">
          <w:rPr>
            <w:noProof/>
          </w:rPr>
          <w:t>13</w:t>
        </w:r>
      </w:fldSimple>
      <w:bookmarkEnd w:id="39"/>
      <w:r>
        <w:t xml:space="preserve">. </w:t>
      </w:r>
      <w:r w:rsidRPr="00314497">
        <w:t xml:space="preserve">Estimated </w:t>
      </w:r>
      <w:r>
        <w:t>C</w:t>
      </w:r>
      <w:r w:rsidRPr="00314497">
        <w:t xml:space="preserve">osts of establishing a </w:t>
      </w:r>
      <w:r>
        <w:t>P</w:t>
      </w:r>
      <w:r w:rsidRPr="00314497">
        <w:t xml:space="preserve">ension </w:t>
      </w:r>
      <w:r>
        <w:t>S</w:t>
      </w:r>
      <w:r w:rsidRPr="00314497">
        <w:t xml:space="preserve">ystem for </w:t>
      </w:r>
      <w:r>
        <w:t>P</w:t>
      </w:r>
      <w:r w:rsidRPr="00314497">
        <w:t xml:space="preserve">ublic </w:t>
      </w:r>
      <w:r>
        <w:t>S</w:t>
      </w:r>
      <w:r w:rsidRPr="00314497">
        <w:t>ervants 2012</w:t>
      </w:r>
      <w:r>
        <w:t>–</w:t>
      </w:r>
      <w:r w:rsidRPr="00314497">
        <w:t>2016</w:t>
      </w:r>
    </w:p>
    <w:p w14:paraId="1D693116" w14:textId="77777777" w:rsidR="00F97AAF" w:rsidRPr="00B513F4" w:rsidRDefault="00F97AAF" w:rsidP="00F97AAF">
      <w:pPr>
        <w:spacing w:after="0"/>
        <w:jc w:val="center"/>
      </w:pPr>
      <w:r w:rsidRPr="00B513F4">
        <w:rPr>
          <w:noProof/>
        </w:rPr>
        <w:drawing>
          <wp:inline distT="0" distB="0" distL="0" distR="0" wp14:anchorId="39DC5026" wp14:editId="53FB8DB5">
            <wp:extent cx="4572000" cy="2743200"/>
            <wp:effectExtent l="0" t="0" r="19050" b="1905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78CD4A2" w14:textId="57022E82" w:rsidR="00F97AAF" w:rsidRPr="00B513F4" w:rsidRDefault="00F97AAF" w:rsidP="00F97AAF">
      <w:pPr>
        <w:rPr>
          <w:sz w:val="20"/>
        </w:rPr>
      </w:pPr>
      <w:r w:rsidRPr="000754F1">
        <w:rPr>
          <w:i/>
          <w:sz w:val="20"/>
        </w:rPr>
        <w:t>Source:</w:t>
      </w:r>
      <w:r w:rsidRPr="00B513F4">
        <w:rPr>
          <w:sz w:val="20"/>
        </w:rPr>
        <w:t xml:space="preserve"> </w:t>
      </w:r>
      <w:r w:rsidR="000754F1">
        <w:rPr>
          <w:sz w:val="20"/>
        </w:rPr>
        <w:t>MoLPSHRD</w:t>
      </w:r>
      <w:r w:rsidRPr="00B513F4">
        <w:rPr>
          <w:sz w:val="20"/>
        </w:rPr>
        <w:t xml:space="preserve"> 2011</w:t>
      </w:r>
      <w:r w:rsidR="006D168F">
        <w:rPr>
          <w:sz w:val="20"/>
        </w:rPr>
        <w:t>.</w:t>
      </w:r>
    </w:p>
    <w:p w14:paraId="20C63B2C" w14:textId="77777777" w:rsidR="00F97AAF" w:rsidRPr="00B513F4" w:rsidRDefault="00F97AAF" w:rsidP="00F97AAF">
      <w:pPr>
        <w:pStyle w:val="Heading3"/>
      </w:pPr>
      <w:bookmarkStart w:id="40" w:name="_Toc447892403"/>
      <w:r w:rsidRPr="00B513F4">
        <w:t>5.5 Progress made on institutional development and legal provisions</w:t>
      </w:r>
      <w:bookmarkEnd w:id="40"/>
    </w:p>
    <w:p w14:paraId="6FD8C52C" w14:textId="4D1C928E" w:rsidR="00F97AAF" w:rsidRPr="00B513F4" w:rsidRDefault="00F97AAF" w:rsidP="00F97AAF">
      <w:pPr>
        <w:jc w:val="both"/>
      </w:pPr>
      <w:r w:rsidRPr="00B513F4">
        <w:rPr>
          <w:b/>
        </w:rPr>
        <w:t xml:space="preserve">Progress with institutional development and legal provisions governing the civil service has been made, in parallel to processes of establishing systems and processes as outlined in the preceding sections. </w:t>
      </w:r>
      <w:r w:rsidRPr="00B513F4">
        <w:t xml:space="preserve">Establishing a legal framework in 2011 was an important step forward. However, many challenges also remain; including better enforcement of standards and norms at subnational levels. </w:t>
      </w:r>
    </w:p>
    <w:p w14:paraId="6A11200B" w14:textId="3CFFB355" w:rsidR="00F97AAF" w:rsidRPr="00B513F4" w:rsidRDefault="00F97AAF" w:rsidP="00F97AAF">
      <w:pPr>
        <w:jc w:val="both"/>
      </w:pPr>
      <w:r w:rsidRPr="00B513F4">
        <w:rPr>
          <w:b/>
        </w:rPr>
        <w:t xml:space="preserve">A national-level ministry with responsibility for the civil service was established together with the initial set of ministries in 2005; while the development of a legal framework for the public service was slower to emerge. </w:t>
      </w:r>
      <w:r w:rsidRPr="00B513F4">
        <w:t xml:space="preserve">The three key institutions with responsibilities for the civilian public service are the </w:t>
      </w:r>
      <w:r w:rsidR="000754F1">
        <w:t>MOLPSHRD</w:t>
      </w:r>
      <w:r>
        <w:t>,</w:t>
      </w:r>
      <w:r w:rsidRPr="00B513F4">
        <w:rPr>
          <w:rStyle w:val="FootnoteReference"/>
        </w:rPr>
        <w:footnoteReference w:id="63"/>
      </w:r>
      <w:r w:rsidRPr="00B513F4">
        <w:t xml:space="preserve"> the Ministry of Cabinet Affairs where the head of the civil service is located, and the CSC, which has a rather limited role in South Sudan. The ministry structure is replicated at the state level. </w:t>
      </w:r>
    </w:p>
    <w:p w14:paraId="2E0737F7" w14:textId="76358972" w:rsidR="00F97AAF" w:rsidRPr="00B513F4" w:rsidRDefault="00F97AAF" w:rsidP="00F97AAF">
      <w:pPr>
        <w:pStyle w:val="ListParagraph"/>
        <w:numPr>
          <w:ilvl w:val="0"/>
          <w:numId w:val="3"/>
        </w:numPr>
        <w:contextualSpacing w:val="0"/>
        <w:jc w:val="both"/>
        <w:rPr>
          <w:rFonts w:ascii="Times New Roman" w:eastAsia="Times New Roman" w:hAnsi="Times New Roman" w:cs="Times New Roman"/>
          <w:color w:val="000000"/>
          <w:sz w:val="20"/>
          <w:szCs w:val="20"/>
          <w:lang w:val="en"/>
        </w:rPr>
      </w:pPr>
      <w:r w:rsidRPr="00B513F4">
        <w:lastRenderedPageBreak/>
        <w:t xml:space="preserve">At the national level, the </w:t>
      </w:r>
      <w:r w:rsidR="000754F1">
        <w:rPr>
          <w:b/>
        </w:rPr>
        <w:t>MoLPSHRD</w:t>
      </w:r>
      <w:r w:rsidRPr="00B513F4">
        <w:t xml:space="preserve"> has been one of the core ministries from the beginning of the state-building period. It is mainly assigned a broad framework setting role and a role with regards to capacity development and training. </w:t>
      </w:r>
    </w:p>
    <w:p w14:paraId="65FABCC5" w14:textId="210E0ABA" w:rsidR="00F97AAF" w:rsidRPr="00B513F4" w:rsidRDefault="00F97AAF" w:rsidP="00F97AAF">
      <w:pPr>
        <w:pStyle w:val="ListParagraph"/>
        <w:numPr>
          <w:ilvl w:val="1"/>
          <w:numId w:val="3"/>
        </w:numPr>
        <w:contextualSpacing w:val="0"/>
        <w:jc w:val="both"/>
      </w:pPr>
      <w:r w:rsidRPr="00B513F4">
        <w:t xml:space="preserve">The </w:t>
      </w:r>
      <w:r>
        <w:t>m</w:t>
      </w:r>
      <w:r w:rsidRPr="00B513F4">
        <w:t xml:space="preserve">inistry has 10 departments (those involved in </w:t>
      </w:r>
      <w:r>
        <w:t>public service</w:t>
      </w:r>
      <w:r w:rsidRPr="00B513F4">
        <w:t xml:space="preserve"> management in italics): 1. Administration and Finance, 2. </w:t>
      </w:r>
      <w:r w:rsidRPr="00B513F4">
        <w:rPr>
          <w:i/>
        </w:rPr>
        <w:t>Human Resource Management</w:t>
      </w:r>
      <w:r w:rsidRPr="00B513F4">
        <w:t xml:space="preserve">, 3. </w:t>
      </w:r>
      <w:r w:rsidRPr="00B513F4">
        <w:rPr>
          <w:i/>
        </w:rPr>
        <w:t>Human Resource Development</w:t>
      </w:r>
      <w:r w:rsidRPr="00B513F4">
        <w:t xml:space="preserve">, 4. Labor and Industrial Relations, 5. Vocational Training Centre, 6. Occupation Health and Safety, 7. </w:t>
      </w:r>
      <w:r w:rsidRPr="00B513F4">
        <w:rPr>
          <w:i/>
        </w:rPr>
        <w:t>Policy, Planning and Budget</w:t>
      </w:r>
      <w:r w:rsidRPr="00B513F4">
        <w:t xml:space="preserve">, 8. </w:t>
      </w:r>
      <w:r w:rsidRPr="00B513F4">
        <w:rPr>
          <w:i/>
        </w:rPr>
        <w:t>Pension</w:t>
      </w:r>
      <w:r w:rsidRPr="00B513F4">
        <w:t xml:space="preserve">, 9. </w:t>
      </w:r>
      <w:r w:rsidRPr="00B513F4">
        <w:rPr>
          <w:i/>
        </w:rPr>
        <w:t>Record Management</w:t>
      </w:r>
      <w:r w:rsidRPr="00B513F4">
        <w:t xml:space="preserve">, 10. </w:t>
      </w:r>
      <w:r w:rsidRPr="00B513F4">
        <w:rPr>
          <w:i/>
        </w:rPr>
        <w:t>Recruitment Board</w:t>
      </w:r>
      <w:r w:rsidRPr="00B513F4">
        <w:t>.</w:t>
      </w:r>
    </w:p>
    <w:p w14:paraId="5F28BAB0" w14:textId="7A776478" w:rsidR="00F97AAF" w:rsidRPr="00B513F4" w:rsidRDefault="00F97AAF" w:rsidP="00F97AAF">
      <w:pPr>
        <w:pStyle w:val="ListParagraph"/>
        <w:numPr>
          <w:ilvl w:val="1"/>
          <w:numId w:val="3"/>
        </w:numPr>
        <w:contextualSpacing w:val="0"/>
        <w:jc w:val="both"/>
      </w:pPr>
      <w:r w:rsidRPr="00B513F4">
        <w:t xml:space="preserve">As of 2013, the </w:t>
      </w:r>
      <w:r w:rsidR="000754F1">
        <w:t>MoLPSHRD</w:t>
      </w:r>
      <w:r w:rsidRPr="00B513F4">
        <w:t xml:space="preserve"> had a total ministry staff of about 470 (September 2013 budget).</w:t>
      </w:r>
    </w:p>
    <w:p w14:paraId="388EEC12" w14:textId="0380188F" w:rsidR="00F97AAF" w:rsidRPr="00B513F4" w:rsidRDefault="00F97AAF" w:rsidP="00F97AAF">
      <w:pPr>
        <w:pStyle w:val="ListParagraph"/>
        <w:numPr>
          <w:ilvl w:val="0"/>
          <w:numId w:val="3"/>
        </w:numPr>
        <w:contextualSpacing w:val="0"/>
        <w:jc w:val="both"/>
      </w:pPr>
      <w:r w:rsidRPr="00B513F4">
        <w:t xml:space="preserve">The Ministry of Cabinet Affairs hosts the </w:t>
      </w:r>
      <w:r w:rsidRPr="00B513F4">
        <w:rPr>
          <w:b/>
        </w:rPr>
        <w:t>Secretary General of the Government</w:t>
      </w:r>
      <w:r w:rsidRPr="00B513F4">
        <w:t>, the for</w:t>
      </w:r>
      <w:r>
        <w:t xml:space="preserve">mal head of the </w:t>
      </w:r>
      <w:r w:rsidR="00DC5FA2">
        <w:t>c</w:t>
      </w:r>
      <w:r>
        <w:t xml:space="preserve">ivil </w:t>
      </w:r>
      <w:r w:rsidR="00DC5FA2">
        <w:t>s</w:t>
      </w:r>
      <w:r>
        <w:t>ervice.</w:t>
      </w:r>
    </w:p>
    <w:p w14:paraId="5E034B39" w14:textId="7534EE64" w:rsidR="00F97AAF" w:rsidRPr="00B513F4" w:rsidRDefault="00F97AAF" w:rsidP="00F97AAF">
      <w:pPr>
        <w:pStyle w:val="ListParagraph"/>
        <w:numPr>
          <w:ilvl w:val="0"/>
          <w:numId w:val="3"/>
        </w:numPr>
        <w:contextualSpacing w:val="0"/>
        <w:jc w:val="both"/>
      </w:pPr>
      <w:r w:rsidRPr="00B513F4">
        <w:t xml:space="preserve">The </w:t>
      </w:r>
      <w:r w:rsidRPr="00B513F4">
        <w:rPr>
          <w:b/>
        </w:rPr>
        <w:t>CSC</w:t>
      </w:r>
      <w:r w:rsidRPr="00B513F4">
        <w:t xml:space="preserve"> is a </w:t>
      </w:r>
      <w:r w:rsidR="00DC5FA2">
        <w:t>c</w:t>
      </w:r>
      <w:r w:rsidRPr="00B513F4">
        <w:t xml:space="preserve">onstitutional body (per </w:t>
      </w:r>
      <w:r>
        <w:t>t</w:t>
      </w:r>
      <w:r w:rsidRPr="00B513F4">
        <w:t xml:space="preserve">ransitional </w:t>
      </w:r>
      <w:r>
        <w:t>c</w:t>
      </w:r>
      <w:r w:rsidRPr="00B513F4">
        <w:t>onstitution (2011), article 140), and established by a 2011 law on the CSC. It mainly has inspection powers. Contrary to the role of similar commissions in other countries, the CSC does not have a primary role in recruitment</w:t>
      </w:r>
      <w:r>
        <w:t>—</w:t>
      </w:r>
      <w:r w:rsidRPr="00B513F4">
        <w:t xml:space="preserve">this is allocated to the Recruitment Board under </w:t>
      </w:r>
      <w:r w:rsidR="00DC5FA2">
        <w:t xml:space="preserve">the </w:t>
      </w:r>
      <w:r w:rsidR="000754F1">
        <w:t>MoLPSHRD</w:t>
      </w:r>
      <w:r w:rsidRPr="00B513F4">
        <w:t xml:space="preserve">. As of 2013, the CSC had </w:t>
      </w:r>
      <w:r w:rsidR="00DC5FA2">
        <w:t>50</w:t>
      </w:r>
      <w:r w:rsidRPr="00B513F4">
        <w:t xml:space="preserve"> staff. </w:t>
      </w:r>
    </w:p>
    <w:p w14:paraId="3F69BDFF" w14:textId="0AF7E2B4" w:rsidR="00F97AAF" w:rsidRPr="00B513F4" w:rsidRDefault="00F97AAF" w:rsidP="00F97AAF">
      <w:pPr>
        <w:pStyle w:val="ListParagraph"/>
        <w:numPr>
          <w:ilvl w:val="0"/>
          <w:numId w:val="3"/>
        </w:numPr>
        <w:contextualSpacing w:val="0"/>
        <w:jc w:val="both"/>
      </w:pPr>
      <w:r w:rsidRPr="00B513F4">
        <w:t>Within national</w:t>
      </w:r>
      <w:r w:rsidR="00DC5FA2">
        <w:t>-</w:t>
      </w:r>
      <w:r w:rsidRPr="00B513F4">
        <w:t xml:space="preserve">level ministries, </w:t>
      </w:r>
      <w:r>
        <w:t>u</w:t>
      </w:r>
      <w:r w:rsidRPr="00B513F4">
        <w:t>ndersecretaries have the role of heading the public servants within the ministry; and the staff managing HRM/</w:t>
      </w:r>
      <w:r>
        <w:t>e</w:t>
      </w:r>
      <w:r w:rsidRPr="00B513F4">
        <w:t xml:space="preserve">stablishment departments is considered as seconded from </w:t>
      </w:r>
      <w:r w:rsidR="00DC5FA2">
        <w:t xml:space="preserve">the </w:t>
      </w:r>
      <w:r w:rsidRPr="00B513F4">
        <w:t>M</w:t>
      </w:r>
      <w:r w:rsidR="004E6543">
        <w:t>o</w:t>
      </w:r>
      <w:r w:rsidRPr="00B513F4">
        <w:t xml:space="preserve">PSHRD. </w:t>
      </w:r>
    </w:p>
    <w:p w14:paraId="56AAB5E1" w14:textId="2C279720" w:rsidR="00F97AAF" w:rsidRPr="00B513F4" w:rsidRDefault="00F97AAF" w:rsidP="00F97AAF">
      <w:pPr>
        <w:pStyle w:val="ListParagraph"/>
        <w:numPr>
          <w:ilvl w:val="0"/>
          <w:numId w:val="3"/>
        </w:numPr>
        <w:contextualSpacing w:val="0"/>
        <w:jc w:val="both"/>
      </w:pPr>
      <w:r w:rsidRPr="00B513F4">
        <w:t xml:space="preserve">At the state level, each state has a </w:t>
      </w:r>
      <w:r w:rsidRPr="00B513F4">
        <w:rPr>
          <w:b/>
        </w:rPr>
        <w:t>State Ministry of Labor, Public Services and Human Resource Development</w:t>
      </w:r>
      <w:r w:rsidRPr="00B513F4">
        <w:t xml:space="preserve"> (originally created as directorates after the CPA in 2005 and then upgraded to ministries since 2010).</w:t>
      </w:r>
    </w:p>
    <w:p w14:paraId="6E105533" w14:textId="62C0D759" w:rsidR="00F97AAF" w:rsidRPr="00B513F4" w:rsidRDefault="00F97AAF" w:rsidP="00F97AAF">
      <w:pPr>
        <w:pStyle w:val="ListParagraph"/>
        <w:numPr>
          <w:ilvl w:val="0"/>
          <w:numId w:val="3"/>
        </w:numPr>
        <w:contextualSpacing w:val="0"/>
        <w:jc w:val="both"/>
      </w:pPr>
      <w:r w:rsidRPr="00B513F4">
        <w:t>For the level of local governments, the 2009 Local Government Act regulates the third level of government (</w:t>
      </w:r>
      <w:r>
        <w:t>that is,</w:t>
      </w:r>
      <w:r w:rsidRPr="00B513F4">
        <w:t xml:space="preserve"> counties and cities/towns).</w:t>
      </w:r>
    </w:p>
    <w:p w14:paraId="03A164EA" w14:textId="2372EB43" w:rsidR="00F97AAF" w:rsidRPr="00B513F4" w:rsidRDefault="00F97AAF" w:rsidP="00F97AAF">
      <w:pPr>
        <w:autoSpaceDE w:val="0"/>
        <w:autoSpaceDN w:val="0"/>
        <w:adjustRightInd w:val="0"/>
        <w:jc w:val="both"/>
      </w:pPr>
      <w:r w:rsidRPr="00B513F4">
        <w:rPr>
          <w:b/>
        </w:rPr>
        <w:t>The responsibility for hiring has been distributed among about 230 appointing authorities</w:t>
      </w:r>
      <w:r w:rsidRPr="00B513F4">
        <w:t xml:space="preserve">, </w:t>
      </w:r>
      <w:r>
        <w:rPr>
          <w:b/>
        </w:rPr>
        <w:t>that is,</w:t>
      </w:r>
      <w:r w:rsidRPr="00B513F4">
        <w:rPr>
          <w:b/>
        </w:rPr>
        <w:t xml:space="preserve"> the various national and state-level ministries and agencies, and each local government</w:t>
      </w:r>
      <w:r w:rsidRPr="00B513F4">
        <w:t xml:space="preserve"> (World Bank 2010, 29). The 2011 Civil Service </w:t>
      </w:r>
      <w:r w:rsidR="004E6543">
        <w:t xml:space="preserve">Law </w:t>
      </w:r>
      <w:r w:rsidRPr="00B513F4">
        <w:t xml:space="preserve">gives </w:t>
      </w:r>
      <w:r w:rsidR="004E6543">
        <w:t xml:space="preserve">the </w:t>
      </w:r>
      <w:r w:rsidR="000754F1">
        <w:t>MoLPSHRD</w:t>
      </w:r>
      <w:r w:rsidRPr="00B513F4">
        <w:t xml:space="preserve"> a limited oversight role: “Civil Service appointments, other than those to Skilled and Unskilled Worker grades shall be </w:t>
      </w:r>
      <w:r w:rsidRPr="00B513F4">
        <w:rPr>
          <w:i/>
        </w:rPr>
        <w:t>processed</w:t>
      </w:r>
      <w:r w:rsidRPr="00B513F4">
        <w:t xml:space="preserve"> through The Ministry of Public Service”; […] and the </w:t>
      </w:r>
      <w:r>
        <w:t>m</w:t>
      </w:r>
      <w:r w:rsidRPr="00B513F4">
        <w:t xml:space="preserve">inistry “shall </w:t>
      </w:r>
      <w:r w:rsidRPr="00B513F4">
        <w:rPr>
          <w:i/>
        </w:rPr>
        <w:t>verify</w:t>
      </w:r>
      <w:r w:rsidRPr="00B513F4">
        <w:t xml:space="preserve"> whether the selection process has followed the approved selection criteria” §33, (3) and (4). </w:t>
      </w:r>
      <w:r w:rsidR="004E6543">
        <w:t xml:space="preserve">The </w:t>
      </w:r>
      <w:r w:rsidR="000754F1">
        <w:t>MoLPSHRD</w:t>
      </w:r>
      <w:r w:rsidRPr="00B513F4">
        <w:t xml:space="preserve"> has created a ‘Recruitment Board’ as one of its 10 departments to implement this vetting and verification role; and is seeking to also establish a separate regulatory framework for this board to strengthen its role </w:t>
      </w:r>
      <w:r w:rsidR="00DC5FA2">
        <w:t>in relation to</w:t>
      </w:r>
      <w:r w:rsidRPr="00B513F4">
        <w:t xml:space="preserve"> hiring agencies. A further key effort that </w:t>
      </w:r>
      <w:r w:rsidR="00F92549">
        <w:t xml:space="preserve">the </w:t>
      </w:r>
      <w:r w:rsidRPr="00B513F4">
        <w:t>M</w:t>
      </w:r>
      <w:r w:rsidR="004E6543">
        <w:t>o</w:t>
      </w:r>
      <w:r w:rsidRPr="00B513F4">
        <w:t>PSHRD and MOFEP have jointly pursued is that line ministries and agencies must have an approved vacancy within the nominal roll (</w:t>
      </w:r>
      <w:r>
        <w:t>that is,</w:t>
      </w:r>
      <w:r w:rsidRPr="00B513F4">
        <w:t xml:space="preserve"> an allocated position and budget) before hiring. </w:t>
      </w:r>
    </w:p>
    <w:p w14:paraId="61A92153" w14:textId="2CBADD70" w:rsidR="00F97AAF" w:rsidRPr="00B513F4" w:rsidRDefault="00F97AAF" w:rsidP="00F97AAF">
      <w:pPr>
        <w:autoSpaceDE w:val="0"/>
        <w:autoSpaceDN w:val="0"/>
        <w:adjustRightInd w:val="0"/>
        <w:jc w:val="both"/>
      </w:pPr>
      <w:r w:rsidRPr="00B513F4">
        <w:rPr>
          <w:b/>
        </w:rPr>
        <w:t>Legislation concerning the public service was developed and adopted in the late 2000s; filling a gap that had earlier been pointed out as a hindrance to civil service reform</w:t>
      </w:r>
      <w:r w:rsidRPr="00B513F4">
        <w:t xml:space="preserve">. Initially, the civil service was governed </w:t>
      </w:r>
      <w:r w:rsidRPr="00B513F4">
        <w:lastRenderedPageBreak/>
        <w:t xml:space="preserve">by rules carried over from Sudan, and amended by various regulations (Stevens 2008). In early 2006, interim regulations for recruitment and selection were issued by the </w:t>
      </w:r>
      <w:r w:rsidR="000754F1">
        <w:t>MoLPSHRD</w:t>
      </w:r>
      <w:r w:rsidRPr="00B513F4">
        <w:t xml:space="preserve">, prescribing the appointing authorities and the procedures to be followed. In January 2007, the </w:t>
      </w:r>
      <w:r w:rsidR="000754F1">
        <w:t>MoLPSHRD</w:t>
      </w:r>
      <w:r w:rsidRPr="00B513F4">
        <w:t xml:space="preserve"> issued a more detailed executive order on public service regulations (World Bank 2010</w:t>
      </w:r>
      <w:r>
        <w:t>,</w:t>
      </w:r>
      <w:r w:rsidRPr="00B513F4">
        <w:t xml:space="preserve"> 32). By mid-2007, a first draft civil service law had been developed with support from USAID/Bearing Point. However, as the legislative approval process was still in flux in South Sudan, it took nearly four years until a formal law was finally adopted (see box 1). </w:t>
      </w:r>
    </w:p>
    <w:p w14:paraId="30704F76" w14:textId="58947D4A" w:rsidR="00F97AAF" w:rsidRPr="00B513F4" w:rsidRDefault="00F97AAF" w:rsidP="00F97AAF">
      <w:pPr>
        <w:autoSpaceDE w:val="0"/>
        <w:autoSpaceDN w:val="0"/>
        <w:adjustRightInd w:val="0"/>
        <w:jc w:val="both"/>
      </w:pPr>
      <w:r w:rsidRPr="00B513F4">
        <w:rPr>
          <w:b/>
        </w:rPr>
        <w:t xml:space="preserve">The 2011 </w:t>
      </w:r>
      <w:r>
        <w:rPr>
          <w:b/>
        </w:rPr>
        <w:t>t</w:t>
      </w:r>
      <w:r w:rsidRPr="00B513F4">
        <w:rPr>
          <w:b/>
        </w:rPr>
        <w:t xml:space="preserve">ransitional </w:t>
      </w:r>
      <w:r>
        <w:rPr>
          <w:b/>
        </w:rPr>
        <w:t>c</w:t>
      </w:r>
      <w:r w:rsidRPr="00B513F4">
        <w:rPr>
          <w:b/>
        </w:rPr>
        <w:t xml:space="preserve">onstitution contains four paragraphs on the </w:t>
      </w:r>
      <w:r>
        <w:rPr>
          <w:b/>
        </w:rPr>
        <w:t>c</w:t>
      </w:r>
      <w:r w:rsidRPr="00B513F4">
        <w:rPr>
          <w:b/>
        </w:rPr>
        <w:t xml:space="preserve">ivil </w:t>
      </w:r>
      <w:r>
        <w:rPr>
          <w:b/>
        </w:rPr>
        <w:t>s</w:t>
      </w:r>
      <w:r w:rsidRPr="00B513F4">
        <w:rPr>
          <w:b/>
        </w:rPr>
        <w:t>ervice in part 9</w:t>
      </w:r>
      <w:r w:rsidRPr="00B513F4">
        <w:t xml:space="preserve"> (§138</w:t>
      </w:r>
      <w:r>
        <w:t>–</w:t>
      </w:r>
      <w:r w:rsidRPr="00B513F4">
        <w:t xml:space="preserve">§141). It postulates a meritocratically selected civil service up to the level of </w:t>
      </w:r>
      <w:r>
        <w:t>u</w:t>
      </w:r>
      <w:r w:rsidRPr="00B513F4">
        <w:t>ndersecretaries; sets out that “all levels of government shall be responsible for the recruitment, appointment, promotion, transfer and dismissal of employees of the Civil Service in their administrations guided by uniform norms and standards set out in this Constitution and the law.” (§139</w:t>
      </w:r>
      <w:r>
        <w:t xml:space="preserve"> </w:t>
      </w:r>
      <w:r w:rsidRPr="00B513F4">
        <w:t xml:space="preserve">n); and postulates: “Civil Service shall be broadly representative of the people of South Sudan, with employment and personnel management practices based on ability, objectivity, fair competition for jobs, and the need to redress any imbalances of the past to achieve broad representation through affirmative action” (§139 i). </w:t>
      </w:r>
    </w:p>
    <w:tbl>
      <w:tblPr>
        <w:tblStyle w:val="TableGrid"/>
        <w:tblW w:w="0" w:type="auto"/>
        <w:tblInd w:w="-72" w:type="dxa"/>
        <w:tblLook w:val="04A0" w:firstRow="1" w:lastRow="0" w:firstColumn="1" w:lastColumn="0" w:noHBand="0" w:noVBand="1"/>
      </w:tblPr>
      <w:tblGrid>
        <w:gridCol w:w="9422"/>
      </w:tblGrid>
      <w:tr w:rsidR="00F97AAF" w:rsidRPr="00B513F4" w14:paraId="2E5683FD" w14:textId="77777777" w:rsidTr="00C0377E">
        <w:tc>
          <w:tcPr>
            <w:tcW w:w="9422" w:type="dxa"/>
          </w:tcPr>
          <w:p w14:paraId="5FA52154" w14:textId="5CF76B38" w:rsidR="00F97AAF" w:rsidRPr="00B513F4" w:rsidRDefault="00F97AAF" w:rsidP="00C0377E">
            <w:pPr>
              <w:pStyle w:val="ListParagraph"/>
              <w:ind w:left="0"/>
              <w:contextualSpacing w:val="0"/>
              <w:rPr>
                <w:b/>
                <w:sz w:val="20"/>
                <w:szCs w:val="20"/>
              </w:rPr>
            </w:pPr>
            <w:r w:rsidRPr="00B513F4">
              <w:rPr>
                <w:b/>
                <w:sz w:val="20"/>
                <w:szCs w:val="20"/>
              </w:rPr>
              <w:t>Box 2</w:t>
            </w:r>
            <w:r>
              <w:rPr>
                <w:b/>
                <w:sz w:val="20"/>
                <w:szCs w:val="20"/>
              </w:rPr>
              <w:t>.</w:t>
            </w:r>
            <w:r w:rsidRPr="00B513F4">
              <w:rPr>
                <w:b/>
                <w:sz w:val="20"/>
                <w:szCs w:val="20"/>
              </w:rPr>
              <w:t xml:space="preserve"> Legal </w:t>
            </w:r>
            <w:r>
              <w:rPr>
                <w:b/>
                <w:sz w:val="20"/>
                <w:szCs w:val="20"/>
              </w:rPr>
              <w:t>P</w:t>
            </w:r>
            <w:r w:rsidRPr="00B513F4">
              <w:rPr>
                <w:b/>
                <w:sz w:val="20"/>
                <w:szCs w:val="20"/>
              </w:rPr>
              <w:t xml:space="preserve">rovisions of </w:t>
            </w:r>
            <w:r>
              <w:rPr>
                <w:b/>
                <w:sz w:val="20"/>
                <w:szCs w:val="20"/>
              </w:rPr>
              <w:t>F</w:t>
            </w:r>
            <w:r w:rsidRPr="00B513F4">
              <w:rPr>
                <w:b/>
                <w:sz w:val="20"/>
                <w:szCs w:val="20"/>
              </w:rPr>
              <w:t xml:space="preserve">our </w:t>
            </w:r>
            <w:r>
              <w:rPr>
                <w:b/>
                <w:sz w:val="20"/>
                <w:szCs w:val="20"/>
              </w:rPr>
              <w:t>A</w:t>
            </w:r>
            <w:r w:rsidRPr="00B513F4">
              <w:rPr>
                <w:b/>
                <w:sz w:val="20"/>
                <w:szCs w:val="20"/>
              </w:rPr>
              <w:t xml:space="preserve">cts </w:t>
            </w:r>
            <w:r>
              <w:rPr>
                <w:b/>
                <w:sz w:val="20"/>
                <w:szCs w:val="20"/>
              </w:rPr>
              <w:t>G</w:t>
            </w:r>
            <w:r w:rsidRPr="00B513F4">
              <w:rPr>
                <w:b/>
                <w:sz w:val="20"/>
                <w:szCs w:val="20"/>
              </w:rPr>
              <w:t xml:space="preserve">overning the </w:t>
            </w:r>
            <w:r>
              <w:rPr>
                <w:b/>
                <w:sz w:val="20"/>
                <w:szCs w:val="20"/>
              </w:rPr>
              <w:t>P</w:t>
            </w:r>
            <w:r w:rsidRPr="00B513F4">
              <w:rPr>
                <w:b/>
                <w:sz w:val="20"/>
                <w:szCs w:val="20"/>
              </w:rPr>
              <w:t xml:space="preserve">ublic </w:t>
            </w:r>
            <w:r>
              <w:rPr>
                <w:b/>
                <w:sz w:val="20"/>
                <w:szCs w:val="20"/>
              </w:rPr>
              <w:t>S</w:t>
            </w:r>
            <w:r w:rsidRPr="00B513F4">
              <w:rPr>
                <w:b/>
                <w:sz w:val="20"/>
                <w:szCs w:val="20"/>
              </w:rPr>
              <w:t>ervice</w:t>
            </w:r>
          </w:p>
          <w:p w14:paraId="5CFC8DF2" w14:textId="206D40FA" w:rsidR="00F97AAF" w:rsidRPr="00B513F4" w:rsidRDefault="00F97AAF" w:rsidP="00C0377E">
            <w:pPr>
              <w:pStyle w:val="ListParagraph"/>
              <w:ind w:left="0"/>
              <w:contextualSpacing w:val="0"/>
              <w:jc w:val="both"/>
              <w:rPr>
                <w:sz w:val="20"/>
                <w:szCs w:val="20"/>
              </w:rPr>
            </w:pPr>
            <w:r w:rsidRPr="00B513F4">
              <w:rPr>
                <w:sz w:val="20"/>
                <w:szCs w:val="20"/>
              </w:rPr>
              <w:t xml:space="preserve">The civil service and the uniformed services, including the police, the prison service, and the wildlife services are each governed by separate legislation. The Civil Service Act was adopted in July 2011. The Act on the Police Service was issued </w:t>
            </w:r>
            <w:r w:rsidR="00CF746D">
              <w:rPr>
                <w:sz w:val="20"/>
                <w:szCs w:val="20"/>
              </w:rPr>
              <w:t>before</w:t>
            </w:r>
            <w:r w:rsidRPr="00B513F4">
              <w:rPr>
                <w:sz w:val="20"/>
                <w:szCs w:val="20"/>
              </w:rPr>
              <w:t xml:space="preserve"> independence in 2009; while the Prison Service Act and the Wildlife Services Act were also adopted in July 2011. The Prison Service, Police Service</w:t>
            </w:r>
            <w:r>
              <w:rPr>
                <w:sz w:val="20"/>
                <w:szCs w:val="20"/>
              </w:rPr>
              <w:t>,</w:t>
            </w:r>
            <w:r w:rsidRPr="00B513F4">
              <w:rPr>
                <w:sz w:val="20"/>
                <w:szCs w:val="20"/>
              </w:rPr>
              <w:t xml:space="preserve"> and Wildlife Service Acts repealed earlier laws that had been adopted in 2003, </w:t>
            </w:r>
            <w:r>
              <w:rPr>
                <w:sz w:val="20"/>
                <w:szCs w:val="20"/>
              </w:rPr>
              <w:t>that is,</w:t>
            </w:r>
            <w:r w:rsidRPr="00B513F4">
              <w:rPr>
                <w:sz w:val="20"/>
                <w:szCs w:val="20"/>
              </w:rPr>
              <w:t xml:space="preserve"> just when the development of a ‘New Sudan’ </w:t>
            </w:r>
            <w:r w:rsidR="00CF746D">
              <w:rPr>
                <w:sz w:val="20"/>
                <w:szCs w:val="20"/>
              </w:rPr>
              <w:t>before</w:t>
            </w:r>
            <w:r w:rsidRPr="00B513F4">
              <w:rPr>
                <w:sz w:val="20"/>
                <w:szCs w:val="20"/>
              </w:rPr>
              <w:t xml:space="preserve"> the CPA got under way. </w:t>
            </w:r>
          </w:p>
          <w:p w14:paraId="5FDE7579" w14:textId="1F264D0F" w:rsidR="00F97AAF" w:rsidRPr="00B513F4" w:rsidRDefault="00F97AAF" w:rsidP="00C0377E">
            <w:pPr>
              <w:pStyle w:val="ListParagraph"/>
              <w:ind w:left="0"/>
              <w:contextualSpacing w:val="0"/>
              <w:jc w:val="both"/>
              <w:rPr>
                <w:sz w:val="20"/>
                <w:szCs w:val="20"/>
              </w:rPr>
            </w:pPr>
            <w:r w:rsidRPr="00B513F4">
              <w:rPr>
                <w:sz w:val="20"/>
                <w:szCs w:val="20"/>
              </w:rPr>
              <w:t>The Civil Service Act decentralizes HR management for public servants to ‘managing ministries’ (</w:t>
            </w:r>
            <w:r w:rsidRPr="00B513F4">
              <w:rPr>
                <w:rFonts w:cstheme="minorHAnsi"/>
                <w:sz w:val="20"/>
                <w:szCs w:val="20"/>
              </w:rPr>
              <w:t>§</w:t>
            </w:r>
            <w:r w:rsidRPr="00B513F4">
              <w:rPr>
                <w:sz w:val="20"/>
                <w:szCs w:val="20"/>
              </w:rPr>
              <w:t>9), while giving the Ministry of Labor and Public Service a coordinating, framework setting, and monitoring role. This includes discussing with other ministries how to increase the efficiency of the civil service, and developing and maintaining a Personnel Information Management system (with the MOF</w:t>
            </w:r>
            <w:r w:rsidR="000754F1">
              <w:rPr>
                <w:sz w:val="20"/>
                <w:szCs w:val="20"/>
              </w:rPr>
              <w:t>EP</w:t>
            </w:r>
            <w:r w:rsidRPr="00B513F4">
              <w:rPr>
                <w:sz w:val="20"/>
                <w:szCs w:val="20"/>
              </w:rPr>
              <w:t>) (</w:t>
            </w:r>
            <w:r w:rsidRPr="00B513F4">
              <w:rPr>
                <w:rFonts w:cstheme="minorHAnsi"/>
                <w:sz w:val="20"/>
                <w:szCs w:val="20"/>
              </w:rPr>
              <w:t>§</w:t>
            </w:r>
            <w:r w:rsidRPr="00B513F4">
              <w:rPr>
                <w:sz w:val="20"/>
                <w:szCs w:val="20"/>
              </w:rPr>
              <w:t>10). The M</w:t>
            </w:r>
            <w:r w:rsidR="00C941B0">
              <w:rPr>
                <w:sz w:val="20"/>
                <w:szCs w:val="20"/>
              </w:rPr>
              <w:t>o</w:t>
            </w:r>
            <w:r w:rsidRPr="00B513F4">
              <w:rPr>
                <w:sz w:val="20"/>
                <w:szCs w:val="20"/>
              </w:rPr>
              <w:t>LPS is assigned a role in approving the establishment structure of other ministries (</w:t>
            </w:r>
            <w:r w:rsidRPr="00B513F4">
              <w:rPr>
                <w:rFonts w:ascii="Calibri" w:hAnsi="Calibri" w:cs="Calibri"/>
                <w:sz w:val="20"/>
                <w:szCs w:val="20"/>
              </w:rPr>
              <w:t>§</w:t>
            </w:r>
            <w:r w:rsidRPr="00B513F4">
              <w:rPr>
                <w:sz w:val="20"/>
                <w:szCs w:val="20"/>
              </w:rPr>
              <w:t xml:space="preserve">24). Moreover, chapter 12, </w:t>
            </w:r>
            <w:r w:rsidRPr="00B513F4">
              <w:rPr>
                <w:rFonts w:cstheme="minorHAnsi"/>
                <w:sz w:val="20"/>
                <w:szCs w:val="20"/>
              </w:rPr>
              <w:t>§</w:t>
            </w:r>
            <w:r w:rsidRPr="00B513F4">
              <w:rPr>
                <w:sz w:val="20"/>
                <w:szCs w:val="20"/>
              </w:rPr>
              <w:t>81 gives the Ministry of Public Service the power to deem employees of other ministries as not needed and to propose</w:t>
            </w:r>
            <w:r>
              <w:rPr>
                <w:sz w:val="20"/>
                <w:szCs w:val="20"/>
              </w:rPr>
              <w:t xml:space="preserve"> redeployment or redundancy.</w:t>
            </w:r>
          </w:p>
          <w:p w14:paraId="744D86C2" w14:textId="229FB832" w:rsidR="00F97AAF" w:rsidRPr="00B513F4" w:rsidRDefault="00F97AAF" w:rsidP="00C0377E">
            <w:pPr>
              <w:pStyle w:val="ListParagraph"/>
              <w:ind w:left="0"/>
              <w:contextualSpacing w:val="0"/>
              <w:jc w:val="both"/>
              <w:rPr>
                <w:sz w:val="20"/>
                <w:szCs w:val="20"/>
              </w:rPr>
            </w:pPr>
            <w:r w:rsidRPr="00B513F4">
              <w:rPr>
                <w:sz w:val="20"/>
                <w:szCs w:val="20"/>
              </w:rPr>
              <w:t xml:space="preserve">Undersecretaries in each ministry (or most senior civil servants in other institutions) are the appointing managers and are tasked to oversee the drafting and revisions of job descriptions. </w:t>
            </w:r>
            <w:r>
              <w:rPr>
                <w:sz w:val="20"/>
                <w:szCs w:val="20"/>
              </w:rPr>
              <w:t>‘</w:t>
            </w:r>
            <w:r w:rsidRPr="00B513F4">
              <w:rPr>
                <w:sz w:val="20"/>
                <w:szCs w:val="20"/>
              </w:rPr>
              <w:t>Nominal rolls</w:t>
            </w:r>
            <w:r>
              <w:rPr>
                <w:sz w:val="20"/>
                <w:szCs w:val="20"/>
              </w:rPr>
              <w:t>’</w:t>
            </w:r>
            <w:r w:rsidRPr="00B513F4">
              <w:rPr>
                <w:sz w:val="20"/>
                <w:szCs w:val="20"/>
              </w:rPr>
              <w:t xml:space="preserve"> contain the number of positions in each institution for which funding has been approved for a given budget period (</w:t>
            </w:r>
            <w:r w:rsidRPr="00B513F4">
              <w:rPr>
                <w:rFonts w:cstheme="minorHAnsi"/>
                <w:sz w:val="20"/>
                <w:szCs w:val="20"/>
              </w:rPr>
              <w:t>§</w:t>
            </w:r>
            <w:r w:rsidRPr="00B513F4">
              <w:rPr>
                <w:sz w:val="20"/>
                <w:szCs w:val="20"/>
              </w:rPr>
              <w:t xml:space="preserve">26); approvals are to be given by the Ministry of Public Service. For a position to be filled, it must be vacant, must have funds allocated in the budget, and must be in the </w:t>
            </w:r>
            <w:r>
              <w:rPr>
                <w:sz w:val="20"/>
                <w:szCs w:val="20"/>
              </w:rPr>
              <w:t>n</w:t>
            </w:r>
            <w:r w:rsidRPr="00B513F4">
              <w:rPr>
                <w:sz w:val="20"/>
                <w:szCs w:val="20"/>
              </w:rPr>
              <w:t xml:space="preserve">ominal </w:t>
            </w:r>
            <w:r>
              <w:rPr>
                <w:sz w:val="20"/>
                <w:szCs w:val="20"/>
              </w:rPr>
              <w:t>r</w:t>
            </w:r>
            <w:r w:rsidRPr="00B513F4">
              <w:rPr>
                <w:sz w:val="20"/>
                <w:szCs w:val="20"/>
              </w:rPr>
              <w:t xml:space="preserve">oll. </w:t>
            </w:r>
          </w:p>
          <w:p w14:paraId="5D37BE94" w14:textId="544E1B3F" w:rsidR="00F97AAF" w:rsidRPr="00B513F4" w:rsidRDefault="00F97AAF" w:rsidP="00C0377E">
            <w:pPr>
              <w:pStyle w:val="ListParagraph"/>
              <w:ind w:left="0"/>
              <w:contextualSpacing w:val="0"/>
              <w:jc w:val="both"/>
              <w:rPr>
                <w:sz w:val="20"/>
                <w:szCs w:val="20"/>
              </w:rPr>
            </w:pPr>
            <w:r w:rsidRPr="00B513F4">
              <w:rPr>
                <w:sz w:val="20"/>
                <w:szCs w:val="20"/>
              </w:rPr>
              <w:t>Selection criteria for recruitment as per the 2011 Act include years of experience, assessment of past performance (including of service in the SPLA)</w:t>
            </w:r>
            <w:r>
              <w:rPr>
                <w:sz w:val="20"/>
                <w:szCs w:val="20"/>
              </w:rPr>
              <w:t>,</w:t>
            </w:r>
            <w:r w:rsidRPr="00B513F4">
              <w:rPr>
                <w:sz w:val="20"/>
                <w:szCs w:val="20"/>
              </w:rPr>
              <w:t xml:space="preserve"> and (only as the third criterion) relevant education. Geographic balance is included as a (second to last ranked) criteria for recruitment (</w:t>
            </w:r>
            <w:r w:rsidRPr="00B513F4">
              <w:rPr>
                <w:rFonts w:cstheme="minorHAnsi"/>
                <w:sz w:val="20"/>
                <w:szCs w:val="20"/>
              </w:rPr>
              <w:t>§</w:t>
            </w:r>
            <w:r w:rsidRPr="00B513F4">
              <w:rPr>
                <w:sz w:val="20"/>
                <w:szCs w:val="20"/>
              </w:rPr>
              <w:t xml:space="preserve">32). The Ministry of Public Service has to clear appointments above grade 11 (the highest rank of a skilled worker). Skilled and </w:t>
            </w:r>
            <w:r>
              <w:rPr>
                <w:sz w:val="20"/>
                <w:szCs w:val="20"/>
              </w:rPr>
              <w:t>u</w:t>
            </w:r>
            <w:r w:rsidRPr="00B513F4">
              <w:rPr>
                <w:sz w:val="20"/>
                <w:szCs w:val="20"/>
              </w:rPr>
              <w:t>nskilled workers are hired directly (grades 11</w:t>
            </w:r>
            <w:r>
              <w:rPr>
                <w:sz w:val="20"/>
                <w:szCs w:val="20"/>
              </w:rPr>
              <w:t>–</w:t>
            </w:r>
            <w:r w:rsidRPr="00B513F4">
              <w:rPr>
                <w:sz w:val="20"/>
                <w:szCs w:val="20"/>
              </w:rPr>
              <w:t xml:space="preserve">17). Grades are set out in </w:t>
            </w:r>
            <w:r w:rsidRPr="00B513F4">
              <w:rPr>
                <w:rFonts w:cstheme="minorHAnsi"/>
                <w:sz w:val="20"/>
                <w:szCs w:val="20"/>
              </w:rPr>
              <w:t>§</w:t>
            </w:r>
            <w:r w:rsidRPr="00B513F4">
              <w:rPr>
                <w:sz w:val="20"/>
                <w:szCs w:val="20"/>
              </w:rPr>
              <w:t>99, ranging from 1 (top) to 17 (unskilled)</w:t>
            </w:r>
            <w:r>
              <w:rPr>
                <w:sz w:val="20"/>
                <w:szCs w:val="20"/>
              </w:rPr>
              <w:t>.</w:t>
            </w:r>
          </w:p>
          <w:p w14:paraId="3E972894" w14:textId="53782DF5" w:rsidR="00F97AAF" w:rsidRPr="00B513F4" w:rsidRDefault="00F97AAF" w:rsidP="00C0377E">
            <w:pPr>
              <w:pStyle w:val="ListParagraph"/>
              <w:ind w:left="0"/>
              <w:jc w:val="both"/>
              <w:rPr>
                <w:sz w:val="20"/>
                <w:szCs w:val="20"/>
              </w:rPr>
            </w:pPr>
            <w:r w:rsidRPr="00B513F4">
              <w:rPr>
                <w:sz w:val="20"/>
                <w:szCs w:val="20"/>
              </w:rPr>
              <w:lastRenderedPageBreak/>
              <w:t>The law also sets out a preference clause for former SPLM/A personnel (</w:t>
            </w:r>
            <w:r w:rsidRPr="00B513F4">
              <w:rPr>
                <w:rFonts w:cstheme="minorHAnsi"/>
                <w:sz w:val="20"/>
                <w:szCs w:val="20"/>
              </w:rPr>
              <w:t>§</w:t>
            </w:r>
            <w:r w:rsidRPr="00B513F4">
              <w:rPr>
                <w:sz w:val="20"/>
                <w:szCs w:val="20"/>
              </w:rPr>
              <w:t>38); and for this personnel the Ministry of Public Service is to organize in-service training programs. Temporary employment in the civil service is possible for up to 6 months (</w:t>
            </w:r>
            <w:r w:rsidRPr="00B513F4">
              <w:rPr>
                <w:rFonts w:cstheme="minorHAnsi"/>
                <w:sz w:val="20"/>
                <w:szCs w:val="20"/>
              </w:rPr>
              <w:t>§</w:t>
            </w:r>
            <w:r w:rsidRPr="00B513F4">
              <w:rPr>
                <w:sz w:val="20"/>
                <w:szCs w:val="20"/>
              </w:rPr>
              <w:t>40).</w:t>
            </w:r>
          </w:p>
          <w:p w14:paraId="47FC966C" w14:textId="2C28C065" w:rsidR="00F97AAF" w:rsidRPr="00B513F4" w:rsidRDefault="00F97AAF" w:rsidP="00C0377E">
            <w:pPr>
              <w:pStyle w:val="ListParagraph"/>
              <w:ind w:left="0"/>
              <w:contextualSpacing w:val="0"/>
              <w:jc w:val="both"/>
              <w:rPr>
                <w:sz w:val="20"/>
                <w:szCs w:val="20"/>
              </w:rPr>
            </w:pPr>
            <w:r w:rsidRPr="00B513F4">
              <w:rPr>
                <w:sz w:val="20"/>
                <w:szCs w:val="20"/>
              </w:rPr>
              <w:t xml:space="preserve">The three acts on the Police Service, the Prison Service, and the Wildlife Service </w:t>
            </w:r>
            <w:r w:rsidR="00D76082">
              <w:rPr>
                <w:sz w:val="20"/>
                <w:szCs w:val="20"/>
              </w:rPr>
              <w:t>slightly</w:t>
            </w:r>
            <w:r w:rsidR="00D76082" w:rsidRPr="00B513F4">
              <w:rPr>
                <w:sz w:val="20"/>
                <w:szCs w:val="20"/>
              </w:rPr>
              <w:t xml:space="preserve"> </w:t>
            </w:r>
            <w:r w:rsidRPr="00B513F4">
              <w:rPr>
                <w:sz w:val="20"/>
                <w:szCs w:val="20"/>
              </w:rPr>
              <w:t xml:space="preserve">resemble each other. Both the police and the prison service are under the Ministry of Interior. All three services can be merged with the SPLA if deemed necessary by the </w:t>
            </w:r>
            <w:r>
              <w:rPr>
                <w:sz w:val="20"/>
                <w:szCs w:val="20"/>
              </w:rPr>
              <w:t>p</w:t>
            </w:r>
            <w:r w:rsidRPr="00B513F4">
              <w:rPr>
                <w:sz w:val="20"/>
                <w:szCs w:val="20"/>
              </w:rPr>
              <w:t xml:space="preserve">resident for security reasons (SPLA personnel can be assigned to any of the three services, and members of the three services can be asked to merge with the SPLA). </w:t>
            </w:r>
          </w:p>
          <w:p w14:paraId="40239336" w14:textId="77777777" w:rsidR="00F97AAF" w:rsidRPr="00B513F4" w:rsidRDefault="00F97AAF" w:rsidP="00C0377E">
            <w:pPr>
              <w:pStyle w:val="ListParagraph"/>
              <w:ind w:left="0"/>
              <w:contextualSpacing w:val="0"/>
              <w:jc w:val="both"/>
              <w:rPr>
                <w:sz w:val="20"/>
                <w:szCs w:val="20"/>
              </w:rPr>
            </w:pPr>
            <w:r w:rsidRPr="00B513F4">
              <w:rPr>
                <w:sz w:val="20"/>
                <w:szCs w:val="20"/>
              </w:rPr>
              <w:t xml:space="preserve">Police Act: The act applies explicitly to the national and the state level; the Wildlife Services covers service across all levels of government, including the local level. </w:t>
            </w:r>
          </w:p>
          <w:p w14:paraId="2FD360A0" w14:textId="6926FCE5" w:rsidR="00F97AAF" w:rsidRPr="00B513F4" w:rsidRDefault="00F97AAF" w:rsidP="00C0377E">
            <w:pPr>
              <w:pStyle w:val="ListParagraph"/>
              <w:ind w:left="0"/>
              <w:contextualSpacing w:val="0"/>
              <w:jc w:val="both"/>
              <w:rPr>
                <w:sz w:val="20"/>
                <w:szCs w:val="20"/>
              </w:rPr>
            </w:pPr>
            <w:r w:rsidRPr="00B513F4">
              <w:rPr>
                <w:sz w:val="20"/>
                <w:szCs w:val="20"/>
              </w:rPr>
              <w:t xml:space="preserve">Different from the </w:t>
            </w:r>
            <w:r w:rsidR="004E6543">
              <w:rPr>
                <w:sz w:val="20"/>
                <w:szCs w:val="20"/>
              </w:rPr>
              <w:t>C</w:t>
            </w:r>
            <w:r w:rsidRPr="00B513F4">
              <w:rPr>
                <w:sz w:val="20"/>
                <w:szCs w:val="20"/>
              </w:rPr>
              <w:t xml:space="preserve">ivil </w:t>
            </w:r>
            <w:r w:rsidR="004E6543">
              <w:rPr>
                <w:sz w:val="20"/>
                <w:szCs w:val="20"/>
              </w:rPr>
              <w:t>S</w:t>
            </w:r>
            <w:r w:rsidRPr="00B513F4">
              <w:rPr>
                <w:sz w:val="20"/>
                <w:szCs w:val="20"/>
              </w:rPr>
              <w:t xml:space="preserve">ervice </w:t>
            </w:r>
            <w:r w:rsidR="004E6543">
              <w:rPr>
                <w:sz w:val="20"/>
                <w:szCs w:val="20"/>
              </w:rPr>
              <w:t>L</w:t>
            </w:r>
            <w:r w:rsidRPr="00B513F4">
              <w:rPr>
                <w:sz w:val="20"/>
                <w:szCs w:val="20"/>
              </w:rPr>
              <w:t>aw, for the three organized services there is no formal establishment or nominal roll, or approval by the Ministry of Finance (</w:t>
            </w:r>
            <w:r w:rsidRPr="00B513F4">
              <w:rPr>
                <w:rFonts w:cstheme="minorHAnsi"/>
                <w:sz w:val="20"/>
                <w:szCs w:val="20"/>
              </w:rPr>
              <w:t>§</w:t>
            </w:r>
            <w:r w:rsidRPr="00B513F4">
              <w:rPr>
                <w:sz w:val="20"/>
                <w:szCs w:val="20"/>
              </w:rPr>
              <w:t xml:space="preserve">37 Police Service Act). For the Police Services, the </w:t>
            </w:r>
            <w:r w:rsidR="00D76082">
              <w:rPr>
                <w:sz w:val="20"/>
                <w:szCs w:val="20"/>
              </w:rPr>
              <w:t>m</w:t>
            </w:r>
            <w:r w:rsidRPr="00B513F4">
              <w:rPr>
                <w:sz w:val="20"/>
                <w:szCs w:val="20"/>
              </w:rPr>
              <w:t xml:space="preserve">inister and the </w:t>
            </w:r>
            <w:r w:rsidR="00D76082">
              <w:rPr>
                <w:sz w:val="20"/>
                <w:szCs w:val="20"/>
              </w:rPr>
              <w:t>i</w:t>
            </w:r>
            <w:r w:rsidRPr="00B513F4">
              <w:rPr>
                <w:sz w:val="20"/>
                <w:szCs w:val="20"/>
              </w:rPr>
              <w:t xml:space="preserve">nspector </w:t>
            </w:r>
            <w:r w:rsidR="00D76082">
              <w:rPr>
                <w:sz w:val="20"/>
                <w:szCs w:val="20"/>
              </w:rPr>
              <w:t>g</w:t>
            </w:r>
            <w:r w:rsidRPr="00B513F4">
              <w:rPr>
                <w:sz w:val="20"/>
                <w:szCs w:val="20"/>
              </w:rPr>
              <w:t xml:space="preserve">eneral of the Police Forces jointly determine the presence of vacancies. Police </w:t>
            </w:r>
            <w:r>
              <w:rPr>
                <w:sz w:val="20"/>
                <w:szCs w:val="20"/>
              </w:rPr>
              <w:t>S</w:t>
            </w:r>
            <w:r w:rsidRPr="00B513F4">
              <w:rPr>
                <w:sz w:val="20"/>
                <w:szCs w:val="20"/>
              </w:rPr>
              <w:t xml:space="preserve">ervice salaries are approved by the </w:t>
            </w:r>
            <w:r>
              <w:rPr>
                <w:sz w:val="20"/>
                <w:szCs w:val="20"/>
              </w:rPr>
              <w:t>p</w:t>
            </w:r>
            <w:r w:rsidRPr="00B513F4">
              <w:rPr>
                <w:sz w:val="20"/>
                <w:szCs w:val="20"/>
              </w:rPr>
              <w:t xml:space="preserve">resident upon recommendation by the </w:t>
            </w:r>
            <w:r>
              <w:rPr>
                <w:sz w:val="20"/>
                <w:szCs w:val="20"/>
              </w:rPr>
              <w:t>m</w:t>
            </w:r>
            <w:r w:rsidRPr="00B513F4">
              <w:rPr>
                <w:sz w:val="20"/>
                <w:szCs w:val="20"/>
              </w:rPr>
              <w:t>inister (</w:t>
            </w:r>
            <w:r w:rsidRPr="00B513F4">
              <w:rPr>
                <w:rFonts w:cstheme="minorHAnsi"/>
                <w:sz w:val="20"/>
                <w:szCs w:val="20"/>
              </w:rPr>
              <w:t>§</w:t>
            </w:r>
            <w:r w:rsidRPr="00B513F4">
              <w:rPr>
                <w:sz w:val="20"/>
                <w:szCs w:val="20"/>
              </w:rPr>
              <w:t>45); and similarly for the Prison Service (</w:t>
            </w:r>
            <w:r w:rsidRPr="00B513F4">
              <w:rPr>
                <w:rFonts w:cstheme="minorHAnsi"/>
                <w:sz w:val="20"/>
                <w:szCs w:val="20"/>
              </w:rPr>
              <w:t>§</w:t>
            </w:r>
            <w:r w:rsidRPr="00B513F4">
              <w:rPr>
                <w:sz w:val="20"/>
                <w:szCs w:val="20"/>
              </w:rPr>
              <w:t>25, 1)</w:t>
            </w:r>
            <w:r>
              <w:rPr>
                <w:sz w:val="20"/>
                <w:szCs w:val="20"/>
              </w:rPr>
              <w:t>.</w:t>
            </w:r>
          </w:p>
          <w:p w14:paraId="5B2EA414" w14:textId="08E4B6A7" w:rsidR="00F97AAF" w:rsidRPr="00B513F4" w:rsidRDefault="00F97AAF" w:rsidP="00C0377E">
            <w:pPr>
              <w:pStyle w:val="ListParagraph"/>
              <w:ind w:left="0"/>
              <w:contextualSpacing w:val="0"/>
              <w:jc w:val="both"/>
              <w:rPr>
                <w:sz w:val="20"/>
                <w:szCs w:val="20"/>
              </w:rPr>
            </w:pPr>
            <w:r w:rsidRPr="00B513F4">
              <w:rPr>
                <w:sz w:val="20"/>
                <w:szCs w:val="20"/>
              </w:rPr>
              <w:t xml:space="preserve">Similarly, for the </w:t>
            </w:r>
            <w:r>
              <w:rPr>
                <w:sz w:val="20"/>
                <w:szCs w:val="20"/>
              </w:rPr>
              <w:t>P</w:t>
            </w:r>
            <w:r w:rsidRPr="00B513F4">
              <w:rPr>
                <w:sz w:val="20"/>
                <w:szCs w:val="20"/>
              </w:rPr>
              <w:t xml:space="preserve">rison </w:t>
            </w:r>
            <w:r>
              <w:rPr>
                <w:sz w:val="20"/>
                <w:szCs w:val="20"/>
              </w:rPr>
              <w:t>S</w:t>
            </w:r>
            <w:r w:rsidRPr="00B513F4">
              <w:rPr>
                <w:sz w:val="20"/>
                <w:szCs w:val="20"/>
              </w:rPr>
              <w:t xml:space="preserve">ervice, there are no clear restrictions on staffing numbers. Budgets are to be prepared by the </w:t>
            </w:r>
            <w:r w:rsidR="00D76082">
              <w:rPr>
                <w:sz w:val="20"/>
                <w:szCs w:val="20"/>
              </w:rPr>
              <w:t>d</w:t>
            </w:r>
            <w:r w:rsidRPr="00B513F4">
              <w:rPr>
                <w:sz w:val="20"/>
                <w:szCs w:val="20"/>
              </w:rPr>
              <w:t xml:space="preserve">irector </w:t>
            </w:r>
            <w:r w:rsidR="00D76082">
              <w:rPr>
                <w:sz w:val="20"/>
                <w:szCs w:val="20"/>
              </w:rPr>
              <w:t>g</w:t>
            </w:r>
            <w:r w:rsidRPr="00B513F4">
              <w:rPr>
                <w:sz w:val="20"/>
                <w:szCs w:val="20"/>
              </w:rPr>
              <w:t xml:space="preserve">eneral and by </w:t>
            </w:r>
            <w:r w:rsidR="00D76082">
              <w:rPr>
                <w:sz w:val="20"/>
                <w:szCs w:val="20"/>
              </w:rPr>
              <w:t>s</w:t>
            </w:r>
            <w:r w:rsidRPr="00B513F4">
              <w:rPr>
                <w:sz w:val="20"/>
                <w:szCs w:val="20"/>
              </w:rPr>
              <w:t xml:space="preserve">tate </w:t>
            </w:r>
            <w:r w:rsidR="00D76082">
              <w:rPr>
                <w:sz w:val="20"/>
                <w:szCs w:val="20"/>
              </w:rPr>
              <w:t>d</w:t>
            </w:r>
            <w:r w:rsidRPr="00B513F4">
              <w:rPr>
                <w:sz w:val="20"/>
                <w:szCs w:val="20"/>
              </w:rPr>
              <w:t>irectors; and the role of the Ministry of Finance and Economic Planning is ‘to ensure that the Prison Service Budget is provided for’ (</w:t>
            </w:r>
            <w:r w:rsidRPr="00B513F4">
              <w:rPr>
                <w:rFonts w:cstheme="minorHAnsi"/>
                <w:sz w:val="20"/>
                <w:szCs w:val="20"/>
              </w:rPr>
              <w:t>§</w:t>
            </w:r>
            <w:r w:rsidRPr="00B513F4">
              <w:rPr>
                <w:sz w:val="20"/>
                <w:szCs w:val="20"/>
              </w:rPr>
              <w:t>23, 4)</w:t>
            </w:r>
            <w:r>
              <w:rPr>
                <w:sz w:val="20"/>
                <w:szCs w:val="20"/>
              </w:rPr>
              <w:t>.</w:t>
            </w:r>
          </w:p>
          <w:p w14:paraId="275977D2" w14:textId="3392BB40" w:rsidR="00F97AAF" w:rsidRPr="00B513F4" w:rsidRDefault="00F97AAF" w:rsidP="00C0377E">
            <w:pPr>
              <w:pStyle w:val="ListParagraph"/>
              <w:ind w:left="0"/>
              <w:contextualSpacing w:val="0"/>
              <w:jc w:val="both"/>
              <w:rPr>
                <w:sz w:val="20"/>
                <w:szCs w:val="20"/>
              </w:rPr>
            </w:pPr>
            <w:r w:rsidRPr="00B513F4">
              <w:rPr>
                <w:sz w:val="20"/>
                <w:szCs w:val="20"/>
              </w:rPr>
              <w:t>The pension age for regular civil servants is 65 years</w:t>
            </w:r>
            <w:r w:rsidR="00D76082">
              <w:rPr>
                <w:sz w:val="20"/>
                <w:szCs w:val="20"/>
              </w:rPr>
              <w:t xml:space="preserve"> and</w:t>
            </w:r>
            <w:r w:rsidRPr="00B513F4">
              <w:rPr>
                <w:sz w:val="20"/>
                <w:szCs w:val="20"/>
              </w:rPr>
              <w:t xml:space="preserve"> for police officers, prison officers, and wildlife officers it is 60 years. However, a pension system yet remains to be established.</w:t>
            </w:r>
          </w:p>
        </w:tc>
      </w:tr>
    </w:tbl>
    <w:p w14:paraId="48124C70" w14:textId="77777777" w:rsidR="00F97AAF" w:rsidRPr="00B513F4" w:rsidRDefault="00F97AAF" w:rsidP="00F97AAF">
      <w:pPr>
        <w:pStyle w:val="ListParagraph"/>
        <w:ind w:left="0"/>
        <w:jc w:val="both"/>
      </w:pPr>
    </w:p>
    <w:p w14:paraId="010B4221" w14:textId="77777777" w:rsidR="00F97AAF" w:rsidRPr="00B513F4" w:rsidRDefault="00F97AAF" w:rsidP="00F97AAF">
      <w:pPr>
        <w:pStyle w:val="Heading3"/>
      </w:pPr>
      <w:bookmarkStart w:id="41" w:name="_Toc447892404"/>
      <w:r w:rsidRPr="00B513F4">
        <w:t>5.6 Donor support for civil service capacity building and reforms</w:t>
      </w:r>
      <w:bookmarkEnd w:id="41"/>
      <w:r w:rsidRPr="00B513F4">
        <w:t xml:space="preserve"> </w:t>
      </w:r>
    </w:p>
    <w:p w14:paraId="27F48C82" w14:textId="24170552" w:rsidR="00F97AAF" w:rsidRPr="00B513F4" w:rsidRDefault="00F97AAF" w:rsidP="00F97AAF">
      <w:pPr>
        <w:jc w:val="both"/>
      </w:pPr>
      <w:r w:rsidRPr="00B513F4">
        <w:t xml:space="preserve">Overall aid levels to South Sudan are substantial and have grown rapidly between 2006 and 2012/13 (Table 14). In per capita terms, South Sudan received about </w:t>
      </w:r>
      <w:r>
        <w:t>US$</w:t>
      </w:r>
      <w:r w:rsidRPr="00B513F4">
        <w:t xml:space="preserve">130 per </w:t>
      </w:r>
      <w:r>
        <w:t>year</w:t>
      </w:r>
      <w:r w:rsidRPr="00B513F4">
        <w:t xml:space="preserve"> on average during the period 2010</w:t>
      </w:r>
      <w:r>
        <w:t>–</w:t>
      </w:r>
      <w:r w:rsidRPr="00B513F4">
        <w:t xml:space="preserve">2013 (in commitments), above the averages for several other postconflict countries (Liberia: </w:t>
      </w:r>
      <w:r>
        <w:t>US$</w:t>
      </w:r>
      <w:r w:rsidRPr="00B513F4">
        <w:t xml:space="preserve">112 per capita, Afghanistan: </w:t>
      </w:r>
      <w:r>
        <w:t>US$</w:t>
      </w:r>
      <w:r w:rsidRPr="00B513F4">
        <w:t>103, D</w:t>
      </w:r>
      <w:r>
        <w:t xml:space="preserve">emocratic </w:t>
      </w:r>
      <w:r w:rsidRPr="00B513F4">
        <w:t>R</w:t>
      </w:r>
      <w:r>
        <w:t>epublic</w:t>
      </w:r>
      <w:r w:rsidRPr="00B513F4">
        <w:t xml:space="preserve"> </w:t>
      </w:r>
      <w:r>
        <w:t xml:space="preserve">of </w:t>
      </w:r>
      <w:r w:rsidRPr="00B513F4">
        <w:t>Congo: 37 per capita averages for 2002</w:t>
      </w:r>
      <w:r>
        <w:t>–</w:t>
      </w:r>
      <w:r w:rsidRPr="00B513F4">
        <w:t>08; see World Bank 2012</w:t>
      </w:r>
      <w:r w:rsidR="000754F1">
        <w:t>c</w:t>
      </w:r>
      <w:r w:rsidRPr="00B513F4">
        <w:t>). Recognizing the needs of a newly independent country, as part of this, international partners provided significant support to institutional development and capacity building over the decade since 2003.</w:t>
      </w:r>
    </w:p>
    <w:p w14:paraId="1FD30179" w14:textId="20106238" w:rsidR="00F97AAF" w:rsidRDefault="00F97AAF" w:rsidP="00F97AAF">
      <w:pPr>
        <w:pStyle w:val="Caption"/>
        <w:keepNext/>
      </w:pPr>
      <w:r>
        <w:t xml:space="preserve">Table </w:t>
      </w:r>
      <w:fldSimple w:instr=" SEQ Table \* ARABIC ">
        <w:r>
          <w:rPr>
            <w:noProof/>
          </w:rPr>
          <w:t>14</w:t>
        </w:r>
      </w:fldSimple>
      <w:r>
        <w:t xml:space="preserve">. </w:t>
      </w:r>
      <w:r w:rsidRPr="008F7363">
        <w:t>Donor Commitments and Expenditure 2006</w:t>
      </w:r>
      <w:r>
        <w:t>–</w:t>
      </w:r>
      <w:r w:rsidRPr="008F7363">
        <w:t>2013/14, in US</w:t>
      </w:r>
      <w:r>
        <w:t>$,</w:t>
      </w:r>
      <w:r w:rsidRPr="008F7363">
        <w:t xml:space="preserve"> m</w:t>
      </w:r>
      <w:r>
        <w:t>illions</w:t>
      </w:r>
    </w:p>
    <w:tbl>
      <w:tblPr>
        <w:tblStyle w:val="TableGrid"/>
        <w:tblW w:w="8982"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440"/>
        <w:gridCol w:w="792"/>
        <w:gridCol w:w="900"/>
        <w:gridCol w:w="810"/>
        <w:gridCol w:w="900"/>
        <w:gridCol w:w="900"/>
        <w:gridCol w:w="990"/>
        <w:gridCol w:w="1080"/>
        <w:gridCol w:w="1170"/>
      </w:tblGrid>
      <w:tr w:rsidR="00F97AAF" w:rsidRPr="00FA6F6C" w14:paraId="7B36F0DC" w14:textId="77777777" w:rsidTr="00C0377E">
        <w:trPr>
          <w:trHeight w:val="333"/>
          <w:tblHeader/>
          <w:jc w:val="center"/>
        </w:trPr>
        <w:tc>
          <w:tcPr>
            <w:tcW w:w="1440" w:type="dxa"/>
          </w:tcPr>
          <w:p w14:paraId="7CEC49CF" w14:textId="77777777" w:rsidR="00F97AAF" w:rsidRPr="00FA6F6C" w:rsidRDefault="00F97AAF" w:rsidP="00C0377E">
            <w:pPr>
              <w:autoSpaceDE w:val="0"/>
              <w:autoSpaceDN w:val="0"/>
              <w:adjustRightInd w:val="0"/>
              <w:spacing w:after="0" w:line="240" w:lineRule="auto"/>
              <w:rPr>
                <w:rFonts w:cs="Times New Roman"/>
                <w:b/>
                <w:color w:val="000000"/>
                <w:sz w:val="20"/>
                <w:szCs w:val="20"/>
              </w:rPr>
            </w:pPr>
          </w:p>
        </w:tc>
        <w:tc>
          <w:tcPr>
            <w:tcW w:w="792" w:type="dxa"/>
            <w:vAlign w:val="center"/>
          </w:tcPr>
          <w:p w14:paraId="0FD875A6" w14:textId="77777777" w:rsidR="00F97AAF" w:rsidRPr="00FA6F6C" w:rsidRDefault="00F97AAF" w:rsidP="00C0377E">
            <w:pPr>
              <w:autoSpaceDE w:val="0"/>
              <w:autoSpaceDN w:val="0"/>
              <w:adjustRightInd w:val="0"/>
              <w:spacing w:after="0" w:line="240" w:lineRule="auto"/>
              <w:jc w:val="center"/>
              <w:rPr>
                <w:rFonts w:cs="Times New Roman"/>
                <w:b/>
                <w:color w:val="000000"/>
                <w:sz w:val="20"/>
                <w:szCs w:val="20"/>
              </w:rPr>
            </w:pPr>
            <w:r w:rsidRPr="00FA6F6C">
              <w:rPr>
                <w:rFonts w:cs="Times New Roman"/>
                <w:b/>
                <w:color w:val="000000"/>
                <w:sz w:val="20"/>
                <w:szCs w:val="20"/>
              </w:rPr>
              <w:t>2006</w:t>
            </w:r>
          </w:p>
        </w:tc>
        <w:tc>
          <w:tcPr>
            <w:tcW w:w="900" w:type="dxa"/>
            <w:vAlign w:val="center"/>
          </w:tcPr>
          <w:p w14:paraId="7E26270F" w14:textId="77777777" w:rsidR="00F97AAF" w:rsidRPr="00FA6F6C" w:rsidRDefault="00F97AAF" w:rsidP="00C0377E">
            <w:pPr>
              <w:autoSpaceDE w:val="0"/>
              <w:autoSpaceDN w:val="0"/>
              <w:adjustRightInd w:val="0"/>
              <w:spacing w:after="0" w:line="240" w:lineRule="auto"/>
              <w:jc w:val="center"/>
              <w:rPr>
                <w:rFonts w:cs="Times New Roman"/>
                <w:b/>
                <w:color w:val="000000"/>
                <w:sz w:val="20"/>
                <w:szCs w:val="20"/>
              </w:rPr>
            </w:pPr>
            <w:r w:rsidRPr="00FA6F6C">
              <w:rPr>
                <w:rFonts w:cs="Times New Roman"/>
                <w:b/>
                <w:color w:val="000000"/>
                <w:sz w:val="20"/>
                <w:szCs w:val="20"/>
              </w:rPr>
              <w:t>2007</w:t>
            </w:r>
          </w:p>
        </w:tc>
        <w:tc>
          <w:tcPr>
            <w:tcW w:w="810" w:type="dxa"/>
            <w:vAlign w:val="center"/>
          </w:tcPr>
          <w:p w14:paraId="18B56EC6" w14:textId="77777777" w:rsidR="00F97AAF" w:rsidRPr="00FA6F6C" w:rsidRDefault="00F97AAF" w:rsidP="00C0377E">
            <w:pPr>
              <w:autoSpaceDE w:val="0"/>
              <w:autoSpaceDN w:val="0"/>
              <w:adjustRightInd w:val="0"/>
              <w:spacing w:after="0" w:line="240" w:lineRule="auto"/>
              <w:jc w:val="center"/>
              <w:rPr>
                <w:rFonts w:cs="Times New Roman"/>
                <w:b/>
                <w:color w:val="000000"/>
                <w:sz w:val="20"/>
                <w:szCs w:val="20"/>
              </w:rPr>
            </w:pPr>
            <w:r w:rsidRPr="00FA6F6C">
              <w:rPr>
                <w:rFonts w:cs="Times New Roman"/>
                <w:b/>
                <w:color w:val="000000"/>
                <w:sz w:val="20"/>
                <w:szCs w:val="20"/>
              </w:rPr>
              <w:t>2008</w:t>
            </w:r>
          </w:p>
        </w:tc>
        <w:tc>
          <w:tcPr>
            <w:tcW w:w="900" w:type="dxa"/>
            <w:vAlign w:val="center"/>
          </w:tcPr>
          <w:p w14:paraId="03677361" w14:textId="77777777" w:rsidR="00F97AAF" w:rsidRPr="00FA6F6C" w:rsidRDefault="00F97AAF" w:rsidP="00C0377E">
            <w:pPr>
              <w:autoSpaceDE w:val="0"/>
              <w:autoSpaceDN w:val="0"/>
              <w:adjustRightInd w:val="0"/>
              <w:spacing w:after="0" w:line="240" w:lineRule="auto"/>
              <w:jc w:val="center"/>
              <w:rPr>
                <w:rFonts w:cs="Times New Roman"/>
                <w:b/>
                <w:color w:val="000000"/>
                <w:sz w:val="20"/>
                <w:szCs w:val="20"/>
              </w:rPr>
            </w:pPr>
            <w:r w:rsidRPr="00FA6F6C">
              <w:rPr>
                <w:rFonts w:cs="Times New Roman"/>
                <w:b/>
                <w:color w:val="000000"/>
                <w:sz w:val="20"/>
                <w:szCs w:val="20"/>
              </w:rPr>
              <w:t>2009</w:t>
            </w:r>
          </w:p>
        </w:tc>
        <w:tc>
          <w:tcPr>
            <w:tcW w:w="900" w:type="dxa"/>
            <w:vAlign w:val="center"/>
          </w:tcPr>
          <w:p w14:paraId="32C214B9" w14:textId="77777777" w:rsidR="00F97AAF" w:rsidRPr="00FA6F6C" w:rsidRDefault="00F97AAF" w:rsidP="00C0377E">
            <w:pPr>
              <w:autoSpaceDE w:val="0"/>
              <w:autoSpaceDN w:val="0"/>
              <w:adjustRightInd w:val="0"/>
              <w:spacing w:after="0" w:line="240" w:lineRule="auto"/>
              <w:jc w:val="center"/>
              <w:rPr>
                <w:rFonts w:cs="Times New Roman"/>
                <w:b/>
                <w:color w:val="000000"/>
                <w:sz w:val="20"/>
                <w:szCs w:val="20"/>
              </w:rPr>
            </w:pPr>
            <w:r w:rsidRPr="00FA6F6C">
              <w:rPr>
                <w:rFonts w:cs="Times New Roman"/>
                <w:b/>
                <w:color w:val="000000"/>
                <w:sz w:val="20"/>
                <w:szCs w:val="20"/>
              </w:rPr>
              <w:t>2010</w:t>
            </w:r>
          </w:p>
        </w:tc>
        <w:tc>
          <w:tcPr>
            <w:tcW w:w="990" w:type="dxa"/>
            <w:vAlign w:val="center"/>
          </w:tcPr>
          <w:p w14:paraId="5AA1D7CB" w14:textId="77777777" w:rsidR="00F97AAF" w:rsidRPr="00FA6F6C" w:rsidRDefault="00F97AAF" w:rsidP="00C0377E">
            <w:pPr>
              <w:autoSpaceDE w:val="0"/>
              <w:autoSpaceDN w:val="0"/>
              <w:adjustRightInd w:val="0"/>
              <w:spacing w:after="0" w:line="240" w:lineRule="auto"/>
              <w:jc w:val="center"/>
              <w:rPr>
                <w:rFonts w:cs="Times New Roman"/>
                <w:b/>
                <w:color w:val="000000"/>
                <w:sz w:val="20"/>
                <w:szCs w:val="20"/>
              </w:rPr>
            </w:pPr>
            <w:r w:rsidRPr="00FA6F6C">
              <w:rPr>
                <w:rFonts w:cs="Times New Roman"/>
                <w:b/>
                <w:color w:val="000000"/>
                <w:sz w:val="20"/>
                <w:szCs w:val="20"/>
              </w:rPr>
              <w:t>2011</w:t>
            </w:r>
          </w:p>
        </w:tc>
        <w:tc>
          <w:tcPr>
            <w:tcW w:w="1080" w:type="dxa"/>
            <w:vAlign w:val="center"/>
          </w:tcPr>
          <w:p w14:paraId="0DE077BE" w14:textId="77777777" w:rsidR="00F97AAF" w:rsidRPr="00FA6F6C" w:rsidRDefault="00F97AAF" w:rsidP="00C0377E">
            <w:pPr>
              <w:autoSpaceDE w:val="0"/>
              <w:autoSpaceDN w:val="0"/>
              <w:adjustRightInd w:val="0"/>
              <w:spacing w:after="0" w:line="240" w:lineRule="auto"/>
              <w:jc w:val="center"/>
              <w:rPr>
                <w:rFonts w:cs="Times New Roman"/>
                <w:b/>
                <w:color w:val="000000"/>
                <w:sz w:val="20"/>
                <w:szCs w:val="20"/>
              </w:rPr>
            </w:pPr>
            <w:r w:rsidRPr="00FA6F6C">
              <w:rPr>
                <w:rFonts w:cs="Times New Roman"/>
                <w:b/>
                <w:color w:val="000000"/>
                <w:sz w:val="20"/>
                <w:szCs w:val="20"/>
              </w:rPr>
              <w:t>2012/13</w:t>
            </w:r>
          </w:p>
        </w:tc>
        <w:tc>
          <w:tcPr>
            <w:tcW w:w="1170" w:type="dxa"/>
            <w:vAlign w:val="center"/>
          </w:tcPr>
          <w:p w14:paraId="775E6433" w14:textId="77777777" w:rsidR="00F97AAF" w:rsidRPr="00FA6F6C" w:rsidRDefault="00F97AAF" w:rsidP="00C0377E">
            <w:pPr>
              <w:autoSpaceDE w:val="0"/>
              <w:autoSpaceDN w:val="0"/>
              <w:adjustRightInd w:val="0"/>
              <w:spacing w:after="0" w:line="240" w:lineRule="auto"/>
              <w:jc w:val="center"/>
              <w:rPr>
                <w:rFonts w:cs="Times New Roman"/>
                <w:b/>
                <w:color w:val="000000"/>
                <w:sz w:val="20"/>
                <w:szCs w:val="20"/>
              </w:rPr>
            </w:pPr>
            <w:r w:rsidRPr="00FA6F6C">
              <w:rPr>
                <w:rFonts w:cs="Times New Roman"/>
                <w:b/>
                <w:color w:val="000000"/>
                <w:sz w:val="20"/>
                <w:szCs w:val="20"/>
              </w:rPr>
              <w:t>2013/14</w:t>
            </w:r>
          </w:p>
        </w:tc>
      </w:tr>
      <w:tr w:rsidR="00F97AAF" w:rsidRPr="00FA6F6C" w14:paraId="04BC108D" w14:textId="77777777" w:rsidTr="00C0377E">
        <w:trPr>
          <w:trHeight w:val="350"/>
          <w:jc w:val="center"/>
        </w:trPr>
        <w:tc>
          <w:tcPr>
            <w:tcW w:w="1440" w:type="dxa"/>
            <w:vAlign w:val="center"/>
          </w:tcPr>
          <w:p w14:paraId="05C31D57" w14:textId="77777777" w:rsidR="00F97AAF" w:rsidRPr="00FA6F6C" w:rsidRDefault="00F97AAF" w:rsidP="00C0377E">
            <w:pPr>
              <w:autoSpaceDE w:val="0"/>
              <w:autoSpaceDN w:val="0"/>
              <w:adjustRightInd w:val="0"/>
              <w:spacing w:after="0" w:line="240" w:lineRule="auto"/>
              <w:rPr>
                <w:rFonts w:cs="Times New Roman"/>
                <w:color w:val="000000"/>
                <w:sz w:val="20"/>
                <w:szCs w:val="20"/>
              </w:rPr>
            </w:pPr>
            <w:r w:rsidRPr="00FA6F6C">
              <w:rPr>
                <w:rFonts w:cs="Times New Roman"/>
                <w:color w:val="000000"/>
                <w:sz w:val="20"/>
                <w:szCs w:val="20"/>
              </w:rPr>
              <w:t>Commitments</w:t>
            </w:r>
          </w:p>
        </w:tc>
        <w:tc>
          <w:tcPr>
            <w:tcW w:w="792" w:type="dxa"/>
            <w:vAlign w:val="center"/>
          </w:tcPr>
          <w:p w14:paraId="294937FF" w14:textId="77777777" w:rsidR="00F97AAF" w:rsidRPr="00FA6F6C" w:rsidRDefault="00F97AAF" w:rsidP="00C0377E">
            <w:pPr>
              <w:autoSpaceDE w:val="0"/>
              <w:autoSpaceDN w:val="0"/>
              <w:adjustRightInd w:val="0"/>
              <w:spacing w:after="0" w:line="240" w:lineRule="auto"/>
              <w:jc w:val="center"/>
              <w:rPr>
                <w:rFonts w:cs="Times New Roman"/>
                <w:color w:val="000000"/>
                <w:sz w:val="20"/>
                <w:szCs w:val="20"/>
              </w:rPr>
            </w:pPr>
            <w:r w:rsidRPr="00FA6F6C">
              <w:rPr>
                <w:rFonts w:cs="Calibri"/>
                <w:color w:val="000000"/>
                <w:sz w:val="20"/>
                <w:szCs w:val="20"/>
              </w:rPr>
              <w:t>242.4</w:t>
            </w:r>
          </w:p>
        </w:tc>
        <w:tc>
          <w:tcPr>
            <w:tcW w:w="900" w:type="dxa"/>
            <w:vAlign w:val="center"/>
          </w:tcPr>
          <w:p w14:paraId="78F5FD9C" w14:textId="77777777" w:rsidR="00F97AAF" w:rsidRPr="00FA6F6C" w:rsidRDefault="00F97AAF" w:rsidP="00C0377E">
            <w:pPr>
              <w:autoSpaceDE w:val="0"/>
              <w:autoSpaceDN w:val="0"/>
              <w:adjustRightInd w:val="0"/>
              <w:spacing w:after="0" w:line="240" w:lineRule="auto"/>
              <w:jc w:val="center"/>
              <w:rPr>
                <w:rFonts w:cs="Times New Roman"/>
                <w:color w:val="000000"/>
                <w:sz w:val="20"/>
                <w:szCs w:val="20"/>
              </w:rPr>
            </w:pPr>
            <w:r w:rsidRPr="00FA6F6C">
              <w:rPr>
                <w:rFonts w:cs="Calibri"/>
                <w:color w:val="000000"/>
                <w:sz w:val="20"/>
                <w:szCs w:val="20"/>
              </w:rPr>
              <w:t>398.4</w:t>
            </w:r>
          </w:p>
        </w:tc>
        <w:tc>
          <w:tcPr>
            <w:tcW w:w="810" w:type="dxa"/>
            <w:vAlign w:val="center"/>
          </w:tcPr>
          <w:p w14:paraId="100F50EC" w14:textId="77777777" w:rsidR="00F97AAF" w:rsidRPr="00FA6F6C" w:rsidRDefault="00F97AAF" w:rsidP="00C0377E">
            <w:pPr>
              <w:autoSpaceDE w:val="0"/>
              <w:autoSpaceDN w:val="0"/>
              <w:adjustRightInd w:val="0"/>
              <w:spacing w:after="0" w:line="240" w:lineRule="auto"/>
              <w:jc w:val="center"/>
              <w:rPr>
                <w:rFonts w:cs="Times New Roman"/>
                <w:color w:val="000000"/>
                <w:sz w:val="20"/>
                <w:szCs w:val="20"/>
              </w:rPr>
            </w:pPr>
            <w:r w:rsidRPr="00FA6F6C">
              <w:rPr>
                <w:rFonts w:cs="Calibri"/>
                <w:color w:val="000000"/>
                <w:sz w:val="20"/>
                <w:szCs w:val="20"/>
              </w:rPr>
              <w:t>696.4</w:t>
            </w:r>
          </w:p>
        </w:tc>
        <w:tc>
          <w:tcPr>
            <w:tcW w:w="900" w:type="dxa"/>
            <w:vAlign w:val="center"/>
          </w:tcPr>
          <w:p w14:paraId="36A01BF7" w14:textId="77777777" w:rsidR="00F97AAF" w:rsidRPr="00FA6F6C" w:rsidRDefault="00F97AAF" w:rsidP="00C0377E">
            <w:pPr>
              <w:autoSpaceDE w:val="0"/>
              <w:autoSpaceDN w:val="0"/>
              <w:adjustRightInd w:val="0"/>
              <w:spacing w:after="0" w:line="240" w:lineRule="auto"/>
              <w:jc w:val="center"/>
              <w:rPr>
                <w:rFonts w:cs="Calibri"/>
                <w:color w:val="000000"/>
                <w:sz w:val="20"/>
                <w:szCs w:val="20"/>
              </w:rPr>
            </w:pPr>
            <w:r w:rsidRPr="00FA6F6C">
              <w:rPr>
                <w:rFonts w:cs="Calibri"/>
                <w:color w:val="000000"/>
                <w:sz w:val="20"/>
                <w:szCs w:val="20"/>
              </w:rPr>
              <w:t>884.6</w:t>
            </w:r>
          </w:p>
        </w:tc>
        <w:tc>
          <w:tcPr>
            <w:tcW w:w="900" w:type="dxa"/>
            <w:vAlign w:val="center"/>
          </w:tcPr>
          <w:p w14:paraId="375DAF58" w14:textId="77777777" w:rsidR="00F97AAF" w:rsidRPr="00FA6F6C" w:rsidRDefault="00F97AAF" w:rsidP="00C0377E">
            <w:pPr>
              <w:autoSpaceDE w:val="0"/>
              <w:autoSpaceDN w:val="0"/>
              <w:adjustRightInd w:val="0"/>
              <w:spacing w:after="0" w:line="240" w:lineRule="auto"/>
              <w:jc w:val="center"/>
              <w:rPr>
                <w:rFonts w:cs="Times New Roman"/>
                <w:color w:val="000000"/>
                <w:sz w:val="20"/>
                <w:szCs w:val="20"/>
              </w:rPr>
            </w:pPr>
            <w:r w:rsidRPr="00FA6F6C">
              <w:rPr>
                <w:rFonts w:cs="Calibri"/>
                <w:color w:val="000000"/>
                <w:sz w:val="20"/>
                <w:szCs w:val="20"/>
              </w:rPr>
              <w:t>1,279.7</w:t>
            </w:r>
          </w:p>
        </w:tc>
        <w:tc>
          <w:tcPr>
            <w:tcW w:w="990" w:type="dxa"/>
            <w:vAlign w:val="center"/>
          </w:tcPr>
          <w:p w14:paraId="201C89EE" w14:textId="77777777" w:rsidR="00F97AAF" w:rsidRPr="00FA6F6C" w:rsidRDefault="00F97AAF" w:rsidP="00C0377E">
            <w:pPr>
              <w:autoSpaceDE w:val="0"/>
              <w:autoSpaceDN w:val="0"/>
              <w:adjustRightInd w:val="0"/>
              <w:spacing w:after="0" w:line="240" w:lineRule="auto"/>
              <w:jc w:val="center"/>
              <w:rPr>
                <w:rFonts w:cs="Calibri"/>
                <w:color w:val="000000"/>
                <w:sz w:val="20"/>
                <w:szCs w:val="20"/>
              </w:rPr>
            </w:pPr>
            <w:r w:rsidRPr="00FA6F6C">
              <w:rPr>
                <w:rFonts w:cs="Calibri"/>
                <w:color w:val="000000"/>
                <w:sz w:val="20"/>
                <w:szCs w:val="20"/>
              </w:rPr>
              <w:t>1,394.1</w:t>
            </w:r>
          </w:p>
        </w:tc>
        <w:tc>
          <w:tcPr>
            <w:tcW w:w="1080" w:type="dxa"/>
            <w:vAlign w:val="center"/>
          </w:tcPr>
          <w:p w14:paraId="01E42377" w14:textId="77777777" w:rsidR="00F97AAF" w:rsidRPr="00FA6F6C" w:rsidRDefault="00F97AAF" w:rsidP="00C0377E">
            <w:pPr>
              <w:autoSpaceDE w:val="0"/>
              <w:autoSpaceDN w:val="0"/>
              <w:adjustRightInd w:val="0"/>
              <w:spacing w:after="0" w:line="240" w:lineRule="auto"/>
              <w:jc w:val="center"/>
              <w:rPr>
                <w:rFonts w:cs="Times New Roman"/>
                <w:color w:val="000000"/>
                <w:sz w:val="20"/>
                <w:szCs w:val="20"/>
              </w:rPr>
            </w:pPr>
            <w:r w:rsidRPr="00FA6F6C">
              <w:rPr>
                <w:rFonts w:cs="Calibri"/>
                <w:color w:val="000000"/>
                <w:sz w:val="20"/>
                <w:szCs w:val="20"/>
              </w:rPr>
              <w:t>1,404.9</w:t>
            </w:r>
          </w:p>
        </w:tc>
        <w:tc>
          <w:tcPr>
            <w:tcW w:w="1170" w:type="dxa"/>
            <w:vAlign w:val="center"/>
          </w:tcPr>
          <w:p w14:paraId="283141F5" w14:textId="77777777" w:rsidR="00F97AAF" w:rsidRPr="00FA6F6C" w:rsidRDefault="00F97AAF" w:rsidP="00C0377E">
            <w:pPr>
              <w:autoSpaceDE w:val="0"/>
              <w:autoSpaceDN w:val="0"/>
              <w:adjustRightInd w:val="0"/>
              <w:spacing w:after="0" w:line="240" w:lineRule="auto"/>
              <w:jc w:val="center"/>
              <w:rPr>
                <w:rFonts w:cs="Times New Roman"/>
                <w:color w:val="000000"/>
                <w:sz w:val="20"/>
                <w:szCs w:val="20"/>
              </w:rPr>
            </w:pPr>
            <w:r w:rsidRPr="00FA6F6C">
              <w:rPr>
                <w:rFonts w:cs="Calibri"/>
                <w:color w:val="000000"/>
                <w:sz w:val="20"/>
                <w:szCs w:val="20"/>
              </w:rPr>
              <w:t>719.9</w:t>
            </w:r>
          </w:p>
        </w:tc>
      </w:tr>
      <w:tr w:rsidR="00F97AAF" w:rsidRPr="00FA6F6C" w14:paraId="3C0113B8" w14:textId="77777777" w:rsidTr="00C0377E">
        <w:trPr>
          <w:trHeight w:val="350"/>
          <w:jc w:val="center"/>
        </w:trPr>
        <w:tc>
          <w:tcPr>
            <w:tcW w:w="1440" w:type="dxa"/>
            <w:vAlign w:val="center"/>
          </w:tcPr>
          <w:p w14:paraId="3DD3B2B6" w14:textId="77777777" w:rsidR="00F97AAF" w:rsidRPr="00FA6F6C" w:rsidRDefault="00F97AAF" w:rsidP="00C0377E">
            <w:pPr>
              <w:autoSpaceDE w:val="0"/>
              <w:autoSpaceDN w:val="0"/>
              <w:adjustRightInd w:val="0"/>
              <w:spacing w:after="0" w:line="240" w:lineRule="auto"/>
              <w:rPr>
                <w:rFonts w:cs="Times New Roman"/>
                <w:color w:val="000000"/>
                <w:sz w:val="20"/>
                <w:szCs w:val="20"/>
              </w:rPr>
            </w:pPr>
            <w:r w:rsidRPr="00FA6F6C">
              <w:rPr>
                <w:rFonts w:cs="Times New Roman"/>
                <w:color w:val="000000"/>
                <w:sz w:val="20"/>
                <w:szCs w:val="20"/>
              </w:rPr>
              <w:t>Disbursements</w:t>
            </w:r>
          </w:p>
        </w:tc>
        <w:tc>
          <w:tcPr>
            <w:tcW w:w="792" w:type="dxa"/>
            <w:vAlign w:val="center"/>
          </w:tcPr>
          <w:p w14:paraId="7D7BC083" w14:textId="77777777" w:rsidR="00F97AAF" w:rsidRPr="00FA6F6C" w:rsidRDefault="00F97AAF" w:rsidP="00C0377E">
            <w:pPr>
              <w:autoSpaceDE w:val="0"/>
              <w:autoSpaceDN w:val="0"/>
              <w:adjustRightInd w:val="0"/>
              <w:spacing w:after="0" w:line="240" w:lineRule="auto"/>
              <w:jc w:val="center"/>
              <w:rPr>
                <w:rFonts w:cs="Times New Roman"/>
                <w:color w:val="000000"/>
                <w:sz w:val="20"/>
                <w:szCs w:val="20"/>
              </w:rPr>
            </w:pPr>
            <w:r>
              <w:rPr>
                <w:rFonts w:cs="Times New Roman"/>
                <w:color w:val="000000"/>
                <w:sz w:val="20"/>
                <w:szCs w:val="20"/>
              </w:rPr>
              <w:t>—</w:t>
            </w:r>
          </w:p>
        </w:tc>
        <w:tc>
          <w:tcPr>
            <w:tcW w:w="900" w:type="dxa"/>
            <w:vAlign w:val="center"/>
          </w:tcPr>
          <w:p w14:paraId="0F955DF9" w14:textId="77777777" w:rsidR="00F97AAF" w:rsidRPr="00FA6F6C" w:rsidRDefault="00F97AAF" w:rsidP="00C0377E">
            <w:pPr>
              <w:autoSpaceDE w:val="0"/>
              <w:autoSpaceDN w:val="0"/>
              <w:adjustRightInd w:val="0"/>
              <w:spacing w:after="0" w:line="240" w:lineRule="auto"/>
              <w:jc w:val="center"/>
              <w:rPr>
                <w:rFonts w:cs="Times New Roman"/>
                <w:color w:val="000000"/>
                <w:sz w:val="20"/>
                <w:szCs w:val="20"/>
              </w:rPr>
            </w:pPr>
            <w:r>
              <w:rPr>
                <w:rFonts w:cs="Times New Roman"/>
                <w:color w:val="000000"/>
                <w:sz w:val="20"/>
                <w:szCs w:val="20"/>
              </w:rPr>
              <w:t>—</w:t>
            </w:r>
          </w:p>
        </w:tc>
        <w:tc>
          <w:tcPr>
            <w:tcW w:w="810" w:type="dxa"/>
            <w:vAlign w:val="center"/>
          </w:tcPr>
          <w:p w14:paraId="7042E103" w14:textId="77777777" w:rsidR="00F97AAF" w:rsidRPr="00FA6F6C" w:rsidRDefault="00F97AAF" w:rsidP="00C0377E">
            <w:pPr>
              <w:autoSpaceDE w:val="0"/>
              <w:autoSpaceDN w:val="0"/>
              <w:adjustRightInd w:val="0"/>
              <w:spacing w:after="0" w:line="240" w:lineRule="auto"/>
              <w:jc w:val="center"/>
              <w:rPr>
                <w:rFonts w:cs="Times New Roman"/>
                <w:color w:val="000000"/>
                <w:sz w:val="20"/>
                <w:szCs w:val="20"/>
              </w:rPr>
            </w:pPr>
            <w:r>
              <w:rPr>
                <w:rFonts w:cs="Times New Roman"/>
                <w:color w:val="000000"/>
                <w:sz w:val="20"/>
                <w:szCs w:val="20"/>
              </w:rPr>
              <w:t>—</w:t>
            </w:r>
          </w:p>
        </w:tc>
        <w:tc>
          <w:tcPr>
            <w:tcW w:w="900" w:type="dxa"/>
            <w:vAlign w:val="center"/>
          </w:tcPr>
          <w:p w14:paraId="50BF1BD6" w14:textId="77777777" w:rsidR="00F97AAF" w:rsidRPr="00FA6F6C" w:rsidRDefault="00F97AAF" w:rsidP="00C0377E">
            <w:pPr>
              <w:autoSpaceDE w:val="0"/>
              <w:autoSpaceDN w:val="0"/>
              <w:adjustRightInd w:val="0"/>
              <w:spacing w:after="0" w:line="240" w:lineRule="auto"/>
              <w:jc w:val="center"/>
              <w:rPr>
                <w:rFonts w:cs="Times New Roman"/>
                <w:color w:val="000000"/>
                <w:sz w:val="20"/>
                <w:szCs w:val="20"/>
              </w:rPr>
            </w:pPr>
            <w:r>
              <w:rPr>
                <w:rFonts w:cs="Times New Roman"/>
                <w:color w:val="000000"/>
                <w:sz w:val="20"/>
                <w:szCs w:val="20"/>
              </w:rPr>
              <w:t>—</w:t>
            </w:r>
          </w:p>
        </w:tc>
        <w:tc>
          <w:tcPr>
            <w:tcW w:w="900" w:type="dxa"/>
            <w:vAlign w:val="center"/>
          </w:tcPr>
          <w:p w14:paraId="4E9BC260" w14:textId="77777777" w:rsidR="00F97AAF" w:rsidRPr="00FA6F6C" w:rsidRDefault="00F97AAF" w:rsidP="00C0377E">
            <w:pPr>
              <w:autoSpaceDE w:val="0"/>
              <w:autoSpaceDN w:val="0"/>
              <w:adjustRightInd w:val="0"/>
              <w:spacing w:after="0" w:line="240" w:lineRule="auto"/>
              <w:jc w:val="center"/>
              <w:rPr>
                <w:rFonts w:cs="Times New Roman"/>
                <w:color w:val="000000"/>
                <w:sz w:val="20"/>
                <w:szCs w:val="20"/>
              </w:rPr>
            </w:pPr>
            <w:r w:rsidRPr="00FA6F6C">
              <w:rPr>
                <w:rFonts w:cs="Calibri"/>
                <w:color w:val="000000"/>
                <w:sz w:val="20"/>
                <w:szCs w:val="20"/>
              </w:rPr>
              <w:t>960.3</w:t>
            </w:r>
          </w:p>
        </w:tc>
        <w:tc>
          <w:tcPr>
            <w:tcW w:w="990" w:type="dxa"/>
            <w:vAlign w:val="center"/>
          </w:tcPr>
          <w:p w14:paraId="487CAA5A" w14:textId="77777777" w:rsidR="00F97AAF" w:rsidRPr="00FA6F6C" w:rsidRDefault="00F97AAF" w:rsidP="00C0377E">
            <w:pPr>
              <w:autoSpaceDE w:val="0"/>
              <w:autoSpaceDN w:val="0"/>
              <w:adjustRightInd w:val="0"/>
              <w:spacing w:after="0" w:line="240" w:lineRule="auto"/>
              <w:jc w:val="center"/>
              <w:rPr>
                <w:rFonts w:cs="Times New Roman"/>
                <w:color w:val="000000"/>
                <w:sz w:val="20"/>
                <w:szCs w:val="20"/>
              </w:rPr>
            </w:pPr>
            <w:r w:rsidRPr="00FA6F6C">
              <w:rPr>
                <w:rFonts w:cs="Calibri"/>
                <w:color w:val="000000"/>
                <w:sz w:val="20"/>
                <w:szCs w:val="20"/>
              </w:rPr>
              <w:t>688.4</w:t>
            </w:r>
          </w:p>
        </w:tc>
        <w:tc>
          <w:tcPr>
            <w:tcW w:w="1080" w:type="dxa"/>
            <w:vAlign w:val="center"/>
          </w:tcPr>
          <w:p w14:paraId="71A0117D" w14:textId="77777777" w:rsidR="00F97AAF" w:rsidRPr="00FA6F6C" w:rsidRDefault="00F97AAF" w:rsidP="00C0377E">
            <w:pPr>
              <w:autoSpaceDE w:val="0"/>
              <w:autoSpaceDN w:val="0"/>
              <w:adjustRightInd w:val="0"/>
              <w:spacing w:after="0" w:line="240" w:lineRule="auto"/>
              <w:jc w:val="center"/>
              <w:rPr>
                <w:rFonts w:cs="Times New Roman"/>
                <w:color w:val="000000"/>
                <w:sz w:val="20"/>
                <w:szCs w:val="20"/>
              </w:rPr>
            </w:pPr>
            <w:r>
              <w:rPr>
                <w:rFonts w:cs="Times New Roman"/>
                <w:color w:val="000000"/>
                <w:sz w:val="20"/>
                <w:szCs w:val="20"/>
              </w:rPr>
              <w:t>—</w:t>
            </w:r>
          </w:p>
        </w:tc>
        <w:tc>
          <w:tcPr>
            <w:tcW w:w="1170" w:type="dxa"/>
            <w:vAlign w:val="center"/>
          </w:tcPr>
          <w:p w14:paraId="24CBDD9A" w14:textId="77777777" w:rsidR="00F97AAF" w:rsidRPr="00FA6F6C" w:rsidRDefault="00F97AAF" w:rsidP="00C0377E">
            <w:pPr>
              <w:autoSpaceDE w:val="0"/>
              <w:autoSpaceDN w:val="0"/>
              <w:adjustRightInd w:val="0"/>
              <w:spacing w:after="0" w:line="240" w:lineRule="auto"/>
              <w:jc w:val="center"/>
              <w:rPr>
                <w:rFonts w:cs="Times New Roman"/>
                <w:color w:val="000000"/>
                <w:sz w:val="20"/>
                <w:szCs w:val="20"/>
              </w:rPr>
            </w:pPr>
            <w:r>
              <w:rPr>
                <w:rFonts w:cs="Times New Roman"/>
                <w:color w:val="000000"/>
                <w:sz w:val="20"/>
                <w:szCs w:val="20"/>
              </w:rPr>
              <w:t>—</w:t>
            </w:r>
          </w:p>
        </w:tc>
      </w:tr>
      <w:tr w:rsidR="00F97AAF" w:rsidRPr="00FA6F6C" w14:paraId="04A1FABF" w14:textId="77777777" w:rsidTr="00C0377E">
        <w:trPr>
          <w:trHeight w:val="530"/>
          <w:jc w:val="center"/>
        </w:trPr>
        <w:tc>
          <w:tcPr>
            <w:tcW w:w="1440" w:type="dxa"/>
            <w:vAlign w:val="center"/>
          </w:tcPr>
          <w:p w14:paraId="105E4B38" w14:textId="77777777" w:rsidR="00F97AAF" w:rsidRPr="00FA6F6C" w:rsidRDefault="00F97AAF" w:rsidP="00C0377E">
            <w:pPr>
              <w:autoSpaceDE w:val="0"/>
              <w:autoSpaceDN w:val="0"/>
              <w:adjustRightInd w:val="0"/>
              <w:spacing w:after="0" w:line="240" w:lineRule="auto"/>
              <w:rPr>
                <w:rFonts w:cs="Times New Roman"/>
                <w:color w:val="000000"/>
                <w:sz w:val="20"/>
                <w:szCs w:val="20"/>
              </w:rPr>
            </w:pPr>
            <w:r w:rsidRPr="00FA6F6C">
              <w:rPr>
                <w:rFonts w:cs="Times New Roman"/>
                <w:color w:val="000000"/>
                <w:sz w:val="20"/>
                <w:szCs w:val="20"/>
              </w:rPr>
              <w:t>Per capita</w:t>
            </w:r>
          </w:p>
          <w:p w14:paraId="0C7860DD" w14:textId="77777777" w:rsidR="00F97AAF" w:rsidRPr="00FA6F6C" w:rsidRDefault="00F97AAF" w:rsidP="00C0377E">
            <w:pPr>
              <w:autoSpaceDE w:val="0"/>
              <w:autoSpaceDN w:val="0"/>
              <w:adjustRightInd w:val="0"/>
              <w:spacing w:after="0" w:line="240" w:lineRule="auto"/>
              <w:rPr>
                <w:rFonts w:cs="Times New Roman"/>
                <w:color w:val="000000"/>
                <w:sz w:val="20"/>
                <w:szCs w:val="20"/>
              </w:rPr>
            </w:pPr>
            <w:r w:rsidRPr="00FA6F6C">
              <w:rPr>
                <w:rFonts w:cs="Times New Roman"/>
                <w:color w:val="000000"/>
                <w:sz w:val="20"/>
                <w:szCs w:val="20"/>
              </w:rPr>
              <w:t>commitments</w:t>
            </w:r>
          </w:p>
        </w:tc>
        <w:tc>
          <w:tcPr>
            <w:tcW w:w="792" w:type="dxa"/>
            <w:vAlign w:val="center"/>
          </w:tcPr>
          <w:p w14:paraId="0128B6A3" w14:textId="77777777" w:rsidR="00F97AAF" w:rsidRPr="00FA6F6C" w:rsidRDefault="00F97AAF" w:rsidP="00C0377E">
            <w:pPr>
              <w:spacing w:after="0" w:line="240" w:lineRule="auto"/>
              <w:jc w:val="center"/>
              <w:rPr>
                <w:color w:val="000000"/>
                <w:sz w:val="20"/>
                <w:szCs w:val="20"/>
              </w:rPr>
            </w:pPr>
            <w:r w:rsidRPr="00FA6F6C">
              <w:rPr>
                <w:color w:val="000000"/>
                <w:sz w:val="20"/>
                <w:szCs w:val="20"/>
              </w:rPr>
              <w:t>29</w:t>
            </w:r>
          </w:p>
        </w:tc>
        <w:tc>
          <w:tcPr>
            <w:tcW w:w="900" w:type="dxa"/>
            <w:vAlign w:val="center"/>
          </w:tcPr>
          <w:p w14:paraId="11F32F1C" w14:textId="77777777" w:rsidR="00F97AAF" w:rsidRPr="00FA6F6C" w:rsidRDefault="00F97AAF" w:rsidP="00C0377E">
            <w:pPr>
              <w:spacing w:after="0" w:line="240" w:lineRule="auto"/>
              <w:jc w:val="center"/>
              <w:rPr>
                <w:color w:val="000000"/>
                <w:sz w:val="20"/>
                <w:szCs w:val="20"/>
              </w:rPr>
            </w:pPr>
            <w:r w:rsidRPr="00FA6F6C">
              <w:rPr>
                <w:color w:val="000000"/>
                <w:sz w:val="20"/>
                <w:szCs w:val="20"/>
              </w:rPr>
              <w:t>46</w:t>
            </w:r>
          </w:p>
        </w:tc>
        <w:tc>
          <w:tcPr>
            <w:tcW w:w="810" w:type="dxa"/>
            <w:vAlign w:val="center"/>
          </w:tcPr>
          <w:p w14:paraId="3962F8E0" w14:textId="77777777" w:rsidR="00F97AAF" w:rsidRPr="00FA6F6C" w:rsidRDefault="00F97AAF" w:rsidP="00C0377E">
            <w:pPr>
              <w:spacing w:after="0" w:line="240" w:lineRule="auto"/>
              <w:jc w:val="center"/>
              <w:rPr>
                <w:color w:val="000000"/>
                <w:sz w:val="20"/>
                <w:szCs w:val="20"/>
              </w:rPr>
            </w:pPr>
            <w:r w:rsidRPr="00FA6F6C">
              <w:rPr>
                <w:color w:val="000000"/>
                <w:sz w:val="20"/>
                <w:szCs w:val="20"/>
              </w:rPr>
              <w:t>76</w:t>
            </w:r>
          </w:p>
        </w:tc>
        <w:tc>
          <w:tcPr>
            <w:tcW w:w="900" w:type="dxa"/>
            <w:vAlign w:val="center"/>
          </w:tcPr>
          <w:p w14:paraId="24F27518" w14:textId="77777777" w:rsidR="00F97AAF" w:rsidRPr="00FA6F6C" w:rsidRDefault="00F97AAF" w:rsidP="00C0377E">
            <w:pPr>
              <w:spacing w:after="0" w:line="240" w:lineRule="auto"/>
              <w:jc w:val="center"/>
              <w:rPr>
                <w:color w:val="000000"/>
                <w:sz w:val="20"/>
                <w:szCs w:val="20"/>
              </w:rPr>
            </w:pPr>
            <w:r w:rsidRPr="00FA6F6C">
              <w:rPr>
                <w:color w:val="000000"/>
                <w:sz w:val="20"/>
                <w:szCs w:val="20"/>
              </w:rPr>
              <w:t>93</w:t>
            </w:r>
          </w:p>
        </w:tc>
        <w:tc>
          <w:tcPr>
            <w:tcW w:w="900" w:type="dxa"/>
            <w:vAlign w:val="center"/>
          </w:tcPr>
          <w:p w14:paraId="0482CF12" w14:textId="77777777" w:rsidR="00F97AAF" w:rsidRPr="00FA6F6C" w:rsidRDefault="00F97AAF" w:rsidP="00C0377E">
            <w:pPr>
              <w:spacing w:after="0" w:line="240" w:lineRule="auto"/>
              <w:jc w:val="center"/>
              <w:rPr>
                <w:color w:val="000000"/>
                <w:sz w:val="20"/>
                <w:szCs w:val="20"/>
              </w:rPr>
            </w:pPr>
            <w:r w:rsidRPr="00FA6F6C">
              <w:rPr>
                <w:color w:val="000000"/>
                <w:sz w:val="20"/>
                <w:szCs w:val="20"/>
              </w:rPr>
              <w:t>129</w:t>
            </w:r>
          </w:p>
        </w:tc>
        <w:tc>
          <w:tcPr>
            <w:tcW w:w="990" w:type="dxa"/>
            <w:vAlign w:val="center"/>
          </w:tcPr>
          <w:p w14:paraId="294EA59B" w14:textId="77777777" w:rsidR="00F97AAF" w:rsidRPr="00FA6F6C" w:rsidRDefault="00F97AAF" w:rsidP="00C0377E">
            <w:pPr>
              <w:spacing w:after="0" w:line="240" w:lineRule="auto"/>
              <w:jc w:val="center"/>
              <w:rPr>
                <w:color w:val="000000"/>
                <w:sz w:val="20"/>
                <w:szCs w:val="20"/>
              </w:rPr>
            </w:pPr>
            <w:r w:rsidRPr="00FA6F6C">
              <w:rPr>
                <w:color w:val="000000"/>
                <w:sz w:val="20"/>
                <w:szCs w:val="20"/>
              </w:rPr>
              <w:t>134</w:t>
            </w:r>
          </w:p>
        </w:tc>
        <w:tc>
          <w:tcPr>
            <w:tcW w:w="1080" w:type="dxa"/>
            <w:vAlign w:val="center"/>
          </w:tcPr>
          <w:p w14:paraId="4933EA66" w14:textId="77777777" w:rsidR="00F97AAF" w:rsidRPr="00FA6F6C" w:rsidRDefault="00F97AAF" w:rsidP="00C0377E">
            <w:pPr>
              <w:spacing w:after="0" w:line="240" w:lineRule="auto"/>
              <w:jc w:val="center"/>
              <w:rPr>
                <w:color w:val="000000"/>
                <w:sz w:val="20"/>
                <w:szCs w:val="20"/>
              </w:rPr>
            </w:pPr>
            <w:r w:rsidRPr="00FA6F6C">
              <w:rPr>
                <w:color w:val="000000"/>
                <w:sz w:val="20"/>
                <w:szCs w:val="20"/>
              </w:rPr>
              <w:t>130</w:t>
            </w:r>
          </w:p>
        </w:tc>
        <w:tc>
          <w:tcPr>
            <w:tcW w:w="1170" w:type="dxa"/>
            <w:vAlign w:val="center"/>
          </w:tcPr>
          <w:p w14:paraId="67B422A5" w14:textId="77777777" w:rsidR="00F97AAF" w:rsidRPr="00FA6F6C" w:rsidRDefault="00F97AAF" w:rsidP="00C0377E">
            <w:pPr>
              <w:spacing w:after="0" w:line="240" w:lineRule="auto"/>
              <w:jc w:val="center"/>
              <w:rPr>
                <w:color w:val="000000"/>
                <w:sz w:val="20"/>
                <w:szCs w:val="20"/>
              </w:rPr>
            </w:pPr>
            <w:r w:rsidRPr="00FA6F6C">
              <w:rPr>
                <w:color w:val="000000"/>
                <w:sz w:val="20"/>
                <w:szCs w:val="20"/>
              </w:rPr>
              <w:t>66</w:t>
            </w:r>
          </w:p>
        </w:tc>
      </w:tr>
    </w:tbl>
    <w:p w14:paraId="551D2CF4" w14:textId="3AB03F07" w:rsidR="00F97AAF" w:rsidRPr="00B513F4" w:rsidRDefault="00F97AAF" w:rsidP="00F97AAF">
      <w:pPr>
        <w:spacing w:after="0" w:line="240" w:lineRule="auto"/>
        <w:jc w:val="both"/>
        <w:rPr>
          <w:sz w:val="20"/>
        </w:rPr>
      </w:pPr>
      <w:r w:rsidRPr="00B47CA5">
        <w:rPr>
          <w:i/>
          <w:sz w:val="20"/>
        </w:rPr>
        <w:t>Source:</w:t>
      </w:r>
      <w:r w:rsidRPr="00B513F4">
        <w:rPr>
          <w:sz w:val="20"/>
        </w:rPr>
        <w:t xml:space="preserve"> Republic of South Sudan Donor Book</w:t>
      </w:r>
      <w:r>
        <w:rPr>
          <w:sz w:val="20"/>
        </w:rPr>
        <w:t>.</w:t>
      </w:r>
    </w:p>
    <w:p w14:paraId="5B5275FD" w14:textId="2FEE88BC" w:rsidR="00F97AAF" w:rsidRPr="00B513F4" w:rsidRDefault="00F97AAF" w:rsidP="00F97AAF">
      <w:pPr>
        <w:spacing w:before="240"/>
        <w:jc w:val="both"/>
      </w:pPr>
      <w:r w:rsidRPr="00B513F4">
        <w:t>In 2011 alone, support to public sector policy and public administration, PFM, decentralization</w:t>
      </w:r>
      <w:r w:rsidR="00D76082">
        <w:t>,</w:t>
      </w:r>
      <w:r w:rsidRPr="00B513F4">
        <w:t xml:space="preserve"> and subnational capacity building amounted to </w:t>
      </w:r>
      <w:r>
        <w:t>US</w:t>
      </w:r>
      <w:r w:rsidRPr="00B513F4">
        <w:t>$94</w:t>
      </w:r>
      <w:r>
        <w:t xml:space="preserve"> </w:t>
      </w:r>
      <w:r w:rsidRPr="00B513F4">
        <w:t>m</w:t>
      </w:r>
      <w:r>
        <w:t>illion</w:t>
      </w:r>
      <w:r w:rsidRPr="00B513F4">
        <w:t xml:space="preserve"> in commitments and </w:t>
      </w:r>
      <w:r>
        <w:t>US</w:t>
      </w:r>
      <w:r w:rsidRPr="00B513F4">
        <w:t>$79.5</w:t>
      </w:r>
      <w:r>
        <w:t xml:space="preserve"> </w:t>
      </w:r>
      <w:r w:rsidRPr="00B513F4">
        <w:t>m</w:t>
      </w:r>
      <w:r>
        <w:t>illion</w:t>
      </w:r>
      <w:r w:rsidRPr="00B513F4">
        <w:t xml:space="preserve"> in </w:t>
      </w:r>
      <w:r w:rsidRPr="00B513F4">
        <w:lastRenderedPageBreak/>
        <w:t>disbursements (OECD aid statistics).</w:t>
      </w:r>
      <w:r w:rsidRPr="00B513F4">
        <w:rPr>
          <w:rStyle w:val="FootnoteReference"/>
        </w:rPr>
        <w:footnoteReference w:id="64"/>
      </w:r>
      <w:r w:rsidRPr="00B513F4">
        <w:t xml:space="preserve"> The main support vehicles have been the CBTF established in 2004, capacity</w:t>
      </w:r>
      <w:r>
        <w:t>-</w:t>
      </w:r>
      <w:r w:rsidRPr="00B513F4">
        <w:t xml:space="preserve">building projects under the </w:t>
      </w:r>
      <w:r w:rsidR="00842B26">
        <w:t>Multi-Donor Trust Fund South Sudan (</w:t>
      </w:r>
      <w:r w:rsidRPr="00B513F4">
        <w:t>MDTF-SS</w:t>
      </w:r>
      <w:r w:rsidR="00842B26">
        <w:t>)</w:t>
      </w:r>
      <w:r w:rsidRPr="00B513F4">
        <w:t>, D</w:t>
      </w:r>
      <w:r>
        <w:t>f</w:t>
      </w:r>
      <w:r w:rsidRPr="00B513F4">
        <w:t xml:space="preserve">ID’s SKILLS for South Sudan project, and the deployment of regional public servants funded and organized through the UNDP and through </w:t>
      </w:r>
      <w:r w:rsidR="00D76082">
        <w:t xml:space="preserve">the </w:t>
      </w:r>
      <w:r w:rsidR="000754F1">
        <w:t>Intergovernmental Authority on Development (</w:t>
      </w:r>
      <w:r w:rsidRPr="00D76082">
        <w:t>IGAD</w:t>
      </w:r>
      <w:r w:rsidR="000754F1">
        <w:t>)</w:t>
      </w:r>
      <w:r w:rsidRPr="00B513F4">
        <w:t xml:space="preserve">. </w:t>
      </w:r>
    </w:p>
    <w:p w14:paraId="05855397" w14:textId="24F4B3F6" w:rsidR="00F97AAF" w:rsidRPr="00B513F4" w:rsidRDefault="00F97AAF" w:rsidP="00F97AAF">
      <w:pPr>
        <w:jc w:val="both"/>
      </w:pPr>
      <w:r w:rsidRPr="00B513F4">
        <w:rPr>
          <w:b/>
        </w:rPr>
        <w:t>Broadly, these externally funded efforts can be grouped into four categories: establishing the physical infrastructure for government, efforts at developing systems (such as the HRMIS and the electronic payroll system), capacity ‘injection’ or ‘substitution’, and efforts at training of South Sudanese</w:t>
      </w:r>
      <w:r w:rsidRPr="000754F1">
        <w:rPr>
          <w:b/>
        </w:rPr>
        <w:t>.</w:t>
      </w:r>
      <w:r w:rsidRPr="00B513F4">
        <w:t xml:space="preserve"> These have been pursued at the national level, as well as to various degrees also at subnational levels. Of these categories, establishing physical infrastructure and capacity injection have received the relatively largest share of funds, including as part of th</w:t>
      </w:r>
      <w:r w:rsidR="000754F1">
        <w:t>e MDTF-SS, USAID support, the Budget Strengthening Initiative/</w:t>
      </w:r>
      <w:r w:rsidRPr="00B513F4">
        <w:t>D</w:t>
      </w:r>
      <w:r>
        <w:t>f</w:t>
      </w:r>
      <w:r w:rsidRPr="00B513F4">
        <w:t xml:space="preserve">ID </w:t>
      </w:r>
      <w:r>
        <w:t xml:space="preserve">initiative, and the IGAD/UNDP. </w:t>
      </w:r>
      <w:r w:rsidRPr="00B513F4">
        <w:t>These programs, in particular the USAID support, have also included training components. D</w:t>
      </w:r>
      <w:r>
        <w:t>f</w:t>
      </w:r>
      <w:r w:rsidRPr="00B513F4">
        <w:t xml:space="preserve">ID and funding channeled through the CBTF have most specifically targeted capacity and skills development, while the development of key systems has been the focus of the second phase of the CBTF. With regard to the latter, initial progress—especially with establishing an electronic payroll system—has been important, and at least the basic system has remained functional after an initial </w:t>
      </w:r>
      <w:r>
        <w:t>two</w:t>
      </w:r>
      <w:r w:rsidRPr="00B513F4">
        <w:t>-month</w:t>
      </w:r>
      <w:r>
        <w:t xml:space="preserve"> </w:t>
      </w:r>
      <w:r w:rsidRPr="00B513F4">
        <w:t>suspensio</w:t>
      </w:r>
      <w:r>
        <w:t>n during the 2013–1</w:t>
      </w:r>
      <w:r w:rsidR="00AB4D2A">
        <w:t>5</w:t>
      </w:r>
      <w:r>
        <w:t xml:space="preserve"> conflict.</w:t>
      </w:r>
    </w:p>
    <w:p w14:paraId="66E471D0" w14:textId="1EE6FCF0" w:rsidR="00F97AAF" w:rsidRPr="00FA6F6C" w:rsidRDefault="00F97AAF" w:rsidP="00F97AAF">
      <w:pPr>
        <w:jc w:val="both"/>
      </w:pPr>
      <w:r w:rsidRPr="00B513F4">
        <w:t>Based on the number of people trained by the range of donor initiatives, the overall number of civil servants that have been trained in some form can be (very roughly) estimated around 25,000 which would be equivalent to between half and a third of all civilian public sector staff. However, given the lack of comprehensive data collection, some civil servants—in particular those at higher grades—are likely to have received multiple trainings and others none. Also, a lot of the trainings offered, apart from English language courses, have been of relatively short duration, typically 5</w:t>
      </w:r>
      <w:r>
        <w:t>–</w:t>
      </w:r>
      <w:r w:rsidRPr="00B513F4">
        <w:t>15 days.</w:t>
      </w:r>
      <w:r w:rsidRPr="00B513F4">
        <w:rPr>
          <w:rStyle w:val="FootnoteReference"/>
        </w:rPr>
        <w:footnoteReference w:id="65"/>
      </w:r>
      <w:r w:rsidRPr="00B513F4">
        <w:t xml:space="preserve"> As </w:t>
      </w:r>
      <w:r w:rsidR="001D36E9">
        <w:t>t</w:t>
      </w:r>
      <w:r w:rsidRPr="00B513F4">
        <w:t>able 15 reflects, a significant number of efforts have been supporting various aspects of public sector deve</w:t>
      </w:r>
      <w:r>
        <w:t>lopment and capacity building.</w:t>
      </w:r>
    </w:p>
    <w:p w14:paraId="64EF2DF9" w14:textId="47DAED80" w:rsidR="00F97AAF" w:rsidRDefault="00F97AAF" w:rsidP="00F97AAF">
      <w:pPr>
        <w:pStyle w:val="Caption"/>
        <w:keepNext/>
      </w:pPr>
      <w:bookmarkStart w:id="42" w:name="_Ref447547106"/>
      <w:r>
        <w:t xml:space="preserve">Table </w:t>
      </w:r>
      <w:fldSimple w:instr=" SEQ Table \* ARABIC ">
        <w:r>
          <w:rPr>
            <w:noProof/>
          </w:rPr>
          <w:t>15</w:t>
        </w:r>
      </w:fldSimple>
      <w:bookmarkEnd w:id="42"/>
      <w:r>
        <w:t xml:space="preserve">. </w:t>
      </w:r>
      <w:r w:rsidRPr="00CA7992">
        <w:t xml:space="preserve">Donor-funded </w:t>
      </w:r>
      <w:r w:rsidR="001D36E9">
        <w:t>S</w:t>
      </w:r>
      <w:r w:rsidRPr="00CA7992">
        <w:t xml:space="preserve">upport for </w:t>
      </w:r>
      <w:r w:rsidR="001D36E9">
        <w:t>C</w:t>
      </w:r>
      <w:r w:rsidRPr="00CA7992">
        <w:t xml:space="preserve">apacity </w:t>
      </w:r>
      <w:r w:rsidR="001D36E9">
        <w:t>B</w:t>
      </w:r>
      <w:r w:rsidRPr="00CA7992">
        <w:t xml:space="preserve">uilding and </w:t>
      </w:r>
      <w:r w:rsidR="001D36E9">
        <w:t>C</w:t>
      </w:r>
      <w:r w:rsidRPr="00CA7992">
        <w:t xml:space="preserve">ivil </w:t>
      </w:r>
      <w:r w:rsidR="001D36E9">
        <w:t>S</w:t>
      </w:r>
      <w:r w:rsidRPr="00CA7992">
        <w:t xml:space="preserve">ervice </w:t>
      </w:r>
      <w:r w:rsidR="001D36E9">
        <w:t>R</w:t>
      </w:r>
      <w:r w:rsidRPr="00CA7992">
        <w:t>eforms</w:t>
      </w:r>
    </w:p>
    <w:tbl>
      <w:tblPr>
        <w:tblStyle w:val="TableGrid"/>
        <w:tblW w:w="9378" w:type="dxa"/>
        <w:jc w:val="center"/>
        <w:tblLayout w:type="fixed"/>
        <w:tblLook w:val="04A0" w:firstRow="1" w:lastRow="0" w:firstColumn="1" w:lastColumn="0" w:noHBand="0" w:noVBand="1"/>
      </w:tblPr>
      <w:tblGrid>
        <w:gridCol w:w="1800"/>
        <w:gridCol w:w="1620"/>
        <w:gridCol w:w="1440"/>
        <w:gridCol w:w="4518"/>
      </w:tblGrid>
      <w:tr w:rsidR="00F97AAF" w:rsidRPr="00292DE9" w14:paraId="1C35CFEF" w14:textId="77777777" w:rsidTr="00C0377E">
        <w:trPr>
          <w:tblHeader/>
          <w:jc w:val="center"/>
        </w:trPr>
        <w:tc>
          <w:tcPr>
            <w:tcW w:w="1800" w:type="dxa"/>
            <w:tcBorders>
              <w:top w:val="nil"/>
              <w:left w:val="nil"/>
              <w:bottom w:val="single" w:sz="4" w:space="0" w:color="auto"/>
              <w:right w:val="nil"/>
            </w:tcBorders>
            <w:shd w:val="clear" w:color="auto" w:fill="BDD6EE" w:themeFill="accent1" w:themeFillTint="66"/>
          </w:tcPr>
          <w:p w14:paraId="46C39B7F" w14:textId="77777777" w:rsidR="00F97AAF" w:rsidRPr="00292DE9" w:rsidRDefault="00F97AAF" w:rsidP="00C0377E">
            <w:pPr>
              <w:spacing w:after="0" w:line="240" w:lineRule="auto"/>
              <w:rPr>
                <w:b/>
                <w:sz w:val="20"/>
                <w:szCs w:val="20"/>
              </w:rPr>
            </w:pPr>
            <w:r w:rsidRPr="00292DE9">
              <w:rPr>
                <w:b/>
                <w:sz w:val="20"/>
                <w:szCs w:val="20"/>
              </w:rPr>
              <w:t>Program/Initiative</w:t>
            </w:r>
          </w:p>
        </w:tc>
        <w:tc>
          <w:tcPr>
            <w:tcW w:w="1620" w:type="dxa"/>
            <w:tcBorders>
              <w:top w:val="nil"/>
              <w:left w:val="nil"/>
              <w:bottom w:val="single" w:sz="4" w:space="0" w:color="auto"/>
              <w:right w:val="nil"/>
            </w:tcBorders>
            <w:shd w:val="clear" w:color="auto" w:fill="BDD6EE" w:themeFill="accent1" w:themeFillTint="66"/>
          </w:tcPr>
          <w:p w14:paraId="59314282" w14:textId="63AF5B8F" w:rsidR="00F97AAF" w:rsidRPr="00292DE9" w:rsidRDefault="00F97AAF" w:rsidP="00063DFA">
            <w:pPr>
              <w:spacing w:after="0" w:line="240" w:lineRule="auto"/>
              <w:rPr>
                <w:b/>
                <w:sz w:val="20"/>
                <w:szCs w:val="20"/>
              </w:rPr>
            </w:pPr>
            <w:r w:rsidRPr="00292DE9">
              <w:rPr>
                <w:b/>
                <w:sz w:val="20"/>
                <w:szCs w:val="20"/>
              </w:rPr>
              <w:t xml:space="preserve">Funded </w:t>
            </w:r>
            <w:r w:rsidR="00063DFA">
              <w:rPr>
                <w:b/>
                <w:sz w:val="20"/>
                <w:szCs w:val="20"/>
              </w:rPr>
              <w:t>B</w:t>
            </w:r>
            <w:r w:rsidRPr="00292DE9">
              <w:rPr>
                <w:b/>
                <w:sz w:val="20"/>
                <w:szCs w:val="20"/>
              </w:rPr>
              <w:t>y/</w:t>
            </w:r>
            <w:r w:rsidR="00063DFA">
              <w:rPr>
                <w:b/>
                <w:sz w:val="20"/>
                <w:szCs w:val="20"/>
              </w:rPr>
              <w:t>F</w:t>
            </w:r>
            <w:r w:rsidRPr="00292DE9">
              <w:rPr>
                <w:b/>
                <w:sz w:val="20"/>
                <w:szCs w:val="20"/>
              </w:rPr>
              <w:t xml:space="preserve">inancially </w:t>
            </w:r>
            <w:r w:rsidR="00063DFA">
              <w:rPr>
                <w:b/>
                <w:sz w:val="20"/>
                <w:szCs w:val="20"/>
              </w:rPr>
              <w:t>S</w:t>
            </w:r>
            <w:r w:rsidRPr="00292DE9">
              <w:rPr>
                <w:b/>
                <w:sz w:val="20"/>
                <w:szCs w:val="20"/>
              </w:rPr>
              <w:t>upported</w:t>
            </w:r>
          </w:p>
        </w:tc>
        <w:tc>
          <w:tcPr>
            <w:tcW w:w="1440" w:type="dxa"/>
            <w:tcBorders>
              <w:top w:val="nil"/>
              <w:left w:val="nil"/>
              <w:bottom w:val="single" w:sz="4" w:space="0" w:color="auto"/>
              <w:right w:val="nil"/>
            </w:tcBorders>
            <w:shd w:val="clear" w:color="auto" w:fill="BDD6EE" w:themeFill="accent1" w:themeFillTint="66"/>
          </w:tcPr>
          <w:p w14:paraId="51D15A3B" w14:textId="59586C24" w:rsidR="00F97AAF" w:rsidRPr="00292DE9" w:rsidRDefault="00F97AAF" w:rsidP="00063DFA">
            <w:pPr>
              <w:spacing w:after="0" w:line="240" w:lineRule="auto"/>
              <w:rPr>
                <w:b/>
                <w:sz w:val="20"/>
                <w:szCs w:val="20"/>
              </w:rPr>
            </w:pPr>
            <w:r w:rsidRPr="00292DE9">
              <w:rPr>
                <w:b/>
                <w:sz w:val="20"/>
                <w:szCs w:val="20"/>
              </w:rPr>
              <w:t xml:space="preserve">Time </w:t>
            </w:r>
            <w:r w:rsidR="00063DFA">
              <w:rPr>
                <w:b/>
                <w:sz w:val="20"/>
                <w:szCs w:val="20"/>
              </w:rPr>
              <w:t>F</w:t>
            </w:r>
            <w:r w:rsidRPr="00292DE9">
              <w:rPr>
                <w:b/>
                <w:sz w:val="20"/>
                <w:szCs w:val="20"/>
              </w:rPr>
              <w:t>rame</w:t>
            </w:r>
          </w:p>
        </w:tc>
        <w:tc>
          <w:tcPr>
            <w:tcW w:w="4518" w:type="dxa"/>
            <w:tcBorders>
              <w:top w:val="nil"/>
              <w:left w:val="nil"/>
              <w:bottom w:val="single" w:sz="4" w:space="0" w:color="auto"/>
              <w:right w:val="nil"/>
            </w:tcBorders>
            <w:shd w:val="clear" w:color="auto" w:fill="BDD6EE" w:themeFill="accent1" w:themeFillTint="66"/>
          </w:tcPr>
          <w:p w14:paraId="677F5D93" w14:textId="30399033" w:rsidR="00F97AAF" w:rsidRPr="00292DE9" w:rsidRDefault="00F97AAF" w:rsidP="00063DFA">
            <w:pPr>
              <w:spacing w:after="0" w:line="240" w:lineRule="auto"/>
              <w:rPr>
                <w:b/>
                <w:sz w:val="20"/>
                <w:szCs w:val="20"/>
              </w:rPr>
            </w:pPr>
            <w:r w:rsidRPr="00292DE9">
              <w:rPr>
                <w:b/>
                <w:sz w:val="20"/>
                <w:szCs w:val="20"/>
              </w:rPr>
              <w:t xml:space="preserve">Main </w:t>
            </w:r>
            <w:r w:rsidR="00063DFA">
              <w:rPr>
                <w:b/>
                <w:sz w:val="20"/>
                <w:szCs w:val="20"/>
              </w:rPr>
              <w:t>I</w:t>
            </w:r>
            <w:r w:rsidRPr="00292DE9">
              <w:rPr>
                <w:b/>
                <w:sz w:val="20"/>
                <w:szCs w:val="20"/>
              </w:rPr>
              <w:t>nterventions</w:t>
            </w:r>
          </w:p>
        </w:tc>
      </w:tr>
      <w:tr w:rsidR="00F97AAF" w:rsidRPr="00292DE9" w14:paraId="192199D8" w14:textId="77777777" w:rsidTr="00C0377E">
        <w:trPr>
          <w:jc w:val="center"/>
        </w:trPr>
        <w:tc>
          <w:tcPr>
            <w:tcW w:w="1800" w:type="dxa"/>
            <w:tcBorders>
              <w:top w:val="single" w:sz="4" w:space="0" w:color="auto"/>
              <w:left w:val="nil"/>
              <w:bottom w:val="single" w:sz="4" w:space="0" w:color="auto"/>
              <w:right w:val="nil"/>
            </w:tcBorders>
          </w:tcPr>
          <w:p w14:paraId="5776BD25" w14:textId="45280755" w:rsidR="00F97AAF" w:rsidRPr="00292DE9" w:rsidRDefault="00F97AAF" w:rsidP="00C0377E">
            <w:pPr>
              <w:spacing w:after="0" w:line="240" w:lineRule="auto"/>
              <w:rPr>
                <w:sz w:val="20"/>
                <w:szCs w:val="20"/>
              </w:rPr>
            </w:pPr>
            <w:r>
              <w:rPr>
                <w:sz w:val="20"/>
                <w:szCs w:val="20"/>
              </w:rPr>
              <w:t>‘</w:t>
            </w:r>
            <w:r w:rsidRPr="00292DE9">
              <w:rPr>
                <w:sz w:val="20"/>
                <w:szCs w:val="20"/>
              </w:rPr>
              <w:t>Tent City</w:t>
            </w:r>
            <w:r>
              <w:rPr>
                <w:sz w:val="20"/>
                <w:szCs w:val="20"/>
              </w:rPr>
              <w:t>’</w:t>
            </w:r>
          </w:p>
        </w:tc>
        <w:tc>
          <w:tcPr>
            <w:tcW w:w="1620" w:type="dxa"/>
            <w:tcBorders>
              <w:top w:val="single" w:sz="4" w:space="0" w:color="auto"/>
              <w:left w:val="nil"/>
              <w:bottom w:val="single" w:sz="4" w:space="0" w:color="auto"/>
              <w:right w:val="nil"/>
            </w:tcBorders>
          </w:tcPr>
          <w:p w14:paraId="01430C90" w14:textId="553E1D23" w:rsidR="00F97AAF" w:rsidRPr="00292DE9" w:rsidRDefault="00F97AAF" w:rsidP="00C0377E">
            <w:pPr>
              <w:spacing w:after="0" w:line="240" w:lineRule="auto"/>
              <w:rPr>
                <w:sz w:val="20"/>
                <w:szCs w:val="20"/>
              </w:rPr>
            </w:pPr>
            <w:r w:rsidRPr="00292DE9">
              <w:rPr>
                <w:sz w:val="20"/>
                <w:szCs w:val="20"/>
              </w:rPr>
              <w:t>Norway and U</w:t>
            </w:r>
            <w:r w:rsidR="00EE2E1B">
              <w:rPr>
                <w:sz w:val="20"/>
                <w:szCs w:val="20"/>
              </w:rPr>
              <w:t xml:space="preserve">nited </w:t>
            </w:r>
            <w:r w:rsidRPr="00292DE9">
              <w:rPr>
                <w:sz w:val="20"/>
                <w:szCs w:val="20"/>
              </w:rPr>
              <w:t>S</w:t>
            </w:r>
            <w:r w:rsidR="00EE2E1B">
              <w:rPr>
                <w:sz w:val="20"/>
                <w:szCs w:val="20"/>
              </w:rPr>
              <w:t>tates</w:t>
            </w:r>
          </w:p>
        </w:tc>
        <w:tc>
          <w:tcPr>
            <w:tcW w:w="1440" w:type="dxa"/>
            <w:tcBorders>
              <w:top w:val="single" w:sz="4" w:space="0" w:color="auto"/>
              <w:left w:val="nil"/>
              <w:bottom w:val="single" w:sz="4" w:space="0" w:color="auto"/>
              <w:right w:val="nil"/>
            </w:tcBorders>
          </w:tcPr>
          <w:p w14:paraId="044594CE" w14:textId="77777777" w:rsidR="00F97AAF" w:rsidRPr="00292DE9" w:rsidRDefault="00F97AAF" w:rsidP="00C0377E">
            <w:pPr>
              <w:spacing w:after="0" w:line="240" w:lineRule="auto"/>
              <w:rPr>
                <w:sz w:val="20"/>
                <w:szCs w:val="20"/>
              </w:rPr>
            </w:pPr>
            <w:r w:rsidRPr="00292DE9">
              <w:rPr>
                <w:sz w:val="20"/>
                <w:szCs w:val="20"/>
              </w:rPr>
              <w:t>Late 2003 onwards</w:t>
            </w:r>
          </w:p>
        </w:tc>
        <w:tc>
          <w:tcPr>
            <w:tcW w:w="4518" w:type="dxa"/>
            <w:tcBorders>
              <w:top w:val="single" w:sz="4" w:space="0" w:color="auto"/>
              <w:left w:val="nil"/>
              <w:bottom w:val="single" w:sz="4" w:space="0" w:color="auto"/>
              <w:right w:val="nil"/>
            </w:tcBorders>
          </w:tcPr>
          <w:p w14:paraId="7C6A67EB" w14:textId="2BAE33C7" w:rsidR="00F97AAF" w:rsidRPr="00292DE9" w:rsidRDefault="00F97AAF" w:rsidP="00EE2E1B">
            <w:pPr>
              <w:spacing w:after="0" w:line="240" w:lineRule="auto"/>
              <w:rPr>
                <w:sz w:val="20"/>
                <w:szCs w:val="20"/>
              </w:rPr>
            </w:pPr>
            <w:r w:rsidRPr="00292DE9">
              <w:rPr>
                <w:sz w:val="20"/>
                <w:szCs w:val="20"/>
                <w:lang w:val="en"/>
              </w:rPr>
              <w:t xml:space="preserve">Established a temporary civil administration complex from which the SPLM Core Team began its work in December 2003 (in Kapoeta </w:t>
            </w:r>
            <w:r w:rsidR="00EE2E1B">
              <w:rPr>
                <w:sz w:val="20"/>
                <w:szCs w:val="20"/>
                <w:lang w:val="en"/>
              </w:rPr>
              <w:t>C</w:t>
            </w:r>
            <w:r w:rsidRPr="00292DE9">
              <w:rPr>
                <w:sz w:val="20"/>
                <w:szCs w:val="20"/>
                <w:lang w:val="en"/>
              </w:rPr>
              <w:t>ounty/Eastern Equatoria)</w:t>
            </w:r>
          </w:p>
        </w:tc>
      </w:tr>
      <w:tr w:rsidR="00F97AAF" w:rsidRPr="00292DE9" w14:paraId="70E8F7EE" w14:textId="77777777" w:rsidTr="00C0377E">
        <w:trPr>
          <w:trHeight w:val="2042"/>
          <w:jc w:val="center"/>
        </w:trPr>
        <w:tc>
          <w:tcPr>
            <w:tcW w:w="1800" w:type="dxa"/>
            <w:tcBorders>
              <w:top w:val="single" w:sz="4" w:space="0" w:color="auto"/>
              <w:left w:val="nil"/>
              <w:bottom w:val="nil"/>
              <w:right w:val="nil"/>
            </w:tcBorders>
          </w:tcPr>
          <w:p w14:paraId="3917A43F" w14:textId="77777777" w:rsidR="00F97AAF" w:rsidRPr="00292DE9" w:rsidRDefault="00F97AAF" w:rsidP="00C0377E">
            <w:pPr>
              <w:spacing w:after="0" w:line="240" w:lineRule="auto"/>
              <w:rPr>
                <w:sz w:val="20"/>
                <w:szCs w:val="20"/>
              </w:rPr>
            </w:pPr>
            <w:r w:rsidRPr="00292DE9">
              <w:rPr>
                <w:sz w:val="20"/>
                <w:szCs w:val="20"/>
              </w:rPr>
              <w:lastRenderedPageBreak/>
              <w:t xml:space="preserve">Workshop on the South Sudan Civil Service </w:t>
            </w:r>
          </w:p>
          <w:p w14:paraId="5B04E83E" w14:textId="77777777" w:rsidR="00F97AAF" w:rsidRPr="00292DE9" w:rsidRDefault="00F97AAF" w:rsidP="00C0377E">
            <w:pPr>
              <w:spacing w:after="0" w:line="240" w:lineRule="auto"/>
              <w:rPr>
                <w:sz w:val="20"/>
                <w:szCs w:val="20"/>
              </w:rPr>
            </w:pPr>
          </w:p>
          <w:p w14:paraId="664E66D1" w14:textId="1068CE9B" w:rsidR="00F97AAF" w:rsidRPr="00292DE9" w:rsidRDefault="00F97AAF" w:rsidP="00ED5001">
            <w:pPr>
              <w:spacing w:after="0" w:line="240" w:lineRule="auto"/>
              <w:rPr>
                <w:sz w:val="20"/>
                <w:szCs w:val="20"/>
              </w:rPr>
            </w:pPr>
            <w:r w:rsidRPr="00292DE9">
              <w:rPr>
                <w:sz w:val="20"/>
                <w:szCs w:val="20"/>
              </w:rPr>
              <w:t>L</w:t>
            </w:r>
            <w:r w:rsidR="00ED5001">
              <w:rPr>
                <w:sz w:val="20"/>
                <w:szCs w:val="20"/>
              </w:rPr>
              <w:t>ow-</w:t>
            </w:r>
            <w:r w:rsidRPr="00292DE9">
              <w:rPr>
                <w:sz w:val="20"/>
                <w:szCs w:val="20"/>
              </w:rPr>
              <w:t>I</w:t>
            </w:r>
            <w:r w:rsidR="00ED5001">
              <w:rPr>
                <w:sz w:val="20"/>
                <w:szCs w:val="20"/>
              </w:rPr>
              <w:t xml:space="preserve">ncome </w:t>
            </w:r>
            <w:r w:rsidRPr="00292DE9">
              <w:rPr>
                <w:sz w:val="20"/>
                <w:szCs w:val="20"/>
              </w:rPr>
              <w:t>C</w:t>
            </w:r>
            <w:r w:rsidR="00ED5001">
              <w:rPr>
                <w:sz w:val="20"/>
                <w:szCs w:val="20"/>
              </w:rPr>
              <w:t xml:space="preserve">ountry </w:t>
            </w:r>
            <w:r w:rsidRPr="00292DE9">
              <w:rPr>
                <w:sz w:val="20"/>
                <w:szCs w:val="20"/>
              </w:rPr>
              <w:t>U</w:t>
            </w:r>
            <w:r w:rsidR="00ED5001">
              <w:rPr>
                <w:sz w:val="20"/>
                <w:szCs w:val="20"/>
              </w:rPr>
              <w:t xml:space="preserve">nder </w:t>
            </w:r>
            <w:r w:rsidRPr="00292DE9">
              <w:rPr>
                <w:sz w:val="20"/>
                <w:szCs w:val="20"/>
              </w:rPr>
              <w:t>S</w:t>
            </w:r>
            <w:r w:rsidR="00ED5001">
              <w:rPr>
                <w:sz w:val="20"/>
                <w:szCs w:val="20"/>
              </w:rPr>
              <w:t>tress</w:t>
            </w:r>
            <w:r w:rsidRPr="00292DE9">
              <w:rPr>
                <w:sz w:val="20"/>
                <w:szCs w:val="20"/>
              </w:rPr>
              <w:t xml:space="preserve"> T</w:t>
            </w:r>
            <w:r w:rsidR="00ED5001">
              <w:rPr>
                <w:sz w:val="20"/>
                <w:szCs w:val="20"/>
              </w:rPr>
              <w:t xml:space="preserve">rust </w:t>
            </w:r>
            <w:r w:rsidRPr="00292DE9">
              <w:rPr>
                <w:sz w:val="20"/>
                <w:szCs w:val="20"/>
              </w:rPr>
              <w:t>F</w:t>
            </w:r>
            <w:r w:rsidR="00ED5001">
              <w:rPr>
                <w:sz w:val="20"/>
                <w:szCs w:val="20"/>
              </w:rPr>
              <w:t>und</w:t>
            </w:r>
            <w:r w:rsidRPr="00292DE9">
              <w:rPr>
                <w:sz w:val="20"/>
                <w:szCs w:val="20"/>
              </w:rPr>
              <w:t xml:space="preserve"> Capacity Building for Development in Post-Conflict Sudan</w:t>
            </w:r>
          </w:p>
        </w:tc>
        <w:tc>
          <w:tcPr>
            <w:tcW w:w="1620" w:type="dxa"/>
            <w:tcBorders>
              <w:top w:val="single" w:sz="4" w:space="0" w:color="auto"/>
              <w:left w:val="nil"/>
              <w:bottom w:val="nil"/>
              <w:right w:val="nil"/>
            </w:tcBorders>
          </w:tcPr>
          <w:p w14:paraId="68CB4706" w14:textId="77777777" w:rsidR="00F97AAF" w:rsidRPr="00292DE9" w:rsidRDefault="00F97AAF" w:rsidP="00C0377E">
            <w:pPr>
              <w:spacing w:after="0" w:line="240" w:lineRule="auto"/>
              <w:rPr>
                <w:sz w:val="20"/>
                <w:szCs w:val="20"/>
              </w:rPr>
            </w:pPr>
            <w:r w:rsidRPr="00292DE9">
              <w:rPr>
                <w:sz w:val="20"/>
                <w:szCs w:val="20"/>
              </w:rPr>
              <w:t>World Bank</w:t>
            </w:r>
          </w:p>
        </w:tc>
        <w:tc>
          <w:tcPr>
            <w:tcW w:w="1440" w:type="dxa"/>
            <w:tcBorders>
              <w:top w:val="single" w:sz="4" w:space="0" w:color="auto"/>
              <w:left w:val="nil"/>
              <w:bottom w:val="nil"/>
              <w:right w:val="nil"/>
            </w:tcBorders>
          </w:tcPr>
          <w:p w14:paraId="5970AEFC" w14:textId="77777777" w:rsidR="00F97AAF" w:rsidRPr="00292DE9" w:rsidRDefault="00F97AAF" w:rsidP="00C0377E">
            <w:pPr>
              <w:spacing w:after="0" w:line="240" w:lineRule="auto"/>
              <w:rPr>
                <w:sz w:val="20"/>
                <w:szCs w:val="20"/>
              </w:rPr>
            </w:pPr>
            <w:r w:rsidRPr="00292DE9">
              <w:rPr>
                <w:sz w:val="20"/>
                <w:szCs w:val="20"/>
              </w:rPr>
              <w:t>April 2004</w:t>
            </w:r>
          </w:p>
          <w:p w14:paraId="52F5D269" w14:textId="77777777" w:rsidR="00F97AAF" w:rsidRPr="00292DE9" w:rsidRDefault="00F97AAF" w:rsidP="00C0377E">
            <w:pPr>
              <w:spacing w:after="0" w:line="240" w:lineRule="auto"/>
              <w:rPr>
                <w:sz w:val="20"/>
                <w:szCs w:val="20"/>
              </w:rPr>
            </w:pPr>
          </w:p>
          <w:p w14:paraId="3B95F052" w14:textId="77777777" w:rsidR="00F97AAF" w:rsidRPr="00292DE9" w:rsidRDefault="00F97AAF" w:rsidP="00C0377E">
            <w:pPr>
              <w:spacing w:after="0" w:line="240" w:lineRule="auto"/>
              <w:rPr>
                <w:sz w:val="20"/>
                <w:szCs w:val="20"/>
              </w:rPr>
            </w:pPr>
          </w:p>
          <w:p w14:paraId="02313C08" w14:textId="77777777" w:rsidR="00F97AAF" w:rsidRPr="00292DE9" w:rsidRDefault="00F97AAF" w:rsidP="00C0377E">
            <w:pPr>
              <w:spacing w:after="0" w:line="240" w:lineRule="auto"/>
              <w:rPr>
                <w:sz w:val="20"/>
                <w:szCs w:val="20"/>
              </w:rPr>
            </w:pPr>
          </w:p>
          <w:p w14:paraId="35D8A1E6" w14:textId="77777777" w:rsidR="00F97AAF" w:rsidRPr="00292DE9" w:rsidRDefault="00F97AAF" w:rsidP="00C0377E">
            <w:pPr>
              <w:spacing w:after="0" w:line="240" w:lineRule="auto"/>
              <w:rPr>
                <w:sz w:val="20"/>
                <w:szCs w:val="20"/>
              </w:rPr>
            </w:pPr>
            <w:r w:rsidRPr="00292DE9">
              <w:rPr>
                <w:sz w:val="20"/>
                <w:szCs w:val="20"/>
              </w:rPr>
              <w:t>September 2004</w:t>
            </w:r>
          </w:p>
        </w:tc>
        <w:tc>
          <w:tcPr>
            <w:tcW w:w="4518" w:type="dxa"/>
            <w:tcBorders>
              <w:top w:val="single" w:sz="4" w:space="0" w:color="auto"/>
              <w:left w:val="nil"/>
              <w:bottom w:val="nil"/>
              <w:right w:val="nil"/>
            </w:tcBorders>
          </w:tcPr>
          <w:p w14:paraId="52C7C7BA" w14:textId="77777777" w:rsidR="00F97AAF" w:rsidRPr="00292DE9" w:rsidRDefault="00F97AAF" w:rsidP="00C0377E">
            <w:pPr>
              <w:spacing w:after="0" w:line="240" w:lineRule="auto"/>
              <w:rPr>
                <w:sz w:val="20"/>
                <w:szCs w:val="20"/>
              </w:rPr>
            </w:pPr>
          </w:p>
          <w:p w14:paraId="55460CE0" w14:textId="77777777" w:rsidR="00F97AAF" w:rsidRPr="00292DE9" w:rsidRDefault="00F97AAF" w:rsidP="00C0377E">
            <w:pPr>
              <w:spacing w:after="0" w:line="240" w:lineRule="auto"/>
              <w:rPr>
                <w:sz w:val="20"/>
                <w:szCs w:val="20"/>
              </w:rPr>
            </w:pPr>
          </w:p>
          <w:p w14:paraId="7B68D333" w14:textId="77777777" w:rsidR="00F97AAF" w:rsidRPr="00292DE9" w:rsidRDefault="00F97AAF" w:rsidP="00C0377E">
            <w:pPr>
              <w:spacing w:after="0" w:line="240" w:lineRule="auto"/>
              <w:rPr>
                <w:sz w:val="20"/>
                <w:szCs w:val="20"/>
              </w:rPr>
            </w:pPr>
          </w:p>
          <w:p w14:paraId="7F7B45F5" w14:textId="77777777" w:rsidR="00F97AAF" w:rsidRPr="00292DE9" w:rsidRDefault="00F97AAF" w:rsidP="00C0377E">
            <w:pPr>
              <w:spacing w:after="0" w:line="240" w:lineRule="auto"/>
              <w:rPr>
                <w:sz w:val="20"/>
                <w:szCs w:val="20"/>
              </w:rPr>
            </w:pPr>
          </w:p>
          <w:p w14:paraId="3737C0B7" w14:textId="48E8061B" w:rsidR="00F97AAF" w:rsidRPr="00292DE9" w:rsidRDefault="00F97AAF" w:rsidP="00375EED">
            <w:pPr>
              <w:spacing w:after="0" w:line="240" w:lineRule="auto"/>
              <w:rPr>
                <w:sz w:val="20"/>
                <w:szCs w:val="20"/>
              </w:rPr>
            </w:pPr>
            <w:r w:rsidRPr="00292DE9">
              <w:rPr>
                <w:sz w:val="20"/>
                <w:szCs w:val="20"/>
              </w:rPr>
              <w:t>Capacity Building and Institutional Development for fiduciary and aid management systems (</w:t>
            </w:r>
            <w:r w:rsidR="00375EED">
              <w:rPr>
                <w:sz w:val="20"/>
                <w:szCs w:val="20"/>
              </w:rPr>
              <w:t>n</w:t>
            </w:r>
            <w:r w:rsidRPr="00292DE9">
              <w:rPr>
                <w:sz w:val="20"/>
                <w:szCs w:val="20"/>
              </w:rPr>
              <w:t xml:space="preserve">orth and </w:t>
            </w:r>
            <w:r w:rsidR="00375EED">
              <w:rPr>
                <w:sz w:val="20"/>
                <w:szCs w:val="20"/>
              </w:rPr>
              <w:t>s</w:t>
            </w:r>
            <w:r w:rsidRPr="00292DE9">
              <w:rPr>
                <w:sz w:val="20"/>
                <w:szCs w:val="20"/>
              </w:rPr>
              <w:t>outh), US</w:t>
            </w:r>
            <w:r>
              <w:rPr>
                <w:sz w:val="20"/>
                <w:szCs w:val="20"/>
              </w:rPr>
              <w:t>$</w:t>
            </w:r>
            <w:r w:rsidRPr="00292DE9">
              <w:rPr>
                <w:sz w:val="20"/>
                <w:szCs w:val="20"/>
              </w:rPr>
              <w:t>4.5</w:t>
            </w:r>
            <w:r>
              <w:rPr>
                <w:sz w:val="20"/>
                <w:szCs w:val="20"/>
              </w:rPr>
              <w:t xml:space="preserve"> </w:t>
            </w:r>
            <w:r w:rsidRPr="00292DE9">
              <w:rPr>
                <w:sz w:val="20"/>
                <w:szCs w:val="20"/>
              </w:rPr>
              <w:t>m</w:t>
            </w:r>
            <w:r>
              <w:rPr>
                <w:sz w:val="20"/>
                <w:szCs w:val="20"/>
              </w:rPr>
              <w:t>illion</w:t>
            </w:r>
          </w:p>
        </w:tc>
      </w:tr>
      <w:tr w:rsidR="00F97AAF" w:rsidRPr="00292DE9" w14:paraId="2B73D754" w14:textId="77777777" w:rsidTr="00C0377E">
        <w:trPr>
          <w:trHeight w:val="6210"/>
          <w:jc w:val="center"/>
        </w:trPr>
        <w:tc>
          <w:tcPr>
            <w:tcW w:w="1800" w:type="dxa"/>
            <w:tcBorders>
              <w:top w:val="nil"/>
              <w:left w:val="nil"/>
              <w:bottom w:val="single" w:sz="4" w:space="0" w:color="auto"/>
              <w:right w:val="nil"/>
            </w:tcBorders>
          </w:tcPr>
          <w:p w14:paraId="347C624B" w14:textId="083F19CC" w:rsidR="00F97AAF" w:rsidRPr="00292DE9" w:rsidRDefault="00F97AAF" w:rsidP="00C0377E">
            <w:pPr>
              <w:spacing w:after="0" w:line="240" w:lineRule="auto"/>
              <w:rPr>
                <w:sz w:val="20"/>
                <w:szCs w:val="20"/>
              </w:rPr>
            </w:pPr>
            <w:r w:rsidRPr="00292DE9">
              <w:rPr>
                <w:sz w:val="20"/>
                <w:szCs w:val="20"/>
              </w:rPr>
              <w:t>CBTF</w:t>
            </w:r>
          </w:p>
          <w:p w14:paraId="22D3A267" w14:textId="77777777" w:rsidR="00F97AAF" w:rsidRPr="00292DE9" w:rsidRDefault="00F97AAF" w:rsidP="00C0377E">
            <w:pPr>
              <w:spacing w:after="0" w:line="240" w:lineRule="auto"/>
              <w:rPr>
                <w:sz w:val="20"/>
                <w:szCs w:val="20"/>
              </w:rPr>
            </w:pPr>
          </w:p>
          <w:p w14:paraId="2C0A0403" w14:textId="77777777" w:rsidR="00F97AAF" w:rsidRPr="00292DE9" w:rsidRDefault="00F97AAF" w:rsidP="00C0377E">
            <w:pPr>
              <w:spacing w:after="0" w:line="240" w:lineRule="auto"/>
              <w:rPr>
                <w:sz w:val="20"/>
                <w:szCs w:val="20"/>
              </w:rPr>
            </w:pPr>
            <w:r w:rsidRPr="00292DE9">
              <w:rPr>
                <w:sz w:val="20"/>
                <w:szCs w:val="20"/>
              </w:rPr>
              <w:t>Linked to the</w:t>
            </w:r>
          </w:p>
          <w:p w14:paraId="1748C295" w14:textId="60D739AF" w:rsidR="00F97AAF" w:rsidRPr="00292DE9" w:rsidRDefault="00F97AAF" w:rsidP="00C0377E">
            <w:pPr>
              <w:spacing w:after="0" w:line="240" w:lineRule="auto"/>
              <w:rPr>
                <w:sz w:val="20"/>
                <w:szCs w:val="20"/>
              </w:rPr>
            </w:pPr>
            <w:r w:rsidRPr="00292DE9">
              <w:rPr>
                <w:sz w:val="20"/>
                <w:szCs w:val="20"/>
              </w:rPr>
              <w:t>Joint Donor Team (technical secretariat)</w:t>
            </w:r>
          </w:p>
          <w:p w14:paraId="5D5D7949" w14:textId="77777777" w:rsidR="00F97AAF" w:rsidRPr="00292DE9" w:rsidRDefault="00F97AAF" w:rsidP="00C0377E">
            <w:pPr>
              <w:spacing w:after="0" w:line="240" w:lineRule="auto"/>
              <w:rPr>
                <w:sz w:val="20"/>
                <w:szCs w:val="20"/>
              </w:rPr>
            </w:pPr>
          </w:p>
        </w:tc>
        <w:tc>
          <w:tcPr>
            <w:tcW w:w="1620" w:type="dxa"/>
            <w:tcBorders>
              <w:top w:val="nil"/>
              <w:left w:val="nil"/>
              <w:bottom w:val="single" w:sz="4" w:space="0" w:color="auto"/>
              <w:right w:val="nil"/>
            </w:tcBorders>
          </w:tcPr>
          <w:p w14:paraId="6602D755" w14:textId="1A44733F" w:rsidR="00F97AAF" w:rsidRPr="00292DE9" w:rsidRDefault="00F97AAF" w:rsidP="00C0377E">
            <w:pPr>
              <w:spacing w:after="0" w:line="240" w:lineRule="auto"/>
              <w:rPr>
                <w:sz w:val="20"/>
                <w:szCs w:val="20"/>
              </w:rPr>
            </w:pPr>
            <w:r w:rsidRPr="00292DE9">
              <w:rPr>
                <w:sz w:val="20"/>
                <w:szCs w:val="20"/>
              </w:rPr>
              <w:t>Phase I donors: Norway, U</w:t>
            </w:r>
            <w:r w:rsidR="00ED5001">
              <w:rPr>
                <w:sz w:val="20"/>
                <w:szCs w:val="20"/>
              </w:rPr>
              <w:t xml:space="preserve">nited </w:t>
            </w:r>
            <w:r w:rsidRPr="00292DE9">
              <w:rPr>
                <w:sz w:val="20"/>
                <w:szCs w:val="20"/>
              </w:rPr>
              <w:t>K</w:t>
            </w:r>
            <w:r w:rsidR="00ED5001">
              <w:rPr>
                <w:sz w:val="20"/>
                <w:szCs w:val="20"/>
              </w:rPr>
              <w:t>ingdom</w:t>
            </w:r>
            <w:r w:rsidRPr="00292DE9">
              <w:rPr>
                <w:sz w:val="20"/>
                <w:szCs w:val="20"/>
              </w:rPr>
              <w:t>, Netherlands, Sweden, the E</w:t>
            </w:r>
            <w:r w:rsidR="00ED5001">
              <w:rPr>
                <w:sz w:val="20"/>
                <w:szCs w:val="20"/>
              </w:rPr>
              <w:t xml:space="preserve">uropean </w:t>
            </w:r>
            <w:r w:rsidRPr="00292DE9">
              <w:rPr>
                <w:sz w:val="20"/>
                <w:szCs w:val="20"/>
              </w:rPr>
              <w:t>U</w:t>
            </w:r>
            <w:r w:rsidR="00ED5001">
              <w:rPr>
                <w:sz w:val="20"/>
                <w:szCs w:val="20"/>
              </w:rPr>
              <w:t>nion,</w:t>
            </w:r>
            <w:r w:rsidRPr="00292DE9">
              <w:rPr>
                <w:sz w:val="20"/>
                <w:szCs w:val="20"/>
              </w:rPr>
              <w:t xml:space="preserve"> and Italy; </w:t>
            </w:r>
          </w:p>
          <w:p w14:paraId="160BD4B6" w14:textId="3402FF5A" w:rsidR="00F97AAF" w:rsidRPr="00292DE9" w:rsidRDefault="00F97AAF" w:rsidP="007515FA">
            <w:pPr>
              <w:spacing w:after="0" w:line="240" w:lineRule="auto"/>
              <w:rPr>
                <w:sz w:val="20"/>
                <w:szCs w:val="20"/>
              </w:rPr>
            </w:pPr>
            <w:r w:rsidRPr="00292DE9">
              <w:rPr>
                <w:sz w:val="20"/>
                <w:szCs w:val="20"/>
              </w:rPr>
              <w:t>phase II donors: Canada, Denmark, Netherlands, Norway, Spain, Sweden</w:t>
            </w:r>
            <w:r>
              <w:rPr>
                <w:sz w:val="20"/>
                <w:szCs w:val="20"/>
              </w:rPr>
              <w:t>,</w:t>
            </w:r>
            <w:r w:rsidRPr="00292DE9">
              <w:rPr>
                <w:sz w:val="20"/>
                <w:szCs w:val="20"/>
              </w:rPr>
              <w:t xml:space="preserve"> and U</w:t>
            </w:r>
            <w:r w:rsidR="007515FA">
              <w:rPr>
                <w:sz w:val="20"/>
                <w:szCs w:val="20"/>
              </w:rPr>
              <w:t xml:space="preserve">nited </w:t>
            </w:r>
            <w:r w:rsidRPr="00292DE9">
              <w:rPr>
                <w:sz w:val="20"/>
                <w:szCs w:val="20"/>
              </w:rPr>
              <w:t>K</w:t>
            </w:r>
            <w:r w:rsidR="007515FA">
              <w:rPr>
                <w:sz w:val="20"/>
                <w:szCs w:val="20"/>
              </w:rPr>
              <w:t>ingdom</w:t>
            </w:r>
          </w:p>
        </w:tc>
        <w:tc>
          <w:tcPr>
            <w:tcW w:w="1440" w:type="dxa"/>
            <w:tcBorders>
              <w:top w:val="nil"/>
              <w:left w:val="nil"/>
              <w:bottom w:val="single" w:sz="4" w:space="0" w:color="auto"/>
              <w:right w:val="nil"/>
            </w:tcBorders>
          </w:tcPr>
          <w:p w14:paraId="5EEC151E" w14:textId="77777777" w:rsidR="00F97AAF" w:rsidRPr="00292DE9" w:rsidRDefault="00F97AAF" w:rsidP="00C0377E">
            <w:pPr>
              <w:spacing w:after="0" w:line="240" w:lineRule="auto"/>
              <w:rPr>
                <w:sz w:val="20"/>
                <w:szCs w:val="20"/>
              </w:rPr>
            </w:pPr>
            <w:r w:rsidRPr="00292DE9">
              <w:rPr>
                <w:sz w:val="20"/>
                <w:szCs w:val="20"/>
              </w:rPr>
              <w:t>2004 to early 2014</w:t>
            </w:r>
          </w:p>
          <w:p w14:paraId="21F31949" w14:textId="77777777" w:rsidR="00F97AAF" w:rsidRPr="00292DE9" w:rsidRDefault="00F97AAF" w:rsidP="00C0377E">
            <w:pPr>
              <w:spacing w:after="0" w:line="240" w:lineRule="auto"/>
              <w:rPr>
                <w:sz w:val="20"/>
                <w:szCs w:val="20"/>
              </w:rPr>
            </w:pPr>
          </w:p>
        </w:tc>
        <w:tc>
          <w:tcPr>
            <w:tcW w:w="4518" w:type="dxa"/>
            <w:tcBorders>
              <w:top w:val="nil"/>
              <w:left w:val="nil"/>
              <w:bottom w:val="single" w:sz="4" w:space="0" w:color="auto"/>
              <w:right w:val="nil"/>
            </w:tcBorders>
          </w:tcPr>
          <w:p w14:paraId="061DC2E4" w14:textId="77777777" w:rsidR="00F97AAF" w:rsidRPr="00292DE9" w:rsidRDefault="00F97AAF" w:rsidP="00C0377E">
            <w:pPr>
              <w:spacing w:after="0" w:line="240" w:lineRule="auto"/>
              <w:rPr>
                <w:sz w:val="20"/>
                <w:szCs w:val="20"/>
              </w:rPr>
            </w:pPr>
            <w:r w:rsidRPr="00292DE9">
              <w:rPr>
                <w:sz w:val="20"/>
                <w:szCs w:val="20"/>
              </w:rPr>
              <w:t xml:space="preserve">CBTF phase I: 2004 to 2009; </w:t>
            </w:r>
          </w:p>
          <w:p w14:paraId="3ECA4F3D" w14:textId="720AE5E7" w:rsidR="00F97AAF" w:rsidRPr="00292DE9" w:rsidRDefault="00F97AAF" w:rsidP="00C0377E">
            <w:pPr>
              <w:spacing w:after="0" w:line="240" w:lineRule="auto"/>
              <w:rPr>
                <w:sz w:val="20"/>
                <w:szCs w:val="20"/>
              </w:rPr>
            </w:pPr>
            <w:r w:rsidRPr="00292DE9">
              <w:rPr>
                <w:sz w:val="20"/>
                <w:szCs w:val="20"/>
              </w:rPr>
              <w:t>CBTF phase II: 2009</w:t>
            </w:r>
            <w:r>
              <w:rPr>
                <w:sz w:val="20"/>
                <w:szCs w:val="20"/>
              </w:rPr>
              <w:t xml:space="preserve"> to </w:t>
            </w:r>
            <w:r w:rsidRPr="00292DE9">
              <w:rPr>
                <w:sz w:val="20"/>
                <w:szCs w:val="20"/>
              </w:rPr>
              <w:t>early 2014.</w:t>
            </w:r>
          </w:p>
          <w:p w14:paraId="724EA9A7" w14:textId="2722B054" w:rsidR="00F97AAF" w:rsidRPr="00292DE9" w:rsidRDefault="00F97AAF" w:rsidP="00C0377E">
            <w:pPr>
              <w:spacing w:after="0" w:line="240" w:lineRule="auto"/>
              <w:rPr>
                <w:sz w:val="20"/>
                <w:szCs w:val="20"/>
              </w:rPr>
            </w:pPr>
            <w:r>
              <w:rPr>
                <w:sz w:val="20"/>
                <w:szCs w:val="20"/>
              </w:rPr>
              <w:t>I</w:t>
            </w:r>
            <w:r w:rsidRPr="00292DE9">
              <w:rPr>
                <w:sz w:val="20"/>
                <w:szCs w:val="20"/>
              </w:rPr>
              <w:t>nitially executed by UNICEF</w:t>
            </w:r>
          </w:p>
          <w:p w14:paraId="4ECF6B58" w14:textId="78D33F15" w:rsidR="00F97AAF" w:rsidRPr="00292DE9" w:rsidRDefault="00F97AAF" w:rsidP="00C0377E">
            <w:pPr>
              <w:spacing w:after="0" w:line="240" w:lineRule="auto"/>
              <w:rPr>
                <w:sz w:val="20"/>
                <w:szCs w:val="20"/>
              </w:rPr>
            </w:pPr>
            <w:r>
              <w:rPr>
                <w:sz w:val="20"/>
                <w:szCs w:val="20"/>
              </w:rPr>
              <w:t>P</w:t>
            </w:r>
            <w:r w:rsidRPr="00292DE9">
              <w:rPr>
                <w:sz w:val="20"/>
                <w:szCs w:val="20"/>
              </w:rPr>
              <w:t xml:space="preserve">hase I: </w:t>
            </w:r>
            <w:r>
              <w:rPr>
                <w:sz w:val="20"/>
                <w:szCs w:val="20"/>
              </w:rPr>
              <w:t>US</w:t>
            </w:r>
            <w:r w:rsidRPr="00292DE9">
              <w:rPr>
                <w:sz w:val="20"/>
                <w:szCs w:val="20"/>
              </w:rPr>
              <w:t>$22.3 million</w:t>
            </w:r>
          </w:p>
          <w:p w14:paraId="0655FC98" w14:textId="2AB3BC05" w:rsidR="00F97AAF" w:rsidRPr="00292DE9" w:rsidRDefault="00F97AAF" w:rsidP="00C0377E">
            <w:pPr>
              <w:spacing w:after="0" w:line="240" w:lineRule="auto"/>
              <w:rPr>
                <w:sz w:val="20"/>
                <w:szCs w:val="20"/>
              </w:rPr>
            </w:pPr>
            <w:r>
              <w:rPr>
                <w:sz w:val="20"/>
                <w:szCs w:val="20"/>
              </w:rPr>
              <w:t>P</w:t>
            </w:r>
            <w:r w:rsidRPr="00292DE9">
              <w:rPr>
                <w:sz w:val="20"/>
                <w:szCs w:val="20"/>
              </w:rPr>
              <w:t xml:space="preserve">hase II: </w:t>
            </w:r>
            <w:r>
              <w:rPr>
                <w:sz w:val="20"/>
                <w:szCs w:val="20"/>
              </w:rPr>
              <w:t>US</w:t>
            </w:r>
            <w:r w:rsidRPr="00292DE9">
              <w:rPr>
                <w:sz w:val="20"/>
                <w:szCs w:val="20"/>
              </w:rPr>
              <w:t xml:space="preserve">$28 million, plus </w:t>
            </w:r>
            <w:r>
              <w:rPr>
                <w:sz w:val="20"/>
                <w:szCs w:val="20"/>
              </w:rPr>
              <w:t xml:space="preserve">US </w:t>
            </w:r>
            <w:r w:rsidRPr="00292DE9">
              <w:rPr>
                <w:sz w:val="20"/>
                <w:szCs w:val="20"/>
              </w:rPr>
              <w:t>$20</w:t>
            </w:r>
            <w:r>
              <w:rPr>
                <w:sz w:val="20"/>
                <w:szCs w:val="20"/>
              </w:rPr>
              <w:t xml:space="preserve"> </w:t>
            </w:r>
            <w:r w:rsidRPr="00292DE9">
              <w:rPr>
                <w:sz w:val="20"/>
                <w:szCs w:val="20"/>
              </w:rPr>
              <w:t>m</w:t>
            </w:r>
            <w:r>
              <w:rPr>
                <w:sz w:val="20"/>
                <w:szCs w:val="20"/>
              </w:rPr>
              <w:t>illion</w:t>
            </w:r>
            <w:r w:rsidRPr="00292DE9">
              <w:rPr>
                <w:sz w:val="20"/>
                <w:szCs w:val="20"/>
              </w:rPr>
              <w:t xml:space="preserve"> for 2012</w:t>
            </w:r>
            <w:r>
              <w:rPr>
                <w:sz w:val="20"/>
                <w:szCs w:val="20"/>
              </w:rPr>
              <w:t xml:space="preserve"> to </w:t>
            </w:r>
            <w:r w:rsidRPr="00292DE9">
              <w:rPr>
                <w:sz w:val="20"/>
                <w:szCs w:val="20"/>
              </w:rPr>
              <w:t>early 2014</w:t>
            </w:r>
          </w:p>
          <w:p w14:paraId="2BC7FCBB" w14:textId="77777777" w:rsidR="00F97AAF" w:rsidRPr="00292DE9" w:rsidRDefault="00F97AAF" w:rsidP="00C0377E">
            <w:pPr>
              <w:spacing w:after="0" w:line="240" w:lineRule="auto"/>
              <w:rPr>
                <w:sz w:val="20"/>
                <w:szCs w:val="20"/>
              </w:rPr>
            </w:pPr>
          </w:p>
          <w:p w14:paraId="32375D8A" w14:textId="77777777" w:rsidR="00F97AAF" w:rsidRPr="00292DE9" w:rsidRDefault="00F97AAF" w:rsidP="00C0377E">
            <w:pPr>
              <w:spacing w:after="0" w:line="240" w:lineRule="auto"/>
              <w:rPr>
                <w:sz w:val="20"/>
                <w:szCs w:val="20"/>
                <w:u w:val="single"/>
              </w:rPr>
            </w:pPr>
            <w:r w:rsidRPr="00292DE9">
              <w:rPr>
                <w:sz w:val="20"/>
                <w:szCs w:val="20"/>
                <w:u w:val="single"/>
              </w:rPr>
              <w:t>Phase I</w:t>
            </w:r>
          </w:p>
          <w:p w14:paraId="110C352D" w14:textId="697BCB47" w:rsidR="00F97AAF" w:rsidRPr="00292DE9" w:rsidRDefault="00F97AAF" w:rsidP="00C0377E">
            <w:pPr>
              <w:spacing w:after="0" w:line="240" w:lineRule="auto"/>
              <w:rPr>
                <w:sz w:val="20"/>
                <w:szCs w:val="20"/>
              </w:rPr>
            </w:pPr>
            <w:r w:rsidRPr="00292DE9">
              <w:rPr>
                <w:sz w:val="20"/>
                <w:szCs w:val="20"/>
              </w:rPr>
              <w:t>Training through HELM delivered at the</w:t>
            </w:r>
            <w:r w:rsidR="000754F1">
              <w:rPr>
                <w:sz w:val="20"/>
                <w:szCs w:val="20"/>
              </w:rPr>
              <w:t xml:space="preserve"> Government Accountancy Training Center</w:t>
            </w:r>
            <w:r w:rsidRPr="00292DE9">
              <w:rPr>
                <w:sz w:val="20"/>
                <w:szCs w:val="20"/>
              </w:rPr>
              <w:t xml:space="preserve"> </w:t>
            </w:r>
            <w:r w:rsidR="000754F1">
              <w:rPr>
                <w:sz w:val="20"/>
                <w:szCs w:val="20"/>
              </w:rPr>
              <w:t>(</w:t>
            </w:r>
            <w:r w:rsidRPr="00292DE9">
              <w:rPr>
                <w:sz w:val="20"/>
                <w:szCs w:val="20"/>
              </w:rPr>
              <w:t>GATC</w:t>
            </w:r>
            <w:r w:rsidR="000754F1">
              <w:rPr>
                <w:sz w:val="20"/>
                <w:szCs w:val="20"/>
              </w:rPr>
              <w:t xml:space="preserve">; </w:t>
            </w:r>
            <w:r w:rsidRPr="00292DE9">
              <w:rPr>
                <w:sz w:val="20"/>
                <w:szCs w:val="20"/>
              </w:rPr>
              <w:t>accountancy)</w:t>
            </w:r>
          </w:p>
          <w:p w14:paraId="1C60C21C" w14:textId="77777777" w:rsidR="00F97AAF" w:rsidRPr="00292DE9" w:rsidRDefault="00F97AAF" w:rsidP="00C0377E">
            <w:pPr>
              <w:spacing w:after="0" w:line="240" w:lineRule="auto"/>
              <w:rPr>
                <w:sz w:val="20"/>
                <w:szCs w:val="20"/>
              </w:rPr>
            </w:pPr>
          </w:p>
          <w:p w14:paraId="47037FF1" w14:textId="4C40DB17" w:rsidR="00F97AAF" w:rsidRPr="00292DE9" w:rsidRDefault="00F97AAF" w:rsidP="00C0377E">
            <w:pPr>
              <w:spacing w:after="0" w:line="240" w:lineRule="auto"/>
              <w:rPr>
                <w:sz w:val="20"/>
                <w:szCs w:val="20"/>
                <w:u w:val="single"/>
              </w:rPr>
            </w:pPr>
            <w:r w:rsidRPr="00292DE9">
              <w:rPr>
                <w:sz w:val="20"/>
                <w:szCs w:val="20"/>
                <w:u w:val="single"/>
              </w:rPr>
              <w:t xml:space="preserve">Phase II </w:t>
            </w:r>
          </w:p>
          <w:p w14:paraId="6C501D3C" w14:textId="4D3247CC" w:rsidR="00F97AAF" w:rsidRPr="00292DE9" w:rsidRDefault="00F97AAF" w:rsidP="00C0377E">
            <w:pPr>
              <w:spacing w:after="0" w:line="240" w:lineRule="auto"/>
              <w:rPr>
                <w:sz w:val="20"/>
                <w:szCs w:val="20"/>
              </w:rPr>
            </w:pPr>
            <w:r w:rsidRPr="00292DE9">
              <w:rPr>
                <w:sz w:val="20"/>
                <w:szCs w:val="20"/>
              </w:rPr>
              <w:t>Payroll (SSEPS development), pension system development (initial stages), HR</w:t>
            </w:r>
            <w:r w:rsidR="000754F1">
              <w:rPr>
                <w:sz w:val="20"/>
                <w:szCs w:val="20"/>
              </w:rPr>
              <w:t>M</w:t>
            </w:r>
            <w:r w:rsidRPr="00292DE9">
              <w:rPr>
                <w:sz w:val="20"/>
                <w:szCs w:val="20"/>
              </w:rPr>
              <w:t>IS, Government Accountancy Training Center</w:t>
            </w:r>
          </w:p>
          <w:p w14:paraId="587E7B16" w14:textId="77777777" w:rsidR="00F97AAF" w:rsidRPr="00292DE9" w:rsidRDefault="00F97AAF" w:rsidP="00C0377E">
            <w:pPr>
              <w:spacing w:after="0" w:line="240" w:lineRule="auto"/>
              <w:rPr>
                <w:sz w:val="20"/>
                <w:szCs w:val="20"/>
              </w:rPr>
            </w:pPr>
            <w:r w:rsidRPr="00292DE9">
              <w:rPr>
                <w:sz w:val="20"/>
                <w:szCs w:val="20"/>
              </w:rPr>
              <w:t>MOFEP IT support</w:t>
            </w:r>
          </w:p>
          <w:p w14:paraId="0744D13D" w14:textId="5D656FB5" w:rsidR="00F97AAF" w:rsidRPr="00292DE9" w:rsidRDefault="00F97AAF" w:rsidP="00C0377E">
            <w:pPr>
              <w:spacing w:after="0" w:line="240" w:lineRule="auto"/>
              <w:rPr>
                <w:sz w:val="20"/>
                <w:szCs w:val="20"/>
              </w:rPr>
            </w:pPr>
            <w:r w:rsidRPr="00292DE9">
              <w:rPr>
                <w:sz w:val="20"/>
                <w:szCs w:val="20"/>
              </w:rPr>
              <w:t xml:space="preserve">Public </w:t>
            </w:r>
            <w:r w:rsidR="00E37BF1">
              <w:rPr>
                <w:sz w:val="20"/>
                <w:szCs w:val="20"/>
              </w:rPr>
              <w:t>a</w:t>
            </w:r>
            <w:r w:rsidRPr="00292DE9">
              <w:rPr>
                <w:sz w:val="20"/>
                <w:szCs w:val="20"/>
              </w:rPr>
              <w:t xml:space="preserve">ccess to </w:t>
            </w:r>
            <w:r w:rsidR="00E37BF1">
              <w:rPr>
                <w:sz w:val="20"/>
                <w:szCs w:val="20"/>
              </w:rPr>
              <w:t>p</w:t>
            </w:r>
            <w:r w:rsidRPr="00292DE9">
              <w:rPr>
                <w:sz w:val="20"/>
                <w:szCs w:val="20"/>
              </w:rPr>
              <w:t xml:space="preserve">ublic </w:t>
            </w:r>
            <w:r w:rsidR="00E37BF1">
              <w:rPr>
                <w:sz w:val="20"/>
                <w:szCs w:val="20"/>
              </w:rPr>
              <w:t>s</w:t>
            </w:r>
            <w:r w:rsidRPr="00292DE9">
              <w:rPr>
                <w:sz w:val="20"/>
                <w:szCs w:val="20"/>
              </w:rPr>
              <w:t xml:space="preserve">ector </w:t>
            </w:r>
            <w:r w:rsidR="00E37BF1">
              <w:rPr>
                <w:sz w:val="20"/>
                <w:szCs w:val="20"/>
              </w:rPr>
              <w:t>i</w:t>
            </w:r>
            <w:r w:rsidRPr="00292DE9">
              <w:rPr>
                <w:sz w:val="20"/>
                <w:szCs w:val="20"/>
              </w:rPr>
              <w:t xml:space="preserve">nformation and support to </w:t>
            </w:r>
            <w:r w:rsidR="00E37BF1">
              <w:rPr>
                <w:sz w:val="20"/>
                <w:szCs w:val="20"/>
              </w:rPr>
              <w:t>a</w:t>
            </w:r>
            <w:r w:rsidRPr="00292DE9">
              <w:rPr>
                <w:sz w:val="20"/>
                <w:szCs w:val="20"/>
              </w:rPr>
              <w:t xml:space="preserve">ccountability </w:t>
            </w:r>
            <w:r w:rsidR="00E37BF1">
              <w:rPr>
                <w:sz w:val="20"/>
                <w:szCs w:val="20"/>
              </w:rPr>
              <w:t>i</w:t>
            </w:r>
            <w:r w:rsidRPr="00292DE9">
              <w:rPr>
                <w:sz w:val="20"/>
                <w:szCs w:val="20"/>
              </w:rPr>
              <w:t>nstitutions</w:t>
            </w:r>
          </w:p>
          <w:p w14:paraId="761BC741" w14:textId="77777777" w:rsidR="00F97AAF" w:rsidRPr="00292DE9" w:rsidRDefault="00F97AAF" w:rsidP="00C0377E">
            <w:pPr>
              <w:spacing w:after="0" w:line="240" w:lineRule="auto"/>
              <w:rPr>
                <w:sz w:val="20"/>
                <w:szCs w:val="20"/>
              </w:rPr>
            </w:pPr>
          </w:p>
          <w:p w14:paraId="22B80E5D" w14:textId="77777777" w:rsidR="00F97AAF" w:rsidRPr="00292DE9" w:rsidRDefault="00F97AAF" w:rsidP="00C0377E">
            <w:pPr>
              <w:spacing w:after="0" w:line="240" w:lineRule="auto"/>
              <w:rPr>
                <w:sz w:val="20"/>
                <w:szCs w:val="20"/>
              </w:rPr>
            </w:pPr>
          </w:p>
          <w:p w14:paraId="0A0BC21B" w14:textId="177B48D9" w:rsidR="00F97AAF" w:rsidRPr="00292DE9" w:rsidRDefault="00F97AAF" w:rsidP="00C0377E">
            <w:pPr>
              <w:spacing w:after="0" w:line="240" w:lineRule="auto"/>
              <w:rPr>
                <w:sz w:val="20"/>
                <w:szCs w:val="20"/>
              </w:rPr>
            </w:pPr>
            <w:r w:rsidRPr="00292DE9">
              <w:rPr>
                <w:sz w:val="20"/>
                <w:szCs w:val="20"/>
              </w:rPr>
              <w:t>Subnational level:</w:t>
            </w:r>
          </w:p>
          <w:p w14:paraId="002241C1" w14:textId="1477A8FB" w:rsidR="00F97AAF" w:rsidRPr="00292DE9" w:rsidRDefault="00F97AAF" w:rsidP="00C0377E">
            <w:pPr>
              <w:spacing w:after="0" w:line="240" w:lineRule="auto"/>
              <w:rPr>
                <w:sz w:val="20"/>
                <w:szCs w:val="20"/>
              </w:rPr>
            </w:pPr>
            <w:r w:rsidRPr="00292DE9">
              <w:rPr>
                <w:sz w:val="20"/>
                <w:szCs w:val="20"/>
              </w:rPr>
              <w:t xml:space="preserve">Support to </w:t>
            </w:r>
            <w:r w:rsidR="000754F1">
              <w:rPr>
                <w:sz w:val="20"/>
                <w:szCs w:val="20"/>
              </w:rPr>
              <w:t>State Ministries of Labor and Public Service</w:t>
            </w:r>
            <w:r w:rsidRPr="00292DE9">
              <w:rPr>
                <w:sz w:val="20"/>
                <w:szCs w:val="20"/>
              </w:rPr>
              <w:t xml:space="preserve"> in 5 states</w:t>
            </w:r>
          </w:p>
          <w:p w14:paraId="3D414894" w14:textId="6FA67B5B" w:rsidR="00F97AAF" w:rsidRPr="00292DE9" w:rsidRDefault="00F97AAF" w:rsidP="00C0377E">
            <w:pPr>
              <w:spacing w:after="0" w:line="240" w:lineRule="auto"/>
              <w:rPr>
                <w:sz w:val="20"/>
                <w:szCs w:val="20"/>
              </w:rPr>
            </w:pPr>
            <w:r w:rsidRPr="00292DE9">
              <w:rPr>
                <w:sz w:val="20"/>
                <w:szCs w:val="20"/>
              </w:rPr>
              <w:t xml:space="preserve">Core skills training: English language and computer literacy </w:t>
            </w:r>
            <w:r w:rsidR="00B73A6A">
              <w:rPr>
                <w:sz w:val="20"/>
                <w:szCs w:val="20"/>
              </w:rPr>
              <w:t>in</w:t>
            </w:r>
            <w:r w:rsidRPr="00292DE9">
              <w:rPr>
                <w:sz w:val="20"/>
                <w:szCs w:val="20"/>
              </w:rPr>
              <w:t xml:space="preserve"> 5 states</w:t>
            </w:r>
          </w:p>
          <w:p w14:paraId="0C8A29D7" w14:textId="77777777" w:rsidR="00F97AAF" w:rsidRPr="00292DE9" w:rsidRDefault="00F97AAF" w:rsidP="00C0377E">
            <w:pPr>
              <w:spacing w:after="0" w:line="240" w:lineRule="auto"/>
              <w:rPr>
                <w:sz w:val="20"/>
                <w:szCs w:val="20"/>
              </w:rPr>
            </w:pPr>
            <w:r w:rsidRPr="00292DE9">
              <w:rPr>
                <w:sz w:val="20"/>
                <w:szCs w:val="20"/>
              </w:rPr>
              <w:t>Local Government PFM Manual</w:t>
            </w:r>
          </w:p>
        </w:tc>
      </w:tr>
      <w:tr w:rsidR="00F97AAF" w:rsidRPr="00292DE9" w14:paraId="57F08837" w14:textId="77777777" w:rsidTr="00C0377E">
        <w:trPr>
          <w:jc w:val="center"/>
        </w:trPr>
        <w:tc>
          <w:tcPr>
            <w:tcW w:w="1800" w:type="dxa"/>
            <w:tcBorders>
              <w:top w:val="single" w:sz="4" w:space="0" w:color="auto"/>
              <w:left w:val="nil"/>
              <w:bottom w:val="single" w:sz="4" w:space="0" w:color="auto"/>
              <w:right w:val="nil"/>
            </w:tcBorders>
          </w:tcPr>
          <w:p w14:paraId="16186A2A" w14:textId="77777777" w:rsidR="00F97AAF" w:rsidRPr="00292DE9" w:rsidRDefault="00F97AAF" w:rsidP="00C0377E">
            <w:pPr>
              <w:spacing w:after="0" w:line="240" w:lineRule="auto"/>
              <w:rPr>
                <w:sz w:val="20"/>
                <w:szCs w:val="20"/>
              </w:rPr>
            </w:pPr>
            <w:r w:rsidRPr="00292DE9">
              <w:rPr>
                <w:sz w:val="20"/>
                <w:szCs w:val="20"/>
              </w:rPr>
              <w:t>Strategic Partnership Framework</w:t>
            </w:r>
          </w:p>
          <w:p w14:paraId="41AD8D06" w14:textId="77777777" w:rsidR="00F97AAF" w:rsidRPr="00292DE9" w:rsidRDefault="00F97AAF" w:rsidP="00C0377E">
            <w:pPr>
              <w:spacing w:after="0" w:line="240" w:lineRule="auto"/>
              <w:rPr>
                <w:sz w:val="20"/>
                <w:szCs w:val="20"/>
              </w:rPr>
            </w:pPr>
          </w:p>
        </w:tc>
        <w:tc>
          <w:tcPr>
            <w:tcW w:w="1620" w:type="dxa"/>
            <w:tcBorders>
              <w:top w:val="single" w:sz="4" w:space="0" w:color="auto"/>
              <w:left w:val="nil"/>
              <w:bottom w:val="single" w:sz="4" w:space="0" w:color="auto"/>
              <w:right w:val="nil"/>
            </w:tcBorders>
          </w:tcPr>
          <w:p w14:paraId="3A07E8C3" w14:textId="17BD9402" w:rsidR="00F97AAF" w:rsidRPr="00292DE9" w:rsidRDefault="00F97AAF" w:rsidP="00C0377E">
            <w:pPr>
              <w:spacing w:after="0" w:line="240" w:lineRule="auto"/>
              <w:rPr>
                <w:sz w:val="20"/>
                <w:szCs w:val="20"/>
              </w:rPr>
            </w:pPr>
            <w:r w:rsidRPr="00292DE9">
              <w:rPr>
                <w:sz w:val="20"/>
                <w:szCs w:val="20"/>
              </w:rPr>
              <w:t>U</w:t>
            </w:r>
            <w:r w:rsidR="00B73A6A">
              <w:rPr>
                <w:sz w:val="20"/>
                <w:szCs w:val="20"/>
              </w:rPr>
              <w:t xml:space="preserve">nited </w:t>
            </w:r>
            <w:r w:rsidRPr="00292DE9">
              <w:rPr>
                <w:sz w:val="20"/>
                <w:szCs w:val="20"/>
              </w:rPr>
              <w:t>K</w:t>
            </w:r>
            <w:r w:rsidR="00B73A6A">
              <w:rPr>
                <w:sz w:val="20"/>
                <w:szCs w:val="20"/>
              </w:rPr>
              <w:t>ingdom</w:t>
            </w:r>
            <w:r w:rsidRPr="00292DE9">
              <w:rPr>
                <w:sz w:val="20"/>
                <w:szCs w:val="20"/>
              </w:rPr>
              <w:t>, Denmark, Netherlands</w:t>
            </w:r>
          </w:p>
          <w:p w14:paraId="5C79428D" w14:textId="77777777" w:rsidR="00F97AAF" w:rsidRPr="00292DE9" w:rsidRDefault="00F97AAF" w:rsidP="00C0377E">
            <w:pPr>
              <w:spacing w:after="0" w:line="240" w:lineRule="auto"/>
              <w:rPr>
                <w:sz w:val="20"/>
                <w:szCs w:val="20"/>
              </w:rPr>
            </w:pPr>
          </w:p>
          <w:p w14:paraId="32FB0087" w14:textId="77777777" w:rsidR="00F97AAF" w:rsidRPr="00292DE9" w:rsidRDefault="00F97AAF" w:rsidP="00C0377E">
            <w:pPr>
              <w:spacing w:after="0" w:line="240" w:lineRule="auto"/>
              <w:rPr>
                <w:sz w:val="20"/>
                <w:szCs w:val="20"/>
              </w:rPr>
            </w:pPr>
            <w:r w:rsidRPr="00292DE9">
              <w:rPr>
                <w:sz w:val="20"/>
                <w:szCs w:val="20"/>
              </w:rPr>
              <w:t>Administered by UNDP</w:t>
            </w:r>
          </w:p>
        </w:tc>
        <w:tc>
          <w:tcPr>
            <w:tcW w:w="1440" w:type="dxa"/>
            <w:tcBorders>
              <w:top w:val="single" w:sz="4" w:space="0" w:color="auto"/>
              <w:left w:val="nil"/>
              <w:bottom w:val="single" w:sz="4" w:space="0" w:color="auto"/>
              <w:right w:val="nil"/>
            </w:tcBorders>
          </w:tcPr>
          <w:p w14:paraId="625004B2" w14:textId="77777777" w:rsidR="00F97AAF" w:rsidRPr="00292DE9" w:rsidRDefault="00F97AAF" w:rsidP="00C0377E">
            <w:pPr>
              <w:spacing w:after="0" w:line="240" w:lineRule="auto"/>
              <w:rPr>
                <w:sz w:val="20"/>
                <w:szCs w:val="20"/>
              </w:rPr>
            </w:pPr>
            <w:r w:rsidRPr="00292DE9">
              <w:rPr>
                <w:sz w:val="20"/>
                <w:szCs w:val="20"/>
              </w:rPr>
              <w:t>2005 to 2012</w:t>
            </w:r>
          </w:p>
        </w:tc>
        <w:tc>
          <w:tcPr>
            <w:tcW w:w="4518" w:type="dxa"/>
            <w:tcBorders>
              <w:top w:val="single" w:sz="4" w:space="0" w:color="auto"/>
              <w:left w:val="nil"/>
              <w:bottom w:val="single" w:sz="4" w:space="0" w:color="auto"/>
              <w:right w:val="nil"/>
            </w:tcBorders>
          </w:tcPr>
          <w:p w14:paraId="32D10FB5" w14:textId="77777777" w:rsidR="00F97AAF" w:rsidRPr="00292DE9" w:rsidRDefault="00F97AAF" w:rsidP="00C0377E">
            <w:pPr>
              <w:spacing w:after="0" w:line="240" w:lineRule="auto"/>
              <w:rPr>
                <w:sz w:val="20"/>
                <w:szCs w:val="20"/>
              </w:rPr>
            </w:pPr>
            <w:r w:rsidRPr="00292DE9">
              <w:rPr>
                <w:sz w:val="20"/>
                <w:szCs w:val="20"/>
              </w:rPr>
              <w:t>Focus on Governance and Rule of Law</w:t>
            </w:r>
          </w:p>
          <w:p w14:paraId="195473F0" w14:textId="3506000B" w:rsidR="00F97AAF" w:rsidRPr="00292DE9" w:rsidRDefault="00F97AAF" w:rsidP="00C0377E">
            <w:pPr>
              <w:spacing w:after="0" w:line="240" w:lineRule="auto"/>
              <w:rPr>
                <w:sz w:val="20"/>
                <w:szCs w:val="20"/>
              </w:rPr>
            </w:pPr>
            <w:r w:rsidRPr="00292DE9">
              <w:rPr>
                <w:sz w:val="20"/>
                <w:szCs w:val="20"/>
              </w:rPr>
              <w:t>US</w:t>
            </w:r>
            <w:r>
              <w:rPr>
                <w:sz w:val="20"/>
                <w:szCs w:val="20"/>
              </w:rPr>
              <w:t>$</w:t>
            </w:r>
            <w:r w:rsidRPr="00292DE9">
              <w:rPr>
                <w:sz w:val="20"/>
                <w:szCs w:val="20"/>
              </w:rPr>
              <w:t>74.5</w:t>
            </w:r>
            <w:r>
              <w:rPr>
                <w:sz w:val="20"/>
                <w:szCs w:val="20"/>
              </w:rPr>
              <w:t xml:space="preserve"> </w:t>
            </w:r>
            <w:r w:rsidRPr="00292DE9">
              <w:rPr>
                <w:sz w:val="20"/>
                <w:szCs w:val="20"/>
              </w:rPr>
              <w:t>m</w:t>
            </w:r>
            <w:r>
              <w:rPr>
                <w:sz w:val="20"/>
                <w:szCs w:val="20"/>
              </w:rPr>
              <w:t>illion</w:t>
            </w:r>
            <w:r w:rsidRPr="00292DE9">
              <w:rPr>
                <w:sz w:val="20"/>
                <w:szCs w:val="20"/>
              </w:rPr>
              <w:t xml:space="preserve"> for the period early 2006</w:t>
            </w:r>
            <w:r>
              <w:rPr>
                <w:sz w:val="20"/>
                <w:szCs w:val="20"/>
              </w:rPr>
              <w:t xml:space="preserve"> to </w:t>
            </w:r>
            <w:r w:rsidRPr="00292DE9">
              <w:rPr>
                <w:sz w:val="20"/>
                <w:szCs w:val="20"/>
              </w:rPr>
              <w:t>mid-2009</w:t>
            </w:r>
          </w:p>
        </w:tc>
      </w:tr>
      <w:tr w:rsidR="00F97AAF" w:rsidRPr="00292DE9" w14:paraId="36FBE422" w14:textId="77777777" w:rsidTr="00C0377E">
        <w:trPr>
          <w:jc w:val="center"/>
        </w:trPr>
        <w:tc>
          <w:tcPr>
            <w:tcW w:w="1800" w:type="dxa"/>
            <w:tcBorders>
              <w:top w:val="single" w:sz="4" w:space="0" w:color="auto"/>
              <w:left w:val="nil"/>
              <w:bottom w:val="nil"/>
              <w:right w:val="nil"/>
            </w:tcBorders>
          </w:tcPr>
          <w:p w14:paraId="41A69181" w14:textId="77777777" w:rsidR="00F97AAF" w:rsidRPr="00292DE9" w:rsidRDefault="00F97AAF" w:rsidP="00C0377E">
            <w:pPr>
              <w:spacing w:after="0" w:line="240" w:lineRule="auto"/>
              <w:rPr>
                <w:sz w:val="20"/>
                <w:szCs w:val="20"/>
              </w:rPr>
            </w:pPr>
            <w:r w:rsidRPr="00292DE9">
              <w:rPr>
                <w:sz w:val="20"/>
                <w:szCs w:val="20"/>
              </w:rPr>
              <w:t>USAID programs</w:t>
            </w:r>
          </w:p>
        </w:tc>
        <w:tc>
          <w:tcPr>
            <w:tcW w:w="1620" w:type="dxa"/>
            <w:tcBorders>
              <w:top w:val="single" w:sz="4" w:space="0" w:color="auto"/>
              <w:left w:val="nil"/>
              <w:bottom w:val="nil"/>
              <w:right w:val="nil"/>
            </w:tcBorders>
          </w:tcPr>
          <w:p w14:paraId="2E28CE71" w14:textId="77777777" w:rsidR="00F97AAF" w:rsidRPr="00292DE9" w:rsidRDefault="00F97AAF" w:rsidP="00C0377E">
            <w:pPr>
              <w:spacing w:after="0" w:line="240" w:lineRule="auto"/>
              <w:rPr>
                <w:sz w:val="20"/>
                <w:szCs w:val="20"/>
              </w:rPr>
            </w:pPr>
            <w:r w:rsidRPr="00292DE9">
              <w:rPr>
                <w:sz w:val="20"/>
                <w:szCs w:val="20"/>
              </w:rPr>
              <w:t>PROGRESS</w:t>
            </w:r>
          </w:p>
          <w:p w14:paraId="6E8490F3" w14:textId="77777777" w:rsidR="00F97AAF" w:rsidRPr="00292DE9" w:rsidRDefault="00F97AAF" w:rsidP="00C0377E">
            <w:pPr>
              <w:spacing w:after="0" w:line="240" w:lineRule="auto"/>
              <w:rPr>
                <w:sz w:val="20"/>
                <w:szCs w:val="20"/>
              </w:rPr>
            </w:pPr>
          </w:p>
          <w:p w14:paraId="6EB9BA8D" w14:textId="77777777" w:rsidR="00F97AAF" w:rsidRPr="00292DE9" w:rsidRDefault="00F97AAF" w:rsidP="00C0377E">
            <w:pPr>
              <w:spacing w:after="0" w:line="240" w:lineRule="auto"/>
              <w:rPr>
                <w:sz w:val="20"/>
                <w:szCs w:val="20"/>
              </w:rPr>
            </w:pPr>
            <w:r w:rsidRPr="00292DE9">
              <w:rPr>
                <w:sz w:val="20"/>
                <w:szCs w:val="20"/>
              </w:rPr>
              <w:t>CORE (I + II)</w:t>
            </w:r>
          </w:p>
          <w:p w14:paraId="6636B239" w14:textId="77777777" w:rsidR="00F97AAF" w:rsidRPr="00292DE9" w:rsidRDefault="00F97AAF" w:rsidP="00C0377E">
            <w:pPr>
              <w:spacing w:after="0" w:line="240" w:lineRule="auto"/>
              <w:rPr>
                <w:sz w:val="20"/>
                <w:szCs w:val="20"/>
              </w:rPr>
            </w:pPr>
          </w:p>
          <w:p w14:paraId="5B60306A" w14:textId="77777777" w:rsidR="00F97AAF" w:rsidRPr="00292DE9" w:rsidRDefault="00F97AAF" w:rsidP="00C0377E">
            <w:pPr>
              <w:spacing w:after="0" w:line="240" w:lineRule="auto"/>
              <w:rPr>
                <w:sz w:val="20"/>
                <w:szCs w:val="20"/>
              </w:rPr>
            </w:pPr>
          </w:p>
        </w:tc>
        <w:tc>
          <w:tcPr>
            <w:tcW w:w="1440" w:type="dxa"/>
            <w:tcBorders>
              <w:top w:val="single" w:sz="4" w:space="0" w:color="auto"/>
              <w:left w:val="nil"/>
              <w:bottom w:val="nil"/>
              <w:right w:val="nil"/>
            </w:tcBorders>
          </w:tcPr>
          <w:p w14:paraId="142E2814" w14:textId="77777777" w:rsidR="00F97AAF" w:rsidRPr="00292DE9" w:rsidRDefault="00F97AAF" w:rsidP="00C0377E">
            <w:pPr>
              <w:spacing w:after="0" w:line="240" w:lineRule="auto"/>
              <w:rPr>
                <w:sz w:val="20"/>
                <w:szCs w:val="20"/>
              </w:rPr>
            </w:pPr>
            <w:r w:rsidRPr="00292DE9">
              <w:rPr>
                <w:sz w:val="20"/>
                <w:szCs w:val="20"/>
              </w:rPr>
              <w:t>2006 onwards</w:t>
            </w:r>
          </w:p>
        </w:tc>
        <w:tc>
          <w:tcPr>
            <w:tcW w:w="4518" w:type="dxa"/>
            <w:tcBorders>
              <w:top w:val="single" w:sz="4" w:space="0" w:color="auto"/>
              <w:left w:val="nil"/>
              <w:bottom w:val="nil"/>
              <w:right w:val="nil"/>
            </w:tcBorders>
          </w:tcPr>
          <w:p w14:paraId="49C44B60" w14:textId="77777777" w:rsidR="00F97AAF" w:rsidRPr="00292DE9" w:rsidRDefault="00F97AAF" w:rsidP="00C0377E">
            <w:pPr>
              <w:spacing w:after="0" w:line="240" w:lineRule="auto"/>
              <w:rPr>
                <w:sz w:val="20"/>
                <w:szCs w:val="20"/>
              </w:rPr>
            </w:pPr>
            <w:r w:rsidRPr="00292DE9">
              <w:rPr>
                <w:sz w:val="20"/>
                <w:szCs w:val="20"/>
              </w:rPr>
              <w:t>Implemented by Deloitte</w:t>
            </w:r>
          </w:p>
          <w:p w14:paraId="0A8C7FFD" w14:textId="3E2F562F" w:rsidR="00F97AAF" w:rsidRPr="00292DE9" w:rsidRDefault="00F97AAF" w:rsidP="00C0377E">
            <w:pPr>
              <w:spacing w:after="0" w:line="240" w:lineRule="auto"/>
              <w:rPr>
                <w:sz w:val="20"/>
                <w:szCs w:val="20"/>
              </w:rPr>
            </w:pPr>
            <w:r w:rsidRPr="00292DE9">
              <w:rPr>
                <w:sz w:val="20"/>
                <w:szCs w:val="20"/>
              </w:rPr>
              <w:t>2006</w:t>
            </w:r>
            <w:r>
              <w:rPr>
                <w:sz w:val="20"/>
                <w:szCs w:val="20"/>
              </w:rPr>
              <w:t>–</w:t>
            </w:r>
            <w:r w:rsidRPr="00292DE9">
              <w:rPr>
                <w:sz w:val="20"/>
                <w:szCs w:val="20"/>
              </w:rPr>
              <w:t>2011: M</w:t>
            </w:r>
            <w:r w:rsidR="004E6543">
              <w:rPr>
                <w:sz w:val="20"/>
                <w:szCs w:val="20"/>
              </w:rPr>
              <w:t>O</w:t>
            </w:r>
            <w:r w:rsidRPr="00292DE9">
              <w:rPr>
                <w:sz w:val="20"/>
                <w:szCs w:val="20"/>
              </w:rPr>
              <w:t xml:space="preserve">FEP, Central Bank, Ministry of Petroleum, Ministry of Justice, Ministry of Cabinet Affairs, and Office of the President </w:t>
            </w:r>
          </w:p>
          <w:p w14:paraId="4B16C5C8" w14:textId="77777777" w:rsidR="00F97AAF" w:rsidRPr="00292DE9" w:rsidRDefault="00F97AAF" w:rsidP="00C0377E">
            <w:pPr>
              <w:spacing w:after="0" w:line="240" w:lineRule="auto"/>
              <w:rPr>
                <w:sz w:val="20"/>
                <w:szCs w:val="20"/>
              </w:rPr>
            </w:pPr>
          </w:p>
          <w:p w14:paraId="43AE5E53" w14:textId="000D110B" w:rsidR="00F97AAF" w:rsidRPr="00292DE9" w:rsidRDefault="00F97AAF" w:rsidP="00C0377E">
            <w:pPr>
              <w:spacing w:after="0" w:line="240" w:lineRule="auto"/>
              <w:rPr>
                <w:sz w:val="20"/>
                <w:szCs w:val="20"/>
              </w:rPr>
            </w:pPr>
            <w:r w:rsidRPr="00292DE9">
              <w:rPr>
                <w:sz w:val="20"/>
                <w:szCs w:val="20"/>
              </w:rPr>
              <w:lastRenderedPageBreak/>
              <w:t xml:space="preserve">Added since 2013: Ministry of Labor, Public Service and Human Resource Development, Ministry of Parliamentary Affairs, and </w:t>
            </w:r>
            <w:r w:rsidR="00E84334">
              <w:rPr>
                <w:sz w:val="20"/>
                <w:szCs w:val="20"/>
              </w:rPr>
              <w:t>n</w:t>
            </w:r>
            <w:r w:rsidRPr="00292DE9">
              <w:rPr>
                <w:sz w:val="20"/>
                <w:szCs w:val="20"/>
              </w:rPr>
              <w:t xml:space="preserve">ational </w:t>
            </w:r>
            <w:r w:rsidR="00E84334">
              <w:rPr>
                <w:sz w:val="20"/>
                <w:szCs w:val="20"/>
              </w:rPr>
              <w:t>l</w:t>
            </w:r>
            <w:r w:rsidRPr="00292DE9">
              <w:rPr>
                <w:sz w:val="20"/>
                <w:szCs w:val="20"/>
              </w:rPr>
              <w:t xml:space="preserve">egislative </w:t>
            </w:r>
            <w:r w:rsidR="00E84334">
              <w:rPr>
                <w:sz w:val="20"/>
                <w:szCs w:val="20"/>
              </w:rPr>
              <w:t>a</w:t>
            </w:r>
            <w:r w:rsidRPr="00292DE9">
              <w:rPr>
                <w:sz w:val="20"/>
                <w:szCs w:val="20"/>
              </w:rPr>
              <w:t>ssembly</w:t>
            </w:r>
          </w:p>
          <w:p w14:paraId="136579BC" w14:textId="77777777" w:rsidR="00F97AAF" w:rsidRPr="00292DE9" w:rsidRDefault="00F97AAF" w:rsidP="00C0377E">
            <w:pPr>
              <w:spacing w:after="0" w:line="240" w:lineRule="auto"/>
              <w:rPr>
                <w:sz w:val="20"/>
                <w:szCs w:val="20"/>
              </w:rPr>
            </w:pPr>
          </w:p>
        </w:tc>
      </w:tr>
      <w:tr w:rsidR="00F97AAF" w:rsidRPr="00292DE9" w14:paraId="14929B1B" w14:textId="77777777" w:rsidTr="00C0377E">
        <w:trPr>
          <w:jc w:val="center"/>
        </w:trPr>
        <w:tc>
          <w:tcPr>
            <w:tcW w:w="1800" w:type="dxa"/>
            <w:tcBorders>
              <w:top w:val="nil"/>
              <w:left w:val="nil"/>
              <w:bottom w:val="single" w:sz="4" w:space="0" w:color="auto"/>
              <w:right w:val="nil"/>
            </w:tcBorders>
          </w:tcPr>
          <w:p w14:paraId="786BC716" w14:textId="1B0EFF2A" w:rsidR="00F97AAF" w:rsidRPr="00292DE9" w:rsidRDefault="00F97AAF" w:rsidP="00122F31">
            <w:pPr>
              <w:spacing w:after="0" w:line="240" w:lineRule="auto"/>
              <w:rPr>
                <w:sz w:val="20"/>
                <w:szCs w:val="20"/>
              </w:rPr>
            </w:pPr>
            <w:r w:rsidRPr="00292DE9">
              <w:rPr>
                <w:sz w:val="20"/>
                <w:szCs w:val="20"/>
              </w:rPr>
              <w:lastRenderedPageBreak/>
              <w:t>MDTF-SS</w:t>
            </w:r>
          </w:p>
        </w:tc>
        <w:tc>
          <w:tcPr>
            <w:tcW w:w="1620" w:type="dxa"/>
            <w:tcBorders>
              <w:top w:val="nil"/>
              <w:left w:val="nil"/>
              <w:bottom w:val="single" w:sz="4" w:space="0" w:color="auto"/>
              <w:right w:val="nil"/>
            </w:tcBorders>
          </w:tcPr>
          <w:p w14:paraId="59C195EB" w14:textId="77777777" w:rsidR="00F97AAF" w:rsidRPr="00292DE9" w:rsidRDefault="00F97AAF" w:rsidP="00C0377E">
            <w:pPr>
              <w:spacing w:after="0" w:line="240" w:lineRule="auto"/>
              <w:rPr>
                <w:sz w:val="20"/>
                <w:szCs w:val="20"/>
              </w:rPr>
            </w:pPr>
            <w:r w:rsidRPr="00292DE9">
              <w:rPr>
                <w:sz w:val="20"/>
                <w:szCs w:val="20"/>
              </w:rPr>
              <w:t>Contributions from several donors:</w:t>
            </w:r>
          </w:p>
          <w:p w14:paraId="72A14D2E" w14:textId="15990A2B" w:rsidR="00F97AAF" w:rsidRPr="00292DE9" w:rsidRDefault="00F97AAF" w:rsidP="00C0377E">
            <w:pPr>
              <w:spacing w:after="0" w:line="240" w:lineRule="auto"/>
              <w:rPr>
                <w:sz w:val="20"/>
                <w:szCs w:val="20"/>
              </w:rPr>
            </w:pPr>
            <w:r w:rsidRPr="00292DE9">
              <w:rPr>
                <w:sz w:val="20"/>
                <w:szCs w:val="20"/>
              </w:rPr>
              <w:t>E</w:t>
            </w:r>
            <w:r w:rsidR="00ED5001">
              <w:rPr>
                <w:sz w:val="20"/>
                <w:szCs w:val="20"/>
              </w:rPr>
              <w:t xml:space="preserve">uropean </w:t>
            </w:r>
            <w:r w:rsidRPr="00292DE9">
              <w:rPr>
                <w:sz w:val="20"/>
                <w:szCs w:val="20"/>
              </w:rPr>
              <w:t>U</w:t>
            </w:r>
            <w:r w:rsidR="00ED5001">
              <w:rPr>
                <w:sz w:val="20"/>
                <w:szCs w:val="20"/>
              </w:rPr>
              <w:t>nion</w:t>
            </w:r>
          </w:p>
          <w:p w14:paraId="311AE4BC" w14:textId="19AEB96D" w:rsidR="00F97AAF" w:rsidRPr="00292DE9" w:rsidRDefault="00122F31" w:rsidP="00C0377E">
            <w:pPr>
              <w:spacing w:after="0" w:line="240" w:lineRule="auto"/>
              <w:rPr>
                <w:sz w:val="20"/>
                <w:szCs w:val="20"/>
              </w:rPr>
            </w:pPr>
            <w:r>
              <w:rPr>
                <w:sz w:val="20"/>
                <w:szCs w:val="20"/>
              </w:rPr>
              <w:t>And Joint Donors</w:t>
            </w:r>
            <w:r w:rsidR="00F97AAF" w:rsidRPr="00292DE9">
              <w:rPr>
                <w:sz w:val="20"/>
                <w:szCs w:val="20"/>
              </w:rPr>
              <w:t xml:space="preserve"> (Canada, Netherlands, Norway, Sweden, U</w:t>
            </w:r>
            <w:r w:rsidR="00E84334">
              <w:rPr>
                <w:sz w:val="20"/>
                <w:szCs w:val="20"/>
              </w:rPr>
              <w:t xml:space="preserve">nited </w:t>
            </w:r>
            <w:r w:rsidR="00F97AAF" w:rsidRPr="00292DE9">
              <w:rPr>
                <w:sz w:val="20"/>
                <w:szCs w:val="20"/>
              </w:rPr>
              <w:t>K</w:t>
            </w:r>
            <w:r w:rsidR="00E84334">
              <w:rPr>
                <w:sz w:val="20"/>
                <w:szCs w:val="20"/>
              </w:rPr>
              <w:t>ingdom</w:t>
            </w:r>
            <w:r w:rsidR="00F97AAF" w:rsidRPr="00292DE9">
              <w:rPr>
                <w:sz w:val="20"/>
                <w:szCs w:val="20"/>
              </w:rPr>
              <w:t>)</w:t>
            </w:r>
            <w:r w:rsidR="00F97AAF">
              <w:rPr>
                <w:sz w:val="20"/>
                <w:szCs w:val="20"/>
              </w:rPr>
              <w:t>,</w:t>
            </w:r>
          </w:p>
          <w:p w14:paraId="6FC5C00F" w14:textId="77777777" w:rsidR="00F97AAF" w:rsidRPr="00292DE9" w:rsidRDefault="00F97AAF" w:rsidP="00C0377E">
            <w:pPr>
              <w:spacing w:after="0" w:line="240" w:lineRule="auto"/>
              <w:rPr>
                <w:sz w:val="20"/>
                <w:szCs w:val="20"/>
              </w:rPr>
            </w:pPr>
            <w:r w:rsidRPr="00292DE9">
              <w:rPr>
                <w:sz w:val="20"/>
                <w:szCs w:val="20"/>
              </w:rPr>
              <w:t>others</w:t>
            </w:r>
          </w:p>
          <w:p w14:paraId="1065EF65" w14:textId="77777777" w:rsidR="00F97AAF" w:rsidRPr="00292DE9" w:rsidRDefault="00F97AAF" w:rsidP="00C0377E">
            <w:pPr>
              <w:spacing w:after="0" w:line="240" w:lineRule="auto"/>
              <w:rPr>
                <w:sz w:val="20"/>
                <w:szCs w:val="20"/>
              </w:rPr>
            </w:pPr>
          </w:p>
          <w:p w14:paraId="319DB78E" w14:textId="4C1BE127" w:rsidR="00F97AAF" w:rsidRPr="00292DE9" w:rsidRDefault="00F97AAF" w:rsidP="00C0377E">
            <w:pPr>
              <w:spacing w:after="0" w:line="240" w:lineRule="auto"/>
              <w:rPr>
                <w:sz w:val="20"/>
                <w:szCs w:val="20"/>
              </w:rPr>
            </w:pPr>
            <w:r w:rsidRPr="00292DE9">
              <w:rPr>
                <w:sz w:val="20"/>
                <w:szCs w:val="20"/>
              </w:rPr>
              <w:t>Administered by the B</w:t>
            </w:r>
            <w:r>
              <w:rPr>
                <w:sz w:val="20"/>
                <w:szCs w:val="20"/>
              </w:rPr>
              <w:t>ank</w:t>
            </w:r>
          </w:p>
        </w:tc>
        <w:tc>
          <w:tcPr>
            <w:tcW w:w="1440" w:type="dxa"/>
            <w:tcBorders>
              <w:top w:val="nil"/>
              <w:left w:val="nil"/>
              <w:bottom w:val="single" w:sz="4" w:space="0" w:color="auto"/>
              <w:right w:val="nil"/>
            </w:tcBorders>
          </w:tcPr>
          <w:p w14:paraId="0A978F77" w14:textId="64996A22" w:rsidR="00F97AAF" w:rsidRPr="00292DE9" w:rsidRDefault="00F97AAF" w:rsidP="00C0377E">
            <w:pPr>
              <w:spacing w:after="0" w:line="240" w:lineRule="auto"/>
              <w:rPr>
                <w:sz w:val="20"/>
                <w:szCs w:val="20"/>
              </w:rPr>
            </w:pPr>
            <w:r w:rsidRPr="00292DE9">
              <w:rPr>
                <w:sz w:val="20"/>
                <w:szCs w:val="20"/>
              </w:rPr>
              <w:t>2005</w:t>
            </w:r>
            <w:r>
              <w:rPr>
                <w:sz w:val="20"/>
                <w:szCs w:val="20"/>
              </w:rPr>
              <w:t>–</w:t>
            </w:r>
            <w:r w:rsidRPr="00292DE9">
              <w:rPr>
                <w:sz w:val="20"/>
                <w:szCs w:val="20"/>
              </w:rPr>
              <w:t>2013</w:t>
            </w:r>
          </w:p>
        </w:tc>
        <w:tc>
          <w:tcPr>
            <w:tcW w:w="4518" w:type="dxa"/>
            <w:tcBorders>
              <w:top w:val="nil"/>
              <w:left w:val="nil"/>
              <w:bottom w:val="single" w:sz="4" w:space="0" w:color="auto"/>
              <w:right w:val="nil"/>
            </w:tcBorders>
          </w:tcPr>
          <w:p w14:paraId="736789A4" w14:textId="405514E2" w:rsidR="00F97AAF" w:rsidRPr="00292DE9" w:rsidRDefault="00F97AAF" w:rsidP="00C0377E">
            <w:pPr>
              <w:spacing w:after="0" w:line="240" w:lineRule="auto"/>
              <w:rPr>
                <w:sz w:val="20"/>
                <w:szCs w:val="20"/>
              </w:rPr>
            </w:pPr>
            <w:r w:rsidRPr="00292DE9">
              <w:rPr>
                <w:sz w:val="20"/>
                <w:szCs w:val="20"/>
              </w:rPr>
              <w:t>17 out of 19 G</w:t>
            </w:r>
            <w:r w:rsidR="00BB24E5">
              <w:rPr>
                <w:sz w:val="20"/>
                <w:szCs w:val="20"/>
              </w:rPr>
              <w:t>O</w:t>
            </w:r>
            <w:r w:rsidRPr="00292DE9">
              <w:rPr>
                <w:sz w:val="20"/>
                <w:szCs w:val="20"/>
              </w:rPr>
              <w:t xml:space="preserve">SS ministry buildings, the </w:t>
            </w:r>
            <w:r w:rsidR="00E84334">
              <w:rPr>
                <w:sz w:val="20"/>
                <w:szCs w:val="20"/>
              </w:rPr>
              <w:t>n</w:t>
            </w:r>
            <w:r w:rsidRPr="00292DE9">
              <w:rPr>
                <w:sz w:val="20"/>
                <w:szCs w:val="20"/>
              </w:rPr>
              <w:t xml:space="preserve">ational </w:t>
            </w:r>
            <w:r w:rsidR="00E84334">
              <w:rPr>
                <w:sz w:val="20"/>
                <w:szCs w:val="20"/>
              </w:rPr>
              <w:t>a</w:t>
            </w:r>
            <w:r w:rsidRPr="00292DE9">
              <w:rPr>
                <w:sz w:val="20"/>
                <w:szCs w:val="20"/>
              </w:rPr>
              <w:t>ssembly, the Presidential Cottage and the State Governors’ offices were renovated and supplied with generators, office equipment</w:t>
            </w:r>
            <w:r w:rsidR="00E84334">
              <w:rPr>
                <w:sz w:val="20"/>
                <w:szCs w:val="20"/>
              </w:rPr>
              <w:t>,</w:t>
            </w:r>
            <w:r w:rsidRPr="00292DE9">
              <w:rPr>
                <w:sz w:val="20"/>
                <w:szCs w:val="20"/>
              </w:rPr>
              <w:t xml:space="preserve"> and furniture allowing G</w:t>
            </w:r>
            <w:r w:rsidR="00BB24E5">
              <w:rPr>
                <w:sz w:val="20"/>
                <w:szCs w:val="20"/>
              </w:rPr>
              <w:t>O</w:t>
            </w:r>
            <w:r w:rsidRPr="00292DE9">
              <w:rPr>
                <w:sz w:val="20"/>
                <w:szCs w:val="20"/>
              </w:rPr>
              <w:t>SS institutions to run and start providing basic services</w:t>
            </w:r>
          </w:p>
          <w:p w14:paraId="6618485E" w14:textId="77777777" w:rsidR="00F97AAF" w:rsidRPr="00292DE9" w:rsidRDefault="00F97AAF" w:rsidP="00C0377E">
            <w:pPr>
              <w:spacing w:after="0" w:line="240" w:lineRule="auto"/>
              <w:rPr>
                <w:sz w:val="20"/>
                <w:szCs w:val="20"/>
              </w:rPr>
            </w:pPr>
          </w:p>
          <w:p w14:paraId="4C9D3EA6" w14:textId="00D3A99D" w:rsidR="00F97AAF" w:rsidRPr="00292DE9" w:rsidRDefault="00F97AAF" w:rsidP="00C0377E">
            <w:pPr>
              <w:spacing w:after="0" w:line="240" w:lineRule="auto"/>
              <w:rPr>
                <w:sz w:val="20"/>
                <w:szCs w:val="20"/>
              </w:rPr>
            </w:pPr>
            <w:r w:rsidRPr="00292DE9">
              <w:rPr>
                <w:sz w:val="20"/>
                <w:szCs w:val="20"/>
              </w:rPr>
              <w:t>Quick-impact development programs, capacity-building</w:t>
            </w:r>
            <w:r w:rsidR="00E84334">
              <w:rPr>
                <w:sz w:val="20"/>
                <w:szCs w:val="20"/>
              </w:rPr>
              <w:t>,</w:t>
            </w:r>
            <w:r w:rsidRPr="00292DE9">
              <w:rPr>
                <w:sz w:val="20"/>
                <w:szCs w:val="20"/>
              </w:rPr>
              <w:t xml:space="preserve"> and institutional strengthening efforts</w:t>
            </w:r>
          </w:p>
          <w:p w14:paraId="477953DA" w14:textId="77777777" w:rsidR="00F97AAF" w:rsidRPr="00292DE9" w:rsidRDefault="00F97AAF" w:rsidP="00C0377E">
            <w:pPr>
              <w:spacing w:after="0" w:line="240" w:lineRule="auto"/>
              <w:rPr>
                <w:sz w:val="20"/>
                <w:szCs w:val="20"/>
              </w:rPr>
            </w:pPr>
          </w:p>
        </w:tc>
      </w:tr>
      <w:tr w:rsidR="00F97AAF" w:rsidRPr="00292DE9" w14:paraId="579A29A3" w14:textId="77777777" w:rsidTr="00C0377E">
        <w:trPr>
          <w:jc w:val="center"/>
        </w:trPr>
        <w:tc>
          <w:tcPr>
            <w:tcW w:w="1800" w:type="dxa"/>
            <w:tcBorders>
              <w:top w:val="single" w:sz="4" w:space="0" w:color="auto"/>
              <w:left w:val="nil"/>
              <w:bottom w:val="single" w:sz="4" w:space="0" w:color="auto"/>
              <w:right w:val="nil"/>
            </w:tcBorders>
          </w:tcPr>
          <w:p w14:paraId="5755042B" w14:textId="77777777" w:rsidR="00F97AAF" w:rsidRPr="00292DE9" w:rsidRDefault="00F97AAF" w:rsidP="00C0377E">
            <w:pPr>
              <w:spacing w:after="0" w:line="240" w:lineRule="auto"/>
              <w:rPr>
                <w:sz w:val="20"/>
                <w:szCs w:val="20"/>
              </w:rPr>
            </w:pPr>
            <w:r w:rsidRPr="00292DE9">
              <w:rPr>
                <w:sz w:val="20"/>
                <w:szCs w:val="20"/>
              </w:rPr>
              <w:t>Capacity</w:t>
            </w:r>
          </w:p>
          <w:p w14:paraId="738DC9A6" w14:textId="553778A3" w:rsidR="00F97AAF" w:rsidRPr="00292DE9" w:rsidRDefault="00F97AAF" w:rsidP="00C0377E">
            <w:pPr>
              <w:spacing w:after="0" w:line="240" w:lineRule="auto"/>
              <w:rPr>
                <w:sz w:val="20"/>
                <w:szCs w:val="20"/>
              </w:rPr>
            </w:pPr>
            <w:r w:rsidRPr="00292DE9">
              <w:rPr>
                <w:sz w:val="20"/>
                <w:szCs w:val="20"/>
              </w:rPr>
              <w:t>Building, Institutional and Human Resource Development Project</w:t>
            </w:r>
          </w:p>
          <w:p w14:paraId="217DD1F4" w14:textId="77777777" w:rsidR="00F97AAF" w:rsidRPr="00292DE9" w:rsidRDefault="00F97AAF" w:rsidP="00C0377E">
            <w:pPr>
              <w:spacing w:after="0" w:line="240" w:lineRule="auto"/>
              <w:rPr>
                <w:sz w:val="20"/>
                <w:szCs w:val="20"/>
              </w:rPr>
            </w:pPr>
          </w:p>
          <w:p w14:paraId="72EC3FCD" w14:textId="77777777" w:rsidR="00F97AAF" w:rsidRPr="00292DE9" w:rsidRDefault="00F97AAF" w:rsidP="00C0377E">
            <w:pPr>
              <w:spacing w:after="0" w:line="240" w:lineRule="auto"/>
              <w:rPr>
                <w:sz w:val="20"/>
                <w:szCs w:val="20"/>
              </w:rPr>
            </w:pPr>
          </w:p>
          <w:p w14:paraId="6C588438" w14:textId="77777777" w:rsidR="00F97AAF" w:rsidRPr="00292DE9" w:rsidRDefault="00F97AAF" w:rsidP="00C0377E">
            <w:pPr>
              <w:spacing w:after="0" w:line="240" w:lineRule="auto"/>
              <w:rPr>
                <w:sz w:val="20"/>
                <w:szCs w:val="20"/>
              </w:rPr>
            </w:pPr>
          </w:p>
          <w:p w14:paraId="1AD55627" w14:textId="77777777" w:rsidR="00F97AAF" w:rsidRPr="00292DE9" w:rsidRDefault="00F97AAF" w:rsidP="00C0377E">
            <w:pPr>
              <w:spacing w:after="0" w:line="240" w:lineRule="auto"/>
              <w:rPr>
                <w:sz w:val="20"/>
                <w:szCs w:val="20"/>
              </w:rPr>
            </w:pPr>
          </w:p>
          <w:p w14:paraId="0556C8C0" w14:textId="77777777" w:rsidR="00F97AAF" w:rsidRPr="00292DE9" w:rsidRDefault="00F97AAF" w:rsidP="00C0377E">
            <w:pPr>
              <w:spacing w:after="0" w:line="240" w:lineRule="auto"/>
              <w:rPr>
                <w:sz w:val="20"/>
                <w:szCs w:val="20"/>
              </w:rPr>
            </w:pPr>
          </w:p>
          <w:p w14:paraId="6D60122A" w14:textId="77777777" w:rsidR="00F97AAF" w:rsidRPr="00292DE9" w:rsidRDefault="00F97AAF" w:rsidP="00C0377E">
            <w:pPr>
              <w:spacing w:after="0" w:line="240" w:lineRule="auto"/>
              <w:rPr>
                <w:sz w:val="20"/>
                <w:szCs w:val="20"/>
              </w:rPr>
            </w:pPr>
          </w:p>
          <w:p w14:paraId="19A5B9BD" w14:textId="77777777" w:rsidR="00F97AAF" w:rsidRPr="00292DE9" w:rsidRDefault="00F97AAF" w:rsidP="00C0377E">
            <w:pPr>
              <w:spacing w:after="0" w:line="240" w:lineRule="auto"/>
              <w:rPr>
                <w:sz w:val="20"/>
                <w:szCs w:val="20"/>
              </w:rPr>
            </w:pPr>
            <w:r w:rsidRPr="00292DE9">
              <w:rPr>
                <w:sz w:val="20"/>
                <w:szCs w:val="20"/>
              </w:rPr>
              <w:t>Rapid Impact Emergency Impact</w:t>
            </w:r>
          </w:p>
          <w:p w14:paraId="05D35178" w14:textId="77777777" w:rsidR="00F97AAF" w:rsidRPr="00292DE9" w:rsidRDefault="00F97AAF" w:rsidP="00C0377E">
            <w:pPr>
              <w:spacing w:after="0" w:line="240" w:lineRule="auto"/>
              <w:rPr>
                <w:sz w:val="20"/>
                <w:szCs w:val="20"/>
              </w:rPr>
            </w:pPr>
          </w:p>
          <w:p w14:paraId="16E918DA" w14:textId="77777777" w:rsidR="00F97AAF" w:rsidRPr="00292DE9" w:rsidRDefault="00F97AAF" w:rsidP="00C0377E">
            <w:pPr>
              <w:spacing w:after="0" w:line="240" w:lineRule="auto"/>
              <w:rPr>
                <w:sz w:val="20"/>
                <w:szCs w:val="20"/>
              </w:rPr>
            </w:pPr>
          </w:p>
          <w:p w14:paraId="076B15C7" w14:textId="77777777" w:rsidR="00F97AAF" w:rsidRPr="00292DE9" w:rsidRDefault="00F97AAF" w:rsidP="00C0377E">
            <w:pPr>
              <w:spacing w:after="0" w:line="240" w:lineRule="auto"/>
              <w:rPr>
                <w:sz w:val="20"/>
                <w:szCs w:val="20"/>
              </w:rPr>
            </w:pPr>
            <w:r w:rsidRPr="00292DE9">
              <w:rPr>
                <w:sz w:val="20"/>
                <w:szCs w:val="20"/>
              </w:rPr>
              <w:t>Core Fiduciary Systems Support Project</w:t>
            </w:r>
          </w:p>
        </w:tc>
        <w:tc>
          <w:tcPr>
            <w:tcW w:w="1620" w:type="dxa"/>
            <w:tcBorders>
              <w:top w:val="single" w:sz="4" w:space="0" w:color="auto"/>
              <w:left w:val="nil"/>
              <w:bottom w:val="single" w:sz="4" w:space="0" w:color="auto"/>
              <w:right w:val="nil"/>
            </w:tcBorders>
          </w:tcPr>
          <w:p w14:paraId="322F17B6" w14:textId="001CD120" w:rsidR="00F97AAF" w:rsidRPr="00292DE9" w:rsidRDefault="00F97AAF" w:rsidP="00C0377E">
            <w:pPr>
              <w:spacing w:after="0" w:line="240" w:lineRule="auto"/>
              <w:rPr>
                <w:sz w:val="20"/>
                <w:szCs w:val="20"/>
              </w:rPr>
            </w:pPr>
            <w:r w:rsidRPr="00292DE9">
              <w:rPr>
                <w:sz w:val="20"/>
                <w:szCs w:val="20"/>
              </w:rPr>
              <w:t>Bank/MDTF</w:t>
            </w:r>
          </w:p>
          <w:p w14:paraId="53AD5F3B" w14:textId="5278728B" w:rsidR="00F97AAF" w:rsidRPr="00292DE9" w:rsidRDefault="00F97AAF" w:rsidP="00C0377E">
            <w:pPr>
              <w:spacing w:after="0" w:line="240" w:lineRule="auto"/>
              <w:rPr>
                <w:sz w:val="20"/>
                <w:szCs w:val="20"/>
              </w:rPr>
            </w:pPr>
            <w:r w:rsidRPr="00292DE9">
              <w:rPr>
                <w:sz w:val="20"/>
                <w:szCs w:val="20"/>
              </w:rPr>
              <w:t xml:space="preserve">funded by the </w:t>
            </w:r>
            <w:r w:rsidRPr="00842B26">
              <w:rPr>
                <w:sz w:val="20"/>
                <w:szCs w:val="20"/>
              </w:rPr>
              <w:t>MDTF</w:t>
            </w:r>
          </w:p>
          <w:p w14:paraId="3D2B4A87" w14:textId="71CF2A51" w:rsidR="00F97AAF" w:rsidRPr="00292DE9" w:rsidRDefault="00F97AAF" w:rsidP="00C0377E">
            <w:pPr>
              <w:spacing w:after="0" w:line="240" w:lineRule="auto"/>
              <w:rPr>
                <w:sz w:val="20"/>
                <w:szCs w:val="20"/>
              </w:rPr>
            </w:pPr>
            <w:r>
              <w:rPr>
                <w:sz w:val="20"/>
                <w:szCs w:val="20"/>
              </w:rPr>
              <w:t>US</w:t>
            </w:r>
            <w:r w:rsidRPr="00292DE9">
              <w:rPr>
                <w:sz w:val="20"/>
                <w:szCs w:val="20"/>
              </w:rPr>
              <w:t>$13.82</w:t>
            </w:r>
            <w:r>
              <w:rPr>
                <w:sz w:val="20"/>
                <w:szCs w:val="20"/>
              </w:rPr>
              <w:t xml:space="preserve"> </w:t>
            </w:r>
            <w:r w:rsidRPr="00292DE9">
              <w:rPr>
                <w:sz w:val="20"/>
                <w:szCs w:val="20"/>
              </w:rPr>
              <w:t>m</w:t>
            </w:r>
            <w:r>
              <w:rPr>
                <w:sz w:val="20"/>
                <w:szCs w:val="20"/>
              </w:rPr>
              <w:t>illion</w:t>
            </w:r>
            <w:r w:rsidRPr="00292DE9">
              <w:rPr>
                <w:sz w:val="20"/>
                <w:szCs w:val="20"/>
              </w:rPr>
              <w:t xml:space="preserve"> of which </w:t>
            </w:r>
            <w:r>
              <w:rPr>
                <w:sz w:val="20"/>
                <w:szCs w:val="20"/>
              </w:rPr>
              <w:t>US</w:t>
            </w:r>
            <w:r w:rsidRPr="00292DE9">
              <w:rPr>
                <w:sz w:val="20"/>
                <w:szCs w:val="20"/>
              </w:rPr>
              <w:t xml:space="preserve">$8.24 </w:t>
            </w:r>
            <w:r>
              <w:rPr>
                <w:sz w:val="20"/>
                <w:szCs w:val="20"/>
              </w:rPr>
              <w:t xml:space="preserve">million </w:t>
            </w:r>
            <w:r w:rsidRPr="00292DE9">
              <w:rPr>
                <w:sz w:val="20"/>
                <w:szCs w:val="20"/>
              </w:rPr>
              <w:t xml:space="preserve">from the MDTF and remainder from </w:t>
            </w:r>
            <w:r w:rsidR="00345EA7">
              <w:rPr>
                <w:sz w:val="20"/>
                <w:szCs w:val="20"/>
              </w:rPr>
              <w:t xml:space="preserve">the </w:t>
            </w:r>
            <w:r w:rsidRPr="00292DE9">
              <w:rPr>
                <w:sz w:val="20"/>
                <w:szCs w:val="20"/>
              </w:rPr>
              <w:t>G</w:t>
            </w:r>
            <w:r w:rsidR="00BB24E5">
              <w:rPr>
                <w:sz w:val="20"/>
                <w:szCs w:val="20"/>
              </w:rPr>
              <w:t>O</w:t>
            </w:r>
            <w:r w:rsidRPr="00292DE9">
              <w:rPr>
                <w:sz w:val="20"/>
                <w:szCs w:val="20"/>
              </w:rPr>
              <w:t>SS</w:t>
            </w:r>
          </w:p>
          <w:p w14:paraId="40D6ECB1" w14:textId="77777777" w:rsidR="00F97AAF" w:rsidRPr="00292DE9" w:rsidRDefault="00F97AAF" w:rsidP="00C0377E">
            <w:pPr>
              <w:spacing w:after="0" w:line="240" w:lineRule="auto"/>
              <w:rPr>
                <w:sz w:val="20"/>
                <w:szCs w:val="20"/>
              </w:rPr>
            </w:pPr>
          </w:p>
          <w:p w14:paraId="10431F5D" w14:textId="77777777" w:rsidR="00F97AAF" w:rsidRPr="00292DE9" w:rsidRDefault="00F97AAF" w:rsidP="00C0377E">
            <w:pPr>
              <w:spacing w:after="0" w:line="240" w:lineRule="auto"/>
              <w:rPr>
                <w:sz w:val="20"/>
                <w:szCs w:val="20"/>
              </w:rPr>
            </w:pPr>
          </w:p>
          <w:p w14:paraId="7A16FD30" w14:textId="77777777" w:rsidR="00F97AAF" w:rsidRPr="00292DE9" w:rsidRDefault="00F97AAF" w:rsidP="00C0377E">
            <w:pPr>
              <w:spacing w:after="0" w:line="240" w:lineRule="auto"/>
              <w:rPr>
                <w:sz w:val="20"/>
                <w:szCs w:val="20"/>
              </w:rPr>
            </w:pPr>
          </w:p>
          <w:p w14:paraId="5EFC0270" w14:textId="77777777" w:rsidR="00F97AAF" w:rsidRPr="00292DE9" w:rsidRDefault="00F97AAF" w:rsidP="00C0377E">
            <w:pPr>
              <w:spacing w:after="0" w:line="240" w:lineRule="auto"/>
              <w:rPr>
                <w:sz w:val="20"/>
                <w:szCs w:val="20"/>
              </w:rPr>
            </w:pPr>
          </w:p>
          <w:p w14:paraId="04F66107" w14:textId="77777777" w:rsidR="00F97AAF" w:rsidRPr="00292DE9" w:rsidRDefault="00F97AAF" w:rsidP="00C0377E">
            <w:pPr>
              <w:spacing w:after="0" w:line="240" w:lineRule="auto"/>
              <w:rPr>
                <w:sz w:val="20"/>
                <w:szCs w:val="20"/>
              </w:rPr>
            </w:pPr>
          </w:p>
          <w:p w14:paraId="7AF4F0F4" w14:textId="77777777" w:rsidR="00F97AAF" w:rsidRPr="00292DE9" w:rsidRDefault="00F97AAF" w:rsidP="00C0377E">
            <w:pPr>
              <w:spacing w:after="0" w:line="240" w:lineRule="auto"/>
              <w:rPr>
                <w:sz w:val="20"/>
                <w:szCs w:val="20"/>
              </w:rPr>
            </w:pPr>
          </w:p>
          <w:p w14:paraId="21CCAF50" w14:textId="77777777" w:rsidR="00F97AAF" w:rsidRPr="00292DE9" w:rsidRDefault="00F97AAF" w:rsidP="00C0377E">
            <w:pPr>
              <w:spacing w:after="0" w:line="240" w:lineRule="auto"/>
              <w:rPr>
                <w:sz w:val="20"/>
                <w:szCs w:val="20"/>
              </w:rPr>
            </w:pPr>
          </w:p>
          <w:p w14:paraId="446E4E7A" w14:textId="77777777" w:rsidR="00F97AAF" w:rsidRPr="00292DE9" w:rsidRDefault="00F97AAF" w:rsidP="00C0377E">
            <w:pPr>
              <w:spacing w:after="0" w:line="240" w:lineRule="auto"/>
              <w:rPr>
                <w:sz w:val="20"/>
                <w:szCs w:val="20"/>
              </w:rPr>
            </w:pPr>
          </w:p>
          <w:p w14:paraId="56C583EC" w14:textId="33974DE0" w:rsidR="00F97AAF" w:rsidRPr="00292DE9" w:rsidRDefault="00F97AAF" w:rsidP="00C0377E">
            <w:pPr>
              <w:spacing w:after="0" w:line="240" w:lineRule="auto"/>
              <w:rPr>
                <w:sz w:val="20"/>
                <w:szCs w:val="20"/>
              </w:rPr>
            </w:pPr>
            <w:r w:rsidRPr="00292DE9">
              <w:rPr>
                <w:sz w:val="20"/>
                <w:szCs w:val="20"/>
              </w:rPr>
              <w:t>2006</w:t>
            </w:r>
            <w:r>
              <w:rPr>
                <w:sz w:val="20"/>
                <w:szCs w:val="20"/>
              </w:rPr>
              <w:t>–</w:t>
            </w:r>
            <w:r w:rsidRPr="00292DE9">
              <w:rPr>
                <w:sz w:val="20"/>
                <w:szCs w:val="20"/>
              </w:rPr>
              <w:t>2012</w:t>
            </w:r>
          </w:p>
        </w:tc>
        <w:tc>
          <w:tcPr>
            <w:tcW w:w="1440" w:type="dxa"/>
            <w:tcBorders>
              <w:top w:val="single" w:sz="4" w:space="0" w:color="auto"/>
              <w:left w:val="nil"/>
              <w:bottom w:val="single" w:sz="4" w:space="0" w:color="auto"/>
              <w:right w:val="nil"/>
            </w:tcBorders>
          </w:tcPr>
          <w:p w14:paraId="7262DA42" w14:textId="4E936C4E" w:rsidR="00F97AAF" w:rsidRPr="00292DE9" w:rsidRDefault="00F97AAF" w:rsidP="00C0377E">
            <w:pPr>
              <w:spacing w:after="0" w:line="240" w:lineRule="auto"/>
              <w:rPr>
                <w:sz w:val="20"/>
                <w:szCs w:val="20"/>
              </w:rPr>
            </w:pPr>
            <w:r w:rsidRPr="00292DE9">
              <w:rPr>
                <w:sz w:val="20"/>
                <w:szCs w:val="20"/>
              </w:rPr>
              <w:t>2007</w:t>
            </w:r>
            <w:r>
              <w:rPr>
                <w:sz w:val="20"/>
                <w:szCs w:val="20"/>
              </w:rPr>
              <w:t>–</w:t>
            </w:r>
            <w:r w:rsidRPr="00292DE9">
              <w:rPr>
                <w:sz w:val="20"/>
                <w:szCs w:val="20"/>
              </w:rPr>
              <w:t>2011</w:t>
            </w:r>
          </w:p>
        </w:tc>
        <w:tc>
          <w:tcPr>
            <w:tcW w:w="4518" w:type="dxa"/>
            <w:tcBorders>
              <w:top w:val="single" w:sz="4" w:space="0" w:color="auto"/>
              <w:left w:val="nil"/>
              <w:bottom w:val="single" w:sz="4" w:space="0" w:color="auto"/>
              <w:right w:val="nil"/>
            </w:tcBorders>
          </w:tcPr>
          <w:p w14:paraId="555C1AE6" w14:textId="16DFFE93" w:rsidR="00F97AAF" w:rsidRPr="00292DE9" w:rsidRDefault="00F97AAF" w:rsidP="00C0377E">
            <w:pPr>
              <w:spacing w:after="0" w:line="240" w:lineRule="auto"/>
              <w:rPr>
                <w:sz w:val="20"/>
                <w:szCs w:val="20"/>
              </w:rPr>
            </w:pPr>
            <w:r w:rsidRPr="00292DE9">
              <w:rPr>
                <w:sz w:val="20"/>
                <w:szCs w:val="20"/>
              </w:rPr>
              <w:t>CSC</w:t>
            </w:r>
          </w:p>
          <w:p w14:paraId="4980CC63" w14:textId="77777777" w:rsidR="00F97AAF" w:rsidRPr="00292DE9" w:rsidRDefault="00F97AAF" w:rsidP="00C0377E">
            <w:pPr>
              <w:spacing w:after="0" w:line="240" w:lineRule="auto"/>
              <w:rPr>
                <w:sz w:val="20"/>
                <w:szCs w:val="20"/>
              </w:rPr>
            </w:pPr>
            <w:r w:rsidRPr="00292DE9">
              <w:rPr>
                <w:sz w:val="20"/>
                <w:szCs w:val="20"/>
              </w:rPr>
              <w:t>Training of ~ 1000 civil servants in strategic planning (national and state levels); network of senior women in management; cohort of young ‘leaders’</w:t>
            </w:r>
          </w:p>
          <w:p w14:paraId="6D2DBBD7" w14:textId="77777777" w:rsidR="00F97AAF" w:rsidRPr="00292DE9" w:rsidRDefault="00F97AAF" w:rsidP="00C0377E">
            <w:pPr>
              <w:spacing w:after="0" w:line="240" w:lineRule="auto"/>
              <w:rPr>
                <w:sz w:val="20"/>
                <w:szCs w:val="20"/>
              </w:rPr>
            </w:pPr>
            <w:r w:rsidRPr="00292DE9">
              <w:rPr>
                <w:sz w:val="20"/>
                <w:szCs w:val="20"/>
              </w:rPr>
              <w:t>Electronic archiving system established in the Cabinet Office</w:t>
            </w:r>
          </w:p>
          <w:p w14:paraId="0E8C2B0F" w14:textId="78EE59D1" w:rsidR="00F97AAF" w:rsidRPr="00292DE9" w:rsidRDefault="00F97AAF" w:rsidP="00C0377E">
            <w:pPr>
              <w:spacing w:after="0" w:line="240" w:lineRule="auto"/>
              <w:rPr>
                <w:sz w:val="20"/>
                <w:szCs w:val="20"/>
              </w:rPr>
            </w:pPr>
            <w:r w:rsidRPr="00292DE9">
              <w:rPr>
                <w:sz w:val="20"/>
                <w:szCs w:val="20"/>
              </w:rPr>
              <w:t>Establishment of a G</w:t>
            </w:r>
            <w:r w:rsidR="00BB24E5">
              <w:rPr>
                <w:sz w:val="20"/>
                <w:szCs w:val="20"/>
              </w:rPr>
              <w:t>O</w:t>
            </w:r>
            <w:r w:rsidRPr="00292DE9">
              <w:rPr>
                <w:sz w:val="20"/>
                <w:szCs w:val="20"/>
              </w:rPr>
              <w:t>SS email server</w:t>
            </w:r>
          </w:p>
          <w:p w14:paraId="325C8CFB" w14:textId="77777777" w:rsidR="00F97AAF" w:rsidRPr="00292DE9" w:rsidRDefault="00F97AAF" w:rsidP="00C0377E">
            <w:pPr>
              <w:spacing w:after="0" w:line="240" w:lineRule="auto"/>
              <w:rPr>
                <w:sz w:val="20"/>
                <w:szCs w:val="20"/>
              </w:rPr>
            </w:pPr>
          </w:p>
          <w:p w14:paraId="23994B4F" w14:textId="6AF8924C" w:rsidR="00F97AAF" w:rsidRPr="00292DE9" w:rsidRDefault="00F97AAF" w:rsidP="00C0377E">
            <w:pPr>
              <w:spacing w:after="0" w:line="240" w:lineRule="auto"/>
              <w:rPr>
                <w:sz w:val="20"/>
                <w:szCs w:val="20"/>
              </w:rPr>
            </w:pPr>
            <w:r w:rsidRPr="00292DE9">
              <w:rPr>
                <w:sz w:val="20"/>
                <w:szCs w:val="20"/>
              </w:rPr>
              <w:t xml:space="preserve">Delivered through </w:t>
            </w:r>
            <w:r>
              <w:rPr>
                <w:sz w:val="20"/>
                <w:szCs w:val="20"/>
              </w:rPr>
              <w:t>ASI</w:t>
            </w:r>
            <w:r w:rsidRPr="00292DE9">
              <w:rPr>
                <w:sz w:val="20"/>
                <w:szCs w:val="20"/>
              </w:rPr>
              <w:t xml:space="preserve"> </w:t>
            </w:r>
          </w:p>
          <w:p w14:paraId="4AEACC2C" w14:textId="77777777" w:rsidR="00F97AAF" w:rsidRPr="00292DE9" w:rsidRDefault="00F97AAF" w:rsidP="00C0377E">
            <w:pPr>
              <w:spacing w:after="0" w:line="240" w:lineRule="auto"/>
              <w:rPr>
                <w:sz w:val="20"/>
                <w:szCs w:val="20"/>
              </w:rPr>
            </w:pPr>
          </w:p>
          <w:p w14:paraId="2CA78FD9" w14:textId="77777777" w:rsidR="00F97AAF" w:rsidRPr="00292DE9" w:rsidRDefault="00F97AAF" w:rsidP="00C0377E">
            <w:pPr>
              <w:spacing w:after="0" w:line="240" w:lineRule="auto"/>
              <w:rPr>
                <w:sz w:val="20"/>
                <w:szCs w:val="20"/>
              </w:rPr>
            </w:pPr>
          </w:p>
          <w:p w14:paraId="334645D5" w14:textId="77777777" w:rsidR="00F97AAF" w:rsidRPr="00292DE9" w:rsidRDefault="00F97AAF" w:rsidP="00C0377E">
            <w:pPr>
              <w:spacing w:after="0" w:line="240" w:lineRule="auto"/>
              <w:rPr>
                <w:sz w:val="20"/>
                <w:szCs w:val="20"/>
              </w:rPr>
            </w:pPr>
          </w:p>
          <w:p w14:paraId="29F1D997" w14:textId="7C9E051F" w:rsidR="00F97AAF" w:rsidRPr="00292DE9" w:rsidRDefault="00F97AAF" w:rsidP="00C0377E">
            <w:pPr>
              <w:spacing w:after="0" w:line="240" w:lineRule="auto"/>
              <w:rPr>
                <w:sz w:val="20"/>
                <w:szCs w:val="20"/>
              </w:rPr>
            </w:pPr>
            <w:r w:rsidRPr="00292DE9">
              <w:rPr>
                <w:sz w:val="20"/>
                <w:szCs w:val="20"/>
              </w:rPr>
              <w:t>Produced</w:t>
            </w:r>
            <w:r>
              <w:rPr>
                <w:sz w:val="20"/>
                <w:szCs w:val="20"/>
              </w:rPr>
              <w:t>,</w:t>
            </w:r>
            <w:r w:rsidRPr="00292DE9">
              <w:rPr>
                <w:sz w:val="20"/>
                <w:szCs w:val="20"/>
              </w:rPr>
              <w:t xml:space="preserve"> </w:t>
            </w:r>
            <w:r>
              <w:rPr>
                <w:sz w:val="20"/>
                <w:szCs w:val="20"/>
              </w:rPr>
              <w:t>among others</w:t>
            </w:r>
            <w:r w:rsidRPr="00292DE9">
              <w:rPr>
                <w:sz w:val="20"/>
                <w:szCs w:val="20"/>
              </w:rPr>
              <w:t>: M</w:t>
            </w:r>
            <w:r w:rsidR="00C941B0">
              <w:rPr>
                <w:sz w:val="20"/>
                <w:szCs w:val="20"/>
              </w:rPr>
              <w:t>o</w:t>
            </w:r>
            <w:r w:rsidRPr="00292DE9">
              <w:rPr>
                <w:sz w:val="20"/>
                <w:szCs w:val="20"/>
              </w:rPr>
              <w:t>LPSHRD Functional and Management Review</w:t>
            </w:r>
          </w:p>
          <w:p w14:paraId="3E354E32" w14:textId="77777777" w:rsidR="00F97AAF" w:rsidRPr="00292DE9" w:rsidRDefault="00F97AAF" w:rsidP="00C0377E">
            <w:pPr>
              <w:spacing w:after="0" w:line="240" w:lineRule="auto"/>
              <w:rPr>
                <w:sz w:val="20"/>
                <w:szCs w:val="20"/>
              </w:rPr>
            </w:pPr>
          </w:p>
          <w:p w14:paraId="1E05B3ED" w14:textId="5AB1D6E3" w:rsidR="00F97AAF" w:rsidRPr="00292DE9" w:rsidRDefault="00F97AAF" w:rsidP="00C0377E">
            <w:pPr>
              <w:spacing w:after="0" w:line="240" w:lineRule="auto"/>
              <w:rPr>
                <w:sz w:val="20"/>
                <w:szCs w:val="20"/>
              </w:rPr>
            </w:pPr>
            <w:r w:rsidRPr="00292DE9">
              <w:rPr>
                <w:sz w:val="20"/>
                <w:szCs w:val="20"/>
              </w:rPr>
              <w:t xml:space="preserve">Refurbishment of state-level government offices, of temporary location for </w:t>
            </w:r>
            <w:r w:rsidR="00F92549">
              <w:rPr>
                <w:sz w:val="20"/>
                <w:szCs w:val="20"/>
              </w:rPr>
              <w:t xml:space="preserve">the </w:t>
            </w:r>
            <w:r w:rsidRPr="00292DE9">
              <w:rPr>
                <w:sz w:val="20"/>
                <w:szCs w:val="20"/>
              </w:rPr>
              <w:t>MOFEP during refurbishment</w:t>
            </w:r>
          </w:p>
          <w:p w14:paraId="5BD443D1" w14:textId="77777777" w:rsidR="00F97AAF" w:rsidRPr="00292DE9" w:rsidRDefault="00F97AAF" w:rsidP="00C0377E">
            <w:pPr>
              <w:spacing w:after="0" w:line="240" w:lineRule="auto"/>
              <w:rPr>
                <w:sz w:val="20"/>
                <w:szCs w:val="20"/>
              </w:rPr>
            </w:pPr>
          </w:p>
          <w:p w14:paraId="793A9605" w14:textId="738D9C9A" w:rsidR="00F97AAF" w:rsidRPr="00292DE9" w:rsidRDefault="00F97AAF" w:rsidP="00C0377E">
            <w:pPr>
              <w:spacing w:after="0" w:line="240" w:lineRule="auto"/>
              <w:rPr>
                <w:sz w:val="20"/>
                <w:szCs w:val="20"/>
              </w:rPr>
            </w:pPr>
            <w:r w:rsidRPr="00292DE9">
              <w:rPr>
                <w:sz w:val="20"/>
                <w:szCs w:val="20"/>
              </w:rPr>
              <w:t xml:space="preserve">Assistance to the Audit Chamber, to the Procurement Unit in </w:t>
            </w:r>
            <w:r w:rsidR="00F92549">
              <w:rPr>
                <w:sz w:val="20"/>
                <w:szCs w:val="20"/>
              </w:rPr>
              <w:t xml:space="preserve">the </w:t>
            </w:r>
            <w:r w:rsidRPr="00292DE9">
              <w:rPr>
                <w:sz w:val="20"/>
                <w:szCs w:val="20"/>
              </w:rPr>
              <w:t>MOFEP</w:t>
            </w:r>
          </w:p>
        </w:tc>
      </w:tr>
      <w:tr w:rsidR="00F97AAF" w:rsidRPr="00292DE9" w14:paraId="054C57F4" w14:textId="77777777" w:rsidTr="00C0377E">
        <w:trPr>
          <w:jc w:val="center"/>
        </w:trPr>
        <w:tc>
          <w:tcPr>
            <w:tcW w:w="1800" w:type="dxa"/>
            <w:tcBorders>
              <w:top w:val="single" w:sz="4" w:space="0" w:color="auto"/>
              <w:left w:val="nil"/>
              <w:bottom w:val="single" w:sz="4" w:space="0" w:color="auto"/>
              <w:right w:val="nil"/>
            </w:tcBorders>
          </w:tcPr>
          <w:p w14:paraId="503C3ABD" w14:textId="77777777" w:rsidR="00F97AAF" w:rsidRPr="00292DE9" w:rsidRDefault="00F97AAF" w:rsidP="00C0377E">
            <w:pPr>
              <w:spacing w:after="0" w:line="240" w:lineRule="auto"/>
              <w:rPr>
                <w:sz w:val="20"/>
                <w:szCs w:val="20"/>
              </w:rPr>
            </w:pPr>
            <w:r w:rsidRPr="00292DE9">
              <w:rPr>
                <w:sz w:val="20"/>
                <w:szCs w:val="20"/>
              </w:rPr>
              <w:t>SKILLS</w:t>
            </w:r>
          </w:p>
          <w:p w14:paraId="31A64D69" w14:textId="6D639843" w:rsidR="00F97AAF" w:rsidRPr="00292DE9" w:rsidRDefault="00F97AAF" w:rsidP="00C0377E">
            <w:pPr>
              <w:spacing w:after="0" w:line="240" w:lineRule="auto"/>
              <w:rPr>
                <w:sz w:val="20"/>
                <w:szCs w:val="20"/>
              </w:rPr>
            </w:pPr>
            <w:r w:rsidRPr="00292DE9">
              <w:rPr>
                <w:sz w:val="20"/>
                <w:szCs w:val="20"/>
              </w:rPr>
              <w:t>for South Sudan (NGO)</w:t>
            </w:r>
          </w:p>
          <w:p w14:paraId="53F48C6F" w14:textId="77777777" w:rsidR="00F97AAF" w:rsidRPr="00292DE9" w:rsidRDefault="00F97AAF" w:rsidP="00C0377E">
            <w:pPr>
              <w:spacing w:after="0" w:line="240" w:lineRule="auto"/>
              <w:rPr>
                <w:sz w:val="20"/>
                <w:szCs w:val="20"/>
              </w:rPr>
            </w:pPr>
          </w:p>
          <w:p w14:paraId="67BC6F9D" w14:textId="77777777" w:rsidR="00F97AAF" w:rsidRPr="00292DE9" w:rsidRDefault="00F97AAF" w:rsidP="00C0377E">
            <w:pPr>
              <w:spacing w:after="0" w:line="240" w:lineRule="auto"/>
              <w:rPr>
                <w:sz w:val="20"/>
                <w:szCs w:val="20"/>
              </w:rPr>
            </w:pPr>
          </w:p>
          <w:p w14:paraId="4312CC73" w14:textId="77777777" w:rsidR="00F97AAF" w:rsidRPr="00292DE9" w:rsidRDefault="00F97AAF" w:rsidP="00C0377E">
            <w:pPr>
              <w:spacing w:after="0" w:line="240" w:lineRule="auto"/>
              <w:rPr>
                <w:sz w:val="20"/>
                <w:szCs w:val="20"/>
              </w:rPr>
            </w:pPr>
          </w:p>
          <w:p w14:paraId="433A3FA1" w14:textId="77777777" w:rsidR="00F97AAF" w:rsidRPr="00292DE9" w:rsidRDefault="00F97AAF" w:rsidP="00C0377E">
            <w:pPr>
              <w:spacing w:after="0" w:line="240" w:lineRule="auto"/>
              <w:rPr>
                <w:sz w:val="20"/>
                <w:szCs w:val="20"/>
              </w:rPr>
            </w:pPr>
          </w:p>
          <w:p w14:paraId="2CA7D3E3" w14:textId="77777777" w:rsidR="00F97AAF" w:rsidRPr="00292DE9" w:rsidRDefault="00F97AAF" w:rsidP="00C0377E">
            <w:pPr>
              <w:spacing w:after="0" w:line="240" w:lineRule="auto"/>
              <w:rPr>
                <w:sz w:val="20"/>
                <w:szCs w:val="20"/>
              </w:rPr>
            </w:pPr>
          </w:p>
          <w:p w14:paraId="3D78817C" w14:textId="77777777" w:rsidR="00F97AAF" w:rsidRPr="00292DE9" w:rsidRDefault="00F97AAF" w:rsidP="00C0377E">
            <w:pPr>
              <w:spacing w:after="0" w:line="240" w:lineRule="auto"/>
              <w:rPr>
                <w:sz w:val="20"/>
                <w:szCs w:val="20"/>
              </w:rPr>
            </w:pPr>
          </w:p>
          <w:p w14:paraId="530C399A" w14:textId="77777777" w:rsidR="00F97AAF" w:rsidRPr="00292DE9" w:rsidRDefault="00F97AAF" w:rsidP="00C0377E">
            <w:pPr>
              <w:spacing w:after="0" w:line="240" w:lineRule="auto"/>
              <w:rPr>
                <w:sz w:val="20"/>
                <w:szCs w:val="20"/>
              </w:rPr>
            </w:pPr>
          </w:p>
          <w:p w14:paraId="170AB4B2" w14:textId="77777777" w:rsidR="00F97AAF" w:rsidRPr="00292DE9" w:rsidRDefault="00F97AAF" w:rsidP="00C0377E">
            <w:pPr>
              <w:spacing w:after="0" w:line="240" w:lineRule="auto"/>
              <w:rPr>
                <w:sz w:val="20"/>
                <w:szCs w:val="20"/>
              </w:rPr>
            </w:pPr>
          </w:p>
          <w:p w14:paraId="10C2CBC9" w14:textId="77777777" w:rsidR="00F97AAF" w:rsidRPr="00292DE9" w:rsidRDefault="00F97AAF" w:rsidP="00C0377E">
            <w:pPr>
              <w:spacing w:after="0" w:line="240" w:lineRule="auto"/>
              <w:rPr>
                <w:sz w:val="20"/>
                <w:szCs w:val="20"/>
              </w:rPr>
            </w:pPr>
            <w:r w:rsidRPr="00292DE9">
              <w:rPr>
                <w:sz w:val="20"/>
                <w:szCs w:val="20"/>
              </w:rPr>
              <w:t>Governance Partnership Program (through UNDP)</w:t>
            </w:r>
          </w:p>
          <w:p w14:paraId="1C109D90" w14:textId="77777777" w:rsidR="00F97AAF" w:rsidRPr="00292DE9" w:rsidRDefault="00F97AAF" w:rsidP="00C0377E">
            <w:pPr>
              <w:spacing w:after="0" w:line="240" w:lineRule="auto"/>
              <w:rPr>
                <w:sz w:val="20"/>
                <w:szCs w:val="20"/>
              </w:rPr>
            </w:pPr>
          </w:p>
          <w:p w14:paraId="447951FD" w14:textId="77777777" w:rsidR="00F97AAF" w:rsidRPr="00292DE9" w:rsidRDefault="00F97AAF" w:rsidP="00C0377E">
            <w:pPr>
              <w:spacing w:after="0" w:line="240" w:lineRule="auto"/>
              <w:rPr>
                <w:sz w:val="20"/>
                <w:szCs w:val="20"/>
              </w:rPr>
            </w:pPr>
            <w:r w:rsidRPr="00292DE9">
              <w:rPr>
                <w:sz w:val="20"/>
                <w:szCs w:val="20"/>
              </w:rPr>
              <w:t>Budget Strengthening Initiative</w:t>
            </w:r>
          </w:p>
          <w:p w14:paraId="7D4B24FB" w14:textId="77777777" w:rsidR="00F97AAF" w:rsidRPr="00292DE9" w:rsidRDefault="00F97AAF" w:rsidP="00C0377E">
            <w:pPr>
              <w:spacing w:after="0" w:line="240" w:lineRule="auto"/>
              <w:rPr>
                <w:sz w:val="20"/>
                <w:szCs w:val="20"/>
              </w:rPr>
            </w:pPr>
          </w:p>
          <w:p w14:paraId="46D6BBBA" w14:textId="54DAF9E2" w:rsidR="00F97AAF" w:rsidRPr="00292DE9" w:rsidRDefault="00F97AAF" w:rsidP="00C0377E">
            <w:pPr>
              <w:spacing w:after="0" w:line="240" w:lineRule="auto"/>
              <w:rPr>
                <w:sz w:val="20"/>
                <w:szCs w:val="20"/>
              </w:rPr>
            </w:pPr>
            <w:r w:rsidRPr="00292DE9">
              <w:rPr>
                <w:sz w:val="20"/>
                <w:szCs w:val="20"/>
              </w:rPr>
              <w:t>Strengthening Economic Governance (2012</w:t>
            </w:r>
            <w:r>
              <w:rPr>
                <w:sz w:val="20"/>
                <w:szCs w:val="20"/>
              </w:rPr>
              <w:t>–</w:t>
            </w:r>
            <w:r w:rsidRPr="00292DE9">
              <w:rPr>
                <w:sz w:val="20"/>
                <w:szCs w:val="20"/>
              </w:rPr>
              <w:t>2015)</w:t>
            </w:r>
          </w:p>
          <w:p w14:paraId="36ECA2DE" w14:textId="77777777" w:rsidR="00F97AAF" w:rsidRPr="00292DE9" w:rsidRDefault="00F97AAF" w:rsidP="00C0377E">
            <w:pPr>
              <w:spacing w:after="0" w:line="240" w:lineRule="auto"/>
              <w:rPr>
                <w:sz w:val="20"/>
                <w:szCs w:val="20"/>
              </w:rPr>
            </w:pPr>
          </w:p>
          <w:p w14:paraId="2F30DF63" w14:textId="77777777" w:rsidR="00F97AAF" w:rsidRPr="00292DE9" w:rsidRDefault="00F97AAF" w:rsidP="00C0377E">
            <w:pPr>
              <w:spacing w:after="0" w:line="240" w:lineRule="auto"/>
              <w:rPr>
                <w:sz w:val="20"/>
                <w:szCs w:val="20"/>
              </w:rPr>
            </w:pPr>
          </w:p>
        </w:tc>
        <w:tc>
          <w:tcPr>
            <w:tcW w:w="1620" w:type="dxa"/>
            <w:tcBorders>
              <w:top w:val="single" w:sz="4" w:space="0" w:color="auto"/>
              <w:left w:val="nil"/>
              <w:bottom w:val="single" w:sz="4" w:space="0" w:color="auto"/>
              <w:right w:val="nil"/>
            </w:tcBorders>
          </w:tcPr>
          <w:p w14:paraId="00F6B069" w14:textId="6FB1401F" w:rsidR="00F97AAF" w:rsidRPr="00292DE9" w:rsidRDefault="00F97AAF" w:rsidP="00C0377E">
            <w:pPr>
              <w:spacing w:after="0" w:line="240" w:lineRule="auto"/>
              <w:rPr>
                <w:sz w:val="20"/>
                <w:szCs w:val="20"/>
              </w:rPr>
            </w:pPr>
            <w:r w:rsidRPr="00292DE9">
              <w:rPr>
                <w:sz w:val="20"/>
                <w:szCs w:val="20"/>
              </w:rPr>
              <w:lastRenderedPageBreak/>
              <w:t>Funded by D</w:t>
            </w:r>
            <w:r>
              <w:rPr>
                <w:sz w:val="20"/>
                <w:szCs w:val="20"/>
              </w:rPr>
              <w:t>f</w:t>
            </w:r>
            <w:r w:rsidRPr="00292DE9">
              <w:rPr>
                <w:sz w:val="20"/>
                <w:szCs w:val="20"/>
              </w:rPr>
              <w:t>ID</w:t>
            </w:r>
            <w:r w:rsidRPr="00292DE9">
              <w:rPr>
                <w:rStyle w:val="FootnoteReference"/>
                <w:sz w:val="20"/>
                <w:szCs w:val="20"/>
              </w:rPr>
              <w:footnoteReference w:id="66"/>
            </w:r>
          </w:p>
          <w:p w14:paraId="12DA5EA6" w14:textId="45160891" w:rsidR="00F97AAF" w:rsidRPr="00292DE9" w:rsidRDefault="004608CE" w:rsidP="00C0377E">
            <w:pPr>
              <w:spacing w:after="0" w:line="240" w:lineRule="auto"/>
              <w:rPr>
                <w:sz w:val="20"/>
                <w:szCs w:val="20"/>
              </w:rPr>
            </w:pPr>
            <w:r>
              <w:rPr>
                <w:sz w:val="20"/>
                <w:szCs w:val="20"/>
              </w:rPr>
              <w:t>t</w:t>
            </w:r>
            <w:r w:rsidR="00F97AAF" w:rsidRPr="00292DE9">
              <w:rPr>
                <w:sz w:val="20"/>
                <w:szCs w:val="20"/>
              </w:rPr>
              <w:t xml:space="preserve">hrough </w:t>
            </w:r>
            <w:r>
              <w:rPr>
                <w:sz w:val="20"/>
                <w:szCs w:val="20"/>
              </w:rPr>
              <w:t>s</w:t>
            </w:r>
            <w:r w:rsidR="00F97AAF" w:rsidRPr="00292DE9">
              <w:rPr>
                <w:sz w:val="20"/>
                <w:szCs w:val="20"/>
              </w:rPr>
              <w:t xml:space="preserve">upport to effective administrative and democratic governance in </w:t>
            </w:r>
            <w:r w:rsidR="00F97AAF">
              <w:rPr>
                <w:sz w:val="20"/>
                <w:szCs w:val="20"/>
              </w:rPr>
              <w:lastRenderedPageBreak/>
              <w:t>s</w:t>
            </w:r>
            <w:r w:rsidR="00F97AAF" w:rsidRPr="00292DE9">
              <w:rPr>
                <w:sz w:val="20"/>
                <w:szCs w:val="20"/>
              </w:rPr>
              <w:t>outhern Sudan (2008</w:t>
            </w:r>
            <w:r w:rsidR="00F97AAF">
              <w:rPr>
                <w:sz w:val="20"/>
                <w:szCs w:val="20"/>
              </w:rPr>
              <w:t>–</w:t>
            </w:r>
            <w:r w:rsidR="00F97AAF" w:rsidRPr="00292DE9">
              <w:rPr>
                <w:sz w:val="20"/>
                <w:szCs w:val="20"/>
              </w:rPr>
              <w:t>2010); GBP 3.3</w:t>
            </w:r>
            <w:r w:rsidR="00F97AAF">
              <w:rPr>
                <w:sz w:val="20"/>
                <w:szCs w:val="20"/>
              </w:rPr>
              <w:t xml:space="preserve"> </w:t>
            </w:r>
            <w:r w:rsidR="00F97AAF" w:rsidRPr="00292DE9">
              <w:rPr>
                <w:sz w:val="20"/>
                <w:szCs w:val="20"/>
              </w:rPr>
              <w:t>m</w:t>
            </w:r>
            <w:r w:rsidR="00F97AAF">
              <w:rPr>
                <w:sz w:val="20"/>
                <w:szCs w:val="20"/>
              </w:rPr>
              <w:t>illion</w:t>
            </w:r>
          </w:p>
          <w:p w14:paraId="5E6DCA1D" w14:textId="77777777" w:rsidR="00F97AAF" w:rsidRPr="00292DE9" w:rsidRDefault="00F97AAF" w:rsidP="00C0377E">
            <w:pPr>
              <w:spacing w:after="0" w:line="240" w:lineRule="auto"/>
              <w:rPr>
                <w:sz w:val="20"/>
                <w:szCs w:val="20"/>
              </w:rPr>
            </w:pPr>
          </w:p>
          <w:p w14:paraId="34EFAEA3" w14:textId="77777777" w:rsidR="00F97AAF" w:rsidRPr="00292DE9" w:rsidRDefault="00F97AAF" w:rsidP="00C0377E">
            <w:pPr>
              <w:spacing w:after="0" w:line="240" w:lineRule="auto"/>
              <w:rPr>
                <w:sz w:val="20"/>
                <w:szCs w:val="20"/>
              </w:rPr>
            </w:pPr>
          </w:p>
          <w:p w14:paraId="6A0B7B2E" w14:textId="79537E76" w:rsidR="00F97AAF" w:rsidRPr="00292DE9" w:rsidRDefault="00F97AAF" w:rsidP="00C0377E">
            <w:pPr>
              <w:spacing w:after="0" w:line="240" w:lineRule="auto"/>
              <w:rPr>
                <w:sz w:val="20"/>
                <w:szCs w:val="20"/>
              </w:rPr>
            </w:pPr>
            <w:r w:rsidRPr="00292DE9">
              <w:rPr>
                <w:sz w:val="20"/>
                <w:szCs w:val="20"/>
              </w:rPr>
              <w:t>D</w:t>
            </w:r>
            <w:r>
              <w:rPr>
                <w:sz w:val="20"/>
                <w:szCs w:val="20"/>
              </w:rPr>
              <w:t>f</w:t>
            </w:r>
            <w:r w:rsidRPr="00292DE9">
              <w:rPr>
                <w:sz w:val="20"/>
                <w:szCs w:val="20"/>
              </w:rPr>
              <w:t xml:space="preserve">ID </w:t>
            </w:r>
            <w:r w:rsidRPr="00292DE9">
              <w:rPr>
                <w:sz w:val="20"/>
                <w:szCs w:val="20"/>
              </w:rPr>
              <w:sym w:font="Wingdings" w:char="F0E0"/>
            </w:r>
            <w:r w:rsidRPr="00292DE9">
              <w:rPr>
                <w:sz w:val="20"/>
                <w:szCs w:val="20"/>
              </w:rPr>
              <w:t xml:space="preserve"> UNDP</w:t>
            </w:r>
          </w:p>
          <w:p w14:paraId="558176FD" w14:textId="77777777" w:rsidR="00F97AAF" w:rsidRPr="00292DE9" w:rsidRDefault="00F97AAF" w:rsidP="00C0377E">
            <w:pPr>
              <w:spacing w:after="0" w:line="240" w:lineRule="auto"/>
              <w:rPr>
                <w:sz w:val="20"/>
                <w:szCs w:val="20"/>
              </w:rPr>
            </w:pPr>
          </w:p>
          <w:p w14:paraId="62BEBB99" w14:textId="77777777" w:rsidR="00F97AAF" w:rsidRPr="00292DE9" w:rsidRDefault="00F97AAF" w:rsidP="00C0377E">
            <w:pPr>
              <w:spacing w:after="0" w:line="240" w:lineRule="auto"/>
              <w:rPr>
                <w:sz w:val="20"/>
                <w:szCs w:val="20"/>
              </w:rPr>
            </w:pPr>
          </w:p>
          <w:p w14:paraId="4A2FC7CE" w14:textId="77777777" w:rsidR="00F97AAF" w:rsidRPr="00292DE9" w:rsidRDefault="00F97AAF" w:rsidP="00C0377E">
            <w:pPr>
              <w:spacing w:after="0" w:line="240" w:lineRule="auto"/>
              <w:rPr>
                <w:sz w:val="20"/>
                <w:szCs w:val="20"/>
              </w:rPr>
            </w:pPr>
          </w:p>
          <w:p w14:paraId="261100E8" w14:textId="77777777" w:rsidR="00F97AAF" w:rsidRPr="00292DE9" w:rsidRDefault="00F97AAF" w:rsidP="00C0377E">
            <w:pPr>
              <w:spacing w:after="0" w:line="240" w:lineRule="auto"/>
              <w:rPr>
                <w:sz w:val="20"/>
                <w:szCs w:val="20"/>
              </w:rPr>
            </w:pPr>
          </w:p>
          <w:p w14:paraId="755C7A4D" w14:textId="1FB9847B" w:rsidR="00F97AAF" w:rsidRPr="00292DE9" w:rsidRDefault="00F97AAF" w:rsidP="00C0377E">
            <w:pPr>
              <w:spacing w:after="0" w:line="240" w:lineRule="auto"/>
              <w:rPr>
                <w:sz w:val="20"/>
                <w:szCs w:val="20"/>
              </w:rPr>
            </w:pPr>
            <w:r w:rsidRPr="00292DE9">
              <w:rPr>
                <w:sz w:val="20"/>
                <w:szCs w:val="20"/>
              </w:rPr>
              <w:t xml:space="preserve">DfID </w:t>
            </w:r>
            <w:r w:rsidRPr="00292DE9">
              <w:rPr>
                <w:sz w:val="20"/>
                <w:szCs w:val="20"/>
              </w:rPr>
              <w:sym w:font="Wingdings" w:char="F0E0"/>
            </w:r>
            <w:r w:rsidRPr="00292DE9">
              <w:rPr>
                <w:sz w:val="20"/>
                <w:szCs w:val="20"/>
              </w:rPr>
              <w:t xml:space="preserve"> O</w:t>
            </w:r>
            <w:r w:rsidR="0040046F">
              <w:rPr>
                <w:sz w:val="20"/>
                <w:szCs w:val="20"/>
              </w:rPr>
              <w:t xml:space="preserve">verseas </w:t>
            </w:r>
            <w:r w:rsidRPr="00292DE9">
              <w:rPr>
                <w:sz w:val="20"/>
                <w:szCs w:val="20"/>
              </w:rPr>
              <w:t>D</w:t>
            </w:r>
            <w:r w:rsidR="0040046F">
              <w:rPr>
                <w:sz w:val="20"/>
                <w:szCs w:val="20"/>
              </w:rPr>
              <w:t xml:space="preserve">evelopment </w:t>
            </w:r>
            <w:r w:rsidRPr="00292DE9">
              <w:rPr>
                <w:sz w:val="20"/>
                <w:szCs w:val="20"/>
              </w:rPr>
              <w:t>I</w:t>
            </w:r>
            <w:r w:rsidR="0040046F">
              <w:rPr>
                <w:sz w:val="20"/>
                <w:szCs w:val="20"/>
              </w:rPr>
              <w:t>nstitute</w:t>
            </w:r>
          </w:p>
          <w:p w14:paraId="77CCDAC0" w14:textId="77777777" w:rsidR="00F97AAF" w:rsidRPr="00292DE9" w:rsidRDefault="00F97AAF" w:rsidP="00C0377E">
            <w:pPr>
              <w:spacing w:after="0" w:line="240" w:lineRule="auto"/>
              <w:rPr>
                <w:sz w:val="20"/>
                <w:szCs w:val="20"/>
              </w:rPr>
            </w:pPr>
          </w:p>
          <w:p w14:paraId="08F0DE7B" w14:textId="77777777" w:rsidR="00F97AAF" w:rsidRPr="00292DE9" w:rsidRDefault="00F97AAF" w:rsidP="00C0377E">
            <w:pPr>
              <w:spacing w:after="0" w:line="240" w:lineRule="auto"/>
              <w:rPr>
                <w:sz w:val="20"/>
                <w:szCs w:val="20"/>
              </w:rPr>
            </w:pPr>
          </w:p>
          <w:p w14:paraId="1B93C95C" w14:textId="77777777" w:rsidR="00F97AAF" w:rsidRPr="00292DE9" w:rsidRDefault="00F97AAF" w:rsidP="00C0377E">
            <w:pPr>
              <w:spacing w:after="0" w:line="240" w:lineRule="auto"/>
              <w:rPr>
                <w:sz w:val="20"/>
                <w:szCs w:val="20"/>
              </w:rPr>
            </w:pPr>
          </w:p>
          <w:p w14:paraId="0FA09C80" w14:textId="13276244" w:rsidR="00F97AAF" w:rsidRPr="00292DE9" w:rsidRDefault="00F97AAF" w:rsidP="00C0377E">
            <w:pPr>
              <w:spacing w:after="0" w:line="240" w:lineRule="auto"/>
              <w:rPr>
                <w:sz w:val="20"/>
                <w:szCs w:val="20"/>
              </w:rPr>
            </w:pPr>
            <w:r w:rsidRPr="00292DE9">
              <w:rPr>
                <w:sz w:val="20"/>
                <w:szCs w:val="20"/>
              </w:rPr>
              <w:t>Funding to CBTF, IMF, and B</w:t>
            </w:r>
            <w:r>
              <w:rPr>
                <w:sz w:val="20"/>
                <w:szCs w:val="20"/>
              </w:rPr>
              <w:t>ank</w:t>
            </w:r>
            <w:r w:rsidRPr="00292DE9">
              <w:rPr>
                <w:sz w:val="20"/>
                <w:szCs w:val="20"/>
              </w:rPr>
              <w:t xml:space="preserve"> (High Frequency Survey)</w:t>
            </w:r>
          </w:p>
        </w:tc>
        <w:tc>
          <w:tcPr>
            <w:tcW w:w="1440" w:type="dxa"/>
            <w:tcBorders>
              <w:top w:val="single" w:sz="4" w:space="0" w:color="auto"/>
              <w:left w:val="nil"/>
              <w:bottom w:val="single" w:sz="4" w:space="0" w:color="auto"/>
              <w:right w:val="nil"/>
            </w:tcBorders>
          </w:tcPr>
          <w:p w14:paraId="1FA09851" w14:textId="68F185AB" w:rsidR="00F97AAF" w:rsidRPr="00292DE9" w:rsidRDefault="00F97AAF" w:rsidP="00C0377E">
            <w:pPr>
              <w:spacing w:after="0" w:line="240" w:lineRule="auto"/>
              <w:rPr>
                <w:sz w:val="20"/>
                <w:szCs w:val="20"/>
              </w:rPr>
            </w:pPr>
            <w:r w:rsidRPr="00292DE9">
              <w:rPr>
                <w:sz w:val="20"/>
                <w:szCs w:val="20"/>
              </w:rPr>
              <w:lastRenderedPageBreak/>
              <w:t>2008</w:t>
            </w:r>
            <w:r>
              <w:rPr>
                <w:sz w:val="20"/>
                <w:szCs w:val="20"/>
              </w:rPr>
              <w:t>–</w:t>
            </w:r>
            <w:r w:rsidRPr="00292DE9">
              <w:rPr>
                <w:sz w:val="20"/>
                <w:szCs w:val="20"/>
              </w:rPr>
              <w:t>10</w:t>
            </w:r>
          </w:p>
          <w:p w14:paraId="6F002FA5" w14:textId="77777777" w:rsidR="00F97AAF" w:rsidRPr="00292DE9" w:rsidRDefault="00F97AAF" w:rsidP="00C0377E">
            <w:pPr>
              <w:spacing w:after="0" w:line="240" w:lineRule="auto"/>
              <w:rPr>
                <w:sz w:val="20"/>
                <w:szCs w:val="20"/>
              </w:rPr>
            </w:pPr>
          </w:p>
          <w:p w14:paraId="7530AD12" w14:textId="0CC79113" w:rsidR="00F97AAF" w:rsidRPr="00292DE9" w:rsidRDefault="00F97AAF" w:rsidP="00C0377E">
            <w:pPr>
              <w:spacing w:after="0" w:line="240" w:lineRule="auto"/>
              <w:rPr>
                <w:sz w:val="20"/>
                <w:szCs w:val="20"/>
              </w:rPr>
            </w:pPr>
            <w:r w:rsidRPr="00292DE9">
              <w:rPr>
                <w:sz w:val="20"/>
                <w:szCs w:val="20"/>
              </w:rPr>
              <w:t>Most recent strategy for 2012</w:t>
            </w:r>
            <w:r>
              <w:rPr>
                <w:sz w:val="20"/>
                <w:szCs w:val="20"/>
              </w:rPr>
              <w:t>–</w:t>
            </w:r>
            <w:r w:rsidRPr="00292DE9">
              <w:rPr>
                <w:sz w:val="20"/>
                <w:szCs w:val="20"/>
              </w:rPr>
              <w:t>2016</w:t>
            </w:r>
          </w:p>
          <w:p w14:paraId="676C8D8A" w14:textId="77777777" w:rsidR="00F97AAF" w:rsidRPr="00292DE9" w:rsidRDefault="00F97AAF" w:rsidP="00C0377E">
            <w:pPr>
              <w:spacing w:after="0" w:line="240" w:lineRule="auto"/>
              <w:rPr>
                <w:sz w:val="20"/>
                <w:szCs w:val="20"/>
              </w:rPr>
            </w:pPr>
          </w:p>
          <w:p w14:paraId="4A7EC6AB" w14:textId="236BF20F" w:rsidR="00F97AAF" w:rsidRPr="00292DE9" w:rsidRDefault="00F97AAF" w:rsidP="00C0377E">
            <w:pPr>
              <w:spacing w:after="0" w:line="240" w:lineRule="auto"/>
              <w:rPr>
                <w:sz w:val="20"/>
                <w:szCs w:val="20"/>
              </w:rPr>
            </w:pPr>
            <w:r w:rsidRPr="00292DE9">
              <w:rPr>
                <w:sz w:val="20"/>
                <w:szCs w:val="20"/>
              </w:rPr>
              <w:lastRenderedPageBreak/>
              <w:t>2011</w:t>
            </w:r>
            <w:r>
              <w:rPr>
                <w:sz w:val="20"/>
                <w:szCs w:val="20"/>
              </w:rPr>
              <w:t>–</w:t>
            </w:r>
            <w:r w:rsidRPr="00292DE9">
              <w:rPr>
                <w:sz w:val="20"/>
                <w:szCs w:val="20"/>
              </w:rPr>
              <w:t>2013</w:t>
            </w:r>
          </w:p>
        </w:tc>
        <w:tc>
          <w:tcPr>
            <w:tcW w:w="4518" w:type="dxa"/>
            <w:tcBorders>
              <w:top w:val="single" w:sz="4" w:space="0" w:color="auto"/>
              <w:left w:val="nil"/>
              <w:bottom w:val="single" w:sz="4" w:space="0" w:color="auto"/>
              <w:right w:val="nil"/>
            </w:tcBorders>
          </w:tcPr>
          <w:p w14:paraId="7C98584C" w14:textId="77777777" w:rsidR="00F97AAF" w:rsidRPr="00292DE9" w:rsidRDefault="00F97AAF" w:rsidP="00C0377E">
            <w:pPr>
              <w:spacing w:after="0" w:line="240" w:lineRule="auto"/>
              <w:rPr>
                <w:sz w:val="20"/>
                <w:szCs w:val="20"/>
              </w:rPr>
            </w:pPr>
            <w:r w:rsidRPr="00292DE9">
              <w:rPr>
                <w:sz w:val="20"/>
                <w:szCs w:val="20"/>
              </w:rPr>
              <w:lastRenderedPageBreak/>
              <w:t>Development of a national capacity building curriculum</w:t>
            </w:r>
          </w:p>
          <w:p w14:paraId="7B805511" w14:textId="7F31F6C6" w:rsidR="00F97AAF" w:rsidRPr="00292DE9" w:rsidRDefault="00F97AAF" w:rsidP="0040046F">
            <w:pPr>
              <w:spacing w:after="0" w:line="240" w:lineRule="auto"/>
              <w:rPr>
                <w:sz w:val="20"/>
                <w:szCs w:val="20"/>
              </w:rPr>
            </w:pPr>
            <w:r w:rsidRPr="00292DE9">
              <w:rPr>
                <w:sz w:val="20"/>
                <w:szCs w:val="20"/>
              </w:rPr>
              <w:t>Delivery of 30,000 training days in 2008</w:t>
            </w:r>
            <w:r w:rsidR="0040046F">
              <w:rPr>
                <w:sz w:val="20"/>
                <w:szCs w:val="20"/>
              </w:rPr>
              <w:t>–</w:t>
            </w:r>
            <w:r w:rsidRPr="00292DE9">
              <w:rPr>
                <w:sz w:val="20"/>
                <w:szCs w:val="20"/>
              </w:rPr>
              <w:t>2010; 21,000 civil servants trained according to self-presentation</w:t>
            </w:r>
            <w:r w:rsidRPr="00292DE9">
              <w:rPr>
                <w:rStyle w:val="FootnoteReference"/>
                <w:sz w:val="20"/>
                <w:szCs w:val="20"/>
              </w:rPr>
              <w:footnoteReference w:id="67"/>
            </w:r>
          </w:p>
        </w:tc>
      </w:tr>
      <w:tr w:rsidR="00F97AAF" w:rsidRPr="00292DE9" w14:paraId="3807A583" w14:textId="77777777" w:rsidTr="00C0377E">
        <w:trPr>
          <w:jc w:val="center"/>
        </w:trPr>
        <w:tc>
          <w:tcPr>
            <w:tcW w:w="1800" w:type="dxa"/>
            <w:tcBorders>
              <w:top w:val="single" w:sz="4" w:space="0" w:color="auto"/>
              <w:left w:val="nil"/>
              <w:bottom w:val="single" w:sz="4" w:space="0" w:color="auto"/>
              <w:right w:val="nil"/>
            </w:tcBorders>
          </w:tcPr>
          <w:p w14:paraId="5CD6D8F9" w14:textId="77777777" w:rsidR="00F97AAF" w:rsidRPr="00292DE9" w:rsidRDefault="00F97AAF" w:rsidP="00C0377E">
            <w:pPr>
              <w:spacing w:after="0" w:line="240" w:lineRule="auto"/>
              <w:rPr>
                <w:sz w:val="20"/>
                <w:szCs w:val="20"/>
              </w:rPr>
            </w:pPr>
            <w:r w:rsidRPr="00292DE9">
              <w:rPr>
                <w:sz w:val="20"/>
                <w:szCs w:val="20"/>
              </w:rPr>
              <w:lastRenderedPageBreak/>
              <w:t>Local Government Administrative Officer training</w:t>
            </w:r>
          </w:p>
          <w:p w14:paraId="394E9E2D" w14:textId="77777777" w:rsidR="00F97AAF" w:rsidRPr="00292DE9" w:rsidRDefault="00F97AAF" w:rsidP="00C0377E">
            <w:pPr>
              <w:spacing w:after="0" w:line="240" w:lineRule="auto"/>
              <w:rPr>
                <w:sz w:val="20"/>
                <w:szCs w:val="20"/>
              </w:rPr>
            </w:pPr>
          </w:p>
        </w:tc>
        <w:tc>
          <w:tcPr>
            <w:tcW w:w="1620" w:type="dxa"/>
            <w:tcBorders>
              <w:top w:val="single" w:sz="4" w:space="0" w:color="auto"/>
              <w:left w:val="nil"/>
              <w:bottom w:val="single" w:sz="4" w:space="0" w:color="auto"/>
              <w:right w:val="nil"/>
            </w:tcBorders>
          </w:tcPr>
          <w:p w14:paraId="1816F666" w14:textId="4CF276E2" w:rsidR="00F97AAF" w:rsidRPr="00292DE9" w:rsidRDefault="00F97AAF" w:rsidP="00F0065A">
            <w:pPr>
              <w:spacing w:after="0" w:line="240" w:lineRule="auto"/>
              <w:rPr>
                <w:sz w:val="20"/>
                <w:szCs w:val="20"/>
              </w:rPr>
            </w:pPr>
            <w:r w:rsidRPr="00292DE9">
              <w:rPr>
                <w:sz w:val="20"/>
                <w:szCs w:val="20"/>
              </w:rPr>
              <w:t>G</w:t>
            </w:r>
            <w:r w:rsidR="00F0065A">
              <w:rPr>
                <w:sz w:val="20"/>
                <w:szCs w:val="20"/>
              </w:rPr>
              <w:t xml:space="preserve">erman Agency for </w:t>
            </w:r>
            <w:r w:rsidRPr="00292DE9">
              <w:rPr>
                <w:sz w:val="20"/>
                <w:szCs w:val="20"/>
              </w:rPr>
              <w:t>I</w:t>
            </w:r>
            <w:r w:rsidR="00F0065A">
              <w:rPr>
                <w:sz w:val="20"/>
                <w:szCs w:val="20"/>
              </w:rPr>
              <w:t>nternational Cooperation (GIZ)</w:t>
            </w:r>
          </w:p>
        </w:tc>
        <w:tc>
          <w:tcPr>
            <w:tcW w:w="1440" w:type="dxa"/>
            <w:tcBorders>
              <w:top w:val="single" w:sz="4" w:space="0" w:color="auto"/>
              <w:left w:val="nil"/>
              <w:bottom w:val="single" w:sz="4" w:space="0" w:color="auto"/>
              <w:right w:val="nil"/>
            </w:tcBorders>
          </w:tcPr>
          <w:p w14:paraId="43F7568F" w14:textId="77777777" w:rsidR="00F97AAF" w:rsidRPr="00292DE9" w:rsidRDefault="00F97AAF" w:rsidP="00C0377E">
            <w:pPr>
              <w:spacing w:after="0" w:line="240" w:lineRule="auto"/>
              <w:rPr>
                <w:sz w:val="20"/>
                <w:szCs w:val="20"/>
              </w:rPr>
            </w:pPr>
            <w:r w:rsidRPr="00292DE9">
              <w:rPr>
                <w:sz w:val="20"/>
                <w:szCs w:val="20"/>
              </w:rPr>
              <w:t>Since 2007</w:t>
            </w:r>
          </w:p>
        </w:tc>
        <w:tc>
          <w:tcPr>
            <w:tcW w:w="4518" w:type="dxa"/>
            <w:tcBorders>
              <w:top w:val="single" w:sz="4" w:space="0" w:color="auto"/>
              <w:left w:val="nil"/>
              <w:bottom w:val="single" w:sz="4" w:space="0" w:color="auto"/>
              <w:right w:val="nil"/>
            </w:tcBorders>
          </w:tcPr>
          <w:p w14:paraId="02C08BF0" w14:textId="77777777" w:rsidR="00F97AAF" w:rsidRPr="00292DE9" w:rsidRDefault="00F97AAF" w:rsidP="00C0377E">
            <w:pPr>
              <w:spacing w:after="0" w:line="240" w:lineRule="auto"/>
              <w:rPr>
                <w:sz w:val="20"/>
                <w:szCs w:val="20"/>
              </w:rPr>
            </w:pPr>
            <w:r w:rsidRPr="00292DE9">
              <w:rPr>
                <w:sz w:val="20"/>
                <w:szCs w:val="20"/>
              </w:rPr>
              <w:t xml:space="preserve">Part of GIZ’s overall engagement on decentralization </w:t>
            </w:r>
          </w:p>
          <w:p w14:paraId="2FC51D74" w14:textId="77777777" w:rsidR="00F97AAF" w:rsidRPr="00292DE9" w:rsidRDefault="00F97AAF" w:rsidP="00C0377E">
            <w:pPr>
              <w:spacing w:after="0" w:line="240" w:lineRule="auto"/>
              <w:rPr>
                <w:sz w:val="20"/>
                <w:szCs w:val="20"/>
              </w:rPr>
            </w:pPr>
          </w:p>
        </w:tc>
      </w:tr>
      <w:tr w:rsidR="00F97AAF" w:rsidRPr="00292DE9" w14:paraId="2CF5563C" w14:textId="77777777" w:rsidTr="00C0377E">
        <w:trPr>
          <w:trHeight w:val="1538"/>
          <w:jc w:val="center"/>
        </w:trPr>
        <w:tc>
          <w:tcPr>
            <w:tcW w:w="1800" w:type="dxa"/>
            <w:tcBorders>
              <w:top w:val="single" w:sz="4" w:space="0" w:color="auto"/>
              <w:left w:val="nil"/>
              <w:bottom w:val="single" w:sz="4" w:space="0" w:color="auto"/>
              <w:right w:val="nil"/>
            </w:tcBorders>
          </w:tcPr>
          <w:p w14:paraId="1865702E" w14:textId="77777777" w:rsidR="00F97AAF" w:rsidRPr="00292DE9" w:rsidRDefault="00F97AAF" w:rsidP="00C0377E">
            <w:pPr>
              <w:spacing w:after="0" w:line="240" w:lineRule="auto"/>
              <w:rPr>
                <w:sz w:val="20"/>
                <w:szCs w:val="20"/>
              </w:rPr>
            </w:pPr>
            <w:r w:rsidRPr="00292DE9">
              <w:rPr>
                <w:sz w:val="20"/>
                <w:szCs w:val="20"/>
              </w:rPr>
              <w:t>Institutional Capacity Building for Poverty Reduction and Good Governance Project</w:t>
            </w:r>
          </w:p>
        </w:tc>
        <w:tc>
          <w:tcPr>
            <w:tcW w:w="1620" w:type="dxa"/>
            <w:tcBorders>
              <w:top w:val="single" w:sz="4" w:space="0" w:color="auto"/>
              <w:left w:val="nil"/>
              <w:bottom w:val="single" w:sz="4" w:space="0" w:color="auto"/>
              <w:right w:val="nil"/>
            </w:tcBorders>
          </w:tcPr>
          <w:p w14:paraId="068D432C" w14:textId="77777777" w:rsidR="00F97AAF" w:rsidRPr="00292DE9" w:rsidRDefault="00F97AAF" w:rsidP="00C0377E">
            <w:pPr>
              <w:spacing w:after="0" w:line="240" w:lineRule="auto"/>
              <w:rPr>
                <w:sz w:val="20"/>
                <w:szCs w:val="20"/>
              </w:rPr>
            </w:pPr>
            <w:r w:rsidRPr="00292DE9">
              <w:rPr>
                <w:sz w:val="20"/>
                <w:szCs w:val="20"/>
              </w:rPr>
              <w:t>AFDB</w:t>
            </w:r>
          </w:p>
          <w:p w14:paraId="745693C5" w14:textId="77777777" w:rsidR="00F97AAF" w:rsidRPr="00292DE9" w:rsidRDefault="00F97AAF" w:rsidP="00C0377E">
            <w:pPr>
              <w:spacing w:after="0" w:line="240" w:lineRule="auto"/>
              <w:rPr>
                <w:sz w:val="20"/>
                <w:szCs w:val="20"/>
              </w:rPr>
            </w:pPr>
            <w:r w:rsidRPr="00292DE9">
              <w:rPr>
                <w:sz w:val="20"/>
                <w:szCs w:val="20"/>
              </w:rPr>
              <w:t>$15m for activities in Sudan and South Sudan</w:t>
            </w:r>
          </w:p>
        </w:tc>
        <w:tc>
          <w:tcPr>
            <w:tcW w:w="1440" w:type="dxa"/>
            <w:tcBorders>
              <w:top w:val="single" w:sz="4" w:space="0" w:color="auto"/>
              <w:left w:val="nil"/>
              <w:bottom w:val="single" w:sz="4" w:space="0" w:color="auto"/>
              <w:right w:val="nil"/>
            </w:tcBorders>
          </w:tcPr>
          <w:p w14:paraId="386FF3E3" w14:textId="7E7A00DB" w:rsidR="00F97AAF" w:rsidRPr="00292DE9" w:rsidRDefault="00F97AAF" w:rsidP="00C0377E">
            <w:pPr>
              <w:spacing w:after="0" w:line="240" w:lineRule="auto"/>
              <w:rPr>
                <w:sz w:val="20"/>
                <w:szCs w:val="20"/>
              </w:rPr>
            </w:pPr>
            <w:r w:rsidRPr="00292DE9">
              <w:rPr>
                <w:sz w:val="20"/>
                <w:szCs w:val="20"/>
              </w:rPr>
              <w:t>2007</w:t>
            </w:r>
            <w:r>
              <w:rPr>
                <w:sz w:val="20"/>
                <w:szCs w:val="20"/>
              </w:rPr>
              <w:t>–</w:t>
            </w:r>
            <w:r w:rsidRPr="00292DE9">
              <w:rPr>
                <w:sz w:val="20"/>
                <w:szCs w:val="20"/>
              </w:rPr>
              <w:t>2012</w:t>
            </w:r>
          </w:p>
        </w:tc>
        <w:tc>
          <w:tcPr>
            <w:tcW w:w="4518" w:type="dxa"/>
            <w:tcBorders>
              <w:top w:val="single" w:sz="4" w:space="0" w:color="auto"/>
              <w:left w:val="nil"/>
              <w:bottom w:val="single" w:sz="4" w:space="0" w:color="auto"/>
              <w:right w:val="nil"/>
            </w:tcBorders>
          </w:tcPr>
          <w:p w14:paraId="39EC271A" w14:textId="77777777" w:rsidR="00F97AAF" w:rsidRPr="00292DE9" w:rsidRDefault="00F97AAF" w:rsidP="00C0377E">
            <w:pPr>
              <w:autoSpaceDE w:val="0"/>
              <w:autoSpaceDN w:val="0"/>
              <w:adjustRightInd w:val="0"/>
              <w:spacing w:after="0" w:line="240" w:lineRule="auto"/>
              <w:rPr>
                <w:sz w:val="20"/>
                <w:szCs w:val="20"/>
              </w:rPr>
            </w:pPr>
            <w:r w:rsidRPr="00292DE9">
              <w:rPr>
                <w:sz w:val="20"/>
                <w:szCs w:val="20"/>
              </w:rPr>
              <w:t>Human Resource Training Center</w:t>
            </w:r>
          </w:p>
          <w:p w14:paraId="33A4EFE8" w14:textId="518F4EB0" w:rsidR="00F97AAF" w:rsidRPr="00292DE9" w:rsidRDefault="00F97AAF" w:rsidP="00C0377E">
            <w:pPr>
              <w:autoSpaceDE w:val="0"/>
              <w:autoSpaceDN w:val="0"/>
              <w:adjustRightInd w:val="0"/>
              <w:spacing w:after="0" w:line="240" w:lineRule="auto"/>
              <w:rPr>
                <w:sz w:val="20"/>
                <w:szCs w:val="20"/>
              </w:rPr>
            </w:pPr>
            <w:r w:rsidRPr="00292DE9">
              <w:rPr>
                <w:sz w:val="20"/>
                <w:szCs w:val="20"/>
              </w:rPr>
              <w:t xml:space="preserve">Building erected outside Juba as support for </w:t>
            </w:r>
            <w:r w:rsidR="00F92549">
              <w:rPr>
                <w:sz w:val="20"/>
                <w:szCs w:val="20"/>
              </w:rPr>
              <w:t xml:space="preserve">the </w:t>
            </w:r>
            <w:r w:rsidR="000754F1">
              <w:rPr>
                <w:sz w:val="20"/>
                <w:szCs w:val="20"/>
              </w:rPr>
              <w:t>MoLPSHRD</w:t>
            </w:r>
            <w:r w:rsidRPr="00292DE9">
              <w:rPr>
                <w:sz w:val="20"/>
                <w:szCs w:val="20"/>
              </w:rPr>
              <w:t>’s training mission</w:t>
            </w:r>
          </w:p>
          <w:p w14:paraId="59945A7E" w14:textId="77777777" w:rsidR="00F97AAF" w:rsidRPr="00292DE9" w:rsidRDefault="00F97AAF" w:rsidP="00C0377E">
            <w:pPr>
              <w:autoSpaceDE w:val="0"/>
              <w:autoSpaceDN w:val="0"/>
              <w:adjustRightInd w:val="0"/>
              <w:spacing w:after="0" w:line="240" w:lineRule="auto"/>
              <w:rPr>
                <w:sz w:val="20"/>
                <w:szCs w:val="20"/>
              </w:rPr>
            </w:pPr>
          </w:p>
          <w:p w14:paraId="2B606AFE" w14:textId="77777777" w:rsidR="00F97AAF" w:rsidRPr="00292DE9" w:rsidRDefault="00F97AAF" w:rsidP="00C0377E">
            <w:pPr>
              <w:autoSpaceDE w:val="0"/>
              <w:autoSpaceDN w:val="0"/>
              <w:adjustRightInd w:val="0"/>
              <w:spacing w:after="0" w:line="240" w:lineRule="auto"/>
              <w:rPr>
                <w:sz w:val="20"/>
                <w:szCs w:val="20"/>
              </w:rPr>
            </w:pPr>
            <w:r w:rsidRPr="00292DE9">
              <w:rPr>
                <w:sz w:val="20"/>
                <w:szCs w:val="20"/>
              </w:rPr>
              <w:t>Training of more than 1,200 GRSS and state officials in planning and budgeting</w:t>
            </w:r>
          </w:p>
        </w:tc>
      </w:tr>
      <w:tr w:rsidR="00F97AAF" w:rsidRPr="00292DE9" w14:paraId="7C08072B" w14:textId="77777777" w:rsidTr="00C0377E">
        <w:trPr>
          <w:trHeight w:val="1070"/>
          <w:jc w:val="center"/>
        </w:trPr>
        <w:tc>
          <w:tcPr>
            <w:tcW w:w="1800" w:type="dxa"/>
            <w:tcBorders>
              <w:top w:val="single" w:sz="4" w:space="0" w:color="auto"/>
              <w:left w:val="nil"/>
              <w:bottom w:val="single" w:sz="4" w:space="0" w:color="auto"/>
              <w:right w:val="nil"/>
            </w:tcBorders>
          </w:tcPr>
          <w:p w14:paraId="5AFA0BF8" w14:textId="77777777" w:rsidR="00F97AAF" w:rsidRPr="00292DE9" w:rsidRDefault="00F97AAF" w:rsidP="00C0377E">
            <w:pPr>
              <w:spacing w:after="0" w:line="240" w:lineRule="auto"/>
              <w:rPr>
                <w:sz w:val="20"/>
                <w:szCs w:val="20"/>
              </w:rPr>
            </w:pPr>
            <w:r w:rsidRPr="00292DE9">
              <w:rPr>
                <w:sz w:val="20"/>
                <w:szCs w:val="20"/>
              </w:rPr>
              <w:t>IGAD Initiative for Capacity Enhancement in South Sudan</w:t>
            </w:r>
            <w:r w:rsidRPr="00292DE9">
              <w:rPr>
                <w:rStyle w:val="FootnoteReference"/>
                <w:sz w:val="20"/>
                <w:szCs w:val="20"/>
              </w:rPr>
              <w:footnoteReference w:id="68"/>
            </w:r>
          </w:p>
        </w:tc>
        <w:tc>
          <w:tcPr>
            <w:tcW w:w="1620" w:type="dxa"/>
            <w:tcBorders>
              <w:top w:val="single" w:sz="4" w:space="0" w:color="auto"/>
              <w:left w:val="nil"/>
              <w:bottom w:val="single" w:sz="4" w:space="0" w:color="auto"/>
              <w:right w:val="nil"/>
            </w:tcBorders>
          </w:tcPr>
          <w:p w14:paraId="45AA1092" w14:textId="77777777" w:rsidR="00F97AAF" w:rsidRPr="00292DE9" w:rsidRDefault="00F97AAF" w:rsidP="00C0377E">
            <w:pPr>
              <w:spacing w:after="0" w:line="240" w:lineRule="auto"/>
              <w:rPr>
                <w:sz w:val="20"/>
                <w:szCs w:val="20"/>
              </w:rPr>
            </w:pPr>
            <w:r w:rsidRPr="00292DE9">
              <w:rPr>
                <w:sz w:val="20"/>
                <w:szCs w:val="20"/>
              </w:rPr>
              <w:t>Funded by UNDP (coordinating; bilaterals contributing)</w:t>
            </w:r>
          </w:p>
        </w:tc>
        <w:tc>
          <w:tcPr>
            <w:tcW w:w="1440" w:type="dxa"/>
            <w:tcBorders>
              <w:top w:val="single" w:sz="4" w:space="0" w:color="auto"/>
              <w:left w:val="nil"/>
              <w:bottom w:val="single" w:sz="4" w:space="0" w:color="auto"/>
              <w:right w:val="nil"/>
            </w:tcBorders>
          </w:tcPr>
          <w:p w14:paraId="284A84F6" w14:textId="77777777" w:rsidR="00F97AAF" w:rsidRPr="00292DE9" w:rsidRDefault="00F97AAF" w:rsidP="00C0377E">
            <w:pPr>
              <w:spacing w:after="0" w:line="240" w:lineRule="auto"/>
              <w:rPr>
                <w:sz w:val="20"/>
                <w:szCs w:val="20"/>
              </w:rPr>
            </w:pPr>
            <w:r w:rsidRPr="00292DE9">
              <w:rPr>
                <w:sz w:val="20"/>
                <w:szCs w:val="20"/>
              </w:rPr>
              <w:t>2011 forward</w:t>
            </w:r>
          </w:p>
        </w:tc>
        <w:tc>
          <w:tcPr>
            <w:tcW w:w="4518" w:type="dxa"/>
            <w:tcBorders>
              <w:top w:val="single" w:sz="4" w:space="0" w:color="auto"/>
              <w:left w:val="nil"/>
              <w:bottom w:val="single" w:sz="4" w:space="0" w:color="auto"/>
              <w:right w:val="nil"/>
            </w:tcBorders>
          </w:tcPr>
          <w:p w14:paraId="4DDB95A0" w14:textId="1ED409C0" w:rsidR="00F97AAF" w:rsidRPr="00292DE9" w:rsidRDefault="00F97AAF" w:rsidP="00122F31">
            <w:pPr>
              <w:spacing w:after="0" w:line="240" w:lineRule="auto"/>
              <w:rPr>
                <w:sz w:val="20"/>
                <w:szCs w:val="20"/>
              </w:rPr>
            </w:pPr>
            <w:r w:rsidRPr="00292DE9">
              <w:rPr>
                <w:sz w:val="20"/>
                <w:szCs w:val="20"/>
              </w:rPr>
              <w:t xml:space="preserve">Deployed 200 civil servants (Kenya: 80, Ethiopia: 60, Uganda: 60) to provide mentoring and coaching to counterparts in South Sudan for </w:t>
            </w:r>
            <w:r w:rsidR="00F0065A">
              <w:rPr>
                <w:sz w:val="20"/>
                <w:szCs w:val="20"/>
              </w:rPr>
              <w:t>two</w:t>
            </w:r>
            <w:r w:rsidR="00F0065A" w:rsidRPr="00292DE9">
              <w:rPr>
                <w:sz w:val="20"/>
                <w:szCs w:val="20"/>
              </w:rPr>
              <w:t xml:space="preserve"> </w:t>
            </w:r>
            <w:r w:rsidRPr="00292DE9">
              <w:rPr>
                <w:sz w:val="20"/>
                <w:szCs w:val="20"/>
              </w:rPr>
              <w:t>years</w:t>
            </w:r>
          </w:p>
        </w:tc>
      </w:tr>
      <w:tr w:rsidR="00F97AAF" w:rsidRPr="00292DE9" w14:paraId="7BDEF423" w14:textId="77777777" w:rsidTr="00C0377E">
        <w:trPr>
          <w:trHeight w:val="800"/>
          <w:jc w:val="center"/>
        </w:trPr>
        <w:tc>
          <w:tcPr>
            <w:tcW w:w="1800" w:type="dxa"/>
            <w:tcBorders>
              <w:top w:val="single" w:sz="4" w:space="0" w:color="auto"/>
              <w:left w:val="nil"/>
              <w:bottom w:val="single" w:sz="4" w:space="0" w:color="auto"/>
              <w:right w:val="nil"/>
            </w:tcBorders>
          </w:tcPr>
          <w:p w14:paraId="5B07F9FA" w14:textId="77777777" w:rsidR="00F97AAF" w:rsidRPr="00292DE9" w:rsidRDefault="00F97AAF" w:rsidP="00C0377E">
            <w:pPr>
              <w:spacing w:after="0" w:line="240" w:lineRule="auto"/>
              <w:rPr>
                <w:sz w:val="20"/>
                <w:szCs w:val="20"/>
              </w:rPr>
            </w:pPr>
            <w:r w:rsidRPr="00292DE9">
              <w:rPr>
                <w:sz w:val="20"/>
                <w:szCs w:val="20"/>
              </w:rPr>
              <w:t>Rapid Capacity Placement Initiative</w:t>
            </w:r>
            <w:r w:rsidRPr="00292DE9">
              <w:rPr>
                <w:rStyle w:val="FootnoteReference"/>
                <w:sz w:val="20"/>
                <w:szCs w:val="20"/>
              </w:rPr>
              <w:footnoteReference w:id="69"/>
            </w:r>
          </w:p>
        </w:tc>
        <w:tc>
          <w:tcPr>
            <w:tcW w:w="1620" w:type="dxa"/>
            <w:tcBorders>
              <w:top w:val="single" w:sz="4" w:space="0" w:color="auto"/>
              <w:left w:val="nil"/>
              <w:bottom w:val="single" w:sz="4" w:space="0" w:color="auto"/>
              <w:right w:val="nil"/>
            </w:tcBorders>
          </w:tcPr>
          <w:p w14:paraId="5C0DC150" w14:textId="1C32339B" w:rsidR="00F97AAF" w:rsidRPr="00292DE9" w:rsidRDefault="00122F31" w:rsidP="00122F31">
            <w:pPr>
              <w:spacing w:after="0" w:line="240" w:lineRule="auto"/>
              <w:rPr>
                <w:sz w:val="20"/>
                <w:szCs w:val="20"/>
              </w:rPr>
            </w:pPr>
            <w:r>
              <w:rPr>
                <w:sz w:val="20"/>
                <w:szCs w:val="20"/>
              </w:rPr>
              <w:t>UNDP/Canadian International Development Agency</w:t>
            </w:r>
          </w:p>
        </w:tc>
        <w:tc>
          <w:tcPr>
            <w:tcW w:w="1440" w:type="dxa"/>
            <w:tcBorders>
              <w:top w:val="single" w:sz="4" w:space="0" w:color="auto"/>
              <w:left w:val="nil"/>
              <w:bottom w:val="single" w:sz="4" w:space="0" w:color="auto"/>
              <w:right w:val="nil"/>
            </w:tcBorders>
          </w:tcPr>
          <w:p w14:paraId="16BDFD92" w14:textId="77777777" w:rsidR="00F97AAF" w:rsidRPr="00292DE9" w:rsidRDefault="00F97AAF" w:rsidP="00C0377E">
            <w:pPr>
              <w:spacing w:after="0" w:line="240" w:lineRule="auto"/>
              <w:rPr>
                <w:sz w:val="20"/>
                <w:szCs w:val="20"/>
              </w:rPr>
            </w:pPr>
            <w:r w:rsidRPr="00292DE9">
              <w:rPr>
                <w:sz w:val="20"/>
                <w:szCs w:val="20"/>
              </w:rPr>
              <w:t>After 2011</w:t>
            </w:r>
          </w:p>
        </w:tc>
        <w:tc>
          <w:tcPr>
            <w:tcW w:w="4518" w:type="dxa"/>
            <w:tcBorders>
              <w:top w:val="single" w:sz="4" w:space="0" w:color="auto"/>
              <w:left w:val="nil"/>
              <w:bottom w:val="single" w:sz="4" w:space="0" w:color="auto"/>
              <w:right w:val="nil"/>
            </w:tcBorders>
          </w:tcPr>
          <w:p w14:paraId="11B585E9" w14:textId="5768AF5B" w:rsidR="00F97AAF" w:rsidRPr="00292DE9" w:rsidRDefault="00F97AAF" w:rsidP="00C0377E">
            <w:pPr>
              <w:spacing w:after="0" w:line="240" w:lineRule="auto"/>
              <w:rPr>
                <w:sz w:val="20"/>
                <w:szCs w:val="20"/>
              </w:rPr>
            </w:pPr>
            <w:r w:rsidRPr="00292DE9">
              <w:rPr>
                <w:sz w:val="20"/>
                <w:szCs w:val="20"/>
              </w:rPr>
              <w:t xml:space="preserve">150 international </w:t>
            </w:r>
            <w:r w:rsidR="000754F1">
              <w:rPr>
                <w:sz w:val="20"/>
                <w:szCs w:val="20"/>
              </w:rPr>
              <w:t xml:space="preserve">United Nations Volunteers </w:t>
            </w:r>
            <w:r w:rsidRPr="00292DE9">
              <w:rPr>
                <w:sz w:val="20"/>
                <w:szCs w:val="20"/>
              </w:rPr>
              <w:t>deployed to the 10 state governments</w:t>
            </w:r>
          </w:p>
        </w:tc>
      </w:tr>
      <w:tr w:rsidR="00F97AAF" w:rsidRPr="00292DE9" w14:paraId="130BB425" w14:textId="77777777" w:rsidTr="00C0377E">
        <w:trPr>
          <w:jc w:val="center"/>
        </w:trPr>
        <w:tc>
          <w:tcPr>
            <w:tcW w:w="1800" w:type="dxa"/>
            <w:tcBorders>
              <w:top w:val="single" w:sz="4" w:space="0" w:color="auto"/>
              <w:left w:val="nil"/>
              <w:bottom w:val="single" w:sz="4" w:space="0" w:color="auto"/>
              <w:right w:val="nil"/>
            </w:tcBorders>
          </w:tcPr>
          <w:p w14:paraId="3348E145" w14:textId="77777777" w:rsidR="00F97AAF" w:rsidRPr="00292DE9" w:rsidRDefault="00F97AAF" w:rsidP="00C0377E">
            <w:pPr>
              <w:spacing w:after="0" w:line="240" w:lineRule="auto"/>
              <w:rPr>
                <w:sz w:val="20"/>
                <w:szCs w:val="20"/>
              </w:rPr>
            </w:pPr>
            <w:r w:rsidRPr="00292DE9">
              <w:rPr>
                <w:sz w:val="20"/>
                <w:szCs w:val="20"/>
              </w:rPr>
              <w:t>African Union</w:t>
            </w:r>
          </w:p>
        </w:tc>
        <w:tc>
          <w:tcPr>
            <w:tcW w:w="1620" w:type="dxa"/>
            <w:tcBorders>
              <w:top w:val="single" w:sz="4" w:space="0" w:color="auto"/>
              <w:left w:val="nil"/>
              <w:bottom w:val="single" w:sz="4" w:space="0" w:color="auto"/>
              <w:right w:val="nil"/>
            </w:tcBorders>
          </w:tcPr>
          <w:p w14:paraId="0DF6E5F7" w14:textId="77777777" w:rsidR="00F97AAF" w:rsidRPr="00292DE9" w:rsidRDefault="00F97AAF" w:rsidP="00C0377E">
            <w:pPr>
              <w:spacing w:after="0" w:line="240" w:lineRule="auto"/>
              <w:rPr>
                <w:sz w:val="20"/>
                <w:szCs w:val="20"/>
              </w:rPr>
            </w:pPr>
            <w:r w:rsidRPr="00292DE9">
              <w:rPr>
                <w:sz w:val="20"/>
                <w:szCs w:val="20"/>
              </w:rPr>
              <w:t>UNDP</w:t>
            </w:r>
          </w:p>
          <w:p w14:paraId="53E0FCA9" w14:textId="77777777" w:rsidR="00F97AAF" w:rsidRPr="00292DE9" w:rsidRDefault="00F97AAF" w:rsidP="00C0377E">
            <w:pPr>
              <w:spacing w:after="0" w:line="240" w:lineRule="auto"/>
              <w:rPr>
                <w:sz w:val="20"/>
                <w:szCs w:val="20"/>
              </w:rPr>
            </w:pPr>
            <w:r w:rsidRPr="00292DE9">
              <w:rPr>
                <w:sz w:val="20"/>
                <w:szCs w:val="20"/>
              </w:rPr>
              <w:t xml:space="preserve">Costs estimated at </w:t>
            </w:r>
            <w:r>
              <w:rPr>
                <w:sz w:val="20"/>
                <w:szCs w:val="20"/>
              </w:rPr>
              <w:t>US</w:t>
            </w:r>
            <w:r w:rsidRPr="00292DE9">
              <w:rPr>
                <w:sz w:val="20"/>
                <w:szCs w:val="20"/>
              </w:rPr>
              <w:t>$90</w:t>
            </w:r>
            <w:r>
              <w:rPr>
                <w:sz w:val="20"/>
                <w:szCs w:val="20"/>
              </w:rPr>
              <w:t xml:space="preserve"> </w:t>
            </w:r>
            <w:r w:rsidRPr="00292DE9">
              <w:rPr>
                <w:sz w:val="20"/>
                <w:szCs w:val="20"/>
              </w:rPr>
              <w:t>m</w:t>
            </w:r>
            <w:r>
              <w:rPr>
                <w:sz w:val="20"/>
                <w:szCs w:val="20"/>
              </w:rPr>
              <w:t>illion</w:t>
            </w:r>
            <w:r w:rsidRPr="00292DE9">
              <w:rPr>
                <w:sz w:val="20"/>
                <w:szCs w:val="20"/>
              </w:rPr>
              <w:t xml:space="preserve"> annually</w:t>
            </w:r>
            <w:r w:rsidRPr="00292DE9">
              <w:rPr>
                <w:rStyle w:val="FootnoteReference"/>
                <w:sz w:val="20"/>
                <w:szCs w:val="20"/>
              </w:rPr>
              <w:footnoteReference w:id="70"/>
            </w:r>
          </w:p>
        </w:tc>
        <w:tc>
          <w:tcPr>
            <w:tcW w:w="1440" w:type="dxa"/>
            <w:tcBorders>
              <w:top w:val="single" w:sz="4" w:space="0" w:color="auto"/>
              <w:left w:val="nil"/>
              <w:bottom w:val="single" w:sz="4" w:space="0" w:color="auto"/>
              <w:right w:val="nil"/>
            </w:tcBorders>
          </w:tcPr>
          <w:p w14:paraId="7949C79E" w14:textId="77777777" w:rsidR="00F97AAF" w:rsidRPr="00292DE9" w:rsidRDefault="00F97AAF" w:rsidP="00C0377E">
            <w:pPr>
              <w:spacing w:after="0" w:line="240" w:lineRule="auto"/>
              <w:rPr>
                <w:sz w:val="20"/>
                <w:szCs w:val="20"/>
              </w:rPr>
            </w:pPr>
            <w:r w:rsidRPr="00292DE9">
              <w:rPr>
                <w:sz w:val="20"/>
                <w:szCs w:val="20"/>
              </w:rPr>
              <w:t>Started in 2012</w:t>
            </w:r>
          </w:p>
        </w:tc>
        <w:tc>
          <w:tcPr>
            <w:tcW w:w="4518" w:type="dxa"/>
            <w:tcBorders>
              <w:top w:val="single" w:sz="4" w:space="0" w:color="auto"/>
              <w:left w:val="nil"/>
              <w:bottom w:val="single" w:sz="4" w:space="0" w:color="auto"/>
              <w:right w:val="nil"/>
            </w:tcBorders>
          </w:tcPr>
          <w:p w14:paraId="1E7BEBA4" w14:textId="10675E38" w:rsidR="00F97AAF" w:rsidRPr="00292DE9" w:rsidRDefault="00F97AAF" w:rsidP="00C0377E">
            <w:pPr>
              <w:autoSpaceDE w:val="0"/>
              <w:autoSpaceDN w:val="0"/>
              <w:adjustRightInd w:val="0"/>
              <w:spacing w:after="0" w:line="240" w:lineRule="auto"/>
              <w:rPr>
                <w:rFonts w:cs="Calibri"/>
                <w:sz w:val="20"/>
                <w:szCs w:val="20"/>
              </w:rPr>
            </w:pPr>
            <w:r w:rsidRPr="00292DE9">
              <w:rPr>
                <w:sz w:val="20"/>
                <w:szCs w:val="20"/>
              </w:rPr>
              <w:t>Planned provision of 1</w:t>
            </w:r>
            <w:r w:rsidR="009F61EE">
              <w:rPr>
                <w:sz w:val="20"/>
                <w:szCs w:val="20"/>
              </w:rPr>
              <w:t>,</w:t>
            </w:r>
            <w:r w:rsidRPr="00292DE9">
              <w:rPr>
                <w:sz w:val="20"/>
                <w:szCs w:val="20"/>
              </w:rPr>
              <w:t xml:space="preserve">000 technical experts: </w:t>
            </w:r>
            <w:r w:rsidRPr="00292DE9">
              <w:rPr>
                <w:rFonts w:cs="Calibri"/>
                <w:sz w:val="20"/>
                <w:szCs w:val="20"/>
              </w:rPr>
              <w:t>public administration, agriculture, infrastructure, energy development, health, education</w:t>
            </w:r>
            <w:r w:rsidR="009F61EE">
              <w:rPr>
                <w:rFonts w:cs="Calibri"/>
                <w:sz w:val="20"/>
                <w:szCs w:val="20"/>
              </w:rPr>
              <w:t>,</w:t>
            </w:r>
            <w:r w:rsidRPr="00292DE9">
              <w:rPr>
                <w:rFonts w:cs="Calibri"/>
                <w:sz w:val="20"/>
                <w:szCs w:val="20"/>
              </w:rPr>
              <w:t xml:space="preserve"> and local government</w:t>
            </w:r>
          </w:p>
        </w:tc>
      </w:tr>
      <w:tr w:rsidR="00F97AAF" w:rsidRPr="00292DE9" w14:paraId="23B41A61" w14:textId="77777777" w:rsidTr="00C0377E">
        <w:trPr>
          <w:jc w:val="center"/>
        </w:trPr>
        <w:tc>
          <w:tcPr>
            <w:tcW w:w="1800" w:type="dxa"/>
            <w:tcBorders>
              <w:top w:val="single" w:sz="4" w:space="0" w:color="auto"/>
              <w:left w:val="nil"/>
              <w:bottom w:val="single" w:sz="4" w:space="0" w:color="auto"/>
              <w:right w:val="nil"/>
            </w:tcBorders>
          </w:tcPr>
          <w:p w14:paraId="430AA072" w14:textId="77777777" w:rsidR="00F97AAF" w:rsidRPr="00292DE9" w:rsidRDefault="00F97AAF" w:rsidP="00C0377E">
            <w:pPr>
              <w:spacing w:after="0" w:line="240" w:lineRule="auto"/>
              <w:rPr>
                <w:sz w:val="20"/>
                <w:szCs w:val="20"/>
              </w:rPr>
            </w:pPr>
            <w:r w:rsidRPr="00292DE9">
              <w:rPr>
                <w:sz w:val="20"/>
                <w:szCs w:val="20"/>
              </w:rPr>
              <w:lastRenderedPageBreak/>
              <w:t>Government of Kenya</w:t>
            </w:r>
          </w:p>
        </w:tc>
        <w:tc>
          <w:tcPr>
            <w:tcW w:w="1620" w:type="dxa"/>
            <w:tcBorders>
              <w:top w:val="single" w:sz="4" w:space="0" w:color="auto"/>
              <w:left w:val="nil"/>
              <w:bottom w:val="single" w:sz="4" w:space="0" w:color="auto"/>
              <w:right w:val="nil"/>
            </w:tcBorders>
          </w:tcPr>
          <w:p w14:paraId="09BA0750" w14:textId="77777777" w:rsidR="00F97AAF" w:rsidRPr="00292DE9" w:rsidRDefault="00F97AAF" w:rsidP="00C0377E">
            <w:pPr>
              <w:spacing w:after="0" w:line="240" w:lineRule="auto"/>
              <w:rPr>
                <w:sz w:val="20"/>
                <w:szCs w:val="20"/>
              </w:rPr>
            </w:pPr>
            <w:r w:rsidRPr="00292DE9">
              <w:rPr>
                <w:sz w:val="20"/>
                <w:szCs w:val="20"/>
              </w:rPr>
              <w:t>Through the Kenya School of Government</w:t>
            </w:r>
          </w:p>
        </w:tc>
        <w:tc>
          <w:tcPr>
            <w:tcW w:w="1440" w:type="dxa"/>
            <w:tcBorders>
              <w:top w:val="single" w:sz="4" w:space="0" w:color="auto"/>
              <w:left w:val="nil"/>
              <w:bottom w:val="single" w:sz="4" w:space="0" w:color="auto"/>
              <w:right w:val="nil"/>
            </w:tcBorders>
          </w:tcPr>
          <w:p w14:paraId="40B74FFE" w14:textId="77777777" w:rsidR="00F97AAF" w:rsidRPr="00292DE9" w:rsidRDefault="00F97AAF" w:rsidP="00C0377E">
            <w:pPr>
              <w:spacing w:after="0" w:line="240" w:lineRule="auto"/>
              <w:rPr>
                <w:sz w:val="20"/>
                <w:szCs w:val="20"/>
              </w:rPr>
            </w:pPr>
          </w:p>
        </w:tc>
        <w:tc>
          <w:tcPr>
            <w:tcW w:w="4518" w:type="dxa"/>
            <w:tcBorders>
              <w:top w:val="single" w:sz="4" w:space="0" w:color="auto"/>
              <w:left w:val="nil"/>
              <w:bottom w:val="single" w:sz="4" w:space="0" w:color="auto"/>
              <w:right w:val="nil"/>
            </w:tcBorders>
          </w:tcPr>
          <w:p w14:paraId="5384AB7F" w14:textId="77777777" w:rsidR="00F97AAF" w:rsidRPr="00292DE9" w:rsidRDefault="00F97AAF" w:rsidP="00C0377E">
            <w:pPr>
              <w:autoSpaceDE w:val="0"/>
              <w:autoSpaceDN w:val="0"/>
              <w:adjustRightInd w:val="0"/>
              <w:spacing w:after="0" w:line="240" w:lineRule="auto"/>
              <w:rPr>
                <w:sz w:val="20"/>
                <w:szCs w:val="20"/>
              </w:rPr>
            </w:pPr>
            <w:r w:rsidRPr="00292DE9">
              <w:rPr>
                <w:sz w:val="20"/>
                <w:szCs w:val="20"/>
              </w:rPr>
              <w:t>Trained 686 government officials in Kenya since 2007 and 135 in Juba</w:t>
            </w:r>
          </w:p>
        </w:tc>
      </w:tr>
      <w:tr w:rsidR="00F97AAF" w:rsidRPr="00292DE9" w14:paraId="1F8EB506" w14:textId="77777777" w:rsidTr="00C0377E">
        <w:trPr>
          <w:jc w:val="center"/>
        </w:trPr>
        <w:tc>
          <w:tcPr>
            <w:tcW w:w="1800" w:type="dxa"/>
            <w:tcBorders>
              <w:top w:val="single" w:sz="4" w:space="0" w:color="auto"/>
              <w:left w:val="nil"/>
              <w:bottom w:val="single" w:sz="4" w:space="0" w:color="auto"/>
              <w:right w:val="nil"/>
            </w:tcBorders>
          </w:tcPr>
          <w:p w14:paraId="4F64BCA6" w14:textId="77777777" w:rsidR="00F97AAF" w:rsidRPr="00292DE9" w:rsidRDefault="00F97AAF" w:rsidP="00C0377E">
            <w:pPr>
              <w:spacing w:after="0" w:line="240" w:lineRule="auto"/>
              <w:rPr>
                <w:sz w:val="20"/>
                <w:szCs w:val="20"/>
              </w:rPr>
            </w:pPr>
            <w:r w:rsidRPr="00292DE9">
              <w:rPr>
                <w:sz w:val="20"/>
                <w:szCs w:val="20"/>
              </w:rPr>
              <w:t>Government of South Africa</w:t>
            </w:r>
          </w:p>
        </w:tc>
        <w:tc>
          <w:tcPr>
            <w:tcW w:w="1620" w:type="dxa"/>
            <w:tcBorders>
              <w:top w:val="single" w:sz="4" w:space="0" w:color="auto"/>
              <w:left w:val="nil"/>
              <w:bottom w:val="single" w:sz="4" w:space="0" w:color="auto"/>
              <w:right w:val="nil"/>
            </w:tcBorders>
          </w:tcPr>
          <w:p w14:paraId="66A61C18" w14:textId="77777777" w:rsidR="00F97AAF" w:rsidRPr="00292DE9" w:rsidRDefault="00F97AAF" w:rsidP="00C0377E">
            <w:pPr>
              <w:spacing w:after="0" w:line="240" w:lineRule="auto"/>
              <w:rPr>
                <w:sz w:val="20"/>
                <w:szCs w:val="20"/>
              </w:rPr>
            </w:pPr>
            <w:r w:rsidRPr="00292DE9">
              <w:rPr>
                <w:sz w:val="20"/>
                <w:szCs w:val="20"/>
              </w:rPr>
              <w:t>Through the University of South Africa and PALAMA</w:t>
            </w:r>
          </w:p>
          <w:p w14:paraId="0D90C539" w14:textId="77777777" w:rsidR="00F97AAF" w:rsidRPr="00292DE9" w:rsidRDefault="00F97AAF" w:rsidP="00C0377E">
            <w:pPr>
              <w:spacing w:after="0" w:line="240" w:lineRule="auto"/>
              <w:rPr>
                <w:sz w:val="20"/>
                <w:szCs w:val="20"/>
              </w:rPr>
            </w:pPr>
            <w:r w:rsidRPr="00292DE9">
              <w:rPr>
                <w:sz w:val="20"/>
                <w:szCs w:val="20"/>
              </w:rPr>
              <w:t>Funded by CIDA</w:t>
            </w:r>
          </w:p>
        </w:tc>
        <w:tc>
          <w:tcPr>
            <w:tcW w:w="1440" w:type="dxa"/>
            <w:tcBorders>
              <w:top w:val="single" w:sz="4" w:space="0" w:color="auto"/>
              <w:left w:val="nil"/>
              <w:bottom w:val="single" w:sz="4" w:space="0" w:color="auto"/>
              <w:right w:val="nil"/>
            </w:tcBorders>
          </w:tcPr>
          <w:p w14:paraId="05EAE2E5" w14:textId="77777777" w:rsidR="00F97AAF" w:rsidRPr="00292DE9" w:rsidRDefault="00F97AAF" w:rsidP="00C0377E">
            <w:pPr>
              <w:spacing w:after="0" w:line="240" w:lineRule="auto"/>
              <w:rPr>
                <w:sz w:val="20"/>
                <w:szCs w:val="20"/>
              </w:rPr>
            </w:pPr>
          </w:p>
        </w:tc>
        <w:tc>
          <w:tcPr>
            <w:tcW w:w="4518" w:type="dxa"/>
            <w:tcBorders>
              <w:top w:val="single" w:sz="4" w:space="0" w:color="auto"/>
              <w:left w:val="nil"/>
              <w:bottom w:val="single" w:sz="4" w:space="0" w:color="auto"/>
              <w:right w:val="nil"/>
            </w:tcBorders>
          </w:tcPr>
          <w:p w14:paraId="1F0F0DBC" w14:textId="77777777" w:rsidR="00F97AAF" w:rsidRPr="00292DE9" w:rsidRDefault="00F97AAF" w:rsidP="00C0377E">
            <w:pPr>
              <w:autoSpaceDE w:val="0"/>
              <w:autoSpaceDN w:val="0"/>
              <w:adjustRightInd w:val="0"/>
              <w:spacing w:after="0" w:line="240" w:lineRule="auto"/>
              <w:rPr>
                <w:sz w:val="20"/>
                <w:szCs w:val="20"/>
              </w:rPr>
            </w:pPr>
            <w:r w:rsidRPr="00292DE9">
              <w:rPr>
                <w:sz w:val="20"/>
                <w:szCs w:val="20"/>
              </w:rPr>
              <w:t>Trained 340 trainees in leadership and management, governance and diplomacy</w:t>
            </w:r>
          </w:p>
        </w:tc>
      </w:tr>
      <w:tr w:rsidR="00F97AAF" w:rsidRPr="00292DE9" w14:paraId="07BD540B" w14:textId="77777777" w:rsidTr="00C0377E">
        <w:trPr>
          <w:jc w:val="center"/>
        </w:trPr>
        <w:tc>
          <w:tcPr>
            <w:tcW w:w="1800" w:type="dxa"/>
            <w:tcBorders>
              <w:top w:val="single" w:sz="4" w:space="0" w:color="auto"/>
              <w:left w:val="nil"/>
              <w:bottom w:val="nil"/>
              <w:right w:val="nil"/>
            </w:tcBorders>
          </w:tcPr>
          <w:p w14:paraId="40C364D9" w14:textId="77777777" w:rsidR="00F97AAF" w:rsidRPr="00292DE9" w:rsidRDefault="00F97AAF" w:rsidP="00C0377E">
            <w:pPr>
              <w:spacing w:after="0" w:line="240" w:lineRule="auto"/>
              <w:rPr>
                <w:sz w:val="20"/>
                <w:szCs w:val="20"/>
              </w:rPr>
            </w:pPr>
            <w:r w:rsidRPr="00292DE9">
              <w:rPr>
                <w:sz w:val="20"/>
                <w:szCs w:val="20"/>
              </w:rPr>
              <w:t>Government of India</w:t>
            </w:r>
          </w:p>
        </w:tc>
        <w:tc>
          <w:tcPr>
            <w:tcW w:w="1620" w:type="dxa"/>
            <w:tcBorders>
              <w:top w:val="single" w:sz="4" w:space="0" w:color="auto"/>
              <w:left w:val="nil"/>
              <w:bottom w:val="nil"/>
              <w:right w:val="nil"/>
            </w:tcBorders>
          </w:tcPr>
          <w:p w14:paraId="23009F1E" w14:textId="155812D8" w:rsidR="00F97AAF" w:rsidRPr="00292DE9" w:rsidRDefault="00C20833" w:rsidP="00C0377E">
            <w:pPr>
              <w:spacing w:after="0" w:line="240" w:lineRule="auto"/>
              <w:rPr>
                <w:sz w:val="20"/>
                <w:szCs w:val="20"/>
              </w:rPr>
            </w:pPr>
            <w:r>
              <w:rPr>
                <w:sz w:val="20"/>
                <w:szCs w:val="20"/>
              </w:rPr>
              <w:t>–</w:t>
            </w:r>
          </w:p>
        </w:tc>
        <w:tc>
          <w:tcPr>
            <w:tcW w:w="1440" w:type="dxa"/>
            <w:tcBorders>
              <w:top w:val="single" w:sz="4" w:space="0" w:color="auto"/>
              <w:left w:val="nil"/>
              <w:bottom w:val="nil"/>
              <w:right w:val="nil"/>
            </w:tcBorders>
          </w:tcPr>
          <w:p w14:paraId="69E503E8" w14:textId="77777777" w:rsidR="00F97AAF" w:rsidRPr="00292DE9" w:rsidRDefault="00F97AAF" w:rsidP="00C0377E">
            <w:pPr>
              <w:spacing w:after="0" w:line="240" w:lineRule="auto"/>
              <w:rPr>
                <w:sz w:val="20"/>
                <w:szCs w:val="20"/>
              </w:rPr>
            </w:pPr>
          </w:p>
        </w:tc>
        <w:tc>
          <w:tcPr>
            <w:tcW w:w="4518" w:type="dxa"/>
            <w:tcBorders>
              <w:top w:val="single" w:sz="4" w:space="0" w:color="auto"/>
              <w:left w:val="nil"/>
              <w:bottom w:val="nil"/>
              <w:right w:val="nil"/>
            </w:tcBorders>
          </w:tcPr>
          <w:p w14:paraId="11D3DC76" w14:textId="447F4217" w:rsidR="00F97AAF" w:rsidRPr="00292DE9" w:rsidRDefault="00F97AAF" w:rsidP="00C20833">
            <w:pPr>
              <w:autoSpaceDE w:val="0"/>
              <w:autoSpaceDN w:val="0"/>
              <w:adjustRightInd w:val="0"/>
              <w:spacing w:after="0" w:line="240" w:lineRule="auto"/>
              <w:rPr>
                <w:sz w:val="20"/>
                <w:szCs w:val="20"/>
              </w:rPr>
            </w:pPr>
            <w:r w:rsidRPr="00292DE9">
              <w:rPr>
                <w:sz w:val="20"/>
                <w:szCs w:val="20"/>
              </w:rPr>
              <w:t xml:space="preserve">Training of 232 GOSS staff since 2005 in </w:t>
            </w:r>
            <w:r w:rsidRPr="00C20833">
              <w:rPr>
                <w:sz w:val="20"/>
                <w:szCs w:val="20"/>
              </w:rPr>
              <w:t>IT</w:t>
            </w:r>
            <w:r w:rsidRPr="00292DE9">
              <w:rPr>
                <w:sz w:val="20"/>
                <w:szCs w:val="20"/>
              </w:rPr>
              <w:t xml:space="preserve">, English, </w:t>
            </w:r>
            <w:r w:rsidR="00C20833">
              <w:rPr>
                <w:sz w:val="20"/>
                <w:szCs w:val="20"/>
              </w:rPr>
              <w:t>p</w:t>
            </w:r>
            <w:r w:rsidRPr="00292DE9">
              <w:rPr>
                <w:sz w:val="20"/>
                <w:szCs w:val="20"/>
              </w:rPr>
              <w:t xml:space="preserve">ublic </w:t>
            </w:r>
            <w:r w:rsidR="00C20833">
              <w:rPr>
                <w:sz w:val="20"/>
                <w:szCs w:val="20"/>
              </w:rPr>
              <w:t>a</w:t>
            </w:r>
            <w:r w:rsidRPr="00292DE9">
              <w:rPr>
                <w:sz w:val="20"/>
                <w:szCs w:val="20"/>
              </w:rPr>
              <w:t>dministration</w:t>
            </w:r>
          </w:p>
        </w:tc>
      </w:tr>
    </w:tbl>
    <w:p w14:paraId="054DCDD1" w14:textId="61175361" w:rsidR="00F97AAF" w:rsidRPr="00B513F4" w:rsidRDefault="00F97AAF" w:rsidP="00F97AAF">
      <w:pPr>
        <w:pStyle w:val="ListParagraph"/>
        <w:spacing w:after="0" w:line="240" w:lineRule="auto"/>
        <w:ind w:left="0"/>
        <w:contextualSpacing w:val="0"/>
      </w:pPr>
      <w:r w:rsidRPr="00292DE9">
        <w:rPr>
          <w:i/>
          <w:sz w:val="20"/>
        </w:rPr>
        <w:t>Source:</w:t>
      </w:r>
      <w:r w:rsidRPr="00B513F4">
        <w:rPr>
          <w:sz w:val="20"/>
        </w:rPr>
        <w:t xml:space="preserve"> </w:t>
      </w:r>
      <w:r w:rsidR="00092303">
        <w:rPr>
          <w:sz w:val="20"/>
        </w:rPr>
        <w:t>A</w:t>
      </w:r>
      <w:r w:rsidRPr="00B513F4">
        <w:rPr>
          <w:sz w:val="20"/>
        </w:rPr>
        <w:t>uthors’ compilation; USAID 2010.</w:t>
      </w:r>
    </w:p>
    <w:p w14:paraId="14DD77A9" w14:textId="56E6A713" w:rsidR="00F97AAF" w:rsidRPr="00B513F4" w:rsidRDefault="00F97AAF" w:rsidP="00F97AAF">
      <w:pPr>
        <w:spacing w:before="240"/>
        <w:jc w:val="both"/>
      </w:pPr>
      <w:r w:rsidRPr="00B513F4">
        <w:rPr>
          <w:b/>
        </w:rPr>
        <w:t xml:space="preserve">There is some contestation over whether this engagement has had some success or whether it has instead been rather unsuccessful, and if so, whether and what </w:t>
      </w:r>
      <w:r>
        <w:rPr>
          <w:b/>
        </w:rPr>
        <w:t xml:space="preserve">the </w:t>
      </w:r>
      <w:r w:rsidRPr="00B513F4">
        <w:rPr>
          <w:b/>
        </w:rPr>
        <w:t>development partners should have done differently</w:t>
      </w:r>
      <w:r w:rsidRPr="00B513F4">
        <w:t xml:space="preserve"> (</w:t>
      </w:r>
      <w:r>
        <w:t>that is,</w:t>
      </w:r>
      <w:r w:rsidRPr="00B513F4">
        <w:t xml:space="preserve"> what is the counterfactual). This includes the question about whether development partners should have or could have had more realistic expectations at the outset, including about the likely distortions to emerge. As discussed in section 1, state-building should be expected to take time (measured in decades), in particular in a context where challenges include initial very low human development on the one hand, and continued conflict and militarization on the other hand. In such a situation, often first best solutions are not suitable or feasible; in turn raising challenging questions about how second or ‘n-th best’ solutions are selected, crafted and pursued, and how this should be assessed by stakeholders seeking to monitor and assess performance, and to encourage lesson learning. </w:t>
      </w:r>
    </w:p>
    <w:p w14:paraId="0F4452BC" w14:textId="7E5F9E4F" w:rsidR="00F97AAF" w:rsidRPr="00B513F4" w:rsidRDefault="00F97AAF" w:rsidP="00F97AAF">
      <w:pPr>
        <w:jc w:val="both"/>
      </w:pPr>
      <w:r w:rsidRPr="00B513F4">
        <w:t>A 2010 review by USAID</w:t>
      </w:r>
      <w:r w:rsidR="009F5EBA">
        <w:t>—</w:t>
      </w:r>
      <w:r w:rsidRPr="00B513F4">
        <w:rPr>
          <w:i/>
        </w:rPr>
        <w:t xml:space="preserve">Government of Southern Sudan </w:t>
      </w:r>
      <w:r>
        <w:rPr>
          <w:i/>
        </w:rPr>
        <w:t>-</w:t>
      </w:r>
      <w:r w:rsidRPr="00B513F4">
        <w:rPr>
          <w:i/>
        </w:rPr>
        <w:t xml:space="preserve"> Strategic Capacity Building Study</w:t>
      </w:r>
      <w:r>
        <w:t>—</w:t>
      </w:r>
      <w:r w:rsidRPr="00B513F4">
        <w:t>reflects that capacity building efforts up to that time were ‘neither strategic nor focused’ (p. 5).</w:t>
      </w:r>
      <w:r w:rsidRPr="00B513F4">
        <w:rPr>
          <w:rStyle w:val="FootnoteReference"/>
        </w:rPr>
        <w:footnoteReference w:id="71"/>
      </w:r>
      <w:r w:rsidRPr="00B513F4">
        <w:t xml:space="preserve"> The study notes the absence of a legal framework for Human Resource Development and of a vision and strategy for capacity development shared between government and development partners. In both areas, however, progress was eventually achieved in 2011 (see </w:t>
      </w:r>
      <w:r>
        <w:t>b</w:t>
      </w:r>
      <w:r w:rsidRPr="00B513F4">
        <w:t>ox 2), even if much of the implementation of the legal framework</w:t>
      </w:r>
      <w:r>
        <w:t>s adopted is yet to take place.</w:t>
      </w:r>
      <w:r w:rsidRPr="00B513F4">
        <w:t xml:space="preserve"> Furthermore, the report raises the need for a closer connection between the broad goals of capacity building and the specific achievement of improvements in sectors and service delivery areas. </w:t>
      </w:r>
    </w:p>
    <w:p w14:paraId="4B269C96" w14:textId="09BF0A8B" w:rsidR="00F97AAF" w:rsidRPr="00B513F4" w:rsidRDefault="00F97AAF" w:rsidP="00F97AAF">
      <w:pPr>
        <w:jc w:val="both"/>
      </w:pPr>
      <w:r w:rsidRPr="00B513F4">
        <w:t xml:space="preserve">As </w:t>
      </w:r>
      <w:r w:rsidR="00866671">
        <w:fldChar w:fldCharType="begin"/>
      </w:r>
      <w:r w:rsidR="00866671">
        <w:instrText xml:space="preserve"> REF _Ref447547106 \h </w:instrText>
      </w:r>
      <w:r w:rsidR="00866671">
        <w:fldChar w:fldCharType="separate"/>
      </w:r>
      <w:r w:rsidR="00866671">
        <w:t xml:space="preserve">table </w:t>
      </w:r>
      <w:r w:rsidR="00866671">
        <w:rPr>
          <w:noProof/>
        </w:rPr>
        <w:t>15</w:t>
      </w:r>
      <w:r w:rsidR="00866671">
        <w:fldChar w:fldCharType="end"/>
      </w:r>
      <w:r w:rsidRPr="00B513F4">
        <w:t xml:space="preserve"> conveys, some gains in efficiency and effectiveness could certainly have been possible, had donors been able to pool a larger share of funds, and to pursue a more consistent agenda, such as developing and funding continuous training programs. Larson</w:t>
      </w:r>
      <w:r>
        <w:t>,</w:t>
      </w:r>
      <w:r w:rsidRPr="00B513F4">
        <w:t xml:space="preserve"> </w:t>
      </w:r>
      <w:r>
        <w:t>Ajak, and Pritchett</w:t>
      </w:r>
      <w:r w:rsidRPr="00B513F4">
        <w:t xml:space="preserve"> (2013) raise the following points: </w:t>
      </w:r>
      <w:r>
        <w:t>“</w:t>
      </w:r>
      <w:r w:rsidRPr="00B513F4">
        <w:t>donors arrived in Southern Sudan with a pre-formulated strategy: to start with a huge focus on capacity-building while simultaneously attempting to create, strengthen and reform all government and political institutions at once</w:t>
      </w:r>
      <w:r w:rsidR="00122F31">
        <w:t>.”</w:t>
      </w:r>
      <w:r w:rsidRPr="00B513F4">
        <w:t xml:space="preserve"> (p. 11). In the authors</w:t>
      </w:r>
      <w:r>
        <w:t>’ view</w:t>
      </w:r>
      <w:r w:rsidRPr="00B513F4">
        <w:t xml:space="preserve">, support should have concentrated on a narrower agenda first, with a focus on capacity for economic revival and diversification, so as to set a ‘virtuous cycle’ of economic development and institutional development in motion. A further key point of criticism is the overemphasis on technical assistants that have taken on line positions, and an </w:t>
      </w:r>
      <w:r w:rsidRPr="00B513F4">
        <w:lastRenderedPageBreak/>
        <w:t xml:space="preserve">insufficient emphasis on actually training South Sudanese officials (p. 16). There is also a problem of ‘capacity extraction’ through hiring of South Sudanese into donor agencies and </w:t>
      </w:r>
      <w:r w:rsidR="0073256F">
        <w:t>(</w:t>
      </w:r>
      <w:r w:rsidRPr="0073256F">
        <w:t>I</w:t>
      </w:r>
      <w:r w:rsidR="0073256F">
        <w:t>)</w:t>
      </w:r>
      <w:r w:rsidRPr="0073256F">
        <w:t>NGO</w:t>
      </w:r>
      <w:r w:rsidRPr="00B513F4">
        <w:t xml:space="preserve">s (see also Brautigam </w:t>
      </w:r>
      <w:r w:rsidR="00211F00">
        <w:t xml:space="preserve">and Knack </w:t>
      </w:r>
      <w:r w:rsidRPr="00B513F4">
        <w:t>2004). Larson</w:t>
      </w:r>
      <w:r>
        <w:t>,</w:t>
      </w:r>
      <w:r w:rsidRPr="00B513F4">
        <w:t xml:space="preserve"> </w:t>
      </w:r>
      <w:r>
        <w:t>Ajak, and Pritchett</w:t>
      </w:r>
      <w:r w:rsidRPr="00B513F4">
        <w:t xml:space="preserve"> </w:t>
      </w:r>
      <w:r>
        <w:t xml:space="preserve">(2013) </w:t>
      </w:r>
      <w:r w:rsidRPr="00B513F4">
        <w:t>suggest that instead, donors should have focused on an iterative problem-solving approach; however, the details of what this would have looked like remain scant in the paper.</w:t>
      </w:r>
    </w:p>
    <w:p w14:paraId="2351F95D" w14:textId="2E283D47" w:rsidR="00F97AAF" w:rsidRPr="00B513F4" w:rsidRDefault="00F97AAF" w:rsidP="00F97AAF">
      <w:pPr>
        <w:jc w:val="both"/>
      </w:pPr>
      <w:r w:rsidRPr="00B513F4">
        <w:rPr>
          <w:b/>
        </w:rPr>
        <w:t>Going forward, it appears crucial to more systematically document progress that is being made in the area of civil service reforms and capacity building, which has not been done to date</w:t>
      </w:r>
      <w:r w:rsidRPr="00122F31">
        <w:rPr>
          <w:b/>
        </w:rPr>
        <w:t>.</w:t>
      </w:r>
      <w:r w:rsidRPr="00B513F4">
        <w:t xml:space="preserve"> For example, progress with spreading English language functionality through the </w:t>
      </w:r>
      <w:r w:rsidR="000F5A6E">
        <w:t>c</w:t>
      </w:r>
      <w:r w:rsidRPr="00B513F4">
        <w:t xml:space="preserve">ore </w:t>
      </w:r>
      <w:r w:rsidR="000F5A6E">
        <w:t>s</w:t>
      </w:r>
      <w:r w:rsidRPr="00B513F4">
        <w:t xml:space="preserve">kills program, with establishing a pay and grading system and then its implementation over time, linking it to an electronic payroll system, as well as gains made </w:t>
      </w:r>
      <w:r>
        <w:t>with regard</w:t>
      </w:r>
      <w:r w:rsidRPr="00B513F4">
        <w:t xml:space="preserve"> </w:t>
      </w:r>
      <w:r>
        <w:t xml:space="preserve">to </w:t>
      </w:r>
      <w:r w:rsidRPr="00B513F4">
        <w:t>knowledge transfer from technical assistants to regular public sector staff and through various forms of training that have been provided could be captured. This would provide better information about the ‘direction of travel’ and to what extent any gains are being made, as well as about stalled efforts and distortions.</w:t>
      </w:r>
    </w:p>
    <w:p w14:paraId="1AD83A95" w14:textId="3D3DE7E3" w:rsidR="00F97AAF" w:rsidRPr="00B513F4" w:rsidRDefault="00F97AAF" w:rsidP="00F97AAF">
      <w:pPr>
        <w:jc w:val="both"/>
      </w:pPr>
      <w:r w:rsidRPr="00B513F4">
        <w:rPr>
          <w:b/>
        </w:rPr>
        <w:t xml:space="preserve">In 2011, the </w:t>
      </w:r>
      <w:r>
        <w:rPr>
          <w:b/>
        </w:rPr>
        <w:t>g</w:t>
      </w:r>
      <w:r w:rsidRPr="00B513F4">
        <w:rPr>
          <w:b/>
        </w:rPr>
        <w:t>overnment conducted its own ‘Comprehensive Evaluation’ of the state of institutional development in the country, reviewing the progress made between 2006 and 2010</w:t>
      </w:r>
      <w:r w:rsidRPr="00122F31">
        <w:rPr>
          <w:b/>
        </w:rPr>
        <w:t>.</w:t>
      </w:r>
      <w:r w:rsidRPr="00B513F4">
        <w:rPr>
          <w:rStyle w:val="FootnoteReference"/>
        </w:rPr>
        <w:footnoteReference w:id="72"/>
      </w:r>
      <w:r w:rsidRPr="00B513F4">
        <w:t xml:space="preserve"> Key messages, but not the report itself, have been shared with stakeholders outside the government. According to briefings, the report criticized (</w:t>
      </w:r>
      <w:r>
        <w:t>a</w:t>
      </w:r>
      <w:r w:rsidRPr="00B513F4">
        <w:t xml:space="preserve">) </w:t>
      </w:r>
      <w:r>
        <w:t>the</w:t>
      </w:r>
      <w:r w:rsidRPr="00B513F4">
        <w:t xml:space="preserve"> </w:t>
      </w:r>
      <w:r>
        <w:t xml:space="preserve">failure of </w:t>
      </w:r>
      <w:r w:rsidRPr="00B513F4">
        <w:t>stakeholders</w:t>
      </w:r>
      <w:r>
        <w:t xml:space="preserve"> </w:t>
      </w:r>
      <w:r w:rsidRPr="00B513F4">
        <w:t>to systematically pursue the priorities set out in the JAM, (</w:t>
      </w:r>
      <w:r>
        <w:t>b</w:t>
      </w:r>
      <w:r w:rsidRPr="00B513F4">
        <w:t>) poor hiring practices in the public sector</w:t>
      </w:r>
      <w:r>
        <w:t>,</w:t>
      </w:r>
      <w:r w:rsidRPr="00B513F4">
        <w:t xml:space="preserve"> and (</w:t>
      </w:r>
      <w:r>
        <w:t>c</w:t>
      </w:r>
      <w:r w:rsidRPr="00B513F4">
        <w:t xml:space="preserve">) the lack of guidance and contract supervision for efforts aimed at capacity building. </w:t>
      </w:r>
    </w:p>
    <w:p w14:paraId="744C18C7" w14:textId="1A38810A" w:rsidR="00F97AAF" w:rsidRPr="00B513F4" w:rsidRDefault="00F97AAF" w:rsidP="00F97AAF">
      <w:pPr>
        <w:jc w:val="both"/>
        <w:rPr>
          <w:b/>
        </w:rPr>
      </w:pPr>
      <w:r w:rsidRPr="00B513F4">
        <w:rPr>
          <w:b/>
        </w:rPr>
        <w:t>Overall, the ambitious goals set out in the JAM were not achieved by 2011 or 2013, while nonetheless, a limited number of steps forward were achieved</w:t>
      </w:r>
      <w:r w:rsidRPr="00122F31">
        <w:rPr>
          <w:b/>
        </w:rPr>
        <w:t>.</w:t>
      </w:r>
      <w:r w:rsidRPr="00B513F4">
        <w:t xml:space="preserve"> In particular, a physical infrastructure of government was developed </w:t>
      </w:r>
      <w:r w:rsidRPr="00122F31">
        <w:rPr>
          <w:i/>
        </w:rPr>
        <w:t>ex novo</w:t>
      </w:r>
      <w:r w:rsidRPr="00B513F4">
        <w:t xml:space="preserve"> in Juba and was staffed, even if many gaps remain. Basic legislation for the public service</w:t>
      </w:r>
      <w:r>
        <w:t>—</w:t>
      </w:r>
      <w:r w:rsidRPr="00B513F4">
        <w:t>sorely noted as missing earlier</w:t>
      </w:r>
      <w:r>
        <w:t>—</w:t>
      </w:r>
      <w:r w:rsidRPr="00B513F4">
        <w:t xml:space="preserve">has been adopted, and strategies have been developed. The main challenge is that development partners have found it difficult to grapple with the distortions in the public service that emerged in parallel, such as the rapid hiring of poorly qualified staff, the emergence of ghosts on the payroll. </w:t>
      </w:r>
      <w:r>
        <w:t>T</w:t>
      </w:r>
      <w:r w:rsidRPr="00B513F4">
        <w:t>o make capacity building more effective, it is essential that the incentives within the public sector shift and that some progress is made on establishing a more ‘normal’ public service.</w:t>
      </w:r>
      <w:r w:rsidRPr="00B513F4">
        <w:rPr>
          <w:b/>
        </w:rPr>
        <w:t xml:space="preserve"> </w:t>
      </w:r>
      <w:r w:rsidRPr="00B513F4">
        <w:t>At the same time,</w:t>
      </w:r>
      <w:r w:rsidRPr="00B513F4">
        <w:rPr>
          <w:b/>
        </w:rPr>
        <w:t xml:space="preserve"> </w:t>
      </w:r>
      <w:r w:rsidRPr="00B513F4">
        <w:t>development partners could have done more to adapt their support to limited educational levels and mixed backgrounds up front, limited familiarity with English, and could have invested more in longer</w:t>
      </w:r>
      <w:r>
        <w:t>-</w:t>
      </w:r>
      <w:r w:rsidRPr="00B513F4">
        <w:t>term efforts (with too many course</w:t>
      </w:r>
      <w:r>
        <w:t>s limited to one to two weeks).</w:t>
      </w:r>
    </w:p>
    <w:p w14:paraId="265F8268" w14:textId="6024171D" w:rsidR="00F97AAF" w:rsidRPr="00B513F4" w:rsidRDefault="00F97AAF" w:rsidP="00F97AAF">
      <w:pPr>
        <w:jc w:val="both"/>
      </w:pPr>
      <w:r w:rsidRPr="00B513F4">
        <w:t>Overall, development partners as well as regional partners such as IGAD, confronted the challenge of a ‘militarized government’ with a limited and partial interest in developing a capable public sector; and a hiring strategy that gave way to a range of ad hoc pressures, creating a rather infertile ground for effective capacity</w:t>
      </w:r>
      <w:r>
        <w:t>-</w:t>
      </w:r>
      <w:r w:rsidRPr="00B513F4">
        <w:t xml:space="preserve">building support. </w:t>
      </w:r>
    </w:p>
    <w:p w14:paraId="391A89DA" w14:textId="5AA8A28E" w:rsidR="00F97AAF" w:rsidRPr="00B513F4" w:rsidRDefault="00F97AAF" w:rsidP="00F97AAF">
      <w:pPr>
        <w:pStyle w:val="Heading3"/>
      </w:pPr>
      <w:bookmarkStart w:id="43" w:name="_Toc447892405"/>
      <w:r w:rsidRPr="00B513F4">
        <w:lastRenderedPageBreak/>
        <w:t xml:space="preserve">5.7 Austerity and renewed conflict – 2012 to </w:t>
      </w:r>
      <w:r w:rsidR="00AB4D2A" w:rsidRPr="00B513F4">
        <w:t>201</w:t>
      </w:r>
      <w:r w:rsidR="00AB4D2A">
        <w:t>5</w:t>
      </w:r>
      <w:bookmarkEnd w:id="43"/>
    </w:p>
    <w:p w14:paraId="4A274144" w14:textId="63979DA2" w:rsidR="00F97AAF" w:rsidRPr="00B513F4" w:rsidRDefault="00F97AAF" w:rsidP="00F97AAF">
      <w:pPr>
        <w:jc w:val="both"/>
      </w:pPr>
      <w:r w:rsidRPr="00B513F4">
        <w:t xml:space="preserve">In late January 2012, South Sudan stopped its oil production due to a dispute with the </w:t>
      </w:r>
      <w:r>
        <w:t>g</w:t>
      </w:r>
      <w:r w:rsidRPr="00B513F4">
        <w:t xml:space="preserve">overnment of Sudan over the pricing of trans-shipments. The shutdown lasted through April 2013. During this period, government revenue declined sharply. For the public service, this had a number of effects. </w:t>
      </w:r>
    </w:p>
    <w:p w14:paraId="5EFFBC12" w14:textId="24A38EBC" w:rsidR="00F97AAF" w:rsidRPr="00B513F4" w:rsidRDefault="00F97AAF" w:rsidP="00F97AAF">
      <w:pPr>
        <w:jc w:val="both"/>
      </w:pPr>
      <w:r w:rsidRPr="00B513F4">
        <w:t>First, a hiring freeze was declared,</w:t>
      </w:r>
      <w:r w:rsidRPr="00B513F4">
        <w:rPr>
          <w:rStyle w:val="FootnoteReference"/>
        </w:rPr>
        <w:footnoteReference w:id="73"/>
      </w:r>
      <w:r w:rsidRPr="00B513F4">
        <w:t xml:space="preserve"> putting a halt to the previous trend of rapid expansion of the civil service. Second, all nonwage expenditures were sharply cut, including development (capital) expenditures as well as nonwage recurrent expenditures (‘operating costs’). This worsened</w:t>
      </w:r>
      <w:r>
        <w:t>,</w:t>
      </w:r>
      <w:r w:rsidRPr="00B513F4">
        <w:t xml:space="preserve"> </w:t>
      </w:r>
      <w:r>
        <w:t>among others,</w:t>
      </w:r>
      <w:r w:rsidRPr="00B513F4">
        <w:t xml:space="preserve"> the ability of subnational service delivery units to pay any non-regular staff (see </w:t>
      </w:r>
      <w:r w:rsidR="00743B93">
        <w:t>s</w:t>
      </w:r>
      <w:r w:rsidRPr="00B513F4">
        <w:t xml:space="preserve">ection 4; Horvath 2012). Some delays in actual salary payments also emerged. Furthermore, cuts to operating budgets made it relatively more difficult to perform public management and service delivery functions effectively. Third, the austerity period essentially delayed the implementation of reform plans that had been developed, including </w:t>
      </w:r>
      <w:r w:rsidR="00743B93">
        <w:t xml:space="preserve">the </w:t>
      </w:r>
      <w:r w:rsidRPr="00B513F4">
        <w:t>M</w:t>
      </w:r>
      <w:r w:rsidR="00C941B0">
        <w:t>o</w:t>
      </w:r>
      <w:r w:rsidRPr="00B513F4">
        <w:t xml:space="preserve">LPSHRD’s Strategic Plan and </w:t>
      </w:r>
      <w:r w:rsidR="00122F31">
        <w:t>Medium Term Capacity Development Strategy</w:t>
      </w:r>
      <w:r w:rsidRPr="00B513F4">
        <w:t>. Thus, while good intentions had (again) been set out, implementation remained largely suspended.</w:t>
      </w:r>
    </w:p>
    <w:p w14:paraId="13DEEDBC" w14:textId="31A78A14" w:rsidR="00F97AAF" w:rsidRPr="00B513F4" w:rsidRDefault="00F97AAF" w:rsidP="00F97AAF">
      <w:pPr>
        <w:jc w:val="both"/>
      </w:pPr>
      <w:r w:rsidRPr="00B513F4">
        <w:t xml:space="preserve">Oil production eventually resumed in May 2013 after a new agreement was reached with Sudan over transit fees. However, the austerity measures remained in place throughout the year, as significant short-term debts incurred to fund expenditures for the preceding year had to be repaid first. Furthermore, in summer 2013, the </w:t>
      </w:r>
      <w:r>
        <w:t>p</w:t>
      </w:r>
      <w:r w:rsidRPr="00B513F4">
        <w:t xml:space="preserve">resident restructured the cabinet and merged several ministries, and subsequently emphasized in various speeches that he expected a stronger focus on performance. The revised budget proposal for 2013/2014 foresaw a return to regular monthly expenditures from January 2014. </w:t>
      </w:r>
    </w:p>
    <w:p w14:paraId="6A530E0D" w14:textId="1A2FB8E8" w:rsidR="00F97AAF" w:rsidRPr="00B513F4" w:rsidRDefault="00F97AAF" w:rsidP="00F97AAF">
      <w:pPr>
        <w:jc w:val="both"/>
      </w:pPr>
      <w:r w:rsidRPr="00B513F4">
        <w:rPr>
          <w:b/>
        </w:rPr>
        <w:t>In late 2013, renewed conflict erupted.</w:t>
      </w:r>
      <w:r w:rsidRPr="00B513F4">
        <w:t xml:space="preserve"> The main trigger was a breakdown in the political settlement, in particular between the </w:t>
      </w:r>
      <w:r>
        <w:t>p</w:t>
      </w:r>
      <w:r w:rsidRPr="00B513F4">
        <w:t xml:space="preserve">resident and the former </w:t>
      </w:r>
      <w:r>
        <w:t>v</w:t>
      </w:r>
      <w:r w:rsidRPr="00B513F4">
        <w:t xml:space="preserve">ice </w:t>
      </w:r>
      <w:r>
        <w:t>p</w:t>
      </w:r>
      <w:r w:rsidRPr="00B513F4">
        <w:t>resident. The conflict escalated very rapidly, especially affecting three states (Jonglei, Upper Nile</w:t>
      </w:r>
      <w:r>
        <w:t>,</w:t>
      </w:r>
      <w:r w:rsidRPr="00B513F4">
        <w:t xml:space="preserve"> and Unity); but with impacts also in others. The scale of the conflict rapidly overwhelmed weak infrastructure and weak institutions, and within five months put a third of the population at risk of food insecurity. </w:t>
      </w:r>
      <w:r w:rsidRPr="00B513F4">
        <w:rPr>
          <w:color w:val="000000" w:themeColor="text1"/>
        </w:rPr>
        <w:t>Oil production was again reduced, to an average of just below 100,000 b</w:t>
      </w:r>
      <w:r>
        <w:rPr>
          <w:color w:val="000000" w:themeColor="text1"/>
        </w:rPr>
        <w:t xml:space="preserve">arrels per </w:t>
      </w:r>
      <w:r w:rsidRPr="00B513F4">
        <w:rPr>
          <w:color w:val="000000" w:themeColor="text1"/>
        </w:rPr>
        <w:t>d</w:t>
      </w:r>
      <w:r>
        <w:rPr>
          <w:color w:val="000000" w:themeColor="text1"/>
        </w:rPr>
        <w:t>ay</w:t>
      </w:r>
      <w:r w:rsidRPr="00B513F4">
        <w:rPr>
          <w:color w:val="000000" w:themeColor="text1"/>
        </w:rPr>
        <w:t xml:space="preserve"> for the </w:t>
      </w:r>
      <w:r w:rsidR="007F3161">
        <w:rPr>
          <w:color w:val="000000" w:themeColor="text1"/>
        </w:rPr>
        <w:t>FY</w:t>
      </w:r>
      <w:r w:rsidRPr="00B513F4">
        <w:rPr>
          <w:color w:val="000000" w:themeColor="text1"/>
        </w:rPr>
        <w:t xml:space="preserve"> 2013/2014 as a whole, as the conflict directly affected the oil producing areas in Unity and Upper Nile </w:t>
      </w:r>
      <w:r>
        <w:rPr>
          <w:color w:val="000000" w:themeColor="text1"/>
        </w:rPr>
        <w:t>S</w:t>
      </w:r>
      <w:r w:rsidRPr="00B513F4">
        <w:rPr>
          <w:color w:val="000000" w:themeColor="text1"/>
        </w:rPr>
        <w:t xml:space="preserve">tates. </w:t>
      </w:r>
    </w:p>
    <w:p w14:paraId="0F4EF0E0" w14:textId="7565E162" w:rsidR="00F97AAF" w:rsidRPr="00B513F4" w:rsidRDefault="00F97AAF" w:rsidP="00F97AAF">
      <w:pPr>
        <w:jc w:val="both"/>
      </w:pPr>
      <w:r w:rsidRPr="00B513F4">
        <w:t>While initially it was hoped that the conflict could be brought back under control relatively quickly, an initial ceasefire agreement signed in January 2014 was broadly ignored and another agreement signed in May 2014 also failed to bring about a return to peace. At least in the three states in which the conflict is concentrated, public sector facilities have been destroyed. Central</w:t>
      </w:r>
      <w:r w:rsidR="007F3161">
        <w:t>-</w:t>
      </w:r>
      <w:r w:rsidRPr="00B513F4">
        <w:t xml:space="preserve">level government structures have been preserved to date. The key factor will be when and how a new political settlement will be reached; and what type of rent-sharing such a settlement will entail. Given that the conflict deepened ethnic cleavages, there is also a sense that the postconflict period should entail some revisiting of how a fair representation of groups can be achieved within the public sector (and the security sector as discussed in section 5.3). </w:t>
      </w:r>
      <w:r w:rsidRPr="00B513F4">
        <w:lastRenderedPageBreak/>
        <w:t>Some options for this, drawing on the experience of other countries, are discussed in the recommendation</w:t>
      </w:r>
      <w:r w:rsidR="00122F31">
        <w:t>s (section 7)</w:t>
      </w:r>
      <w:r w:rsidRPr="00B513F4">
        <w:t>.</w:t>
      </w:r>
    </w:p>
    <w:p w14:paraId="627B8748" w14:textId="30D85E52" w:rsidR="00F97AAF" w:rsidRPr="00B513F4" w:rsidRDefault="00F97AAF" w:rsidP="00F97AAF">
      <w:pPr>
        <w:jc w:val="both"/>
      </w:pPr>
      <w:r w:rsidRPr="00B513F4">
        <w:t xml:space="preserve">In January 2014, </w:t>
      </w:r>
      <w:r>
        <w:t xml:space="preserve">the </w:t>
      </w:r>
      <w:r w:rsidRPr="00B513F4">
        <w:t xml:space="preserve">government established a Crisis Management Committee. The </w:t>
      </w:r>
      <w:r>
        <w:t>c</w:t>
      </w:r>
      <w:r w:rsidRPr="00B513F4">
        <w:t xml:space="preserve">ommittee decided that salary payments should be switched to a direct verification process to ensure that only those who remained present (and loyal to the </w:t>
      </w:r>
      <w:r>
        <w:t>g</w:t>
      </w:r>
      <w:r w:rsidRPr="00B513F4">
        <w:t>overnment) would be paid, in particular in the SPLA and the organized forces. At the same time, government decided to restore allowances to their pre-austerity levels</w:t>
      </w:r>
      <w:r>
        <w:t>—</w:t>
      </w:r>
      <w:r w:rsidRPr="00B513F4">
        <w:t xml:space="preserve">despite the renewed and escalating fiscal strain. As the process of paying staff through special committees proved to be prone to abuse, salary payments reverted to regular channels from March onwards. The payment of salaries and allowances slipped by several months between January and May, but government prioritized making payments from revenue and further borrowing, managing to bring the delays down to one month or less by summer 2014. </w:t>
      </w:r>
    </w:p>
    <w:p w14:paraId="3801C10E" w14:textId="10607E83" w:rsidR="00F97AAF" w:rsidRPr="00B513F4" w:rsidRDefault="00F97AAF" w:rsidP="00F97AAF">
      <w:pPr>
        <w:jc w:val="both"/>
      </w:pPr>
      <w:r w:rsidRPr="00B513F4">
        <w:t xml:space="preserve">The experience reflects a fundamental dilemma and risk: as </w:t>
      </w:r>
      <w:r w:rsidR="007F3161">
        <w:t xml:space="preserve">the </w:t>
      </w:r>
      <w:r w:rsidRPr="00B513F4">
        <w:t>government has expanded public employment in the security sectors, the high share of salaries relative to overall spending leaves little room for reducing expenditures when revenue shortfalls emerge (typically done through reducing or stopping most capital expenditures). While public employment is meant to shore up support for the state, delays in paying salaries can quickly threaten this arrangement</w:t>
      </w:r>
      <w:r>
        <w:t>—</w:t>
      </w:r>
      <w:r w:rsidRPr="00B513F4">
        <w:t xml:space="preserve">as can the more gradual erosion of salary levels relative to the cost of living discussed in </w:t>
      </w:r>
      <w:r>
        <w:t>s</w:t>
      </w:r>
      <w:r w:rsidRPr="00B513F4">
        <w:t>ection 3.2. As a result, high public sector employment has also become a direct factor driving the rapid acceleration of government debt that South Sudan has experienced over the past 2</w:t>
      </w:r>
      <w:r>
        <w:t>–</w:t>
      </w:r>
      <w:r w:rsidRPr="00B513F4">
        <w:t>3 years. Thus, a high share of public employment/public salaries, while used to mitigate short-term risks to state resilience, in particular in a context of revenue volatility, contributes to further risks to state resilience over time.</w:t>
      </w:r>
    </w:p>
    <w:p w14:paraId="57B7BC46" w14:textId="77777777" w:rsidR="00122F31" w:rsidRDefault="00F97AAF" w:rsidP="00F97AAF">
      <w:pPr>
        <w:jc w:val="both"/>
        <w:sectPr w:rsidR="00122F31">
          <w:pgSz w:w="12240" w:h="15840"/>
          <w:pgMar w:top="1440" w:right="1440" w:bottom="1440" w:left="1440" w:header="720" w:footer="720" w:gutter="0"/>
          <w:cols w:space="720"/>
          <w:docGrid w:linePitch="360"/>
        </w:sectPr>
      </w:pPr>
      <w:r w:rsidRPr="00B513F4">
        <w:t>As noted earlier, the renewed crisis is a setback for prospects of convergence toward greater state resilience, government effectiveness, and improved service delivery. Moreover, a key risk going forward will be that the pattern of accommodating conflicting groups as observed in recent years will extend even further, leading to further growth of security-related public employment, which would in turn continue to crowd out spending on social services and on the development of infrastructure and of productive sectors.</w:t>
      </w:r>
      <w:r w:rsidR="00A56EDD" w:rsidRPr="00B513F4">
        <w:t xml:space="preserve"> </w:t>
      </w:r>
    </w:p>
    <w:p w14:paraId="47CEBA92" w14:textId="3F55C01C" w:rsidR="00A56EDD" w:rsidRPr="00292DE9" w:rsidRDefault="00A56EDD" w:rsidP="00F97AAF">
      <w:pPr>
        <w:jc w:val="both"/>
      </w:pPr>
    </w:p>
    <w:p w14:paraId="60D85186" w14:textId="3B4AA682" w:rsidR="00A56EDD" w:rsidRPr="00B513F4" w:rsidRDefault="00A56EDD" w:rsidP="00A56EDD">
      <w:pPr>
        <w:pStyle w:val="Heading2"/>
        <w:numPr>
          <w:ilvl w:val="0"/>
          <w:numId w:val="4"/>
        </w:numPr>
      </w:pPr>
      <w:bookmarkStart w:id="44" w:name="_Toc447892406"/>
      <w:r w:rsidRPr="00B513F4">
        <w:t xml:space="preserve">Experience of </w:t>
      </w:r>
      <w:r w:rsidR="00292DE9">
        <w:t>O</w:t>
      </w:r>
      <w:r w:rsidRPr="00B513F4">
        <w:t xml:space="preserve">ther </w:t>
      </w:r>
      <w:r w:rsidR="00292DE9">
        <w:t>C</w:t>
      </w:r>
      <w:r w:rsidRPr="00B513F4">
        <w:t>ountries</w:t>
      </w:r>
      <w:bookmarkEnd w:id="44"/>
      <w:r w:rsidRPr="00B513F4">
        <w:t xml:space="preserve"> </w:t>
      </w:r>
    </w:p>
    <w:p w14:paraId="65BC5D64" w14:textId="08D744A3" w:rsidR="00A56EDD" w:rsidRPr="00B513F4" w:rsidRDefault="00A56EDD" w:rsidP="00A56EDD">
      <w:pPr>
        <w:jc w:val="both"/>
      </w:pPr>
      <w:r w:rsidRPr="00B513F4">
        <w:t>Before developing a set of suggestions for how best to proceed going forward in South Sudan, this section briefly sets out some experience</w:t>
      </w:r>
      <w:r w:rsidR="009F0EDB">
        <w:t>s</w:t>
      </w:r>
      <w:r w:rsidRPr="00B513F4">
        <w:t xml:space="preserve"> of other countries with reforming and strengthening the capacity of their civil service, with a focus on other postconflict situations. The section draws on a background note developed in 2013 (Orac 2013) and on emerging cross-country research (Srivastava</w:t>
      </w:r>
      <w:r w:rsidR="00990198" w:rsidRPr="00990198">
        <w:t>, Blum, and Ferreiro-Rodriguez</w:t>
      </w:r>
      <w:r w:rsidR="00990198">
        <w:t>,</w:t>
      </w:r>
      <w:r w:rsidRPr="00B513F4">
        <w:t xml:space="preserve"> forthcoming). </w:t>
      </w:r>
    </w:p>
    <w:p w14:paraId="0657ABC2" w14:textId="0AA6E2C1" w:rsidR="00A56EDD" w:rsidRPr="00B513F4" w:rsidRDefault="00A56EDD" w:rsidP="00A56EDD">
      <w:pPr>
        <w:jc w:val="both"/>
      </w:pPr>
      <w:r w:rsidRPr="00B513F4">
        <w:t>The review by Orac (2013) covers four postconflict countries</w:t>
      </w:r>
      <w:r w:rsidR="00181604">
        <w:t>:</w:t>
      </w:r>
      <w:r w:rsidRPr="00B513F4">
        <w:t xml:space="preserve"> Afghanistan, Cambodia, D</w:t>
      </w:r>
      <w:r w:rsidR="009F0EDB">
        <w:t xml:space="preserve">emocratic </w:t>
      </w:r>
      <w:r w:rsidRPr="00B513F4">
        <w:t>R</w:t>
      </w:r>
      <w:r w:rsidR="009F0EDB">
        <w:t>epublic of</w:t>
      </w:r>
      <w:r w:rsidRPr="00B513F4">
        <w:t xml:space="preserve"> Congo, and Liberia. Among these cases, the following have been </w:t>
      </w:r>
      <w:r w:rsidR="00181604">
        <w:t xml:space="preserve">the </w:t>
      </w:r>
      <w:r w:rsidRPr="00B513F4">
        <w:t>key issues</w:t>
      </w:r>
      <w:r w:rsidR="009F0EDB">
        <w:t>.</w:t>
      </w:r>
    </w:p>
    <w:p w14:paraId="6C64F090" w14:textId="157D256F" w:rsidR="00A56EDD" w:rsidRPr="00B513F4" w:rsidRDefault="00A56EDD" w:rsidP="00A56EDD">
      <w:pPr>
        <w:jc w:val="both"/>
      </w:pPr>
      <w:r w:rsidRPr="00B513F4">
        <w:t xml:space="preserve">In </w:t>
      </w:r>
      <w:r w:rsidRPr="00B513F4">
        <w:rPr>
          <w:b/>
        </w:rPr>
        <w:t>Afghanistan</w:t>
      </w:r>
      <w:r w:rsidRPr="00B513F4">
        <w:t xml:space="preserve">, </w:t>
      </w:r>
      <w:r w:rsidRPr="00B513F4">
        <w:rPr>
          <w:b/>
        </w:rPr>
        <w:t>development partners initially had substantial concerns about the size of the public sector and the associated wage bill; however, the government was reluctant to address these, out of political stability considerations</w:t>
      </w:r>
      <w:r w:rsidRPr="00122F31">
        <w:rPr>
          <w:b/>
        </w:rPr>
        <w:t>.</w:t>
      </w:r>
      <w:r w:rsidRPr="00B513F4">
        <w:t xml:space="preserve"> The main strategy adopted was an asymmetric restructuring of selected units to focus on establishing greater capabilities in key agencies and ministries. This strategy has been partially successful. After a ten</w:t>
      </w:r>
      <w:r w:rsidR="00181604">
        <w:t>-</w:t>
      </w:r>
      <w:r w:rsidRPr="00B513F4">
        <w:t>year period, the overall wage bill and establishment size are still a source of concern, in particular in the context of a low revenue-to-GDP ratio. The fiscal burden is being managed through long-term projected rel</w:t>
      </w:r>
      <w:r w:rsidR="00122F31">
        <w:t>iance on donor support</w:t>
      </w:r>
      <w:r w:rsidRPr="00B513F4">
        <w:t xml:space="preserve">. Overall, further growth in public sector employment has been contained, but has still been allowed in key service delivery sectors such as education. The upgrading of skills and the renewal of cadres especially at </w:t>
      </w:r>
      <w:r w:rsidR="00485192">
        <w:t xml:space="preserve">the </w:t>
      </w:r>
      <w:r w:rsidRPr="00B513F4">
        <w:t>middle levels continue to be challenging. The overall prospects for building a stable and res</w:t>
      </w:r>
      <w:r w:rsidR="002B5CE3">
        <w:t>ilient state remain uncertain.</w:t>
      </w:r>
    </w:p>
    <w:p w14:paraId="776DC244" w14:textId="1C95A1AD" w:rsidR="00A56EDD" w:rsidRPr="00B513F4" w:rsidRDefault="00A56EDD" w:rsidP="00A56EDD">
      <w:pPr>
        <w:jc w:val="both"/>
      </w:pPr>
      <w:r w:rsidRPr="00B513F4">
        <w:rPr>
          <w:b/>
        </w:rPr>
        <w:t>Cambodia</w:t>
      </w:r>
      <w:r w:rsidRPr="00B513F4">
        <w:t xml:space="preserve"> emerged from decades of violence, instability, and profound social trauma from the late 1990s. </w:t>
      </w:r>
      <w:r w:rsidRPr="00B513F4">
        <w:rPr>
          <w:b/>
        </w:rPr>
        <w:t xml:space="preserve">The wage bill did not constitute an excessive fiscal burden; but there was a combination of problems in the public service, including large numbers being employed </w:t>
      </w:r>
      <w:r w:rsidR="00485192">
        <w:rPr>
          <w:b/>
        </w:rPr>
        <w:t>in addition to</w:t>
      </w:r>
      <w:r w:rsidR="00485192" w:rsidRPr="00B513F4">
        <w:rPr>
          <w:b/>
        </w:rPr>
        <w:t xml:space="preserve"> </w:t>
      </w:r>
      <w:r w:rsidRPr="00B513F4">
        <w:rPr>
          <w:b/>
        </w:rPr>
        <w:t>ghost workers, low and compressed compensation, and weak service delivery</w:t>
      </w:r>
      <w:r w:rsidR="00485192">
        <w:rPr>
          <w:b/>
        </w:rPr>
        <w:t>,</w:t>
      </w:r>
      <w:r w:rsidRPr="00B513F4">
        <w:rPr>
          <w:b/>
        </w:rPr>
        <w:t xml:space="preserve"> as well as patronage practices in civil service management</w:t>
      </w:r>
      <w:r w:rsidRPr="00122F31">
        <w:rPr>
          <w:b/>
        </w:rPr>
        <w:t>.</w:t>
      </w:r>
      <w:r w:rsidRPr="00B513F4">
        <w:t xml:space="preserve"> In the 2000s, Cambodia’s development partners initiated a systematic scheme for top</w:t>
      </w:r>
      <w:r w:rsidR="00BD32E2">
        <w:t>-</w:t>
      </w:r>
      <w:r w:rsidRPr="00B513F4">
        <w:t xml:space="preserve">ups, called the Merit-Based Pay Initiative (with an initial focus on the Ministry of Economy and Finance). The idea was to provide greater standardization of top-up paid by </w:t>
      </w:r>
      <w:r w:rsidR="00B51E20">
        <w:t>development partner</w:t>
      </w:r>
      <w:r w:rsidRPr="00B513F4">
        <w:t xml:space="preserve">s, combined with incentives for better performance </w:t>
      </w:r>
      <w:r w:rsidR="005F60F2">
        <w:t>by</w:t>
      </w:r>
      <w:r w:rsidR="005F60F2" w:rsidRPr="00B513F4">
        <w:t xml:space="preserve"> </w:t>
      </w:r>
      <w:r w:rsidRPr="00B513F4">
        <w:t>rewarding well-performing staff. A rollout to additional ministries (including the Ministry of Health) was under</w:t>
      </w:r>
      <w:r w:rsidR="005F60F2">
        <w:t xml:space="preserve"> </w:t>
      </w:r>
      <w:r w:rsidRPr="00B513F4">
        <w:t xml:space="preserve">way when the program was abruptly cancelled by the </w:t>
      </w:r>
      <w:r w:rsidR="005F60F2">
        <w:t>p</w:t>
      </w:r>
      <w:r w:rsidRPr="00B513F4">
        <w:t xml:space="preserve">rime </w:t>
      </w:r>
      <w:r w:rsidR="005F60F2">
        <w:t>m</w:t>
      </w:r>
      <w:r w:rsidRPr="00B513F4">
        <w:t xml:space="preserve">inister in late 2009. The reasons for this decision are not entirely clear, but it seems to have been difficult to manage such an initiative in a patronage-based context, as well as </w:t>
      </w:r>
      <w:r w:rsidR="005F60F2">
        <w:t>with regard to</w:t>
      </w:r>
      <w:r w:rsidRPr="00B513F4">
        <w:t xml:space="preserve"> decision making on which agencies and individuals would benefit (Nunberg and Taliercio 2012). </w:t>
      </w:r>
    </w:p>
    <w:p w14:paraId="48C29194" w14:textId="2647DF19" w:rsidR="00A56EDD" w:rsidRPr="00B513F4" w:rsidRDefault="00A56EDD" w:rsidP="00A56EDD">
      <w:pPr>
        <w:jc w:val="both"/>
      </w:pPr>
      <w:r w:rsidRPr="00B513F4">
        <w:rPr>
          <w:b/>
        </w:rPr>
        <w:t>In the Democratic Republic of Congo, a crucial challenge has been the establishment of a workable pension scheme</w:t>
      </w:r>
      <w:r w:rsidRPr="00122F31">
        <w:rPr>
          <w:b/>
        </w:rPr>
        <w:t>.</w:t>
      </w:r>
      <w:r w:rsidRPr="00B513F4">
        <w:t xml:space="preserve"> Core salaries even for high-level civil servants have been extremely low, and pension rights were based on these. Civil servants therefore did not leave the public service even after reaching retirement age. Efforts to address the situation were made since the early 2000s, but were stalled in the mid-2000s due to political instability (diverting spending as well as distracting political attention). In 2013, </w:t>
      </w:r>
      <w:r w:rsidRPr="00B513F4">
        <w:lastRenderedPageBreak/>
        <w:t>the B</w:t>
      </w:r>
      <w:r w:rsidR="00A566A5">
        <w:t xml:space="preserve">ank </w:t>
      </w:r>
      <w:r w:rsidRPr="00B513F4">
        <w:t>G</w:t>
      </w:r>
      <w:r w:rsidR="00A566A5">
        <w:t>roup</w:t>
      </w:r>
      <w:r w:rsidRPr="00B513F4">
        <w:t xml:space="preserve"> prepared a new operation to support the establishment of a workable pension system. This is an area of challenge for South Sudan</w:t>
      </w:r>
      <w:r w:rsidR="00A566A5">
        <w:t xml:space="preserve"> as well</w:t>
      </w:r>
      <w:r w:rsidRPr="00B513F4">
        <w:t xml:space="preserve">, on a </w:t>
      </w:r>
      <w:r w:rsidR="00D76082">
        <w:t>slightly</w:t>
      </w:r>
      <w:r w:rsidR="00D76082" w:rsidRPr="00B513F4">
        <w:t xml:space="preserve"> </w:t>
      </w:r>
      <w:r w:rsidRPr="00B513F4">
        <w:t>smaller but still significant scale.</w:t>
      </w:r>
    </w:p>
    <w:p w14:paraId="6B57C3BD" w14:textId="5D78F095" w:rsidR="00A56EDD" w:rsidRPr="00B513F4" w:rsidRDefault="00A56EDD" w:rsidP="00A56EDD">
      <w:pPr>
        <w:jc w:val="both"/>
      </w:pPr>
      <w:r w:rsidRPr="00B513F4">
        <w:rPr>
          <w:b/>
        </w:rPr>
        <w:t xml:space="preserve">In Liberia, the Civil Service Agency issued a comprehensive strategy for civil service reform in 2008, after a </w:t>
      </w:r>
      <w:r w:rsidR="00C40B0C">
        <w:rPr>
          <w:b/>
        </w:rPr>
        <w:t>two</w:t>
      </w:r>
      <w:r w:rsidRPr="00B513F4">
        <w:rPr>
          <w:b/>
        </w:rPr>
        <w:t>-year preparation process. The strategy sought to mainly rely on natural attrition and early retirement for evolving the employment structure</w:t>
      </w:r>
      <w:r w:rsidRPr="00122F31">
        <w:rPr>
          <w:b/>
        </w:rPr>
        <w:t>.</w:t>
      </w:r>
      <w:r w:rsidRPr="00B513F4">
        <w:t xml:space="preserve"> Actual implementation o</w:t>
      </w:r>
      <w:r w:rsidR="00EC2129">
        <w:t>f</w:t>
      </w:r>
      <w:r w:rsidRPr="00B513F4">
        <w:t xml:space="preserve"> the employment component of the strategy has been slow over the period 2008</w:t>
      </w:r>
      <w:r w:rsidR="00EC2129">
        <w:t>–</w:t>
      </w:r>
      <w:r w:rsidRPr="00B513F4">
        <w:t xml:space="preserve">2013. The Civil Service Agency collected biometric data from a share of the civil servants and retirees by early 2013. There was a separate exercise of reducing employment in the military around 2006/07 (following elections in 2005). </w:t>
      </w:r>
    </w:p>
    <w:p w14:paraId="20FD15DC" w14:textId="6B24536C" w:rsidR="00A56EDD" w:rsidRPr="00B513F4" w:rsidRDefault="00A56EDD" w:rsidP="00A56EDD">
      <w:pPr>
        <w:jc w:val="both"/>
        <w:rPr>
          <w:b/>
        </w:rPr>
      </w:pPr>
      <w:r w:rsidRPr="00B513F4" w:rsidDel="004B4EA9">
        <w:t>Ongoing analytic work on the development of public services across postconflict countries (Afghanistan, Liberia, Sierra Leone, South Sudan, and Timor</w:t>
      </w:r>
      <w:r w:rsidR="00EB59B2">
        <w:t>-</w:t>
      </w:r>
      <w:r w:rsidRPr="00B513F4" w:rsidDel="004B4EA9">
        <w:t>Leste) indicates that rising wage bills are widespread (Srivastava</w:t>
      </w:r>
      <w:r w:rsidR="00990198" w:rsidRPr="00990198">
        <w:t>, Blum, and Ferreiro-Rodriguez</w:t>
      </w:r>
      <w:r w:rsidRPr="00B513F4" w:rsidDel="004B4EA9">
        <w:t>, forthcoming).</w:t>
      </w:r>
      <w:r w:rsidRPr="00B513F4">
        <w:t xml:space="preserve"> Compared to these other postconflict countries, the overall wage bill in South Sudan is higher in per capita terms</w:t>
      </w:r>
      <w:r w:rsidR="00D96CD3">
        <w:t>;</w:t>
      </w:r>
      <w:r w:rsidRPr="00B513F4">
        <w:t xml:space="preserve"> amounting to US$62 per capita per year in Liberia, </w:t>
      </w:r>
      <w:r w:rsidR="002E689A">
        <w:t>US</w:t>
      </w:r>
      <w:r w:rsidRPr="00B513F4">
        <w:t>$91 in Afghanistan</w:t>
      </w:r>
      <w:r w:rsidR="00D96CD3">
        <w:t>,</w:t>
      </w:r>
      <w:r w:rsidRPr="00B513F4">
        <w:t xml:space="preserve"> and </w:t>
      </w:r>
      <w:r w:rsidR="00D96CD3">
        <w:t xml:space="preserve">US$120 </w:t>
      </w:r>
      <w:r w:rsidRPr="00B513F4">
        <w:t>in South Sudan, almost 100 percent higher than in Liberia.</w:t>
      </w:r>
      <w:r w:rsidRPr="00B513F4">
        <w:rPr>
          <w:rStyle w:val="FootnoteReference"/>
        </w:rPr>
        <w:footnoteReference w:id="74"/>
      </w:r>
      <w:r w:rsidRPr="00B513F4">
        <w:t xml:space="preserve"> As a share of GDP</w:t>
      </w:r>
      <w:r w:rsidR="00D96CD3">
        <w:t>,</w:t>
      </w:r>
      <w:r w:rsidRPr="00B513F4">
        <w:t xml:space="preserve"> the public wage bill amounted to 14.8 percent in Afghanistan, 16.4 percent in Liberia, and </w:t>
      </w:r>
      <w:r w:rsidR="003C56AE" w:rsidRPr="00B513F4">
        <w:t xml:space="preserve">in South Sudan </w:t>
      </w:r>
      <w:r w:rsidRPr="00B513F4">
        <w:t>6.5 percent for 2011 and a</w:t>
      </w:r>
      <w:r w:rsidR="00D96CD3">
        <w:t>bout</w:t>
      </w:r>
      <w:r w:rsidRPr="00B513F4">
        <w:t xml:space="preserve"> 13 percent for 2012.</w:t>
      </w:r>
      <w:r w:rsidRPr="00B513F4">
        <w:rPr>
          <w:rStyle w:val="FootnoteReference"/>
        </w:rPr>
        <w:footnoteReference w:id="75"/>
      </w:r>
      <w:r w:rsidRPr="00B513F4">
        <w:t xml:space="preserve"> Importantly, the civilian share of the wage bill has been larger in the other countries, enabling a greater expansion of service delivery, as reflected in </w:t>
      </w:r>
      <w:r w:rsidR="00843E3F">
        <w:fldChar w:fldCharType="begin"/>
      </w:r>
      <w:r w:rsidR="00843E3F">
        <w:instrText xml:space="preserve"> REF _Ref447471647 \h </w:instrText>
      </w:r>
      <w:r w:rsidR="00843E3F">
        <w:fldChar w:fldCharType="separate"/>
      </w:r>
      <w:r w:rsidR="00843E3F">
        <w:t xml:space="preserve">table </w:t>
      </w:r>
      <w:r w:rsidR="00843E3F">
        <w:rPr>
          <w:noProof/>
        </w:rPr>
        <w:t>10</w:t>
      </w:r>
      <w:r w:rsidR="00843E3F">
        <w:fldChar w:fldCharType="end"/>
      </w:r>
      <w:r w:rsidRPr="00B513F4">
        <w:t xml:space="preserve"> in section 4.1 for Liberia. </w:t>
      </w:r>
    </w:p>
    <w:p w14:paraId="5643E633" w14:textId="34A1126F" w:rsidR="005636F5" w:rsidRDefault="005636F5" w:rsidP="005636F5">
      <w:pPr>
        <w:pStyle w:val="Caption"/>
        <w:keepNext/>
      </w:pPr>
      <w:r>
        <w:t xml:space="preserve">Figure </w:t>
      </w:r>
      <w:fldSimple w:instr=" SEQ Figure \* ARABIC ">
        <w:r w:rsidR="00807923">
          <w:rPr>
            <w:noProof/>
          </w:rPr>
          <w:t>14</w:t>
        </w:r>
      </w:fldSimple>
      <w:r>
        <w:t xml:space="preserve">. </w:t>
      </w:r>
      <w:r w:rsidRPr="00051E70">
        <w:t xml:space="preserve">Wage </w:t>
      </w:r>
      <w:r>
        <w:t>B</w:t>
      </w:r>
      <w:r w:rsidRPr="00051E70">
        <w:t xml:space="preserve">ill </w:t>
      </w:r>
      <w:r>
        <w:t>D</w:t>
      </w:r>
      <w:r w:rsidRPr="00051E70">
        <w:t xml:space="preserve">ynamics </w:t>
      </w:r>
      <w:r>
        <w:t>-</w:t>
      </w:r>
      <w:r w:rsidRPr="00051E70">
        <w:t xml:space="preserve"> Afghanistan, Liberia</w:t>
      </w:r>
      <w:r>
        <w:t>,</w:t>
      </w:r>
      <w:r w:rsidRPr="00051E70">
        <w:t xml:space="preserve"> and South Sudan </w:t>
      </w:r>
      <w:r>
        <w:t>C</w:t>
      </w:r>
      <w:r w:rsidRPr="00051E70">
        <w:t>ompared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859"/>
      </w:tblGrid>
      <w:tr w:rsidR="00A56EDD" w:rsidRPr="00B513F4" w14:paraId="633AC79A" w14:textId="77777777" w:rsidTr="00AA1A61">
        <w:trPr>
          <w:jc w:val="center"/>
        </w:trPr>
        <w:tc>
          <w:tcPr>
            <w:tcW w:w="4566" w:type="dxa"/>
          </w:tcPr>
          <w:p w14:paraId="2DF52396" w14:textId="77777777" w:rsidR="00A56EDD" w:rsidRPr="00B513F4" w:rsidRDefault="00A56EDD" w:rsidP="007857CB">
            <w:r w:rsidRPr="00B513F4">
              <w:rPr>
                <w:noProof/>
              </w:rPr>
              <w:drawing>
                <wp:inline distT="0" distB="0" distL="0" distR="0" wp14:anchorId="2DD910B3" wp14:editId="024CA8BF">
                  <wp:extent cx="2676525" cy="263842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4794" w:type="dxa"/>
          </w:tcPr>
          <w:p w14:paraId="30630EC7" w14:textId="77777777" w:rsidR="00A56EDD" w:rsidRPr="00B513F4" w:rsidRDefault="00A56EDD" w:rsidP="007857CB">
            <w:r w:rsidRPr="00B513F4">
              <w:rPr>
                <w:noProof/>
              </w:rPr>
              <w:drawing>
                <wp:inline distT="0" distB="0" distL="0" distR="0" wp14:anchorId="078EF0AE" wp14:editId="76E91F19">
                  <wp:extent cx="2954655" cy="2648585"/>
                  <wp:effectExtent l="0" t="0" r="17145" b="1841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A56EDD" w:rsidRPr="00B513F4" w14:paraId="38C67511" w14:textId="77777777" w:rsidTr="00AA1A61">
        <w:trPr>
          <w:trHeight w:val="4248"/>
          <w:jc w:val="center"/>
        </w:trPr>
        <w:tc>
          <w:tcPr>
            <w:tcW w:w="4566" w:type="dxa"/>
          </w:tcPr>
          <w:p w14:paraId="61083A95" w14:textId="77777777" w:rsidR="00A56EDD" w:rsidRPr="00B513F4" w:rsidRDefault="00A56EDD" w:rsidP="007857CB">
            <w:r w:rsidRPr="00B513F4">
              <w:rPr>
                <w:noProof/>
              </w:rPr>
              <w:lastRenderedPageBreak/>
              <w:drawing>
                <wp:inline distT="0" distB="0" distL="0" distR="0" wp14:anchorId="3E7EE175" wp14:editId="739BD1AA">
                  <wp:extent cx="2733675" cy="261937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4794" w:type="dxa"/>
          </w:tcPr>
          <w:p w14:paraId="13BC4597" w14:textId="77777777" w:rsidR="00A56EDD" w:rsidRPr="00B513F4" w:rsidRDefault="00A56EDD" w:rsidP="007857CB"/>
        </w:tc>
      </w:tr>
    </w:tbl>
    <w:p w14:paraId="3085E465" w14:textId="7DF7C7E9" w:rsidR="00A56EDD" w:rsidRPr="00B513F4" w:rsidRDefault="00A56EDD" w:rsidP="005636F5">
      <w:pPr>
        <w:spacing w:after="0" w:line="240" w:lineRule="auto"/>
        <w:rPr>
          <w:sz w:val="20"/>
        </w:rPr>
      </w:pPr>
      <w:r w:rsidRPr="005636F5">
        <w:rPr>
          <w:i/>
          <w:sz w:val="20"/>
        </w:rPr>
        <w:t xml:space="preserve">Source: </w:t>
      </w:r>
      <w:r w:rsidRPr="00B513F4">
        <w:rPr>
          <w:sz w:val="20"/>
        </w:rPr>
        <w:t>Srivastava</w:t>
      </w:r>
      <w:r w:rsidR="00990198" w:rsidRPr="00990198">
        <w:rPr>
          <w:sz w:val="20"/>
        </w:rPr>
        <w:t>, Blum, and Ferreiro-Rodriguez</w:t>
      </w:r>
      <w:r w:rsidR="00990198">
        <w:rPr>
          <w:sz w:val="20"/>
        </w:rPr>
        <w:t>,</w:t>
      </w:r>
      <w:r w:rsidRPr="00B513F4">
        <w:rPr>
          <w:sz w:val="20"/>
        </w:rPr>
        <w:t xml:space="preserve"> forthcoming</w:t>
      </w:r>
      <w:r w:rsidR="00633A06">
        <w:rPr>
          <w:sz w:val="20"/>
        </w:rPr>
        <w:t>.</w:t>
      </w:r>
    </w:p>
    <w:p w14:paraId="1B97BAA7" w14:textId="3FEADC1E" w:rsidR="00A56EDD" w:rsidRPr="00B513F4" w:rsidRDefault="00A56EDD" w:rsidP="005636F5">
      <w:pPr>
        <w:spacing w:before="240"/>
        <w:jc w:val="both"/>
      </w:pPr>
      <w:r w:rsidRPr="00B513F4">
        <w:rPr>
          <w:b/>
        </w:rPr>
        <w:t>Downsizing security forces differs in important ways from downsizing or rightsizing efforts of the civil service</w:t>
      </w:r>
      <w:r w:rsidRPr="003C56AE">
        <w:rPr>
          <w:b/>
        </w:rPr>
        <w:t>.</w:t>
      </w:r>
      <w:r w:rsidRPr="00B513F4">
        <w:t xml:space="preserve"> For the security sector, funds are offered for reintegration, and sometimes cash has been offered for turning in weapons. South Sudan and Sudan are generally seen as cases in which DDR as stipulated by the 2005 Comprehensive Peace Agreement have not been successful. As discussed in section 5.3, </w:t>
      </w:r>
      <w:r w:rsidR="007A76F1">
        <w:t>i</w:t>
      </w:r>
      <w:r w:rsidRPr="00B513F4">
        <w:t>n South Sudan, only 13 percent of the expected number of adult soldiers had entered the process by early 2011 (Small Arms Survey 2011). Within those that received demobilization benefits</w:t>
      </w:r>
      <w:r w:rsidR="007A76F1">
        <w:t>,</w:t>
      </w:r>
      <w:r w:rsidRPr="00B513F4">
        <w:t xml:space="preserve"> there may have been a substantial share who were not actually soldiers and would not be formally considered eligible. In some postconflict countries where DDR has been relatively more successful, armed fighters were often considered a social burden and/or a (civil) war had limited duration (</w:t>
      </w:r>
      <w:r w:rsidR="0093206E">
        <w:t>for example,</w:t>
      </w:r>
      <w:r w:rsidRPr="00B513F4">
        <w:t xml:space="preserve"> Nepal). In South Sudan, the armed forces have enjoyed high social prestige due to being seen as having won a war of independence, and the period of armed fight endured for several decades. While no survey has been undertaken since the outbreak of renewed conflict, as of spring 2013, over 80 percent of survey respondents had a very favorable or favorable view of the SPLA and over 70 percent of the police (USAID</w:t>
      </w:r>
      <w:r w:rsidR="002A2F3C">
        <w:t>, ORB International, and IRI</w:t>
      </w:r>
      <w:r w:rsidR="00982126">
        <w:t xml:space="preserve"> </w:t>
      </w:r>
      <w:r w:rsidRPr="00B513F4">
        <w:t>2013</w:t>
      </w:r>
      <w:r w:rsidR="00982126">
        <w:t>,</w:t>
      </w:r>
      <w:r w:rsidRPr="00B513F4">
        <w:t xml:space="preserve"> 30).</w:t>
      </w:r>
      <w:r w:rsidRPr="00B513F4">
        <w:rPr>
          <w:rStyle w:val="FootnoteReference"/>
        </w:rPr>
        <w:footnoteReference w:id="76"/>
      </w:r>
    </w:p>
    <w:p w14:paraId="061ACC11" w14:textId="4DF92DBF" w:rsidR="005636F5" w:rsidRDefault="00A56EDD" w:rsidP="005636F5">
      <w:pPr>
        <w:jc w:val="both"/>
      </w:pPr>
      <w:r w:rsidRPr="00B513F4">
        <w:rPr>
          <w:b/>
        </w:rPr>
        <w:t>Overall, the exploration of other postconflict cases indicates that some of the problems observed with regard to the public sector in South Sudan are prevalent in other postconflict countries, while at least two conditions stand out as different</w:t>
      </w:r>
      <w:r w:rsidRPr="003C56AE">
        <w:rPr>
          <w:b/>
        </w:rPr>
        <w:t>.</w:t>
      </w:r>
      <w:r w:rsidRPr="00B513F4">
        <w:t xml:space="preserve"> The first is the fact that the security sector in South Sudan has remained large and, moreover, has grown during the postconflict period due to a practice of continuously integrating rebel groups into the official armed forces. In addition, a large number of organized forces were created. The second main condition that is different from the majority of other postconflict countries is the high annual income from oil combined with high levels of volatility (and matched with being poor </w:t>
      </w:r>
      <w:r w:rsidR="007A76F1">
        <w:t>with regard to</w:t>
      </w:r>
      <w:r w:rsidRPr="00B513F4">
        <w:t xml:space="preserve"> public sector assets such as existing infrastructure). This immediate but uncertain fiscal </w:t>
      </w:r>
      <w:r w:rsidRPr="00B513F4">
        <w:lastRenderedPageBreak/>
        <w:t>space means that expenditure trade-offs have been less stringent over the past decade</w:t>
      </w:r>
      <w:r w:rsidR="007A76F1">
        <w:t xml:space="preserve">—the </w:t>
      </w:r>
      <w:r w:rsidRPr="00B513F4">
        <w:t>government had the resources to pay off many stakeholders before hitting the boundaries of fiscal affordability.</w:t>
      </w:r>
    </w:p>
    <w:p w14:paraId="781B130C" w14:textId="356839D8" w:rsidR="00A56EDD" w:rsidRPr="00B513F4" w:rsidRDefault="00A56EDD" w:rsidP="005636F5">
      <w:pPr>
        <w:pStyle w:val="Heading2"/>
        <w:numPr>
          <w:ilvl w:val="0"/>
          <w:numId w:val="4"/>
        </w:numPr>
      </w:pPr>
      <w:bookmarkStart w:id="45" w:name="_Toc447892407"/>
      <w:r w:rsidRPr="00B513F4">
        <w:t xml:space="preserve">Summary of </w:t>
      </w:r>
      <w:r w:rsidR="005636F5">
        <w:t>K</w:t>
      </w:r>
      <w:r w:rsidRPr="00B513F4">
        <w:t xml:space="preserve">ey </w:t>
      </w:r>
      <w:r w:rsidR="005636F5">
        <w:t>I</w:t>
      </w:r>
      <w:r w:rsidRPr="00B513F4">
        <w:t xml:space="preserve">ssues and </w:t>
      </w:r>
      <w:r w:rsidR="005636F5">
        <w:t>S</w:t>
      </w:r>
      <w:r w:rsidRPr="00B513F4">
        <w:t xml:space="preserve">uggested </w:t>
      </w:r>
      <w:r w:rsidR="005636F5">
        <w:t>S</w:t>
      </w:r>
      <w:r w:rsidRPr="00B513F4">
        <w:t xml:space="preserve">teps </w:t>
      </w:r>
      <w:r w:rsidR="005636F5">
        <w:t>G</w:t>
      </w:r>
      <w:r w:rsidRPr="00B513F4">
        <w:t xml:space="preserve">oing </w:t>
      </w:r>
      <w:r w:rsidR="005636F5">
        <w:t>F</w:t>
      </w:r>
      <w:r w:rsidRPr="00B513F4">
        <w:t>orward</w:t>
      </w:r>
      <w:bookmarkEnd w:id="45"/>
    </w:p>
    <w:p w14:paraId="15D7924F" w14:textId="4675103E" w:rsidR="00A56EDD" w:rsidRPr="00B513F4" w:rsidRDefault="00A56EDD" w:rsidP="00A56EDD">
      <w:pPr>
        <w:jc w:val="both"/>
      </w:pPr>
      <w:r w:rsidRPr="00B513F4">
        <w:t xml:space="preserve">This note has </w:t>
      </w:r>
      <w:r>
        <w:t>sought to identify the key wage bill issues in South Sudan, as well as to trace</w:t>
      </w:r>
      <w:r w:rsidRPr="00B513F4">
        <w:t xml:space="preserve"> the origins and development of public service</w:t>
      </w:r>
      <w:r>
        <w:t xml:space="preserve"> and the reform and strengthening efforts made over the past decade</w:t>
      </w:r>
      <w:r w:rsidRPr="00B513F4">
        <w:t xml:space="preserve">. It has set out how public service evolved and how this has been shaped by key aspects of the overall state-building trajectory in the country. It also </w:t>
      </w:r>
      <w:r>
        <w:t>captures</w:t>
      </w:r>
      <w:r w:rsidRPr="00B513F4">
        <w:t xml:space="preserve"> the links to and implications for service delivery, one of the key objectives of a strengthened public service. This section summarizes the main issues identified and then suggests a set of potential steps to take going forward. In line with recent thinking about ‘making reforms happen’</w:t>
      </w:r>
      <w:r w:rsidR="00090264">
        <w:t>,</w:t>
      </w:r>
      <w:r w:rsidRPr="00B513F4">
        <w:t xml:space="preserve"> the rationale applied to these suggestions is that they should be feasible and robust both from a technical and from an incentive perspective. Moreover, given the current crisis in South Sudan, any proposals for further reform are subject to an increased level of uncertainty and contingency. </w:t>
      </w:r>
    </w:p>
    <w:p w14:paraId="0A14984D" w14:textId="54B1DCEB" w:rsidR="00A56EDD" w:rsidRPr="00B513F4" w:rsidRDefault="00A1532A" w:rsidP="00A56EDD">
      <w:pPr>
        <w:jc w:val="both"/>
      </w:pPr>
      <w:r>
        <w:t>The o</w:t>
      </w:r>
      <w:r w:rsidR="00A56EDD" w:rsidRPr="00B513F4">
        <w:t>verall key messages from the analysis are the following:</w:t>
      </w:r>
    </w:p>
    <w:p w14:paraId="53236CE8" w14:textId="13FCF171" w:rsidR="00A56EDD" w:rsidRPr="00B513F4" w:rsidRDefault="00A56EDD" w:rsidP="00254670">
      <w:pPr>
        <w:pStyle w:val="ListParagraph"/>
        <w:numPr>
          <w:ilvl w:val="0"/>
          <w:numId w:val="9"/>
        </w:numPr>
        <w:contextualSpacing w:val="0"/>
        <w:jc w:val="both"/>
      </w:pPr>
      <w:r w:rsidRPr="00B513F4">
        <w:t>The wage bill in South Sudan is high; this is primarily the result of large employment in the security sector (</w:t>
      </w:r>
      <w:r>
        <w:t>armed</w:t>
      </w:r>
      <w:r w:rsidRPr="00B513F4">
        <w:t xml:space="preserve"> and organized forces) relative to other countries, as well as relative to the size of the civilian public work force in South Sudan. Large public employment in security functions crowds out resources for civilian parts of the public service, where numbers employed remain well below what is required to meet MDG targets.</w:t>
      </w:r>
    </w:p>
    <w:p w14:paraId="1115DD32" w14:textId="27C86A3C" w:rsidR="00A56EDD" w:rsidRPr="00B513F4" w:rsidRDefault="00A56EDD" w:rsidP="00254670">
      <w:pPr>
        <w:pStyle w:val="ListParagraph"/>
        <w:numPr>
          <w:ilvl w:val="1"/>
          <w:numId w:val="39"/>
        </w:numPr>
        <w:contextualSpacing w:val="0"/>
        <w:jc w:val="both"/>
        <w:rPr>
          <w:color w:val="000000" w:themeColor="text1"/>
        </w:rPr>
      </w:pPr>
      <w:r>
        <w:rPr>
          <w:color w:val="000000" w:themeColor="text1"/>
        </w:rPr>
        <w:t xml:space="preserve">Given the risk of downward volatility as manifested since late 2014 and </w:t>
      </w:r>
      <w:r w:rsidRPr="00B513F4">
        <w:rPr>
          <w:color w:val="000000" w:themeColor="text1"/>
        </w:rPr>
        <w:t>the expected decline in revenues over the coming 5</w:t>
      </w:r>
      <w:r w:rsidR="00A1532A">
        <w:rPr>
          <w:color w:val="000000" w:themeColor="text1"/>
        </w:rPr>
        <w:t>–</w:t>
      </w:r>
      <w:r w:rsidRPr="00B513F4">
        <w:rPr>
          <w:color w:val="000000" w:themeColor="text1"/>
        </w:rPr>
        <w:t>10 years due to declining oil production</w:t>
      </w:r>
      <w:r w:rsidR="00A1532A">
        <w:rPr>
          <w:color w:val="000000" w:themeColor="text1"/>
        </w:rPr>
        <w:t>,</w:t>
      </w:r>
      <w:r w:rsidRPr="00B513F4">
        <w:rPr>
          <w:rStyle w:val="FootnoteReference"/>
        </w:rPr>
        <w:footnoteReference w:id="77"/>
      </w:r>
      <w:r w:rsidRPr="00B513F4">
        <w:rPr>
          <w:color w:val="000000" w:themeColor="text1"/>
        </w:rPr>
        <w:t xml:space="preserve"> it will be critically important to begin reducing the security sector wage bill to avoid fiscal erosion and further unsustainable increases in debt. </w:t>
      </w:r>
      <w:r>
        <w:rPr>
          <w:color w:val="000000" w:themeColor="text1"/>
        </w:rPr>
        <w:t>Making such adjustment</w:t>
      </w:r>
      <w:r w:rsidR="00A1532A">
        <w:rPr>
          <w:color w:val="000000" w:themeColor="text1"/>
        </w:rPr>
        <w:t>s</w:t>
      </w:r>
      <w:r w:rsidRPr="00B513F4">
        <w:rPr>
          <w:color w:val="000000" w:themeColor="text1"/>
        </w:rPr>
        <w:t xml:space="preserve"> will be politically </w:t>
      </w:r>
      <w:r>
        <w:rPr>
          <w:color w:val="000000" w:themeColor="text1"/>
        </w:rPr>
        <w:t xml:space="preserve">very </w:t>
      </w:r>
      <w:r w:rsidRPr="00B513F4">
        <w:rPr>
          <w:color w:val="000000" w:themeColor="text1"/>
        </w:rPr>
        <w:t xml:space="preserve">challenging in the short to medium term, while not doing so is </w:t>
      </w:r>
      <w:r>
        <w:rPr>
          <w:color w:val="000000" w:themeColor="text1"/>
        </w:rPr>
        <w:t>highly</w:t>
      </w:r>
      <w:r w:rsidRPr="00B513F4">
        <w:rPr>
          <w:color w:val="000000" w:themeColor="text1"/>
        </w:rPr>
        <w:t xml:space="preserve"> likely to trigger </w:t>
      </w:r>
      <w:r>
        <w:rPr>
          <w:color w:val="000000" w:themeColor="text1"/>
        </w:rPr>
        <w:t xml:space="preserve">even </w:t>
      </w:r>
      <w:r w:rsidRPr="00B513F4">
        <w:rPr>
          <w:color w:val="000000" w:themeColor="text1"/>
        </w:rPr>
        <w:t xml:space="preserve">greater </w:t>
      </w:r>
      <w:r>
        <w:rPr>
          <w:color w:val="000000" w:themeColor="text1"/>
        </w:rPr>
        <w:t>fiscal crisis and in turn</w:t>
      </w:r>
      <w:r w:rsidR="002B5CE3">
        <w:rPr>
          <w:color w:val="000000" w:themeColor="text1"/>
        </w:rPr>
        <w:t xml:space="preserve"> political and social turmoil.</w:t>
      </w:r>
    </w:p>
    <w:p w14:paraId="0ED383A2" w14:textId="77777777" w:rsidR="00A56EDD" w:rsidRPr="00B513F4" w:rsidRDefault="00A56EDD" w:rsidP="00254670">
      <w:pPr>
        <w:pStyle w:val="ListParagraph"/>
        <w:numPr>
          <w:ilvl w:val="1"/>
          <w:numId w:val="39"/>
        </w:numPr>
        <w:contextualSpacing w:val="0"/>
        <w:jc w:val="both"/>
        <w:rPr>
          <w:color w:val="000000" w:themeColor="text1"/>
        </w:rPr>
      </w:pPr>
      <w:r w:rsidRPr="00B513F4">
        <w:rPr>
          <w:color w:val="000000" w:themeColor="text1"/>
        </w:rPr>
        <w:t xml:space="preserve">The purchasing power of public sector wages has been left to erode since 2007 to make the wage bill fiscally manageable. A more deliberate approach that involves some reduction in numbers combined with </w:t>
      </w:r>
      <w:r>
        <w:rPr>
          <w:color w:val="000000" w:themeColor="text1"/>
        </w:rPr>
        <w:t xml:space="preserve">maintaining </w:t>
      </w:r>
      <w:r w:rsidRPr="00B513F4">
        <w:rPr>
          <w:color w:val="000000" w:themeColor="text1"/>
        </w:rPr>
        <w:t>steadier purchasing power of salaries would be preferable.</w:t>
      </w:r>
      <w:r w:rsidRPr="00B513F4">
        <w:rPr>
          <w:rStyle w:val="FootnoteReference"/>
          <w:color w:val="000000" w:themeColor="text1"/>
        </w:rPr>
        <w:footnoteReference w:id="78"/>
      </w:r>
      <w:r w:rsidRPr="00B513F4">
        <w:rPr>
          <w:color w:val="000000" w:themeColor="text1"/>
        </w:rPr>
        <w:t xml:space="preserve"> </w:t>
      </w:r>
    </w:p>
    <w:p w14:paraId="636DA7BB" w14:textId="4EA049C0" w:rsidR="00A56EDD" w:rsidRPr="00B513F4" w:rsidRDefault="00BB2B82" w:rsidP="00254670">
      <w:pPr>
        <w:pStyle w:val="ListParagraph"/>
        <w:numPr>
          <w:ilvl w:val="1"/>
          <w:numId w:val="39"/>
        </w:numPr>
        <w:contextualSpacing w:val="0"/>
        <w:jc w:val="both"/>
        <w:rPr>
          <w:color w:val="000000" w:themeColor="text1"/>
        </w:rPr>
      </w:pPr>
      <w:r>
        <w:rPr>
          <w:color w:val="000000" w:themeColor="text1"/>
        </w:rPr>
        <w:t>The g</w:t>
      </w:r>
      <w:r w:rsidR="00A56EDD" w:rsidRPr="00B513F4">
        <w:rPr>
          <w:color w:val="000000" w:themeColor="text1"/>
        </w:rPr>
        <w:t xml:space="preserve">overnment </w:t>
      </w:r>
      <w:r w:rsidR="00A56EDD">
        <w:rPr>
          <w:color w:val="000000" w:themeColor="text1"/>
        </w:rPr>
        <w:t>may</w:t>
      </w:r>
      <w:r w:rsidR="00A56EDD" w:rsidRPr="00B513F4">
        <w:rPr>
          <w:color w:val="000000" w:themeColor="text1"/>
        </w:rPr>
        <w:t xml:space="preserve"> consider what forms of support it can offer to citizens (individually and as families) other than inclusion in the public payroll. </w:t>
      </w:r>
    </w:p>
    <w:p w14:paraId="29105923" w14:textId="575BE629" w:rsidR="00A56EDD" w:rsidRPr="00254670" w:rsidRDefault="00A56EDD" w:rsidP="00254670">
      <w:pPr>
        <w:pStyle w:val="ListParagraph"/>
        <w:numPr>
          <w:ilvl w:val="1"/>
          <w:numId w:val="39"/>
        </w:numPr>
        <w:contextualSpacing w:val="0"/>
        <w:jc w:val="both"/>
        <w:rPr>
          <w:color w:val="000000" w:themeColor="text1"/>
        </w:rPr>
      </w:pPr>
      <w:r w:rsidRPr="00B513F4">
        <w:rPr>
          <w:color w:val="000000" w:themeColor="text1"/>
        </w:rPr>
        <w:lastRenderedPageBreak/>
        <w:t xml:space="preserve">There are indications that </w:t>
      </w:r>
      <w:r>
        <w:rPr>
          <w:color w:val="000000" w:themeColor="text1"/>
        </w:rPr>
        <w:t>non-state supply</w:t>
      </w:r>
      <w:r w:rsidRPr="00B513F4">
        <w:rPr>
          <w:color w:val="000000" w:themeColor="text1"/>
        </w:rPr>
        <w:t xml:space="preserve"> of service provision </w:t>
      </w:r>
      <w:r>
        <w:rPr>
          <w:color w:val="000000" w:themeColor="text1"/>
        </w:rPr>
        <w:t>is significant</w:t>
      </w:r>
      <w:r w:rsidRPr="00B513F4">
        <w:rPr>
          <w:color w:val="000000" w:themeColor="text1"/>
        </w:rPr>
        <w:t xml:space="preserve"> </w:t>
      </w:r>
      <w:r>
        <w:rPr>
          <w:color w:val="000000" w:themeColor="text1"/>
        </w:rPr>
        <w:t xml:space="preserve">and </w:t>
      </w:r>
      <w:r w:rsidRPr="00B513F4">
        <w:rPr>
          <w:color w:val="000000" w:themeColor="text1"/>
        </w:rPr>
        <w:t xml:space="preserve">growing, while geographic </w:t>
      </w:r>
      <w:r>
        <w:rPr>
          <w:color w:val="000000" w:themeColor="text1"/>
        </w:rPr>
        <w:t>coverage</w:t>
      </w:r>
      <w:r w:rsidRPr="00B513F4">
        <w:rPr>
          <w:color w:val="000000" w:themeColor="text1"/>
        </w:rPr>
        <w:t xml:space="preserve"> and overall accessibility in particular for poorer citizens currently remain uncertain. As a first step, </w:t>
      </w:r>
      <w:r w:rsidR="00BB2B82">
        <w:rPr>
          <w:color w:val="000000" w:themeColor="text1"/>
        </w:rPr>
        <w:t xml:space="preserve">the </w:t>
      </w:r>
      <w:r w:rsidRPr="00B513F4">
        <w:rPr>
          <w:color w:val="000000" w:themeColor="text1"/>
        </w:rPr>
        <w:t xml:space="preserve">government should make efforts to better capture </w:t>
      </w:r>
      <w:r>
        <w:rPr>
          <w:color w:val="000000" w:themeColor="text1"/>
        </w:rPr>
        <w:t>non-state</w:t>
      </w:r>
      <w:r w:rsidR="00BB2B82">
        <w:rPr>
          <w:color w:val="000000" w:themeColor="text1"/>
        </w:rPr>
        <w:t>-</w:t>
      </w:r>
      <w:r>
        <w:rPr>
          <w:color w:val="000000" w:themeColor="text1"/>
        </w:rPr>
        <w:t>provided social services</w:t>
      </w:r>
      <w:r w:rsidRPr="00B513F4">
        <w:rPr>
          <w:color w:val="000000" w:themeColor="text1"/>
        </w:rPr>
        <w:t xml:space="preserve"> in its statistics, in particular on education, health</w:t>
      </w:r>
      <w:r w:rsidR="00BB2B82">
        <w:rPr>
          <w:color w:val="000000" w:themeColor="text1"/>
        </w:rPr>
        <w:t>,</w:t>
      </w:r>
      <w:r w:rsidRPr="00B513F4">
        <w:rPr>
          <w:color w:val="000000" w:themeColor="text1"/>
        </w:rPr>
        <w:t xml:space="preserve"> and water, and could draw on development partner support to develop </w:t>
      </w:r>
      <w:r>
        <w:rPr>
          <w:color w:val="000000" w:themeColor="text1"/>
        </w:rPr>
        <w:t>the necessary monitoring capability</w:t>
      </w:r>
      <w:r w:rsidRPr="00B513F4">
        <w:rPr>
          <w:color w:val="000000" w:themeColor="text1"/>
        </w:rPr>
        <w:t xml:space="preserve">. In a further step, GoSS can then consider how best to balance and govern/regulate overall service delivery and the approach for particular services. </w:t>
      </w:r>
    </w:p>
    <w:p w14:paraId="73385EDE" w14:textId="63CFBF50" w:rsidR="00A56EDD" w:rsidRPr="00B513F4" w:rsidRDefault="00A56EDD" w:rsidP="00A56EDD">
      <w:pPr>
        <w:pStyle w:val="ListParagraph"/>
        <w:numPr>
          <w:ilvl w:val="0"/>
          <w:numId w:val="9"/>
        </w:numPr>
        <w:contextualSpacing w:val="0"/>
        <w:jc w:val="both"/>
      </w:pPr>
      <w:r w:rsidRPr="00B513F4">
        <w:t xml:space="preserve">Conditions for successful strengthening of the </w:t>
      </w:r>
      <w:r>
        <w:t>civil</w:t>
      </w:r>
      <w:r w:rsidRPr="00B513F4">
        <w:t xml:space="preserve"> service have been difficult in South Sudan, including factors on the government side (commitment, control over meritocratic hiring) and on the side of development partners (fragmentation, approaches not sufficiently systematic). Structural conditions such as low human development, the mixed backgrounds of staff, and insecurity at </w:t>
      </w:r>
      <w:r w:rsidR="00D97787">
        <w:t xml:space="preserve">the </w:t>
      </w:r>
      <w:r w:rsidRPr="00B513F4">
        <w:t xml:space="preserve">local levels have also been challenging. </w:t>
      </w:r>
    </w:p>
    <w:p w14:paraId="549C571B" w14:textId="5839B0D7" w:rsidR="00A56EDD" w:rsidRPr="00B513F4" w:rsidRDefault="00A56EDD" w:rsidP="00A56EDD">
      <w:pPr>
        <w:pStyle w:val="ListParagraph"/>
        <w:numPr>
          <w:ilvl w:val="1"/>
          <w:numId w:val="9"/>
        </w:numPr>
        <w:contextualSpacing w:val="0"/>
        <w:jc w:val="both"/>
      </w:pPr>
      <w:r w:rsidRPr="00B513F4">
        <w:t xml:space="preserve">One particular challenge that South Sudan faces is </w:t>
      </w:r>
      <w:r w:rsidR="00D97787">
        <w:t>the</w:t>
      </w:r>
      <w:r w:rsidRPr="00B513F4">
        <w:t xml:space="preserve"> large number of ethnic groups. While</w:t>
      </w:r>
      <w:r w:rsidR="003C56AE">
        <w:t xml:space="preserve"> the long war with Sudan </w:t>
      </w:r>
      <w:r>
        <w:t xml:space="preserve">has generated </w:t>
      </w:r>
      <w:r w:rsidRPr="00B513F4">
        <w:t xml:space="preserve">some collective identity as a nation, other identities (ethnic groups and subgroups) are competing. </w:t>
      </w:r>
      <w:r>
        <w:t>Moreover</w:t>
      </w:r>
      <w:r w:rsidRPr="00B513F4">
        <w:t xml:space="preserve">, there are </w:t>
      </w:r>
      <w:r>
        <w:t>certain</w:t>
      </w:r>
      <w:r w:rsidRPr="00B513F4">
        <w:t xml:space="preserve"> social norms and practices that contribute to conflict, especially in those </w:t>
      </w:r>
      <w:r>
        <w:t>areas</w:t>
      </w:r>
      <w:r w:rsidRPr="00B513F4">
        <w:t xml:space="preserve"> where pastoralism is </w:t>
      </w:r>
      <w:r>
        <w:t>the</w:t>
      </w:r>
      <w:r w:rsidRPr="00B513F4">
        <w:t xml:space="preserve"> main economic basis. </w:t>
      </w:r>
      <w:r>
        <w:t>Ethnic diversity</w:t>
      </w:r>
      <w:r w:rsidRPr="00B513F4">
        <w:t xml:space="preserve"> makes the composition of public sector employment sensitive from a group perspective</w:t>
      </w:r>
      <w:r>
        <w:t>, and may also affect the accessibility of services for minority groups in a given area</w:t>
      </w:r>
      <w:r w:rsidRPr="00B513F4">
        <w:t>. It is also important to note the gender</w:t>
      </w:r>
      <w:r w:rsidR="00F13BE5">
        <w:t xml:space="preserve"> </w:t>
      </w:r>
      <w:r w:rsidRPr="00B513F4">
        <w:t>i</w:t>
      </w:r>
      <w:r w:rsidR="002B5CE3">
        <w:t>mbalance in public employment.</w:t>
      </w:r>
    </w:p>
    <w:p w14:paraId="38B4D5C9" w14:textId="77CA7554" w:rsidR="00A56EDD" w:rsidRPr="00B513F4" w:rsidRDefault="00A56EDD" w:rsidP="00A56EDD">
      <w:pPr>
        <w:pStyle w:val="ListParagraph"/>
        <w:numPr>
          <w:ilvl w:val="0"/>
          <w:numId w:val="9"/>
        </w:numPr>
        <w:contextualSpacing w:val="0"/>
        <w:jc w:val="both"/>
      </w:pPr>
      <w:r w:rsidRPr="00B513F4">
        <w:t>Relative to these challenges, some notable—if incremental—progress was made between 2007 and late 2013 with regard to developing a pay and grading system, establishing legal and institutional foundations, reducing the number of ghosts and excess unskilled staff, and establishing a</w:t>
      </w:r>
      <w:r>
        <w:t>n initial</w:t>
      </w:r>
      <w:r w:rsidRPr="00B513F4">
        <w:t xml:space="preserve"> payroll system and controls. It is likely that there was also progress </w:t>
      </w:r>
      <w:r w:rsidR="00A37232">
        <w:t>in</w:t>
      </w:r>
      <w:r w:rsidR="00A37232" w:rsidRPr="00B513F4">
        <w:t xml:space="preserve"> </w:t>
      </w:r>
      <w:r w:rsidRPr="00B513F4">
        <w:t xml:space="preserve">improving language skills, and possibly overall qualifications, but in the absence of a repeat public service survey this is not comprehensively documented. </w:t>
      </w:r>
    </w:p>
    <w:p w14:paraId="0C7A4961" w14:textId="1F9FFA8E" w:rsidR="00A56EDD" w:rsidRPr="00B513F4" w:rsidRDefault="00A56EDD" w:rsidP="00A56EDD">
      <w:pPr>
        <w:ind w:left="1080"/>
        <w:jc w:val="both"/>
      </w:pPr>
      <w:r w:rsidRPr="00B513F4">
        <w:t>There has been no systematic documentation of overall progress on capacity building</w:t>
      </w:r>
      <w:r w:rsidR="00A37232">
        <w:t>—</w:t>
      </w:r>
      <w:r w:rsidRPr="00B513F4">
        <w:t>an issue that is not unique to South Sudan. Anecdotal evidence is contradictory</w:t>
      </w:r>
      <w:r w:rsidR="00A37232">
        <w:t>—</w:t>
      </w:r>
      <w:r w:rsidRPr="00B513F4">
        <w:t>emphasizing that much training has been too short</w:t>
      </w:r>
      <w:r w:rsidR="00A37232">
        <w:t xml:space="preserve"> </w:t>
      </w:r>
      <w:r w:rsidRPr="00B513F4">
        <w:t xml:space="preserve">term, that trainees </w:t>
      </w:r>
      <w:r>
        <w:t>had</w:t>
      </w:r>
      <w:r w:rsidRPr="00B513F4">
        <w:t xml:space="preserve"> uneven prior qualifications, but also that some individual staff and departments may gradually be strengthening their ability to handle assigned tasks. In the health and education sectors, training facilities and opportunities have been created, but are still short of a more systematic approach, assured long-term funding, </w:t>
      </w:r>
      <w:r w:rsidR="00CF7BB4">
        <w:t>and so on</w:t>
      </w:r>
      <w:r w:rsidRPr="00B513F4">
        <w:t xml:space="preserve">. </w:t>
      </w:r>
    </w:p>
    <w:p w14:paraId="4A5DBB0C" w14:textId="2BA79FAB" w:rsidR="00A56EDD" w:rsidRPr="00B513F4" w:rsidRDefault="00A56EDD" w:rsidP="00A56EDD">
      <w:pPr>
        <w:pStyle w:val="ListParagraph"/>
        <w:numPr>
          <w:ilvl w:val="0"/>
          <w:numId w:val="9"/>
        </w:numPr>
        <w:contextualSpacing w:val="0"/>
        <w:jc w:val="both"/>
      </w:pPr>
      <w:r w:rsidRPr="00B513F4">
        <w:t>The austerity period since e</w:t>
      </w:r>
      <w:r>
        <w:t xml:space="preserve">arly 2012, the protracted conflict </w:t>
      </w:r>
      <w:r w:rsidR="003C56AE">
        <w:t xml:space="preserve">from </w:t>
      </w:r>
      <w:r w:rsidRPr="00B513F4">
        <w:t>2013</w:t>
      </w:r>
      <w:r w:rsidR="003C56AE">
        <w:t xml:space="preserve"> to August 2015</w:t>
      </w:r>
      <w:r w:rsidR="00A37232">
        <w:t>,</w:t>
      </w:r>
      <w:r>
        <w:t xml:space="preserve"> and the emerging fiscal crisis since late 2014</w:t>
      </w:r>
      <w:r w:rsidRPr="00B513F4">
        <w:t xml:space="preserve"> </w:t>
      </w:r>
      <w:r w:rsidR="003C56AE">
        <w:rPr>
          <w:color w:val="000000" w:themeColor="text1"/>
        </w:rPr>
        <w:t>negatively affect the</w:t>
      </w:r>
      <w:r w:rsidRPr="00B513F4">
        <w:rPr>
          <w:color w:val="000000" w:themeColor="text1"/>
        </w:rPr>
        <w:t xml:space="preserve"> further implementation of reforms, and threaten to undermine earlier gains.</w:t>
      </w:r>
      <w:r w:rsidRPr="00B513F4">
        <w:t xml:space="preserve"> The crisis also highlights that ethnic </w:t>
      </w:r>
      <w:r w:rsidRPr="00B513F4">
        <w:lastRenderedPageBreak/>
        <w:t>divisions can be rapidly intensified, and will be an important issue to consider going forward when efforts at rebuilding and strengthen</w:t>
      </w:r>
      <w:r w:rsidR="002B5CE3">
        <w:t>ing the public service resume.</w:t>
      </w:r>
    </w:p>
    <w:p w14:paraId="08DD86AA" w14:textId="68414958" w:rsidR="00A56EDD" w:rsidRPr="00B513F4" w:rsidRDefault="0042529A" w:rsidP="00A56EDD">
      <w:pPr>
        <w:jc w:val="both"/>
      </w:pPr>
      <w:r>
        <w:fldChar w:fldCharType="begin"/>
      </w:r>
      <w:r>
        <w:instrText xml:space="preserve"> REF _Ref447533565 \h </w:instrText>
      </w:r>
      <w:r>
        <w:fldChar w:fldCharType="separate"/>
      </w:r>
      <w:r>
        <w:t xml:space="preserve">Figure </w:t>
      </w:r>
      <w:r>
        <w:rPr>
          <w:noProof/>
        </w:rPr>
        <w:t>15</w:t>
      </w:r>
      <w:r>
        <w:fldChar w:fldCharType="end"/>
      </w:r>
      <w:r w:rsidR="00A56EDD" w:rsidRPr="00B513F4">
        <w:t xml:space="preserve"> provides a simplified version of </w:t>
      </w:r>
      <w:r w:rsidR="00807923">
        <w:fldChar w:fldCharType="begin"/>
      </w:r>
      <w:r w:rsidR="00807923">
        <w:instrText xml:space="preserve"> REF _Ref447533576 \h </w:instrText>
      </w:r>
      <w:r w:rsidR="00807923">
        <w:fldChar w:fldCharType="separate"/>
      </w:r>
      <w:r w:rsidR="00807923">
        <w:t xml:space="preserve">figure </w:t>
      </w:r>
      <w:r w:rsidR="00807923">
        <w:rPr>
          <w:noProof/>
        </w:rPr>
        <w:t>17</w:t>
      </w:r>
      <w:r w:rsidR="00807923">
        <w:fldChar w:fldCharType="end"/>
      </w:r>
      <w:r w:rsidR="00A56EDD" w:rsidRPr="00B513F4">
        <w:t xml:space="preserve"> in </w:t>
      </w:r>
      <w:r>
        <w:t>a</w:t>
      </w:r>
      <w:r w:rsidR="00A56EDD" w:rsidRPr="00B513F4">
        <w:t>nnex 2, reflecting the embedded nature of developing a public service in a state-building context</w:t>
      </w:r>
      <w:r w:rsidR="00A56EDD">
        <w:t xml:space="preserve">. As the </w:t>
      </w:r>
      <w:r w:rsidR="00B16135">
        <w:t xml:space="preserve">figure </w:t>
      </w:r>
      <w:r w:rsidR="00A56EDD">
        <w:t xml:space="preserve">seeks to highlight, one of the challenging aspects of support by </w:t>
      </w:r>
      <w:r w:rsidR="00A37232">
        <w:t>d</w:t>
      </w:r>
      <w:r w:rsidR="00A56EDD">
        <w:t xml:space="preserve">evelopment </w:t>
      </w:r>
      <w:r w:rsidR="00A37232">
        <w:t>p</w:t>
      </w:r>
      <w:r w:rsidR="00A56EDD">
        <w:t>artners in a conflict</w:t>
      </w:r>
      <w:r w:rsidR="00DC3080">
        <w:t>-</w:t>
      </w:r>
      <w:r w:rsidR="00A56EDD">
        <w:t xml:space="preserve">affected context is often that support targeting the strengthening of the public sector and that targeting service delivery are separated and that it can be challenging to link these effectively. </w:t>
      </w:r>
    </w:p>
    <w:p w14:paraId="3583F04A" w14:textId="460239DB" w:rsidR="00A56EDD" w:rsidRPr="00FC2B6E" w:rsidRDefault="003C56AE" w:rsidP="00FC2B6E">
      <w:pPr>
        <w:pStyle w:val="Caption"/>
        <w:keepNext/>
        <w:rPr>
          <w:noProof/>
        </w:rPr>
      </w:pPr>
      <w:bookmarkStart w:id="46" w:name="_Ref447533565"/>
      <w:r w:rsidRPr="00B513F4">
        <w:rPr>
          <w:noProof/>
        </w:rPr>
        <mc:AlternateContent>
          <mc:Choice Requires="wpc">
            <w:drawing>
              <wp:anchor distT="0" distB="0" distL="114300" distR="114300" simplePos="0" relativeHeight="251666432" behindDoc="0" locked="0" layoutInCell="1" allowOverlap="1" wp14:anchorId="31A6CBC0" wp14:editId="2DCDD277">
                <wp:simplePos x="0" y="0"/>
                <wp:positionH relativeFrom="margin">
                  <wp:posOffset>466725</wp:posOffset>
                </wp:positionH>
                <wp:positionV relativeFrom="paragraph">
                  <wp:posOffset>384810</wp:posOffset>
                </wp:positionV>
                <wp:extent cx="4914900" cy="3200400"/>
                <wp:effectExtent l="0" t="0" r="0" b="0"/>
                <wp:wrapTopAndBottom/>
                <wp:docPr id="108" name="Canvas 10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9" name="Oval 109"/>
                        <wps:cNvSpPr/>
                        <wps:spPr>
                          <a:xfrm>
                            <a:off x="1346200" y="0"/>
                            <a:ext cx="3386667" cy="3183466"/>
                          </a:xfrm>
                          <a:prstGeom prst="ellipse">
                            <a:avLst/>
                          </a:prstGeom>
                          <a:solidFill>
                            <a:schemeClr val="accent1">
                              <a:alpha val="60000"/>
                            </a:schemeClr>
                          </a:solidFill>
                          <a:ln>
                            <a:solidFill>
                              <a:schemeClr val="accent1">
                                <a:shade val="50000"/>
                                <a:alpha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268FBA" w14:textId="77777777" w:rsidR="00D56EAC" w:rsidRDefault="00D56EAC" w:rsidP="00A56E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Oval 112"/>
                        <wps:cNvSpPr/>
                        <wps:spPr>
                          <a:xfrm>
                            <a:off x="1786468" y="745067"/>
                            <a:ext cx="2438400" cy="225213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Oval 111"/>
                        <wps:cNvSpPr/>
                        <wps:spPr>
                          <a:xfrm>
                            <a:off x="2345267" y="838199"/>
                            <a:ext cx="1811867" cy="169333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Oval 110"/>
                        <wps:cNvSpPr/>
                        <wps:spPr>
                          <a:xfrm>
                            <a:off x="2650067" y="1024466"/>
                            <a:ext cx="973667" cy="98213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Text Box 113"/>
                        <wps:cNvSpPr txBox="1"/>
                        <wps:spPr>
                          <a:xfrm>
                            <a:off x="2729971" y="1253066"/>
                            <a:ext cx="1066800" cy="7027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4EB6D3" w14:textId="77777777" w:rsidR="00D56EAC" w:rsidRDefault="00D56EAC" w:rsidP="00A56EDD">
                              <w:r>
                                <w:t>Political settlement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 name="Text Box 115"/>
                        <wps:cNvSpPr txBox="1"/>
                        <wps:spPr>
                          <a:xfrm>
                            <a:off x="1710267" y="2586565"/>
                            <a:ext cx="2133600" cy="3979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A49B16" w14:textId="77777777" w:rsidR="00D56EAC" w:rsidRDefault="00D56EAC" w:rsidP="00A56EDD">
                              <w:pPr>
                                <w:jc w:val="center"/>
                              </w:pPr>
                              <w:r>
                                <w:t>Service delivery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 name="Text Box 114"/>
                        <wps:cNvSpPr txBox="1"/>
                        <wps:spPr>
                          <a:xfrm>
                            <a:off x="2556934" y="2010833"/>
                            <a:ext cx="1388533" cy="5757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7BAC4" w14:textId="77777777" w:rsidR="00D56EAC" w:rsidRPr="00B455D8" w:rsidRDefault="00D56EAC" w:rsidP="00A56EDD">
                              <w:pPr>
                                <w:rPr>
                                  <w:color w:val="FFFFFF" w:themeColor="background1"/>
                                  <w:sz w:val="32"/>
                                </w:rPr>
                              </w:pPr>
                              <w:r w:rsidRPr="00B455D8">
                                <w:rPr>
                                  <w:color w:val="FFFFFF" w:themeColor="background1"/>
                                  <w:sz w:val="32"/>
                                </w:rPr>
                                <w:t>Public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 name="Curved Left Arrow 116"/>
                        <wps:cNvSpPr/>
                        <wps:spPr>
                          <a:xfrm>
                            <a:off x="3530600" y="1380066"/>
                            <a:ext cx="313267" cy="73660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Curved Right Arrow 118"/>
                        <wps:cNvSpPr/>
                        <wps:spPr>
                          <a:xfrm rot="1053556">
                            <a:off x="2322978" y="1591732"/>
                            <a:ext cx="279400" cy="88900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Text Box 119"/>
                        <wps:cNvSpPr txBox="1"/>
                        <wps:spPr>
                          <a:xfrm>
                            <a:off x="1904577" y="253999"/>
                            <a:ext cx="2277533" cy="4910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9D6798" w14:textId="77777777" w:rsidR="00D56EAC" w:rsidRPr="00677324" w:rsidRDefault="00D56EAC" w:rsidP="00A56EDD">
                              <w:pPr>
                                <w:jc w:val="center"/>
                                <w:rPr>
                                  <w:i/>
                                </w:rPr>
                              </w:pPr>
                              <w:r w:rsidRPr="00677324">
                                <w:rPr>
                                  <w:i/>
                                </w:rPr>
                                <w:t>Overall state-building conditions and dynamic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Text Box 121"/>
                        <wps:cNvSpPr txBox="1"/>
                        <wps:spPr>
                          <a:xfrm>
                            <a:off x="76185" y="638175"/>
                            <a:ext cx="1019184" cy="2181225"/>
                          </a:xfrm>
                          <a:prstGeom prst="rect">
                            <a:avLst/>
                          </a:prstGeom>
                          <a:solidFill>
                            <a:schemeClr val="accent3">
                              <a:lumMod val="75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FCF0CC" w14:textId="77777777" w:rsidR="00D56EAC" w:rsidRDefault="00D56EAC" w:rsidP="00A56EDD">
                              <w:pPr>
                                <w:jc w:val="center"/>
                                <w:rPr>
                                  <w:sz w:val="28"/>
                                </w:rPr>
                              </w:pPr>
                            </w:p>
                            <w:p w14:paraId="29AEADB5" w14:textId="77777777" w:rsidR="00D56EAC" w:rsidRDefault="00D56EAC" w:rsidP="00A56EDD">
                              <w:pPr>
                                <w:jc w:val="center"/>
                                <w:rPr>
                                  <w:sz w:val="28"/>
                                </w:rPr>
                              </w:pPr>
                            </w:p>
                            <w:p w14:paraId="2D4ACC4D" w14:textId="08F49520" w:rsidR="00D56EAC" w:rsidRPr="00A66E81" w:rsidRDefault="00D56EAC" w:rsidP="00A56EDD">
                              <w:pPr>
                                <w:jc w:val="center"/>
                                <w:rPr>
                                  <w:b/>
                                  <w:sz w:val="28"/>
                                </w:rPr>
                              </w:pPr>
                              <w:r w:rsidRPr="001E1720">
                                <w:rPr>
                                  <w:b/>
                                </w:rPr>
                                <w:t xml:space="preserve">Development </w:t>
                              </w:r>
                              <w:r>
                                <w:rPr>
                                  <w:b/>
                                </w:rPr>
                                <w:t>p</w:t>
                              </w:r>
                              <w:r w:rsidRPr="001E1720">
                                <w:rPr>
                                  <w:b/>
                                </w:rPr>
                                <w:t>artner</w:t>
                              </w:r>
                              <w:r w:rsidRPr="00A66E81">
                                <w:rPr>
                                  <w:b/>
                                  <w:sz w:val="28"/>
                                </w:rPr>
                                <w:t xml:space="preserve"> </w:t>
                              </w:r>
                              <w:r w:rsidRPr="001E1720">
                                <w:rPr>
                                  <w:b/>
                                </w:rPr>
                                <w:t>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 name="Isosceles Triangle 124"/>
                        <wps:cNvSpPr/>
                        <wps:spPr>
                          <a:xfrm rot="6790733">
                            <a:off x="1519373" y="606660"/>
                            <a:ext cx="439676" cy="1730680"/>
                          </a:xfrm>
                          <a:prstGeom prst="triangle">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Isosceles Triangle 125"/>
                        <wps:cNvSpPr/>
                        <wps:spPr>
                          <a:xfrm rot="6351731">
                            <a:off x="1391946" y="1548980"/>
                            <a:ext cx="429537" cy="1776410"/>
                          </a:xfrm>
                          <a:prstGeom prst="triangle">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anchor>
            </w:drawing>
          </mc:Choice>
          <mc:Fallback>
            <w:pict>
              <v:group w14:anchorId="31A6CBC0" id="Canvas 108" o:spid="_x0000_s1031" editas="canvas" style="position:absolute;left:0;text-align:left;margin-left:36.75pt;margin-top:30.3pt;width:387pt;height:252pt;z-index:251666432;mso-position-horizontal-relative:margin" coordsize="49149,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49149;height:32004;visibility:visible;mso-wrap-style:square">
                  <v:fill o:detectmouseclick="t"/>
                  <v:path o:connecttype="none"/>
                </v:shape>
                <v:oval id="Oval 109" o:spid="_x0000_s1033" style="position:absolute;left:13462;width:33866;height:318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X4rMAA&#10;AADcAAAADwAAAGRycy9kb3ducmV2LnhtbERPTWsCMRC9F/ofwhS81cQK0m6NIoVCr65Wehw2093V&#10;zcySRF376xtB8DaP9znz5eA7daIQW2ELk7EBRVyJa7m2sN18Pr+CignZYSdMFi4UYbl4fJhj4eTM&#10;azqVqVY5hGOBFpqU+kLrWDXkMY6lJ87crwSPKcNQaxfwnMN9p1+MmWmPLeeGBnv6aKg6lEdv4WD6&#10;mQw7OeIe/753ofyZTDdi7ehpWL2DSjSku/jm/nJ5vnmD6zP5Ar3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DX4rMAAAADcAAAADwAAAAAAAAAAAAAAAACYAgAAZHJzL2Rvd25y&#10;ZXYueG1sUEsFBgAAAAAEAAQA9QAAAIUDAAAAAA==&#10;" fillcolor="#5b9bd5 [3204]" strokecolor="#1f4d78 [1604]" strokeweight="1pt">
                  <v:fill opacity="39321f"/>
                  <v:stroke opacity="39321f" joinstyle="miter"/>
                  <v:textbox>
                    <w:txbxContent>
                      <w:p w14:paraId="16268FBA" w14:textId="77777777" w:rsidR="00D56EAC" w:rsidRDefault="00D56EAC" w:rsidP="00A56EDD">
                        <w:pPr>
                          <w:jc w:val="center"/>
                        </w:pPr>
                      </w:p>
                    </w:txbxContent>
                  </v:textbox>
                </v:oval>
                <v:oval id="Oval 112" o:spid="_x0000_s1034" style="position:absolute;left:17864;top:7450;width:24384;height:225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08tsEA&#10;AADcAAAADwAAAGRycy9kb3ducmV2LnhtbERPTYvCMBC9C/sfwix401QR0a5RZKHgCh6s3fvQjG2w&#10;mZQmavXXm4UFb/N4n7Pa9LYRN+q8caxgMk5AEJdOG64UFKdstADhA7LGxjEpeJCHzfpjsMJUuzsf&#10;6ZaHSsQQ9ikqqENoUyl9WZNFP3YtceTOrrMYIuwqqTu8x3DbyGmSzKVFw7Ghxpa+ayov+dUqeO6y&#10;woTrMl8kxf5ymP1kTppfpYaf/fYLRKA+vMX/7p2O8ydT+HsmXi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9PLbBAAAA3AAAAA8AAAAAAAAAAAAAAAAAmAIAAGRycy9kb3du&#10;cmV2LnhtbFBLBQYAAAAABAAEAPUAAACGAwAAAAA=&#10;" fillcolor="#5b9bd5 [3204]" strokecolor="#1f4d78 [1604]" strokeweight="1pt">
                  <v:stroke joinstyle="miter"/>
                </v:oval>
                <v:oval id="Oval 111" o:spid="_x0000_s1035" style="position:absolute;left:23452;top:8381;width:18119;height:16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wcEA&#10;AADcAAAADwAAAGRycy9kb3ducmV2LnhtbERPTYvCMBC9L/gfwgje1rSLLFqNIkLBXdjD1nofmrEN&#10;NpPSRK3++o0g7G0e73NWm8G24kq9N44VpNMEBHHltOFaQXnI3+cgfEDW2DomBXfysFmP3laYaXfj&#10;X7oWoRYxhH2GCpoQukxKXzVk0U9dRxy5k+sthgj7WuoebzHctvIjST6lRcOxocGOdg1V5+JiFTz2&#10;eWnCZVHMk/L7/DP7yp00R6Um42G7BBFoCP/il3uv4/w0hecz8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vosHBAAAA3AAAAA8AAAAAAAAAAAAAAAAAmAIAAGRycy9kb3du&#10;cmV2LnhtbFBLBQYAAAAABAAEAPUAAACGAwAAAAA=&#10;" fillcolor="#5b9bd5 [3204]" strokecolor="#1f4d78 [1604]" strokeweight="1pt">
                  <v:stroke joinstyle="miter"/>
                </v:oval>
                <v:oval id="Oval 110" o:spid="_x0000_s1036" style="position:absolute;left:26500;top:10244;width:9737;height:9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MHWsQA&#10;AADcAAAADwAAAGRycy9kb3ducmV2LnhtbESPQWvCQBCF74X+h2UK3urGUkRTV5FCwAo9NKb3ITsm&#10;i9nZkF01+us7B6G3Gd6b975ZbUbfqQsN0QU2MJtmoIjrYB03BqpD8boAFROyxS4wGbhRhM36+WmF&#10;uQ1X/qFLmRolIRxzNNCm1Odax7olj3EaemLRjmHwmGQdGm0HvEq47/Rbls21R8fS0GJPny3Vp/Ls&#10;Ddx3ReXSeVkusmp/+n7/KoJ2v8ZMXsbtB6hEY/o3P653VvBn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jB1rEAAAA3AAAAA8AAAAAAAAAAAAAAAAAmAIAAGRycy9k&#10;b3ducmV2LnhtbFBLBQYAAAAABAAEAPUAAACJAwAAAAA=&#10;" fillcolor="#5b9bd5 [3204]" strokecolor="#1f4d78 [1604]" strokeweight="1pt">
                  <v:stroke joinstyle="miter"/>
                </v:oval>
                <v:shape id="Text Box 113" o:spid="_x0000_s1037" type="#_x0000_t202" style="position:absolute;left:27299;top:12530;width:10668;height:7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CqcQA&#10;AADcAAAADwAAAGRycy9kb3ducmV2LnhtbERPS2vCQBC+F/wPywje6iZK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fAqnEAAAA3AAAAA8AAAAAAAAAAAAAAAAAmAIAAGRycy9k&#10;b3ducmV2LnhtbFBLBQYAAAAABAAEAPUAAACJAwAAAAA=&#10;" filled="f" stroked="f" strokeweight=".5pt">
                  <v:textbox>
                    <w:txbxContent>
                      <w:p w14:paraId="0D4EB6D3" w14:textId="77777777" w:rsidR="00D56EAC" w:rsidRDefault="00D56EAC" w:rsidP="00A56EDD">
                        <w:r>
                          <w:t>Political settlement</w:t>
                        </w:r>
                      </w:p>
                    </w:txbxContent>
                  </v:textbox>
                </v:shape>
                <v:shape id="Text Box 115" o:spid="_x0000_s1038" type="#_x0000_t202" style="position:absolute;left:17102;top:25865;width:21336;height:3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sMA&#10;AADcAAAADwAAAGRycy9kb3ducmV2LnhtbERPS4vCMBC+L/gfwgje1lTBRappkYK4yHrwcfE2NmNb&#10;bCa1yWrXX78RBG/z8T1nnnamFjdqXWVZwWgYgSDOra64UHDYLz+nIJxH1lhbJgV/5CBNeh9zjLW9&#10;85ZuO1+IEMIuRgWl900spctLMuiGtiEO3Nm2Bn2AbSF1i/cQbmo5jqIvabDi0FBiQ1lJ+WX3axSs&#10;s+UGt6exmT7qbPVzXjTXw3Gi1KDfLWYgPHX+LX65v3WYP5rA85lwgU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RsMAAADcAAAADwAAAAAAAAAAAAAAAACYAgAAZHJzL2Rv&#10;d25yZXYueG1sUEsFBgAAAAAEAAQA9QAAAIgDAAAAAA==&#10;" filled="f" stroked="f" strokeweight=".5pt">
                  <v:textbox>
                    <w:txbxContent>
                      <w:p w14:paraId="69A49B16" w14:textId="77777777" w:rsidR="00D56EAC" w:rsidRDefault="00D56EAC" w:rsidP="00A56EDD">
                        <w:pPr>
                          <w:jc w:val="center"/>
                        </w:pPr>
                        <w:r>
                          <w:t>Service delivery</w:t>
                        </w:r>
                      </w:p>
                    </w:txbxContent>
                  </v:textbox>
                </v:shape>
                <v:shape id="Text Box 114" o:spid="_x0000_s1039" type="#_x0000_t202" style="position:absolute;left:25569;top:20108;width:13885;height:5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aa3cQA&#10;AADcAAAADwAAAGRycy9kb3ducmV2LnhtbERPS2vCQBC+F/wPywje6iZi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2mt3EAAAA3AAAAA8AAAAAAAAAAAAAAAAAmAIAAGRycy9k&#10;b3ducmV2LnhtbFBLBQYAAAAABAAEAPUAAACJAwAAAAA=&#10;" filled="f" stroked="f" strokeweight=".5pt">
                  <v:textbox>
                    <w:txbxContent>
                      <w:p w14:paraId="7687BAC4" w14:textId="77777777" w:rsidR="00D56EAC" w:rsidRPr="00B455D8" w:rsidRDefault="00D56EAC" w:rsidP="00A56EDD">
                        <w:pPr>
                          <w:rPr>
                            <w:color w:val="FFFFFF" w:themeColor="background1"/>
                            <w:sz w:val="32"/>
                          </w:rPr>
                        </w:pPr>
                        <w:r w:rsidRPr="00B455D8">
                          <w:rPr>
                            <w:color w:val="FFFFFF" w:themeColor="background1"/>
                            <w:sz w:val="32"/>
                          </w:rPr>
                          <w:t>Public service</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16" o:spid="_x0000_s1040" type="#_x0000_t103" style="position:absolute;left:35306;top:13800;width:3132;height:73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TuLsEA&#10;AADcAAAADwAAAGRycy9kb3ducmV2LnhtbERPTWvCQBC9F/wPywje6kaRUKKrSECUgoVa6XnIjkk0&#10;OxuyUxP/vVso9DaP9zmrzeAadacu1J4NzKYJKOLC25pLA+ev3esbqCDIFhvPZOBBATbr0csKM+t7&#10;/qT7SUoVQzhkaKASaTOtQ1GRwzD1LXHkLr5zKBF2pbYd9jHcNXqeJKl2WHNsqLClvKLidvpxBtrF&#10;4eFvrpfvYn++fhz3+bukuTGT8bBdghIa5F/85z7YOH+Wwu8z8QK9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E7i7BAAAA3AAAAA8AAAAAAAAAAAAAAAAAmAIAAGRycy9kb3du&#10;cmV2LnhtbFBLBQYAAAAABAAEAPUAAACGAwAAAAA=&#10;" adj="17007,20452,5400" fillcolor="#5b9bd5 [3204]" strokecolor="#1f4d78 [1604]" strokeweight="1p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18" o:spid="_x0000_s1041" type="#_x0000_t102" style="position:absolute;left:23229;top:15917;width:2794;height:8890;rotation:115076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ERfMUA&#10;AADcAAAADwAAAGRycy9kb3ducmV2LnhtbESPQW/CMAyF70j8h8hI3CAFtGkqBDQxkJA4DXbZzWtM&#10;W9Y4XZJC+ffzYdJutt7ze59Xm9416kYh1p4NzKYZKOLC25pLAx/n/eQFVEzIFhvPZOBBETbr4WCF&#10;ufV3fqfbKZVKQjjmaKBKqc21jkVFDuPUt8SiXXxwmGQNpbYB7xLuGj3PsmftsGZpqLClbUXF96lz&#10;BrrrT/TFY767LMLx8+u4f3rbdq0x41H/ugSVqE//5r/rgxX8m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RF8xQAAANwAAAAPAAAAAAAAAAAAAAAAAJgCAABkcnMv&#10;ZG93bnJldi54bWxQSwUGAAAAAAQABAD1AAAAigMAAAAA&#10;" adj="18206,20752,16200" fillcolor="#5b9bd5 [3204]" strokecolor="#1f4d78 [1604]" strokeweight="1pt"/>
                <v:shape id="Text Box 119" o:spid="_x0000_s1042" type="#_x0000_t202" style="position:absolute;left:19045;top:2539;width:22776;height:4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1Q8MA&#10;AADcAAAADwAAAGRycy9kb3ducmV2LnhtbERPTYvCMBC9C/6HMMLeNFXYRbtGkYK4LHpQe/E224xt&#10;sZnUJmrdX28Ewds83udM562pxJUaV1pWMBxEIIgzq0vOFaT7ZX8MwnlkjZVlUnAnB/NZtzPFWNsb&#10;b+m687kIIexiVFB4X8dSuqwgg25ga+LAHW1j0AfY5FI3eAvhppKjKPqSBksODQXWlBSUnXYXo+A3&#10;WW5w+zcy4/8qWa2Pi/qcHj6V+ui1i28Qnlr/Fr/cPzrMH07g+Uy4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c1Q8MAAADcAAAADwAAAAAAAAAAAAAAAACYAgAAZHJzL2Rv&#10;d25yZXYueG1sUEsFBgAAAAAEAAQA9QAAAIgDAAAAAA==&#10;" filled="f" stroked="f" strokeweight=".5pt">
                  <v:textbox>
                    <w:txbxContent>
                      <w:p w14:paraId="4F9D6798" w14:textId="77777777" w:rsidR="00D56EAC" w:rsidRPr="00677324" w:rsidRDefault="00D56EAC" w:rsidP="00A56EDD">
                        <w:pPr>
                          <w:jc w:val="center"/>
                          <w:rPr>
                            <w:i/>
                          </w:rPr>
                        </w:pPr>
                        <w:r w:rsidRPr="00677324">
                          <w:rPr>
                            <w:i/>
                          </w:rPr>
                          <w:t>Overall state-building conditions and dynamic</w:t>
                        </w:r>
                      </w:p>
                    </w:txbxContent>
                  </v:textbox>
                </v:shape>
                <v:shape id="Text Box 121" o:spid="_x0000_s1043" type="#_x0000_t202" style="position:absolute;left:761;top:6381;width:10192;height:2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uj3cIA&#10;AADcAAAADwAAAGRycy9kb3ducmV2LnhtbERPzWrCQBC+F3yHZYTe6sYcbImuIkppsFBo9AGG7JhE&#10;s7Nxd03i23cLhd7m4/ud1WY0rejJ+caygvksAUFcWt1wpeB0fH95A+EDssbWMil4kIfNevK0wkzb&#10;gb+pL0IlYgj7DBXUIXSZlL6syaCf2Y44cmfrDIYIXSW1wyGGm1amSbKQBhuODTV2tKupvBZ3o+BL&#10;P/aXQ5H2nB8+8tdB9rdPd1bqeTpulyACjeFf/OfOdZyfzuH3mXi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e6PdwgAAANwAAAAPAAAAAAAAAAAAAAAAAJgCAABkcnMvZG93&#10;bnJldi54bWxQSwUGAAAAAAQABAD1AAAAhwMAAAAA&#10;" fillcolor="#7b7b7b [2406]" strokecolor="#7b7b7b [2406]" strokeweight="1pt">
                  <v:textbox>
                    <w:txbxContent>
                      <w:p w14:paraId="53FCF0CC" w14:textId="77777777" w:rsidR="00D56EAC" w:rsidRDefault="00D56EAC" w:rsidP="00A56EDD">
                        <w:pPr>
                          <w:jc w:val="center"/>
                          <w:rPr>
                            <w:sz w:val="28"/>
                          </w:rPr>
                        </w:pPr>
                      </w:p>
                      <w:p w14:paraId="29AEADB5" w14:textId="77777777" w:rsidR="00D56EAC" w:rsidRDefault="00D56EAC" w:rsidP="00A56EDD">
                        <w:pPr>
                          <w:jc w:val="center"/>
                          <w:rPr>
                            <w:sz w:val="28"/>
                          </w:rPr>
                        </w:pPr>
                      </w:p>
                      <w:p w14:paraId="2D4ACC4D" w14:textId="08F49520" w:rsidR="00D56EAC" w:rsidRPr="00A66E81" w:rsidRDefault="00D56EAC" w:rsidP="00A56EDD">
                        <w:pPr>
                          <w:jc w:val="center"/>
                          <w:rPr>
                            <w:b/>
                            <w:sz w:val="28"/>
                          </w:rPr>
                        </w:pPr>
                        <w:r w:rsidRPr="001E1720">
                          <w:rPr>
                            <w:b/>
                          </w:rPr>
                          <w:t xml:space="preserve">Development </w:t>
                        </w:r>
                        <w:r>
                          <w:rPr>
                            <w:b/>
                          </w:rPr>
                          <w:t>p</w:t>
                        </w:r>
                        <w:r w:rsidRPr="001E1720">
                          <w:rPr>
                            <w:b/>
                          </w:rPr>
                          <w:t>artner</w:t>
                        </w:r>
                        <w:r w:rsidRPr="00A66E81">
                          <w:rPr>
                            <w:b/>
                            <w:sz w:val="28"/>
                          </w:rPr>
                          <w:t xml:space="preserve"> </w:t>
                        </w:r>
                        <w:r w:rsidRPr="001E1720">
                          <w:rPr>
                            <w:b/>
                          </w:rPr>
                          <w:t>support</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4" o:spid="_x0000_s1044" type="#_x0000_t5" style="position:absolute;left:15193;top:6066;width:4397;height:17307;rotation:741729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gEMIA&#10;AADcAAAADwAAAGRycy9kb3ducmV2LnhtbERP24rCMBB9X/Afwgj7tqZbxEvXKO7KgiAIXj5gbGbb&#10;ss2kJrHWvzeC4NscznVmi87UoiXnK8sKPgcJCOLc6ooLBcfD78cEhA/IGmvLpOBGHhbz3tsMM22v&#10;vKN2HwoRQ9hnqKAMocmk9HlJBv3ANsSR+7POYIjQFVI7vMZwU8s0SUbSYMWxocSGfkrK//cXo+A0&#10;Xp225+kQa7M+pm3z7UaT20ap9363/AIRqAsv8dO91nF+OoTHM/EC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6AQwgAAANwAAAAPAAAAAAAAAAAAAAAAAJgCAABkcnMvZG93&#10;bnJldi54bWxQSwUGAAAAAAQABAD1AAAAhwMAAAAA&#10;" fillcolor="#bfbfbf [2412]" strokecolor="#bfbfbf [2412]" strokeweight="1pt"/>
                <v:shape id="Isosceles Triangle 125" o:spid="_x0000_s1045" type="#_x0000_t5" style="position:absolute;left:13919;top:15490;width:4295;height:17764;rotation:693778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k6ycUA&#10;AADcAAAADwAAAGRycy9kb3ducmV2LnhtbESPQWsCMRCF7wX/Qxiht5pVWimrUbRUkJ6sXQ/ehs24&#10;u7iZxCTq2l/fFARvM7w373sznXemFRfyobGsYDjIQBCXVjdcKSh+Vi/vIEJE1thaJgU3CjCf9Z6m&#10;mGt75W+6bGMlUgiHHBXUMbpcylDWZDAMrCNO2sF6gzGtvpLa4zWFm1aOsmwsDTacCDU6+qipPG7P&#10;JnE/T+71uPGrdvl1lr+FdcVus1fqud8tJiAidfFhvl+vdao/eoP/Z9IE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TrJxQAAANwAAAAPAAAAAAAAAAAAAAAAAJgCAABkcnMv&#10;ZG93bnJldi54bWxQSwUGAAAAAAQABAD1AAAAigMAAAAA&#10;" fillcolor="#bfbfbf [2412]" strokecolor="#bfbfbf [2412]" strokeweight="1pt"/>
                <w10:wrap type="topAndBottom" anchorx="margin"/>
              </v:group>
            </w:pict>
          </mc:Fallback>
        </mc:AlternateContent>
      </w:r>
      <w:r w:rsidR="00FC2B6E">
        <w:t xml:space="preserve">Figure </w:t>
      </w:r>
      <w:fldSimple w:instr=" SEQ Figure \* ARABIC ">
        <w:r w:rsidR="00807923">
          <w:rPr>
            <w:noProof/>
          </w:rPr>
          <w:t>15</w:t>
        </w:r>
      </w:fldSimple>
      <w:bookmarkEnd w:id="46"/>
      <w:r w:rsidR="00FC2B6E">
        <w:t>. P</w:t>
      </w:r>
      <w:r w:rsidR="00FC2B6E" w:rsidRPr="002A62FE">
        <w:t xml:space="preserve">ublic </w:t>
      </w:r>
      <w:r w:rsidR="00FC2B6E">
        <w:t>S</w:t>
      </w:r>
      <w:r w:rsidR="00FC2B6E" w:rsidRPr="002A62FE">
        <w:t xml:space="preserve">ervice </w:t>
      </w:r>
      <w:r w:rsidR="00FC2B6E">
        <w:t>D</w:t>
      </w:r>
      <w:r w:rsidR="00FC2B6E" w:rsidRPr="002A62FE">
        <w:t xml:space="preserve">evelopment </w:t>
      </w:r>
      <w:r w:rsidR="00FC2B6E">
        <w:t>A</w:t>
      </w:r>
      <w:r w:rsidR="00FC2B6E" w:rsidRPr="002A62FE">
        <w:t xml:space="preserve">s </w:t>
      </w:r>
      <w:r w:rsidR="00FC2B6E">
        <w:t>P</w:t>
      </w:r>
      <w:r w:rsidR="00FC2B6E" w:rsidRPr="002A62FE">
        <w:t xml:space="preserve">art of </w:t>
      </w:r>
      <w:r w:rsidR="00FC2B6E">
        <w:t>O</w:t>
      </w:r>
      <w:r w:rsidR="00FC2B6E" w:rsidRPr="002A62FE">
        <w:t xml:space="preserve">verall </w:t>
      </w:r>
      <w:r w:rsidR="00FC2B6E">
        <w:t>S</w:t>
      </w:r>
      <w:r w:rsidR="00FC2B6E" w:rsidRPr="002A62FE">
        <w:t>tate-building</w:t>
      </w:r>
    </w:p>
    <w:p w14:paraId="3F100533" w14:textId="5F1679D4" w:rsidR="003C56AE" w:rsidRPr="00F576AD" w:rsidRDefault="00F576AD" w:rsidP="00FC2B6E">
      <w:pPr>
        <w:keepNext/>
        <w:spacing w:before="240"/>
        <w:jc w:val="both"/>
        <w:rPr>
          <w:sz w:val="20"/>
        </w:rPr>
      </w:pPr>
      <w:r w:rsidRPr="00F576AD">
        <w:rPr>
          <w:i/>
          <w:sz w:val="20"/>
        </w:rPr>
        <w:t>Source</w:t>
      </w:r>
      <w:r w:rsidRPr="00F576AD">
        <w:rPr>
          <w:sz w:val="20"/>
        </w:rPr>
        <w:t xml:space="preserve">: authors. </w:t>
      </w:r>
    </w:p>
    <w:p w14:paraId="063F6CC1" w14:textId="1C764A61" w:rsidR="00A56EDD" w:rsidRPr="00B513F4" w:rsidRDefault="00A56EDD" w:rsidP="00FC2B6E">
      <w:pPr>
        <w:keepNext/>
        <w:spacing w:before="240"/>
        <w:jc w:val="both"/>
      </w:pPr>
      <w:r w:rsidRPr="00B513F4">
        <w:t>Section 1 summarized some of the key findings from the 2011 WDR, as well as from related thinking about the evolution of public sectors in postconflict contexts. A key message to revisit is that some fragile states have remained unable to enter any consistent upward trajectory and hence risk being stuck in a low</w:t>
      </w:r>
      <w:r w:rsidR="007E7D76">
        <w:t>-</w:t>
      </w:r>
      <w:r w:rsidRPr="00B513F4">
        <w:t xml:space="preserve">level equilibrium or ‘capability trap’ for extended periods of time. This is a default scenario that domestic stakeholders as well as development partners in South Sudan (should) seek to avoid. As </w:t>
      </w:r>
      <w:r>
        <w:t>the note has traced in section 5</w:t>
      </w:r>
      <w:r w:rsidRPr="00B513F4">
        <w:t>, after hopeful beginnings around the CPA period (2004</w:t>
      </w:r>
      <w:r w:rsidR="007E7D76">
        <w:t>–</w:t>
      </w:r>
      <w:r w:rsidRPr="00B513F4">
        <w:t>2005), there is a real risk that South Sudan will be stuck on an extended trajectory of non-convergence toward greater state effectiveness</w:t>
      </w:r>
      <w:r w:rsidR="007E7D76">
        <w:t>,</w:t>
      </w:r>
      <w:r w:rsidRPr="00B513F4">
        <w:t xml:space="preserve"> given the high variability in actual commitment to public sector reforms a</w:t>
      </w:r>
      <w:r w:rsidR="007E7D76">
        <w:t>nd</w:t>
      </w:r>
      <w:r w:rsidRPr="00B513F4">
        <w:t xml:space="preserve"> the recurrence of conflict since late 2013. The current internal conflict in South Sudan highlights that a breakdown in the political settlement can rapidly reverse much of the progress made over a number of years across several domains. It also underlines the coordination challenges that development partners and other </w:t>
      </w:r>
      <w:r w:rsidRPr="00B513F4">
        <w:lastRenderedPageBreak/>
        <w:t xml:space="preserve">international partners face when seeking to support stability, state-building, and shared prosperity in a fragile setting that remains at risk of recurring conflict. </w:t>
      </w:r>
    </w:p>
    <w:p w14:paraId="4A3BD572" w14:textId="4B959712" w:rsidR="00A56EDD" w:rsidRPr="00B513F4" w:rsidRDefault="00A56EDD" w:rsidP="00A56EDD">
      <w:pPr>
        <w:jc w:val="both"/>
      </w:pPr>
      <w:r w:rsidRPr="00B513F4">
        <w:t>The problem is not only that recurring conflict can halt and potentially reverse previous progress, but also that to move out of conflict new compromises have to be made to achieve ‘negative peace’ (absence of violence)</w:t>
      </w:r>
      <w:r w:rsidR="007E7D76">
        <w:t>,</w:t>
      </w:r>
      <w:r w:rsidRPr="00B513F4">
        <w:t xml:space="preserve"> which have a high probability of running counter to good management of the public sector. That said, each time peace is regained, stakeholders also have an opportunity to agree to work against such a risk; possibly using the international community as a third party to mediate and help ensure impartial implementation of agreed arrangements. Furthermore, the recurrent conflict poses a dilemma for development partners. Conflict creates an impetus to shift from development support to humanitarian support, which tends to compound the volatility in institution building efforts. </w:t>
      </w:r>
    </w:p>
    <w:p w14:paraId="74784C21" w14:textId="19EF09E8" w:rsidR="00A56EDD" w:rsidRPr="00B513F4" w:rsidRDefault="00A56EDD" w:rsidP="00A56EDD">
      <w:pPr>
        <w:jc w:val="both"/>
      </w:pPr>
      <w:r w:rsidRPr="00B513F4">
        <w:t>It is also important to stress that the public service is only one component of the overall public sector ‘scaffolding’. Other important aspects are public financial management, the management of decentralization/intergovernmental relations, and various accountability mechanisms and institutions related to these</w:t>
      </w:r>
      <w:r w:rsidR="007E3254">
        <w:t>—</w:t>
      </w:r>
      <w:r w:rsidRPr="00B513F4">
        <w:t>as is also reflected in the various chapters of the JAM. For South Sudan to enter a trajectory toward increasing state resilience, it will be essential to make progress in each of these areas (see also World Bank 2012c</w:t>
      </w:r>
      <w:r>
        <w:t xml:space="preserve">; as well as World Bank 2015a and </w:t>
      </w:r>
      <w:r w:rsidR="007E3254">
        <w:t>World Bank 2015</w:t>
      </w:r>
      <w:r>
        <w:t>c addressing intergovernmental relations and PFM at subnational levels</w:t>
      </w:r>
      <w:r w:rsidR="007E3254">
        <w:t>,</w:t>
      </w:r>
      <w:r>
        <w:t xml:space="preserve"> respectively</w:t>
      </w:r>
      <w:r w:rsidRPr="00B513F4">
        <w:t xml:space="preserve">). Typically, public service management and quality is seen as an area that lags behind relative to progress on PFM reforms. With the conflict, progress has been suspended, a major humanitarian emergency is developing, finding pathways back to peace will be challenging, and securing peace </w:t>
      </w:r>
      <w:r>
        <w:t xml:space="preserve">and greater state resilience </w:t>
      </w:r>
      <w:r w:rsidRPr="00B513F4">
        <w:t xml:space="preserve">will be even more </w:t>
      </w:r>
      <w:r w:rsidR="007E3254">
        <w:t>challenging</w:t>
      </w:r>
      <w:r w:rsidRPr="00B513F4">
        <w:t xml:space="preserve">. </w:t>
      </w:r>
    </w:p>
    <w:p w14:paraId="460D8666" w14:textId="025BBC89" w:rsidR="00A56EDD" w:rsidRPr="00B513F4" w:rsidRDefault="00A56EDD" w:rsidP="00A56EDD">
      <w:pPr>
        <w:jc w:val="both"/>
      </w:pPr>
      <w:r w:rsidRPr="00B513F4">
        <w:t xml:space="preserve">In South Sudan, national stakeholders and development partners have been confronted with a complex set of incentives. In the absence of a government clearly leading on the pursuit of public sector improvements, development partners have tended to take more of a direct gap-filling approach for direct service delivery, and coordination of support efforts has been limited. Changing this dynamic to a more effective cooperation can potentially make a significant positive contribution going forward; however, a messy postconflict situation will make it difficult to achieve better cooperation. </w:t>
      </w:r>
    </w:p>
    <w:p w14:paraId="176A3997" w14:textId="1C3604FB" w:rsidR="00A56EDD" w:rsidRPr="00B513F4" w:rsidRDefault="00A56EDD" w:rsidP="00A56EDD">
      <w:pPr>
        <w:jc w:val="both"/>
      </w:pPr>
      <w:r w:rsidRPr="00B513F4">
        <w:t>The following is a set of eight recommendations, grouped into (</w:t>
      </w:r>
      <w:r w:rsidR="00792715">
        <w:t>a</w:t>
      </w:r>
      <w:r w:rsidRPr="00B513F4">
        <w:t>) three broader considerations and (</w:t>
      </w:r>
      <w:r w:rsidR="00792715">
        <w:t>b</w:t>
      </w:r>
      <w:r w:rsidRPr="00B513F4">
        <w:t xml:space="preserve">) five recommendations targeting specific efforts that can be made for further strengthening </w:t>
      </w:r>
      <w:r w:rsidR="00825D14">
        <w:t xml:space="preserve">of </w:t>
      </w:r>
      <w:r w:rsidRPr="00B513F4">
        <w:t>the civilian public service. The first three recommendations address areas that are likely to be challenging politically</w:t>
      </w:r>
      <w:r w:rsidR="00825D14">
        <w:t>,</w:t>
      </w:r>
      <w:r w:rsidRPr="00B513F4">
        <w:t xml:space="preserve"> while most of the specific recommendations in principle do not run against specific interests</w:t>
      </w:r>
      <w:r w:rsidR="00825D14">
        <w:t>—</w:t>
      </w:r>
      <w:r w:rsidRPr="00B513F4">
        <w:t xml:space="preserve">although still challenging to pursue coherently and consistently. </w:t>
      </w:r>
    </w:p>
    <w:p w14:paraId="0E2FED88" w14:textId="0EB151AC" w:rsidR="00A56EDD" w:rsidRPr="00FC2B6E" w:rsidRDefault="00A56EDD" w:rsidP="004F305E">
      <w:pPr>
        <w:pStyle w:val="ListParagraph"/>
        <w:numPr>
          <w:ilvl w:val="0"/>
          <w:numId w:val="11"/>
        </w:numPr>
        <w:contextualSpacing w:val="0"/>
        <w:jc w:val="both"/>
        <w:rPr>
          <w:i/>
        </w:rPr>
      </w:pPr>
      <w:r w:rsidRPr="00B513F4">
        <w:rPr>
          <w:i/>
        </w:rPr>
        <w:t>Broader considerations shaping the context</w:t>
      </w:r>
    </w:p>
    <w:p w14:paraId="5FB83D77" w14:textId="77777777" w:rsidR="00A56EDD" w:rsidRPr="00B513F4" w:rsidRDefault="00A56EDD" w:rsidP="004F305E">
      <w:pPr>
        <w:pStyle w:val="ListParagraph"/>
        <w:numPr>
          <w:ilvl w:val="0"/>
          <w:numId w:val="12"/>
        </w:numPr>
        <w:ind w:left="1440"/>
        <w:rPr>
          <w:b/>
        </w:rPr>
      </w:pPr>
      <w:r w:rsidRPr="00B513F4">
        <w:rPr>
          <w:b/>
        </w:rPr>
        <w:t>Highlighting the need to balance the fiscal costs associated with a renewed political settlement with those needed for reconstruction and development</w:t>
      </w:r>
    </w:p>
    <w:p w14:paraId="3A1AEDE0" w14:textId="3CAFF1A3" w:rsidR="00A56EDD" w:rsidRPr="00B513F4" w:rsidRDefault="00A56EDD" w:rsidP="00A56EDD">
      <w:pPr>
        <w:jc w:val="both"/>
      </w:pPr>
      <w:r>
        <w:rPr>
          <w:i/>
        </w:rPr>
        <w:t>The</w:t>
      </w:r>
      <w:r w:rsidRPr="00B513F4">
        <w:rPr>
          <w:i/>
        </w:rPr>
        <w:t xml:space="preserve"> agreements for a renewed political settlement will entail pressures to further enlarge the public sector, including </w:t>
      </w:r>
      <w:r>
        <w:rPr>
          <w:i/>
        </w:rPr>
        <w:t>the</w:t>
      </w:r>
      <w:r w:rsidRPr="00B513F4">
        <w:rPr>
          <w:i/>
        </w:rPr>
        <w:t xml:space="preserve"> security as well as civilian components</w:t>
      </w:r>
      <w:r>
        <w:rPr>
          <w:i/>
        </w:rPr>
        <w:t xml:space="preserve">, as </w:t>
      </w:r>
      <w:r w:rsidRPr="00B513F4">
        <w:rPr>
          <w:i/>
        </w:rPr>
        <w:t xml:space="preserve">new subnational entities may be created and </w:t>
      </w:r>
      <w:r w:rsidRPr="00B513F4">
        <w:rPr>
          <w:i/>
        </w:rPr>
        <w:lastRenderedPageBreak/>
        <w:t>additional combatants may be integrated into the armed and the organized forces.</w:t>
      </w:r>
      <w:r w:rsidRPr="00B513F4">
        <w:t xml:space="preserve"> </w:t>
      </w:r>
      <w:r w:rsidRPr="00B513F4">
        <w:rPr>
          <w:color w:val="000000" w:themeColor="text1"/>
        </w:rPr>
        <w:t>The resulting further expansion of the wage bill w</w:t>
      </w:r>
      <w:r w:rsidR="00B763B0">
        <w:rPr>
          <w:color w:val="000000" w:themeColor="text1"/>
        </w:rPr>
        <w:t>ill</w:t>
      </w:r>
      <w:r w:rsidRPr="00B513F4">
        <w:rPr>
          <w:color w:val="000000" w:themeColor="text1"/>
        </w:rPr>
        <w:t xml:space="preserve"> further increase </w:t>
      </w:r>
      <w:r>
        <w:rPr>
          <w:color w:val="000000" w:themeColor="text1"/>
        </w:rPr>
        <w:t>fiscal</w:t>
      </w:r>
      <w:r w:rsidRPr="00B513F4">
        <w:rPr>
          <w:color w:val="000000" w:themeColor="text1"/>
        </w:rPr>
        <w:t xml:space="preserve"> risks, in a context of </w:t>
      </w:r>
      <w:r>
        <w:rPr>
          <w:color w:val="000000" w:themeColor="text1"/>
        </w:rPr>
        <w:t>revenue</w:t>
      </w:r>
      <w:r w:rsidR="00B763B0">
        <w:rPr>
          <w:color w:val="000000" w:themeColor="text1"/>
        </w:rPr>
        <w:t>s</w:t>
      </w:r>
      <w:r>
        <w:rPr>
          <w:color w:val="000000" w:themeColor="text1"/>
        </w:rPr>
        <w:t xml:space="preserve"> that are sharply lower since the drop </w:t>
      </w:r>
      <w:r w:rsidR="00B763B0">
        <w:rPr>
          <w:color w:val="000000" w:themeColor="text1"/>
        </w:rPr>
        <w:t>in</w:t>
      </w:r>
      <w:r>
        <w:rPr>
          <w:color w:val="000000" w:themeColor="text1"/>
        </w:rPr>
        <w:t xml:space="preserve"> oil price</w:t>
      </w:r>
      <w:r w:rsidR="00B763B0">
        <w:rPr>
          <w:color w:val="000000" w:themeColor="text1"/>
        </w:rPr>
        <w:t>s</w:t>
      </w:r>
      <w:r>
        <w:rPr>
          <w:color w:val="000000" w:themeColor="text1"/>
        </w:rPr>
        <w:t xml:space="preserve"> in late 2014, compounded by the</w:t>
      </w:r>
      <w:r w:rsidRPr="00B513F4">
        <w:rPr>
          <w:color w:val="000000" w:themeColor="text1"/>
        </w:rPr>
        <w:t xml:space="preserve"> expected decline in revenues resulting from declining oil production over the coming 5</w:t>
      </w:r>
      <w:r w:rsidR="00B763B0">
        <w:rPr>
          <w:color w:val="000000" w:themeColor="text1"/>
        </w:rPr>
        <w:t>–</w:t>
      </w:r>
      <w:r w:rsidRPr="00B513F4">
        <w:rPr>
          <w:color w:val="000000" w:themeColor="text1"/>
        </w:rPr>
        <w:t>10</w:t>
      </w:r>
      <w:r>
        <w:rPr>
          <w:color w:val="000000" w:themeColor="text1"/>
        </w:rPr>
        <w:t xml:space="preserve"> years. The wage bill w</w:t>
      </w:r>
      <w:r w:rsidR="00182A5A">
        <w:rPr>
          <w:color w:val="000000" w:themeColor="text1"/>
        </w:rPr>
        <w:t>ill</w:t>
      </w:r>
      <w:r>
        <w:rPr>
          <w:color w:val="000000" w:themeColor="text1"/>
        </w:rPr>
        <w:t xml:space="preserve"> </w:t>
      </w:r>
      <w:r w:rsidRPr="00B513F4">
        <w:rPr>
          <w:color w:val="000000" w:themeColor="text1"/>
        </w:rPr>
        <w:t xml:space="preserve">crowd out development spending needed to diversify the economy for a future ‘beyond oil’ and to </w:t>
      </w:r>
      <w:r>
        <w:rPr>
          <w:color w:val="000000" w:themeColor="text1"/>
        </w:rPr>
        <w:t>build a more resilient state</w:t>
      </w:r>
      <w:r w:rsidR="00182A5A">
        <w:rPr>
          <w:color w:val="000000" w:themeColor="text1"/>
        </w:rPr>
        <w:t xml:space="preserve"> even more</w:t>
      </w:r>
      <w:r>
        <w:rPr>
          <w:color w:val="000000" w:themeColor="text1"/>
        </w:rPr>
        <w:t xml:space="preserve">. Moreover, the larger the wage bill, the greater </w:t>
      </w:r>
      <w:r w:rsidRPr="00B513F4">
        <w:rPr>
          <w:color w:val="000000" w:themeColor="text1"/>
        </w:rPr>
        <w:t>the need for short-term borrowing when revenues fall short, since reducing or postponing salaries is very risky and decision</w:t>
      </w:r>
      <w:r w:rsidR="00182A5A">
        <w:rPr>
          <w:color w:val="000000" w:themeColor="text1"/>
        </w:rPr>
        <w:t xml:space="preserve"> </w:t>
      </w:r>
      <w:r w:rsidRPr="00B513F4">
        <w:rPr>
          <w:color w:val="000000" w:themeColor="text1"/>
        </w:rPr>
        <w:t>ma</w:t>
      </w:r>
      <w:r>
        <w:rPr>
          <w:color w:val="000000" w:themeColor="text1"/>
        </w:rPr>
        <w:t xml:space="preserve">kers have sought to avoid this. It also </w:t>
      </w:r>
      <w:r w:rsidRPr="00B513F4">
        <w:rPr>
          <w:color w:val="000000" w:themeColor="text1"/>
        </w:rPr>
        <w:t xml:space="preserve">increases the downward pressure on wage levels; and it will mean that the reduction in employment </w:t>
      </w:r>
      <w:r>
        <w:rPr>
          <w:color w:val="000000" w:themeColor="text1"/>
        </w:rPr>
        <w:t>is</w:t>
      </w:r>
      <w:r w:rsidRPr="00B513F4">
        <w:rPr>
          <w:color w:val="000000" w:themeColor="text1"/>
        </w:rPr>
        <w:t xml:space="preserve"> postponed to a period when fiscal crisis makes it unavoidable, which can have particularly devastating consequences </w:t>
      </w:r>
      <w:r w:rsidR="002B5CE3">
        <w:rPr>
          <w:color w:val="000000" w:themeColor="text1"/>
        </w:rPr>
        <w:t>on state and social resilience.</w:t>
      </w:r>
    </w:p>
    <w:p w14:paraId="36247694" w14:textId="3D6ACA9C" w:rsidR="00A56EDD" w:rsidRPr="00B513F4" w:rsidRDefault="00A56EDD" w:rsidP="00A56EDD">
      <w:pPr>
        <w:jc w:val="both"/>
      </w:pPr>
      <w:r w:rsidRPr="00B513F4">
        <w:t xml:space="preserve">Calculating and highlighting fiscal costs may help to contain pressures to accommodate warring parties </w:t>
      </w:r>
      <w:r>
        <w:t>through additional employment</w:t>
      </w:r>
      <w:r w:rsidRPr="00B513F4">
        <w:t xml:space="preserve">. The first approach is consistent with securing ‘negative peace’ at any </w:t>
      </w:r>
      <w:r w:rsidR="002B5CE3">
        <w:t>cost.</w:t>
      </w:r>
      <w:r w:rsidRPr="00B513F4">
        <w:t xml:space="preserve"> However, such a strategy entails a high risk of being unsustainable, not only fiscally, but in the very aim of reaching a settlement that will be more resilient and bring more sustainable peace. </w:t>
      </w:r>
      <w:r>
        <w:t xml:space="preserve">It implies, however, that some difficult choices have to be made at the negotiation table and/or by a fragile </w:t>
      </w:r>
      <w:r w:rsidR="00BA0E4F">
        <w:t>t</w:t>
      </w:r>
      <w:r>
        <w:t xml:space="preserve">ransitional </w:t>
      </w:r>
      <w:r w:rsidR="00BA0E4F">
        <w:t>g</w:t>
      </w:r>
      <w:r>
        <w:t>overnment on how to distribute existing or ideally a reduced number of positions.</w:t>
      </w:r>
      <w:r w:rsidRPr="00B513F4">
        <w:t xml:space="preserve"> </w:t>
      </w:r>
    </w:p>
    <w:p w14:paraId="2FE5DB31" w14:textId="5AF678E3" w:rsidR="00A56EDD" w:rsidRDefault="00A56EDD" w:rsidP="00A56EDD">
      <w:pPr>
        <w:jc w:val="both"/>
      </w:pPr>
      <w:r w:rsidRPr="00B513F4">
        <w:t xml:space="preserve">Furthermore, a focus on employment opportunities beyond the civil service and the organized and armed forces will be crucial to reduce the pressure for employment within these services. Opportunities have been limited to date, </w:t>
      </w:r>
      <w:r>
        <w:t>in part due to skill mismatches</w:t>
      </w:r>
      <w:r w:rsidRPr="00B513F4">
        <w:t>. Other ongoing analytic work provide</w:t>
      </w:r>
      <w:r>
        <w:t>s</w:t>
      </w:r>
      <w:r w:rsidRPr="00B513F4">
        <w:t xml:space="preserve"> recommendations to </w:t>
      </w:r>
      <w:r w:rsidR="00BA0E4F">
        <w:t xml:space="preserve">the </w:t>
      </w:r>
      <w:r w:rsidRPr="00B513F4">
        <w:t>GRSS with regard to approaches for creating jobs and for ensuring skills development (World Bank 2014). Public work schemes around local infrastructure development may be one component of this effort. Inevitably, ‘job creation’ will remain challenging in South Sudan, but stakeholders need to recognize the linkages more explicitly</w:t>
      </w:r>
      <w:r w:rsidR="00BA0E4F">
        <w:t>.</w:t>
      </w:r>
      <w:r w:rsidRPr="00B513F4">
        <w:t xml:space="preserve"> </w:t>
      </w:r>
      <w:r w:rsidR="00BA0E4F">
        <w:t>P</w:t>
      </w:r>
      <w:r w:rsidRPr="00B513F4">
        <w:t>ossibly</w:t>
      </w:r>
      <w:r w:rsidR="00BA0E4F">
        <w:t>,</w:t>
      </w:r>
      <w:r w:rsidRPr="00B513F4">
        <w:t xml:space="preserve"> there are opportunities for piloting schemes in agriculture, infrastructure development, and elsewhere. Some form of cash transfers may also be an option, while the equity and fiscal cost implications would have to be carefully considered.</w:t>
      </w:r>
      <w:r w:rsidRPr="00B513F4">
        <w:rPr>
          <w:rStyle w:val="FootnoteReference"/>
        </w:rPr>
        <w:footnoteReference w:id="79"/>
      </w:r>
    </w:p>
    <w:p w14:paraId="2016AEF6" w14:textId="7EBD1D37" w:rsidR="00A56EDD" w:rsidRPr="00B513F4" w:rsidRDefault="00A56EDD" w:rsidP="00A56EDD">
      <w:pPr>
        <w:jc w:val="both"/>
      </w:pPr>
      <w:r>
        <w:t>A key opportunity is that South Sudan could reap a peace</w:t>
      </w:r>
      <w:r w:rsidR="00BA0E4F">
        <w:t xml:space="preserve"> </w:t>
      </w:r>
      <w:r>
        <w:t xml:space="preserve">dividend </w:t>
      </w:r>
      <w:r w:rsidR="00BA0E4F">
        <w:t>with regard to</w:t>
      </w:r>
      <w:r>
        <w:t xml:space="preserve"> support from development partners once an effective peace</w:t>
      </w:r>
      <w:r w:rsidR="00BA0E4F">
        <w:t xml:space="preserve"> </w:t>
      </w:r>
      <w:r>
        <w:t>deal is struck. South Sudan may be able to persuade development partners to reengage and to fund key priorities for resilience and development, such as skills training and infrastructure development. It will be crucial to allocate and u</w:t>
      </w:r>
      <w:r w:rsidR="00FA18F3">
        <w:t>se</w:t>
      </w:r>
      <w:r>
        <w:t xml:space="preserve"> such funds well. </w:t>
      </w:r>
    </w:p>
    <w:p w14:paraId="2142C3C6" w14:textId="5E0C3A93" w:rsidR="00A56EDD" w:rsidRPr="00B513F4" w:rsidRDefault="00A56EDD" w:rsidP="004F305E">
      <w:pPr>
        <w:pStyle w:val="ListParagraph"/>
        <w:numPr>
          <w:ilvl w:val="0"/>
          <w:numId w:val="12"/>
        </w:numPr>
        <w:ind w:left="1440"/>
      </w:pPr>
      <w:r w:rsidRPr="00B513F4">
        <w:rPr>
          <w:b/>
        </w:rPr>
        <w:t>Considerations about the representation of groups in public service</w:t>
      </w:r>
      <w:r w:rsidRPr="00B513F4">
        <w:t xml:space="preserve"> </w:t>
      </w:r>
    </w:p>
    <w:p w14:paraId="195D4372" w14:textId="675502B2" w:rsidR="00A56EDD" w:rsidRPr="00B513F4" w:rsidRDefault="00A56EDD" w:rsidP="00A56EDD">
      <w:pPr>
        <w:jc w:val="both"/>
      </w:pPr>
      <w:r w:rsidRPr="00B513F4">
        <w:rPr>
          <w:i/>
        </w:rPr>
        <w:t xml:space="preserve">As part of the renewed political settlement and efforts at rebuilding the public sector, an important </w:t>
      </w:r>
      <w:r>
        <w:rPr>
          <w:i/>
        </w:rPr>
        <w:t>issue</w:t>
      </w:r>
      <w:r w:rsidRPr="00B513F4">
        <w:rPr>
          <w:i/>
        </w:rPr>
        <w:t xml:space="preserve"> will be whether to use some form of quotas </w:t>
      </w:r>
      <w:r>
        <w:rPr>
          <w:i/>
        </w:rPr>
        <w:t xml:space="preserve">or criteria </w:t>
      </w:r>
      <w:r w:rsidRPr="00B513F4">
        <w:rPr>
          <w:i/>
        </w:rPr>
        <w:t>in the composition of the public service</w:t>
      </w:r>
      <w:r>
        <w:rPr>
          <w:i/>
        </w:rPr>
        <w:t xml:space="preserve"> from among different communities</w:t>
      </w:r>
      <w:r w:rsidRPr="00B513F4">
        <w:rPr>
          <w:i/>
        </w:rPr>
        <w:t>.</w:t>
      </w:r>
      <w:r w:rsidRPr="00B513F4">
        <w:t xml:space="preserve"> This will be a sensitive and difficult element of any renewed effort at building public service. Within the Africa region, how such issues have been addressed has ranged from suppression of group identities combined with a strong emphasis on effectiveness (Rwanda) on the one hand, to the use </w:t>
      </w:r>
      <w:r w:rsidRPr="00B513F4">
        <w:lastRenderedPageBreak/>
        <w:t xml:space="preserve">of geographic quotas that approximate quotas for different groups (Nigeria). In Rwanda, ethnic quotas were in use </w:t>
      </w:r>
      <w:r w:rsidR="00CF746D">
        <w:t>before</w:t>
      </w:r>
      <w:r w:rsidRPr="00B513F4">
        <w:t xml:space="preserve"> the 1994 genocide, and these are seen as having contributed to deepening divisions rather than providing a sense of fairness</w:t>
      </w:r>
      <w:r w:rsidR="004F4EC7">
        <w:t>—</w:t>
      </w:r>
      <w:r>
        <w:t>albeit in a context of two main groups, which differs from the greater diversity of South Sudan</w:t>
      </w:r>
      <w:r w:rsidRPr="00B513F4">
        <w:t xml:space="preserve">. </w:t>
      </w:r>
      <w:r>
        <w:t xml:space="preserve">In contrast, </w:t>
      </w:r>
      <w:r w:rsidRPr="00B513F4">
        <w:t xml:space="preserve">Esman (1999) has argued that ethnically representative bureaucracies have been used, not trouble free but still rather successfully, in South Africa and India. Nigeria’s experience is briefly described in box </w:t>
      </w:r>
      <w:r w:rsidR="004F4EC7">
        <w:t>3</w:t>
      </w:r>
      <w:r w:rsidRPr="00B513F4">
        <w:t xml:space="preserve">. </w:t>
      </w:r>
    </w:p>
    <w:tbl>
      <w:tblPr>
        <w:tblStyle w:val="TableGrid"/>
        <w:tblW w:w="0" w:type="auto"/>
        <w:tblLook w:val="04A0" w:firstRow="1" w:lastRow="0" w:firstColumn="1" w:lastColumn="0" w:noHBand="0" w:noVBand="1"/>
      </w:tblPr>
      <w:tblGrid>
        <w:gridCol w:w="9350"/>
      </w:tblGrid>
      <w:tr w:rsidR="00A56EDD" w:rsidRPr="00B513F4" w14:paraId="2E447347" w14:textId="77777777" w:rsidTr="007857CB">
        <w:tc>
          <w:tcPr>
            <w:tcW w:w="9576" w:type="dxa"/>
          </w:tcPr>
          <w:p w14:paraId="29F12EF4" w14:textId="3A0AA0A0" w:rsidR="00A56EDD" w:rsidRPr="004F305E" w:rsidRDefault="00A56EDD" w:rsidP="00FC2B6E">
            <w:pPr>
              <w:rPr>
                <w:b/>
                <w:sz w:val="20"/>
                <w:szCs w:val="20"/>
              </w:rPr>
            </w:pPr>
            <w:r w:rsidRPr="004F305E">
              <w:rPr>
                <w:b/>
                <w:sz w:val="20"/>
                <w:szCs w:val="20"/>
              </w:rPr>
              <w:t>Box 3</w:t>
            </w:r>
            <w:r w:rsidR="00FC2B6E" w:rsidRPr="004F305E">
              <w:rPr>
                <w:b/>
                <w:sz w:val="20"/>
                <w:szCs w:val="20"/>
              </w:rPr>
              <w:t>.</w:t>
            </w:r>
            <w:r w:rsidRPr="004F305E">
              <w:rPr>
                <w:b/>
                <w:sz w:val="20"/>
                <w:szCs w:val="20"/>
              </w:rPr>
              <w:t xml:space="preserve"> Nigeria: </w:t>
            </w:r>
            <w:r w:rsidR="00FC2B6E" w:rsidRPr="004F305E">
              <w:rPr>
                <w:b/>
                <w:sz w:val="20"/>
                <w:szCs w:val="20"/>
              </w:rPr>
              <w:t>U</w:t>
            </w:r>
            <w:r w:rsidRPr="004F305E">
              <w:rPr>
                <w:b/>
                <w:sz w:val="20"/>
                <w:szCs w:val="20"/>
              </w:rPr>
              <w:t xml:space="preserve">se of </w:t>
            </w:r>
            <w:r w:rsidR="00FC2B6E" w:rsidRPr="004F305E">
              <w:rPr>
                <w:b/>
                <w:sz w:val="20"/>
                <w:szCs w:val="20"/>
              </w:rPr>
              <w:t>G</w:t>
            </w:r>
            <w:r w:rsidRPr="004F305E">
              <w:rPr>
                <w:b/>
                <w:sz w:val="20"/>
                <w:szCs w:val="20"/>
              </w:rPr>
              <w:t xml:space="preserve">eographic </w:t>
            </w:r>
            <w:r w:rsidR="00FC2B6E" w:rsidRPr="004F305E">
              <w:rPr>
                <w:b/>
                <w:sz w:val="20"/>
                <w:szCs w:val="20"/>
              </w:rPr>
              <w:t>C</w:t>
            </w:r>
            <w:r w:rsidRPr="004F305E">
              <w:rPr>
                <w:b/>
                <w:sz w:val="20"/>
                <w:szCs w:val="20"/>
              </w:rPr>
              <w:t xml:space="preserve">onsiderations in </w:t>
            </w:r>
            <w:r w:rsidR="00FC2B6E" w:rsidRPr="004F305E">
              <w:rPr>
                <w:b/>
                <w:sz w:val="20"/>
                <w:szCs w:val="20"/>
              </w:rPr>
              <w:t>P</w:t>
            </w:r>
            <w:r w:rsidRPr="004F305E">
              <w:rPr>
                <w:b/>
                <w:sz w:val="20"/>
                <w:szCs w:val="20"/>
              </w:rPr>
              <w:t xml:space="preserve">ublic </w:t>
            </w:r>
            <w:r w:rsidR="00FC2B6E" w:rsidRPr="004F305E">
              <w:rPr>
                <w:b/>
                <w:sz w:val="20"/>
                <w:szCs w:val="20"/>
              </w:rPr>
              <w:t>S</w:t>
            </w:r>
            <w:r w:rsidRPr="004F305E">
              <w:rPr>
                <w:b/>
                <w:sz w:val="20"/>
                <w:szCs w:val="20"/>
              </w:rPr>
              <w:t xml:space="preserve">ervice </w:t>
            </w:r>
            <w:r w:rsidR="00FC2B6E" w:rsidRPr="004F305E">
              <w:rPr>
                <w:b/>
                <w:sz w:val="20"/>
                <w:szCs w:val="20"/>
              </w:rPr>
              <w:t>R</w:t>
            </w:r>
            <w:r w:rsidRPr="004F305E">
              <w:rPr>
                <w:b/>
                <w:sz w:val="20"/>
                <w:szCs w:val="20"/>
              </w:rPr>
              <w:t>ecruitment</w:t>
            </w:r>
          </w:p>
          <w:p w14:paraId="18A3F3D0" w14:textId="4168573D" w:rsidR="00A56EDD" w:rsidRPr="004F305E" w:rsidRDefault="00A56EDD" w:rsidP="00FC2B6E">
            <w:pPr>
              <w:jc w:val="both"/>
              <w:rPr>
                <w:sz w:val="20"/>
                <w:szCs w:val="20"/>
              </w:rPr>
            </w:pPr>
            <w:r w:rsidRPr="004F305E">
              <w:rPr>
                <w:sz w:val="20"/>
                <w:szCs w:val="20"/>
              </w:rPr>
              <w:t xml:space="preserve">Affirmative action in federal public service composition is aimed at proportional representation of ethnolinguistic and religious groups in the different geographical regions of the country. This goal was enshrined as the principle of federal character in the country’s 1979 </w:t>
            </w:r>
            <w:r w:rsidR="00D869FB">
              <w:rPr>
                <w:sz w:val="20"/>
                <w:szCs w:val="20"/>
              </w:rPr>
              <w:t>c</w:t>
            </w:r>
            <w:r w:rsidRPr="004F305E">
              <w:rPr>
                <w:sz w:val="20"/>
                <w:szCs w:val="20"/>
              </w:rPr>
              <w:t xml:space="preserve">onstitution. Although both the 1979 and 1999 </w:t>
            </w:r>
            <w:r w:rsidR="00D869FB">
              <w:rPr>
                <w:sz w:val="20"/>
                <w:szCs w:val="20"/>
              </w:rPr>
              <w:t>c</w:t>
            </w:r>
            <w:r w:rsidRPr="004F305E">
              <w:rPr>
                <w:sz w:val="20"/>
                <w:szCs w:val="20"/>
              </w:rPr>
              <w:t>onstitutions emphasized the need for all constituent states to be represented in the federal public service, the preferences expressed still translate broadly to ethnic preferences. Each of Nigeria’s 36 states is meant to contribute 2.75</w:t>
            </w:r>
            <w:r w:rsidR="0093206E">
              <w:rPr>
                <w:sz w:val="20"/>
                <w:szCs w:val="20"/>
              </w:rPr>
              <w:t xml:space="preserve"> percent</w:t>
            </w:r>
            <w:r w:rsidRPr="004F305E">
              <w:rPr>
                <w:sz w:val="20"/>
                <w:szCs w:val="20"/>
              </w:rPr>
              <w:t xml:space="preserve"> of the federal public service, while 1</w:t>
            </w:r>
            <w:r w:rsidR="0093206E">
              <w:rPr>
                <w:sz w:val="20"/>
                <w:szCs w:val="20"/>
              </w:rPr>
              <w:t xml:space="preserve"> percent</w:t>
            </w:r>
            <w:r w:rsidRPr="004F305E">
              <w:rPr>
                <w:sz w:val="20"/>
                <w:szCs w:val="20"/>
              </w:rPr>
              <w:t xml:space="preserve"> is supposed to be constituted from people belonging to the Federal Capital Territory. When the number of vacancies is too small to include representatives from all 36 states and the F</w:t>
            </w:r>
            <w:r w:rsidR="00802315">
              <w:rPr>
                <w:sz w:val="20"/>
                <w:szCs w:val="20"/>
              </w:rPr>
              <w:t xml:space="preserve">ederal </w:t>
            </w:r>
            <w:r w:rsidRPr="004F305E">
              <w:rPr>
                <w:sz w:val="20"/>
                <w:szCs w:val="20"/>
              </w:rPr>
              <w:t>C</w:t>
            </w:r>
            <w:r w:rsidR="00802315">
              <w:rPr>
                <w:sz w:val="20"/>
                <w:szCs w:val="20"/>
              </w:rPr>
              <w:t xml:space="preserve">apital </w:t>
            </w:r>
            <w:r w:rsidRPr="004F305E">
              <w:rPr>
                <w:sz w:val="20"/>
                <w:szCs w:val="20"/>
              </w:rPr>
              <w:t>T</w:t>
            </w:r>
            <w:r w:rsidR="00802315">
              <w:rPr>
                <w:sz w:val="20"/>
                <w:szCs w:val="20"/>
              </w:rPr>
              <w:t>erritory</w:t>
            </w:r>
            <w:r w:rsidRPr="004F305E">
              <w:rPr>
                <w:sz w:val="20"/>
                <w:szCs w:val="20"/>
              </w:rPr>
              <w:t xml:space="preserve">, or when insufficient candidates from a particular state </w:t>
            </w:r>
            <w:r w:rsidR="00802315">
              <w:rPr>
                <w:sz w:val="20"/>
                <w:szCs w:val="20"/>
              </w:rPr>
              <w:t>are</w:t>
            </w:r>
            <w:r w:rsidRPr="004F305E">
              <w:rPr>
                <w:sz w:val="20"/>
                <w:szCs w:val="20"/>
              </w:rPr>
              <w:t xml:space="preserve"> unable to fulfill its quota of public service composition, states </w:t>
            </w:r>
            <w:r w:rsidR="00802315">
              <w:rPr>
                <w:sz w:val="20"/>
                <w:szCs w:val="20"/>
              </w:rPr>
              <w:t>are</w:t>
            </w:r>
            <w:r w:rsidR="00802315" w:rsidRPr="004F305E">
              <w:rPr>
                <w:sz w:val="20"/>
                <w:szCs w:val="20"/>
              </w:rPr>
              <w:t xml:space="preserve"> </w:t>
            </w:r>
            <w:r w:rsidRPr="004F305E">
              <w:rPr>
                <w:sz w:val="20"/>
                <w:szCs w:val="20"/>
              </w:rPr>
              <w:t xml:space="preserve">clubbed into </w:t>
            </w:r>
            <w:r w:rsidR="00802315">
              <w:rPr>
                <w:sz w:val="20"/>
                <w:szCs w:val="20"/>
              </w:rPr>
              <w:t>six</w:t>
            </w:r>
            <w:r w:rsidRPr="004F305E">
              <w:rPr>
                <w:sz w:val="20"/>
                <w:szCs w:val="20"/>
              </w:rPr>
              <w:t xml:space="preserve"> zones. Positions are distributed evenly among North West, North Central, North East, South West, South-South, and South East.</w:t>
            </w:r>
          </w:p>
          <w:p w14:paraId="64CD2D01" w14:textId="2DF9B160" w:rsidR="00A56EDD" w:rsidRPr="00B513F4" w:rsidRDefault="00A56EDD" w:rsidP="00F576AD">
            <w:pPr>
              <w:jc w:val="both"/>
            </w:pPr>
            <w:r w:rsidRPr="003C56AE">
              <w:rPr>
                <w:i/>
                <w:sz w:val="20"/>
                <w:szCs w:val="20"/>
              </w:rPr>
              <w:t>Source:</w:t>
            </w:r>
            <w:r w:rsidRPr="004F305E">
              <w:rPr>
                <w:sz w:val="20"/>
                <w:szCs w:val="20"/>
              </w:rPr>
              <w:t xml:space="preserve"> </w:t>
            </w:r>
            <w:r w:rsidR="00802315">
              <w:rPr>
                <w:sz w:val="20"/>
                <w:szCs w:val="20"/>
              </w:rPr>
              <w:t>World Bank</w:t>
            </w:r>
            <w:r w:rsidR="00F576AD">
              <w:rPr>
                <w:sz w:val="20"/>
                <w:szCs w:val="20"/>
              </w:rPr>
              <w:t xml:space="preserve">, 2005. </w:t>
            </w:r>
          </w:p>
        </w:tc>
      </w:tr>
    </w:tbl>
    <w:p w14:paraId="18DDECA8" w14:textId="1053E3BF" w:rsidR="00A56EDD" w:rsidRPr="00B513F4" w:rsidRDefault="00A56EDD" w:rsidP="00FC2B6E">
      <w:pPr>
        <w:spacing w:before="240"/>
        <w:jc w:val="both"/>
      </w:pPr>
      <w:r w:rsidRPr="00B513F4">
        <w:t xml:space="preserve">In South Sudan, geographic criteria for hiring public servants are included in </w:t>
      </w:r>
      <w:r w:rsidR="007E38A0">
        <w:t xml:space="preserve">the </w:t>
      </w:r>
      <w:r w:rsidRPr="00B513F4">
        <w:t xml:space="preserve">current legislation, but it is not clear how these are applied in practice. A more explicit system such as </w:t>
      </w:r>
      <w:r w:rsidR="007E38A0">
        <w:t xml:space="preserve">the one </w:t>
      </w:r>
      <w:r w:rsidRPr="00B513F4">
        <w:t xml:space="preserve">used in Nigeria will be cumbersome and technically less optimal than a straightforward meritocratic system, but it may be necessary to build a greater sense of fairness and legitimacy. </w:t>
      </w:r>
      <w:r w:rsidRPr="00B513F4">
        <w:rPr>
          <w:i/>
        </w:rPr>
        <w:t>Crucially, such a system would need to be coupled with ensuring that appropriate qualifications are met by any candidate to be accepted</w:t>
      </w:r>
      <w:r w:rsidR="007E38A0">
        <w:rPr>
          <w:i/>
        </w:rPr>
        <w:t>,</w:t>
      </w:r>
      <w:r w:rsidRPr="00B513F4">
        <w:rPr>
          <w:i/>
        </w:rPr>
        <w:t xml:space="preserve"> with allocating training opportunities to ensure that there are eligible candidates from across different communities and with an emphasis on ensuring that all public servants must perform and serve all citizens equally.</w:t>
      </w:r>
      <w:r w:rsidRPr="00B513F4">
        <w:t xml:space="preserve"> Given that South Sudan has far more groups than states, a system approximating the Nigerian model would need to be combined with specific opportunities for minority groups (</w:t>
      </w:r>
      <w:r w:rsidR="0093206E">
        <w:t>that is,</w:t>
      </w:r>
      <w:r w:rsidRPr="00B513F4">
        <w:t xml:space="preserve"> groups that are not dominant in any of the 10 states). The opposite option of setting ethnic identities aside and exclusively emphasizing performance appears less likely to be workable in South Sudan, and may simply result in perceptions that one or two groups are capturing mo</w:t>
      </w:r>
      <w:r w:rsidR="002B5CE3">
        <w:t>re than a fair share de facto.</w:t>
      </w:r>
    </w:p>
    <w:p w14:paraId="14CCA02E" w14:textId="236E963E" w:rsidR="00A56EDD" w:rsidRPr="00B513F4" w:rsidRDefault="00A56EDD" w:rsidP="00A56EDD">
      <w:pPr>
        <w:jc w:val="both"/>
      </w:pPr>
      <w:r w:rsidRPr="00B513F4">
        <w:t xml:space="preserve">Furthermore, during the postconflict situation, </w:t>
      </w:r>
      <w:r w:rsidR="007E38A0">
        <w:t xml:space="preserve">the </w:t>
      </w:r>
      <w:r w:rsidRPr="00B513F4">
        <w:t>government should pay close attention to avoid creating the impression that any groups are being excluded from public service positions</w:t>
      </w:r>
      <w:r w:rsidR="007E38A0">
        <w:t>.</w:t>
      </w:r>
      <w:r w:rsidRPr="00B513F4">
        <w:t xml:space="preserve"> </w:t>
      </w:r>
      <w:r w:rsidR="007E38A0">
        <w:t>It</w:t>
      </w:r>
      <w:r w:rsidRPr="00B513F4">
        <w:t xml:space="preserve"> should be mindful of finding fair practices for those who have been absent from their service posts due to being internally displaced and other security factors. </w:t>
      </w:r>
    </w:p>
    <w:p w14:paraId="0929D291" w14:textId="4EC4391D" w:rsidR="00A56EDD" w:rsidRPr="00B513F4" w:rsidRDefault="00A56EDD" w:rsidP="00A56EDD">
      <w:pPr>
        <w:jc w:val="both"/>
      </w:pPr>
      <w:r w:rsidRPr="00B513F4">
        <w:t xml:space="preserve">For public servants at subnational levels (states and counties), inclusion should in principle be easier to achieve. However, conflicts between ethnic groups and subgroups are also rife at </w:t>
      </w:r>
      <w:r w:rsidR="007E38A0">
        <w:t xml:space="preserve">the </w:t>
      </w:r>
      <w:r w:rsidRPr="00B513F4">
        <w:t>local levels and certainly states, but also many counties includ</w:t>
      </w:r>
      <w:r w:rsidR="007E38A0">
        <w:t>ing</w:t>
      </w:r>
      <w:r w:rsidRPr="00B513F4">
        <w:t xml:space="preserve"> multiple groups. Again, some form of quota system could be considered, </w:t>
      </w:r>
      <w:r w:rsidR="0093206E">
        <w:t>for example,</w:t>
      </w:r>
      <w:r w:rsidRPr="00B513F4">
        <w:t xml:space="preserve"> based on </w:t>
      </w:r>
      <w:r w:rsidR="007E38A0">
        <w:rPr>
          <w:i/>
        </w:rPr>
        <w:t>p</w:t>
      </w:r>
      <w:r w:rsidRPr="00F576AD">
        <w:rPr>
          <w:i/>
        </w:rPr>
        <w:t>ayams</w:t>
      </w:r>
      <w:r w:rsidRPr="00B513F4">
        <w:t xml:space="preserve">. This may need to be combined with proactive </w:t>
      </w:r>
      <w:r w:rsidRPr="00B513F4">
        <w:lastRenderedPageBreak/>
        <w:t xml:space="preserve">inclusive capacity building to ensure that all localities have members who become qualified for public service positions. Such an explicit and well-advertised system may also reduce the pressure on those who hold the position of hiring managers at the state or county level to bring ever more people from their own extended families into public service positions. </w:t>
      </w:r>
    </w:p>
    <w:p w14:paraId="51333413" w14:textId="72DA38A1" w:rsidR="00A56EDD" w:rsidRPr="00B513F4" w:rsidRDefault="00A56EDD" w:rsidP="00A56EDD">
      <w:pPr>
        <w:jc w:val="both"/>
      </w:pPr>
      <w:r w:rsidRPr="00B513F4">
        <w:t>In addition, public service overall includes far fewer women than men, even in service delivery areas such as health and education. The significant gender imbalance in literacy rates is likely to contribute to this imbalance in the civil service, alongside other factors. It would be desirable over time to address this imbalance</w:t>
      </w:r>
      <w:r w:rsidR="007E38A0">
        <w:t>.</w:t>
      </w:r>
      <w:r w:rsidRPr="00B513F4">
        <w:t xml:space="preserve"> </w:t>
      </w:r>
      <w:r w:rsidR="007E38A0">
        <w:t>D</w:t>
      </w:r>
      <w:r w:rsidRPr="00B513F4">
        <w:t xml:space="preserve">evelopment partners as well as the government can contribute to this goal, </w:t>
      </w:r>
      <w:r w:rsidR="0093206E">
        <w:t>for example,</w:t>
      </w:r>
      <w:r w:rsidRPr="00B513F4">
        <w:t xml:space="preserve"> by including gender balance considerations in training efforts, hiring, </w:t>
      </w:r>
      <w:r w:rsidR="00CF7BB4">
        <w:t>and so on</w:t>
      </w:r>
      <w:r w:rsidRPr="00B513F4">
        <w:t>.</w:t>
      </w:r>
      <w:r w:rsidRPr="00B513F4">
        <w:rPr>
          <w:rStyle w:val="FootnoteReference"/>
        </w:rPr>
        <w:footnoteReference w:id="80"/>
      </w:r>
    </w:p>
    <w:p w14:paraId="34619BEA" w14:textId="77777777" w:rsidR="00A56EDD" w:rsidRPr="00B513F4" w:rsidRDefault="00A56EDD" w:rsidP="004F305E">
      <w:pPr>
        <w:pStyle w:val="ListParagraph"/>
        <w:numPr>
          <w:ilvl w:val="0"/>
          <w:numId w:val="12"/>
        </w:numPr>
        <w:ind w:left="1440"/>
        <w:rPr>
          <w:b/>
          <w:color w:val="000000" w:themeColor="text1"/>
        </w:rPr>
      </w:pPr>
      <w:r w:rsidRPr="00B513F4">
        <w:rPr>
          <w:b/>
          <w:color w:val="000000" w:themeColor="text1"/>
        </w:rPr>
        <w:t>Approaching DDR and strengthening the security sector</w:t>
      </w:r>
    </w:p>
    <w:p w14:paraId="1FA71FC6" w14:textId="77777777" w:rsidR="00A56EDD" w:rsidRPr="00B513F4" w:rsidRDefault="00A56EDD" w:rsidP="00A56EDD">
      <w:pPr>
        <w:jc w:val="both"/>
        <w:rPr>
          <w:color w:val="000000" w:themeColor="text1"/>
        </w:rPr>
      </w:pPr>
      <w:r w:rsidRPr="00B513F4">
        <w:rPr>
          <w:color w:val="000000" w:themeColor="text1"/>
        </w:rPr>
        <w:t xml:space="preserve">As emphasized in the introduction, this note does not offer a comprehensive treatment of public employment and options for change in the security sectors. This is something that should receive greater attention through further analytic work, including appropriate review of what has happened to date in South Sudan, and comparative experiences from other countries. With this caveat, there are a few implications emerging from the analysis contained here. </w:t>
      </w:r>
    </w:p>
    <w:p w14:paraId="697AB882" w14:textId="1F3F0F4C" w:rsidR="00A56EDD" w:rsidRPr="00B513F4" w:rsidRDefault="007E38A0" w:rsidP="00A56EDD">
      <w:pPr>
        <w:jc w:val="both"/>
        <w:rPr>
          <w:color w:val="000000" w:themeColor="text1"/>
        </w:rPr>
      </w:pPr>
      <w:r>
        <w:rPr>
          <w:color w:val="000000" w:themeColor="text1"/>
        </w:rPr>
        <w:t xml:space="preserve">The </w:t>
      </w:r>
      <w:r w:rsidR="00A56EDD" w:rsidRPr="00B513F4">
        <w:rPr>
          <w:color w:val="000000" w:themeColor="text1"/>
        </w:rPr>
        <w:t>G</w:t>
      </w:r>
      <w:r w:rsidR="00F576AD">
        <w:rPr>
          <w:color w:val="000000" w:themeColor="text1"/>
        </w:rPr>
        <w:t>o</w:t>
      </w:r>
      <w:r w:rsidR="00A56EDD" w:rsidRPr="00B513F4">
        <w:rPr>
          <w:color w:val="000000" w:themeColor="text1"/>
        </w:rPr>
        <w:t xml:space="preserve">SS will need to find a way to reduce the number of soldiers and staff in the organized forces and professionalize the armed and organized forces. Both disarmament and demobilization are likely to be politically as well as socially challenging. </w:t>
      </w:r>
      <w:r w:rsidR="00A56EDD">
        <w:rPr>
          <w:color w:val="000000" w:themeColor="text1"/>
        </w:rPr>
        <w:t>The best window of opportunity for this would have been in 2010</w:t>
      </w:r>
      <w:r>
        <w:rPr>
          <w:color w:val="000000" w:themeColor="text1"/>
        </w:rPr>
        <w:t>–</w:t>
      </w:r>
      <w:r w:rsidR="00A56EDD">
        <w:rPr>
          <w:color w:val="000000" w:themeColor="text1"/>
        </w:rPr>
        <w:t>11, when</w:t>
      </w:r>
      <w:r w:rsidR="00A56EDD" w:rsidRPr="00B513F4">
        <w:rPr>
          <w:color w:val="000000" w:themeColor="text1"/>
        </w:rPr>
        <w:t xml:space="preserve"> oil revenues </w:t>
      </w:r>
      <w:r w:rsidR="00A56EDD">
        <w:rPr>
          <w:color w:val="000000" w:themeColor="text1"/>
        </w:rPr>
        <w:t>were</w:t>
      </w:r>
      <w:r w:rsidR="00A56EDD" w:rsidRPr="00B513F4">
        <w:rPr>
          <w:color w:val="000000" w:themeColor="text1"/>
        </w:rPr>
        <w:t xml:space="preserve"> at or near their peak, as this </w:t>
      </w:r>
      <w:r w:rsidR="00A56EDD">
        <w:rPr>
          <w:color w:val="000000" w:themeColor="text1"/>
        </w:rPr>
        <w:t>would have</w:t>
      </w:r>
      <w:r w:rsidR="00A56EDD" w:rsidRPr="00B513F4">
        <w:rPr>
          <w:color w:val="000000" w:themeColor="text1"/>
        </w:rPr>
        <w:t xml:space="preserve"> give</w:t>
      </w:r>
      <w:r w:rsidR="00A56EDD">
        <w:rPr>
          <w:color w:val="000000" w:themeColor="text1"/>
        </w:rPr>
        <w:t>n</w:t>
      </w:r>
      <w:r w:rsidR="00A56EDD" w:rsidRPr="00B513F4">
        <w:rPr>
          <w:color w:val="000000" w:themeColor="text1"/>
        </w:rPr>
        <w:t xml:space="preserve"> </w:t>
      </w:r>
      <w:r>
        <w:rPr>
          <w:color w:val="000000" w:themeColor="text1"/>
        </w:rPr>
        <w:t xml:space="preserve">the </w:t>
      </w:r>
      <w:r w:rsidR="00A56EDD" w:rsidRPr="00B513F4">
        <w:rPr>
          <w:color w:val="000000" w:themeColor="text1"/>
        </w:rPr>
        <w:t xml:space="preserve">government greater fiscal space to provide funds for reintegration through training, seed funding for establishing small businesses or farms, and possibly public works schemes. </w:t>
      </w:r>
      <w:r w:rsidR="00A56EDD">
        <w:rPr>
          <w:color w:val="000000" w:themeColor="text1"/>
        </w:rPr>
        <w:t xml:space="preserve">The </w:t>
      </w:r>
      <w:r>
        <w:rPr>
          <w:color w:val="000000" w:themeColor="text1"/>
        </w:rPr>
        <w:t>g</w:t>
      </w:r>
      <w:r w:rsidR="00A56EDD">
        <w:rPr>
          <w:color w:val="000000" w:themeColor="text1"/>
        </w:rPr>
        <w:t>overnment may (need to) seek explicit support from its international partners to assist financially with this process</w:t>
      </w:r>
      <w:r>
        <w:rPr>
          <w:color w:val="000000" w:themeColor="text1"/>
        </w:rPr>
        <w:t>,</w:t>
      </w:r>
      <w:r w:rsidR="00A56EDD">
        <w:rPr>
          <w:color w:val="000000" w:themeColor="text1"/>
        </w:rPr>
        <w:t xml:space="preserve"> if oil prices remain at their levels reached in early 2015 or fall even lower. </w:t>
      </w:r>
    </w:p>
    <w:p w14:paraId="77C0DE46" w14:textId="32B8B2F9" w:rsidR="00A56EDD" w:rsidRPr="00B513F4" w:rsidRDefault="00A56EDD" w:rsidP="00A56EDD">
      <w:pPr>
        <w:jc w:val="both"/>
        <w:rPr>
          <w:color w:val="000000" w:themeColor="text1"/>
        </w:rPr>
      </w:pPr>
      <w:r w:rsidRPr="00B513F4">
        <w:rPr>
          <w:color w:val="000000" w:themeColor="text1"/>
        </w:rPr>
        <w:t xml:space="preserve">An immediate step once political settlement is reached would be </w:t>
      </w:r>
      <w:r w:rsidR="00F67921">
        <w:rPr>
          <w:color w:val="000000" w:themeColor="text1"/>
        </w:rPr>
        <w:t>to</w:t>
      </w:r>
      <w:r w:rsidRPr="00B513F4">
        <w:rPr>
          <w:color w:val="000000" w:themeColor="text1"/>
        </w:rPr>
        <w:t xml:space="preserve"> review of the status of the armed and organized forces and hold a policy discussion about how to proceed, with the aim of generating an agreed policy. Further analytical work may be useful to support this process. </w:t>
      </w:r>
    </w:p>
    <w:p w14:paraId="3D1C1373" w14:textId="513A9E9D" w:rsidR="00A56EDD" w:rsidRPr="00B513F4" w:rsidRDefault="00A56EDD" w:rsidP="004F305E">
      <w:pPr>
        <w:pStyle w:val="ListParagraph"/>
        <w:numPr>
          <w:ilvl w:val="0"/>
          <w:numId w:val="11"/>
        </w:numPr>
        <w:contextualSpacing w:val="0"/>
        <w:jc w:val="both"/>
        <w:rPr>
          <w:i/>
        </w:rPr>
      </w:pPr>
      <w:r w:rsidRPr="00B513F4">
        <w:rPr>
          <w:i/>
        </w:rPr>
        <w:t>Issues related to reforming civilian public service and service delivery</w:t>
      </w:r>
    </w:p>
    <w:p w14:paraId="4BB2A88E" w14:textId="50E3DC3A" w:rsidR="00A56EDD" w:rsidRPr="00B513F4" w:rsidRDefault="00A56EDD" w:rsidP="004F305E">
      <w:pPr>
        <w:pStyle w:val="ListParagraph"/>
        <w:numPr>
          <w:ilvl w:val="0"/>
          <w:numId w:val="12"/>
        </w:numPr>
        <w:ind w:left="1440"/>
        <w:rPr>
          <w:b/>
        </w:rPr>
      </w:pPr>
      <w:r w:rsidRPr="00B513F4">
        <w:rPr>
          <w:b/>
        </w:rPr>
        <w:t xml:space="preserve">Strengthening the civil service: </w:t>
      </w:r>
      <w:r w:rsidR="00806E69">
        <w:rPr>
          <w:b/>
        </w:rPr>
        <w:t>S</w:t>
      </w:r>
      <w:r w:rsidRPr="00B513F4">
        <w:rPr>
          <w:b/>
        </w:rPr>
        <w:t>etting the policy direction and road map</w:t>
      </w:r>
    </w:p>
    <w:p w14:paraId="1FF93C02" w14:textId="18E287BF" w:rsidR="00A56EDD" w:rsidRPr="00B513F4" w:rsidRDefault="00A56EDD" w:rsidP="00A56EDD">
      <w:pPr>
        <w:jc w:val="both"/>
        <w:rPr>
          <w:b/>
        </w:rPr>
      </w:pPr>
      <w:r w:rsidRPr="00B513F4">
        <w:rPr>
          <w:i/>
        </w:rPr>
        <w:t>To address the main distortions that have emerged in the public service, signaling from the top will be essential to indicate that greater performance is expected and will be followed up on</w:t>
      </w:r>
      <w:r w:rsidRPr="00B513F4">
        <w:t>. High</w:t>
      </w:r>
      <w:r w:rsidR="00146AC6">
        <w:t>-</w:t>
      </w:r>
      <w:r w:rsidRPr="00B513F4">
        <w:t xml:space="preserve">level emphasis and attention to performance has been a key ingredient to a capable and effective civil service in </w:t>
      </w:r>
      <w:r w:rsidRPr="00B513F4">
        <w:lastRenderedPageBreak/>
        <w:t>neighboring countries such as Ethiopia and Rwanda, and also elsewhere. In principle, government leaders have an incentive to send such signals as a government that is seen to be delivering is more likely to survive as well as to win elections. However, in practice, government leaders typically face pressures from important patronage networks not to ‘touch’ their particular part of the public sector</w:t>
      </w:r>
      <w:r w:rsidR="00146AC6">
        <w:t>,</w:t>
      </w:r>
      <w:r w:rsidRPr="00B513F4">
        <w:t xml:space="preserve"> as well as challenges related to the fact that greater policy coherence and effective implementation are hard to achieve in a system with underqualified staff and managers, still emerging procedures, highly volatile alloc</w:t>
      </w:r>
      <w:r w:rsidR="002B5CE3">
        <w:t>ation of resources, and so on.</w:t>
      </w:r>
    </w:p>
    <w:p w14:paraId="377FEC33" w14:textId="55D2F8A9" w:rsidR="00A56EDD" w:rsidRPr="00B513F4" w:rsidRDefault="00A56EDD" w:rsidP="00A56EDD">
      <w:pPr>
        <w:jc w:val="both"/>
      </w:pPr>
      <w:r w:rsidRPr="00B513F4">
        <w:rPr>
          <w:i/>
        </w:rPr>
        <w:t>Comparative research indicates that initiatives to reform public sectors often benefit from the presence of ‘reform entrepreneurs’</w:t>
      </w:r>
      <w:r w:rsidR="00146AC6">
        <w:rPr>
          <w:i/>
        </w:rPr>
        <w:t>—</w:t>
      </w:r>
      <w:r w:rsidRPr="00B513F4">
        <w:rPr>
          <w:i/>
        </w:rPr>
        <w:t>who typically combine ideas about what to do with a degree of authority to pursue implementation</w:t>
      </w:r>
      <w:r w:rsidRPr="00B513F4">
        <w:t xml:space="preserve"> (Kingdon 1995; Bunse and Fritz 2012). Making a push for performance </w:t>
      </w:r>
      <w:r w:rsidR="00E8102F">
        <w:t xml:space="preserve">to be </w:t>
      </w:r>
      <w:r w:rsidRPr="00B513F4">
        <w:t>more viable will require the creation of a ‘road</w:t>
      </w:r>
      <w:r w:rsidR="00E8102F">
        <w:t xml:space="preserve"> </w:t>
      </w:r>
      <w:r w:rsidRPr="00B513F4">
        <w:t xml:space="preserve">map’ of what is to be done. To an extent, the progress made in 2011 with drafting a public sector reform strategy provides such a map. However, its validity and the ownership of this strategy will need to be reconfirmed as dynamics and stakeholders have evolved since 2011. Senior staff in </w:t>
      </w:r>
      <w:r w:rsidR="00E8102F">
        <w:t xml:space="preserve">the </w:t>
      </w:r>
      <w:r w:rsidRPr="00B513F4">
        <w:t>M</w:t>
      </w:r>
      <w:r w:rsidR="00C941B0">
        <w:t>o</w:t>
      </w:r>
      <w:r w:rsidRPr="00B513F4">
        <w:t xml:space="preserve">LPSHRD in principle </w:t>
      </w:r>
      <w:r w:rsidR="00E8102F">
        <w:t>are</w:t>
      </w:r>
      <w:r w:rsidRPr="00B513F4">
        <w:t xml:space="preserve"> well placed to take on a ‘reform entrepreneur’ or technical championing role</w:t>
      </w:r>
      <w:r w:rsidR="00E8102F">
        <w:t>,</w:t>
      </w:r>
      <w:r w:rsidRPr="00B513F4">
        <w:t xml:space="preserve"> while it will be essential to build alliances with stakeholders across </w:t>
      </w:r>
      <w:r w:rsidR="00E8102F">
        <w:t xml:space="preserve">the </w:t>
      </w:r>
      <w:r w:rsidR="00F576AD">
        <w:t xml:space="preserve">government. </w:t>
      </w:r>
    </w:p>
    <w:p w14:paraId="41952157" w14:textId="1F42903C" w:rsidR="00A56EDD" w:rsidRPr="00B513F4" w:rsidRDefault="00A56EDD" w:rsidP="00A56EDD">
      <w:pPr>
        <w:jc w:val="both"/>
        <w:rPr>
          <w:color w:val="000000" w:themeColor="text1"/>
        </w:rPr>
      </w:pPr>
      <w:r w:rsidRPr="00B513F4">
        <w:rPr>
          <w:i/>
        </w:rPr>
        <w:t>Linking improvements in the civil service and in achieving progress with service delivery:</w:t>
      </w:r>
      <w:r w:rsidRPr="00B513F4">
        <w:t xml:space="preserve"> Being able to show how service delivery improves is both the purpose of public sector reforms and can be an important incentive for motivating such reforms. The federal government could start publishing scores of how many teachers have been hired/additional students have been enrolled, health services are provided, </w:t>
      </w:r>
      <w:r w:rsidR="00CF7BB4">
        <w:t>and so on</w:t>
      </w:r>
      <w:r w:rsidRPr="00B513F4">
        <w:t>. The system for collecting relevant information could b</w:t>
      </w:r>
      <w:r w:rsidR="00F576AD">
        <w:t>e developed as soon as possible.</w:t>
      </w:r>
      <w:r w:rsidRPr="00B513F4">
        <w:t xml:space="preserve"> Making public pledges and showing progress against these can help incentivize </w:t>
      </w:r>
      <w:r w:rsidR="00E55FDB">
        <w:t xml:space="preserve">the </w:t>
      </w:r>
      <w:r w:rsidRPr="00B513F4">
        <w:t>government</w:t>
      </w:r>
      <w:r w:rsidR="00E55FDB">
        <w:t>—</w:t>
      </w:r>
      <w:r w:rsidRPr="00B513F4">
        <w:t>and the various parts of the public sector</w:t>
      </w:r>
      <w:r w:rsidR="00E55FDB">
        <w:t>—</w:t>
      </w:r>
      <w:r w:rsidRPr="00B513F4">
        <w:t>to stay on track. The fact that service delivery has been scant and has partially disintegrated during the renewed conflict</w:t>
      </w:r>
      <w:r w:rsidR="00E55FDB">
        <w:t>,</w:t>
      </w:r>
      <w:r w:rsidRPr="00B513F4">
        <w:t xml:space="preserve"> in principle</w:t>
      </w:r>
      <w:r w:rsidR="00E55FDB">
        <w:t>,</w:t>
      </w:r>
      <w:r w:rsidRPr="00B513F4">
        <w:t xml:space="preserve"> implies that there is potential to achieve and showcase </w:t>
      </w:r>
      <w:r w:rsidRPr="00B513F4">
        <w:rPr>
          <w:color w:val="000000" w:themeColor="text1"/>
        </w:rPr>
        <w:t>significant improvements within a limited time horizon. Development partners can su</w:t>
      </w:r>
      <w:r w:rsidR="002B5CE3">
        <w:rPr>
          <w:color w:val="000000" w:themeColor="text1"/>
        </w:rPr>
        <w:t>pport such a push for results.</w:t>
      </w:r>
    </w:p>
    <w:p w14:paraId="112CE505" w14:textId="246E17DB" w:rsidR="00A56EDD" w:rsidRPr="00B513F4" w:rsidRDefault="00A56EDD" w:rsidP="00A56EDD">
      <w:pPr>
        <w:jc w:val="both"/>
        <w:rPr>
          <w:color w:val="000000" w:themeColor="text1"/>
        </w:rPr>
      </w:pPr>
      <w:r w:rsidRPr="00B513F4">
        <w:rPr>
          <w:color w:val="000000" w:themeColor="text1"/>
        </w:rPr>
        <w:t xml:space="preserve">Regarding subnational levels, it is conceivable that county commissioners perceive some pressure to perform from below; however, to date, accountability for county commissioners and for state governors is mainly upward, and loyalty looms larger than performance. </w:t>
      </w:r>
    </w:p>
    <w:p w14:paraId="025A9F33" w14:textId="2E960400" w:rsidR="00A56EDD" w:rsidRPr="00B513F4" w:rsidRDefault="00A56EDD" w:rsidP="004F305E">
      <w:pPr>
        <w:pStyle w:val="ListParagraph"/>
        <w:numPr>
          <w:ilvl w:val="0"/>
          <w:numId w:val="12"/>
        </w:numPr>
        <w:ind w:left="1440"/>
        <w:rPr>
          <w:b/>
          <w:color w:val="000000" w:themeColor="text1"/>
        </w:rPr>
      </w:pPr>
      <w:r w:rsidRPr="00B513F4">
        <w:rPr>
          <w:b/>
          <w:color w:val="000000" w:themeColor="text1"/>
        </w:rPr>
        <w:t xml:space="preserve">Including </w:t>
      </w:r>
      <w:r>
        <w:rPr>
          <w:b/>
          <w:color w:val="000000" w:themeColor="text1"/>
        </w:rPr>
        <w:t>non-state</w:t>
      </w:r>
      <w:r w:rsidRPr="00B513F4">
        <w:rPr>
          <w:b/>
          <w:color w:val="000000" w:themeColor="text1"/>
        </w:rPr>
        <w:t xml:space="preserve"> provision </w:t>
      </w:r>
      <w:r w:rsidRPr="004F305E">
        <w:rPr>
          <w:b/>
        </w:rPr>
        <w:t>of</w:t>
      </w:r>
      <w:r>
        <w:rPr>
          <w:b/>
          <w:color w:val="000000" w:themeColor="text1"/>
        </w:rPr>
        <w:t xml:space="preserve"> services </w:t>
      </w:r>
      <w:r w:rsidRPr="00B513F4">
        <w:rPr>
          <w:b/>
          <w:color w:val="000000" w:themeColor="text1"/>
        </w:rPr>
        <w:t xml:space="preserve">in policy considerations </w:t>
      </w:r>
    </w:p>
    <w:p w14:paraId="699A2BB6" w14:textId="4E947544" w:rsidR="00A56EDD" w:rsidRPr="00B513F4" w:rsidRDefault="00A56EDD" w:rsidP="00A56EDD">
      <w:pPr>
        <w:jc w:val="both"/>
        <w:rPr>
          <w:color w:val="000000" w:themeColor="text1"/>
        </w:rPr>
      </w:pPr>
      <w:r w:rsidRPr="00B513F4">
        <w:rPr>
          <w:color w:val="000000" w:themeColor="text1"/>
        </w:rPr>
        <w:t xml:space="preserve">Given the enormity of development tasks in South Sudan, </w:t>
      </w:r>
      <w:r w:rsidR="008E3A8F">
        <w:rPr>
          <w:color w:val="000000" w:themeColor="text1"/>
        </w:rPr>
        <w:t xml:space="preserve">the </w:t>
      </w:r>
      <w:r w:rsidRPr="00B513F4">
        <w:rPr>
          <w:color w:val="000000" w:themeColor="text1"/>
        </w:rPr>
        <w:t>government on its own will not be able to provide all public services everywhere and for all. As in other African countries, there are indications that citizens, including the poor, value education sufficiently to pay for it out of pocket. Yet adopting a ‘laissez</w:t>
      </w:r>
      <w:r w:rsidR="008E3A8F">
        <w:rPr>
          <w:color w:val="000000" w:themeColor="text1"/>
        </w:rPr>
        <w:t>-</w:t>
      </w:r>
      <w:r w:rsidRPr="00B513F4">
        <w:rPr>
          <w:color w:val="000000" w:themeColor="text1"/>
        </w:rPr>
        <w:t xml:space="preserve">faire’ approach to all public services may fail many citizens, in particular </w:t>
      </w:r>
      <w:r w:rsidR="00F8759D">
        <w:rPr>
          <w:color w:val="000000" w:themeColor="text1"/>
        </w:rPr>
        <w:t>with regard to</w:t>
      </w:r>
      <w:r w:rsidRPr="00B513F4">
        <w:rPr>
          <w:color w:val="000000" w:themeColor="text1"/>
        </w:rPr>
        <w:t xml:space="preserve"> being able to manage risks such as accidents and ill health, and w</w:t>
      </w:r>
      <w:r w:rsidR="00F8759D">
        <w:rPr>
          <w:color w:val="000000" w:themeColor="text1"/>
        </w:rPr>
        <w:t>ill</w:t>
      </w:r>
      <w:r w:rsidRPr="00B513F4">
        <w:rPr>
          <w:color w:val="000000" w:themeColor="text1"/>
        </w:rPr>
        <w:t xml:space="preserve"> not generate the potential positive spillovers from an organized provision. </w:t>
      </w:r>
    </w:p>
    <w:p w14:paraId="5A8BCA32" w14:textId="40089361" w:rsidR="00A56EDD" w:rsidRPr="00B513F4" w:rsidRDefault="00A56EDD" w:rsidP="00A56EDD">
      <w:pPr>
        <w:jc w:val="both"/>
        <w:rPr>
          <w:color w:val="000000" w:themeColor="text1"/>
        </w:rPr>
      </w:pPr>
      <w:r w:rsidRPr="00B513F4">
        <w:rPr>
          <w:color w:val="000000" w:themeColor="text1"/>
        </w:rPr>
        <w:t xml:space="preserve">Strengthening data collection about services will help </w:t>
      </w:r>
      <w:r w:rsidR="00F8759D">
        <w:rPr>
          <w:color w:val="000000" w:themeColor="text1"/>
        </w:rPr>
        <w:t xml:space="preserve">the </w:t>
      </w:r>
      <w:r w:rsidRPr="00B513F4">
        <w:rPr>
          <w:color w:val="000000" w:themeColor="text1"/>
        </w:rPr>
        <w:t xml:space="preserve">GRSS to identify gaps and options. Areas of opportunity for growing private service provision could be supported and will also be important </w:t>
      </w:r>
      <w:r w:rsidR="00F8759D">
        <w:rPr>
          <w:color w:val="000000" w:themeColor="text1"/>
        </w:rPr>
        <w:t xml:space="preserve">with </w:t>
      </w:r>
      <w:r w:rsidR="00F8759D">
        <w:rPr>
          <w:color w:val="000000" w:themeColor="text1"/>
        </w:rPr>
        <w:lastRenderedPageBreak/>
        <w:t>regard to</w:t>
      </w:r>
      <w:r w:rsidRPr="00B513F4">
        <w:rPr>
          <w:color w:val="000000" w:themeColor="text1"/>
        </w:rPr>
        <w:t xml:space="preserve"> job</w:t>
      </w:r>
      <w:r w:rsidR="00F8759D">
        <w:rPr>
          <w:color w:val="000000" w:themeColor="text1"/>
        </w:rPr>
        <w:t xml:space="preserve"> </w:t>
      </w:r>
      <w:r w:rsidRPr="00B513F4">
        <w:rPr>
          <w:color w:val="000000" w:themeColor="text1"/>
        </w:rPr>
        <w:t xml:space="preserve">creation. As part of such an exercise, </w:t>
      </w:r>
      <w:r w:rsidR="00F8759D">
        <w:rPr>
          <w:color w:val="000000" w:themeColor="text1"/>
        </w:rPr>
        <w:t xml:space="preserve">the </w:t>
      </w:r>
      <w:r w:rsidRPr="00B513F4">
        <w:rPr>
          <w:color w:val="000000" w:themeColor="text1"/>
        </w:rPr>
        <w:t>government seek</w:t>
      </w:r>
      <w:r w:rsidR="00F8759D">
        <w:rPr>
          <w:color w:val="000000" w:themeColor="text1"/>
        </w:rPr>
        <w:t>s</w:t>
      </w:r>
      <w:r w:rsidRPr="00B513F4">
        <w:rPr>
          <w:color w:val="000000" w:themeColor="text1"/>
        </w:rPr>
        <w:t xml:space="preserve"> to take stock of where and what services are being provided with financing from development partners or private donations (through FBOs and NGOs). Technically and financially, such stocktaking can be supported by development partners (initial geographic mapping of development assistance is already under way; but this does not include privately provided services and may not include all NGO</w:t>
      </w:r>
      <w:r w:rsidR="00F8759D">
        <w:rPr>
          <w:color w:val="000000" w:themeColor="text1"/>
        </w:rPr>
        <w:t>-</w:t>
      </w:r>
      <w:r w:rsidRPr="00B513F4">
        <w:rPr>
          <w:color w:val="000000" w:themeColor="text1"/>
        </w:rPr>
        <w:t xml:space="preserve"> and FBO-provided services). </w:t>
      </w:r>
    </w:p>
    <w:p w14:paraId="3FD8D248" w14:textId="6B423C2B" w:rsidR="00A56EDD" w:rsidRPr="00B513F4" w:rsidRDefault="00A56EDD" w:rsidP="00A56EDD">
      <w:pPr>
        <w:jc w:val="both"/>
        <w:rPr>
          <w:color w:val="000000" w:themeColor="text1"/>
        </w:rPr>
      </w:pPr>
      <w:r w:rsidRPr="00B513F4">
        <w:rPr>
          <w:color w:val="000000" w:themeColor="text1"/>
        </w:rPr>
        <w:t xml:space="preserve">As part of these efforts, a complementary area that requires attention is </w:t>
      </w:r>
      <w:r w:rsidR="00F8759D">
        <w:rPr>
          <w:color w:val="000000" w:themeColor="text1"/>
        </w:rPr>
        <w:t xml:space="preserve">the </w:t>
      </w:r>
      <w:r w:rsidRPr="00B513F4">
        <w:rPr>
          <w:color w:val="000000" w:themeColor="text1"/>
        </w:rPr>
        <w:t xml:space="preserve">government’s capabilities and practices for contracting. Given a recently established government, still insufficient records management, limited legal expertise, and fiscal volatility, government contracting with suppliers to date has been </w:t>
      </w:r>
      <w:r w:rsidR="00D76082">
        <w:rPr>
          <w:color w:val="000000" w:themeColor="text1"/>
        </w:rPr>
        <w:t>quite</w:t>
      </w:r>
      <w:r w:rsidR="00D76082" w:rsidRPr="00B513F4">
        <w:rPr>
          <w:color w:val="000000" w:themeColor="text1"/>
        </w:rPr>
        <w:t xml:space="preserve"> </w:t>
      </w:r>
      <w:r w:rsidRPr="00B513F4">
        <w:rPr>
          <w:color w:val="000000" w:themeColor="text1"/>
        </w:rPr>
        <w:t xml:space="preserve">chaotic. This has led to risks both for the good use of public funds (due to possible spurious claims from suppliers) and for private sector companies (facing a risk of late or nonpayment for goods and services delivered). Strengthening the management </w:t>
      </w:r>
      <w:r w:rsidR="00F8759D">
        <w:rPr>
          <w:color w:val="000000" w:themeColor="text1"/>
        </w:rPr>
        <w:t>o</w:t>
      </w:r>
      <w:r w:rsidRPr="00B513F4">
        <w:rPr>
          <w:color w:val="000000" w:themeColor="text1"/>
        </w:rPr>
        <w:t xml:space="preserve">f contracts will be important for </w:t>
      </w:r>
      <w:r w:rsidR="00F8759D">
        <w:rPr>
          <w:color w:val="000000" w:themeColor="text1"/>
        </w:rPr>
        <w:t xml:space="preserve">the </w:t>
      </w:r>
      <w:r w:rsidRPr="00B513F4">
        <w:rPr>
          <w:color w:val="000000" w:themeColor="text1"/>
        </w:rPr>
        <w:t xml:space="preserve">government’s ability to work productively with the private sector, both in the more ‘classical’ form of contracting for goods and services as well as for any considerations with regard to comprehensively ‘contracting out’ service provision. As discussed in section 1.1, this is consistent with the experiences and risks also observed in other postconflict countries (OECD 2011). </w:t>
      </w:r>
    </w:p>
    <w:p w14:paraId="552E593C" w14:textId="011E30A7" w:rsidR="00A56EDD" w:rsidRPr="004F305E" w:rsidRDefault="00A56EDD" w:rsidP="004F305E">
      <w:pPr>
        <w:jc w:val="both"/>
        <w:rPr>
          <w:color w:val="000000" w:themeColor="text1"/>
        </w:rPr>
      </w:pPr>
      <w:r w:rsidRPr="00B513F4">
        <w:rPr>
          <w:color w:val="000000" w:themeColor="text1"/>
        </w:rPr>
        <w:t>For the next 1</w:t>
      </w:r>
      <w:r w:rsidR="00F8759D">
        <w:rPr>
          <w:color w:val="000000" w:themeColor="text1"/>
        </w:rPr>
        <w:t>–</w:t>
      </w:r>
      <w:r w:rsidRPr="00B513F4">
        <w:rPr>
          <w:color w:val="000000" w:themeColor="text1"/>
        </w:rPr>
        <w:t xml:space="preserve">2 years, it may therefore be most valuable to capture more systematically what service provision is taking place entirely based on private-to-private contracting and based on funding from third parties. Over time, this information can be included in developing policy frameworks for service delivery areas, including equity considerations. Doing so with countrywide coverage and covering all main service delivery sectors will be challenging but doable, in particular if </w:t>
      </w:r>
      <w:r w:rsidR="00B16C7D">
        <w:rPr>
          <w:color w:val="000000" w:themeColor="text1"/>
        </w:rPr>
        <w:t xml:space="preserve">the </w:t>
      </w:r>
      <w:r w:rsidRPr="00B513F4">
        <w:rPr>
          <w:color w:val="000000" w:themeColor="text1"/>
        </w:rPr>
        <w:t xml:space="preserve">government can obtain technical and financial support from development partners. Once the fiscal and arrears situation is under control, and further progress has been made in establishing a competent public service, options for developing stronger public-private links on the one hand and for </w:t>
      </w:r>
      <w:r w:rsidR="00B16C7D">
        <w:rPr>
          <w:color w:val="000000" w:themeColor="text1"/>
        </w:rPr>
        <w:t xml:space="preserve">the </w:t>
      </w:r>
      <w:r w:rsidRPr="00B513F4">
        <w:rPr>
          <w:color w:val="000000" w:themeColor="text1"/>
        </w:rPr>
        <w:t xml:space="preserve">government playing a more significant regulatory role can be considered. </w:t>
      </w:r>
    </w:p>
    <w:p w14:paraId="6E222763" w14:textId="7E3D3335" w:rsidR="00A56EDD" w:rsidRPr="00B513F4" w:rsidRDefault="00A56EDD" w:rsidP="004F305E">
      <w:pPr>
        <w:pStyle w:val="ListParagraph"/>
        <w:numPr>
          <w:ilvl w:val="0"/>
          <w:numId w:val="12"/>
        </w:numPr>
        <w:ind w:left="1440"/>
        <w:rPr>
          <w:b/>
        </w:rPr>
      </w:pPr>
      <w:r w:rsidRPr="00B513F4">
        <w:rPr>
          <w:b/>
        </w:rPr>
        <w:t>Restarting incremental progress with strengthening HRM systems</w:t>
      </w:r>
    </w:p>
    <w:p w14:paraId="2F4E03F1" w14:textId="43746EBF" w:rsidR="00A56EDD" w:rsidRPr="00B513F4" w:rsidRDefault="00A56EDD" w:rsidP="00A56EDD">
      <w:pPr>
        <w:jc w:val="both"/>
      </w:pPr>
      <w:r w:rsidRPr="00B513F4">
        <w:t>Several system</w:t>
      </w:r>
      <w:r w:rsidR="004A0EC1">
        <w:t>-</w:t>
      </w:r>
      <w:r w:rsidRPr="00B513F4">
        <w:t>building efforts are crucial to pursue further and implement. These include capturing information about public sector staff in a database (age, educational qualification, actual location</w:t>
      </w:r>
      <w:r w:rsidR="004A0EC1">
        <w:t>,</w:t>
      </w:r>
      <w:r w:rsidRPr="00B513F4">
        <w:t xml:space="preserve"> and functions); establishing a pension system; continuing and further strengthening the electronic payroll system; and strengthening the mechanisms for hiring staff. This is the area in which incremental progress could </w:t>
      </w:r>
      <w:r>
        <w:t xml:space="preserve">be observed </w:t>
      </w:r>
      <w:r w:rsidR="00CF746D">
        <w:t>before</w:t>
      </w:r>
      <w:r>
        <w:t xml:space="preserve"> the 2013</w:t>
      </w:r>
      <w:r w:rsidR="004A0EC1">
        <w:t>–</w:t>
      </w:r>
      <w:r>
        <w:t>15</w:t>
      </w:r>
      <w:r w:rsidRPr="00B513F4">
        <w:t xml:space="preserve"> crisis. Main forms of external support to these areas have come to an end in early 2014 with the closing of the CBTF</w:t>
      </w:r>
      <w:r w:rsidR="004A0EC1">
        <w:t>.</w:t>
      </w:r>
      <w:r w:rsidRPr="00B513F4">
        <w:t xml:space="preserve"> </w:t>
      </w:r>
      <w:r w:rsidR="004A0EC1">
        <w:t>T</w:t>
      </w:r>
      <w:r w:rsidRPr="00B513F4">
        <w:t xml:space="preserve">he Bank is currently committing to take on some of these areas through the </w:t>
      </w:r>
      <w:r w:rsidRPr="00B513F4">
        <w:rPr>
          <w:i/>
        </w:rPr>
        <w:t>Institutional Development and Capacity Building Project</w:t>
      </w:r>
      <w:r w:rsidRPr="00B513F4">
        <w:t xml:space="preserve">. </w:t>
      </w:r>
    </w:p>
    <w:p w14:paraId="5EF9FB82" w14:textId="69D69D6A" w:rsidR="00A56EDD" w:rsidRPr="00B513F4" w:rsidRDefault="00A56EDD" w:rsidP="00A56EDD">
      <w:pPr>
        <w:jc w:val="both"/>
      </w:pPr>
      <w:r w:rsidRPr="00B513F4">
        <w:t xml:space="preserve">Establishing a </w:t>
      </w:r>
      <w:r w:rsidRPr="00B513F4">
        <w:rPr>
          <w:b/>
        </w:rPr>
        <w:t>pension system</w:t>
      </w:r>
      <w:r w:rsidRPr="00B513F4">
        <w:t xml:space="preserve"> is crucial to enabling staff past the retirement age to leave the civil service. Ideally, this should be combined with giving interested and qualified retiring civil servants a role in mentoring those who constitute the next generation. Among the system-building measures, this involves the greatest fiscal cost. Though the need for a pension system is generally not contested</w:t>
      </w:r>
      <w:r w:rsidR="004A0EC1">
        <w:t>,</w:t>
      </w:r>
      <w:r w:rsidRPr="00B513F4">
        <w:t xml:space="preserve"> </w:t>
      </w:r>
      <w:r w:rsidR="004A0EC1">
        <w:t>d</w:t>
      </w:r>
      <w:r w:rsidRPr="00B513F4">
        <w:t>evelopment partners can offer support for the technical design</w:t>
      </w:r>
      <w:r w:rsidR="00F576AD">
        <w:t xml:space="preserve"> and assist the Go</w:t>
      </w:r>
      <w:r w:rsidRPr="00B513F4">
        <w:t xml:space="preserve">SS with understanding the experience, mistakes, and successes of other countries </w:t>
      </w:r>
      <w:r w:rsidR="004A0EC1">
        <w:t>in</w:t>
      </w:r>
      <w:r w:rsidR="004A0EC1" w:rsidRPr="00B513F4">
        <w:t xml:space="preserve"> </w:t>
      </w:r>
      <w:r w:rsidRPr="00B513F4">
        <w:t>introducing pension systems.</w:t>
      </w:r>
    </w:p>
    <w:p w14:paraId="37328497" w14:textId="54BDAD80" w:rsidR="00A56EDD" w:rsidRPr="00B513F4" w:rsidRDefault="00A56EDD" w:rsidP="00A56EDD">
      <w:pPr>
        <w:jc w:val="both"/>
      </w:pPr>
      <w:r w:rsidRPr="00B513F4">
        <w:lastRenderedPageBreak/>
        <w:t xml:space="preserve">Establishing an </w:t>
      </w:r>
      <w:r w:rsidRPr="00B513F4">
        <w:rPr>
          <w:b/>
        </w:rPr>
        <w:t>HRMIS</w:t>
      </w:r>
      <w:r w:rsidRPr="00B513F4">
        <w:t xml:space="preserve"> that captures information about existing staff is </w:t>
      </w:r>
      <w:r w:rsidR="00D76082">
        <w:t>slightly</w:t>
      </w:r>
      <w:r w:rsidR="00D76082" w:rsidRPr="00B513F4">
        <w:t xml:space="preserve"> </w:t>
      </w:r>
      <w:r w:rsidRPr="00B513F4">
        <w:t xml:space="preserve">more controversial, since there has been a concern among managing agencies that this could be used as the starting point for efforts to reduce staff or to select staff that </w:t>
      </w:r>
      <w:r w:rsidR="004A0EC1">
        <w:t>are</w:t>
      </w:r>
      <w:r w:rsidRPr="00B513F4">
        <w:t xml:space="preserve"> deemed as unqualified. Possibly, an approach could be to insist on the capturing of basic information, while signaling that (</w:t>
      </w:r>
      <w:r w:rsidR="005A4B2C">
        <w:t>a</w:t>
      </w:r>
      <w:r w:rsidRPr="00B513F4">
        <w:t>) there is no intention to reduce overall staffing numbers given the need for the public service to deliver more services and (</w:t>
      </w:r>
      <w:r w:rsidR="005A4B2C">
        <w:t>b</w:t>
      </w:r>
      <w:r w:rsidRPr="00B513F4">
        <w:t>) removal of staff w</w:t>
      </w:r>
      <w:r w:rsidR="000B41E3">
        <w:t>ill</w:t>
      </w:r>
      <w:r w:rsidRPr="00B513F4">
        <w:t xml:space="preserve"> primarily focus on ghosts and ‘near-ghosts’, such as staff rarely appearing for work (while avoiding the exclusion of those who left their posts out of legitimate security concerns during the 2013</w:t>
      </w:r>
      <w:r w:rsidR="004A0EC1">
        <w:t>–</w:t>
      </w:r>
      <w:r w:rsidRPr="00B513F4">
        <w:t xml:space="preserve">14 crisis as noted under point </w:t>
      </w:r>
      <w:r w:rsidR="004A0EC1">
        <w:t>(</w:t>
      </w:r>
      <w:r w:rsidRPr="004A0EC1">
        <w:t>ii)</w:t>
      </w:r>
      <w:r w:rsidRPr="00B513F4">
        <w:t xml:space="preserve">. </w:t>
      </w:r>
      <w:r w:rsidR="000B41E3">
        <w:t>The c</w:t>
      </w:r>
      <w:r w:rsidRPr="00B513F4">
        <w:t xml:space="preserve">entral government can use incentives such as limiting additional funding to those agencies that are noncompliant with data collection for the HRMIS (requiring close collaboration between </w:t>
      </w:r>
      <w:r w:rsidR="00F92549">
        <w:t xml:space="preserve">the </w:t>
      </w:r>
      <w:r w:rsidRPr="00B513F4">
        <w:t>M</w:t>
      </w:r>
      <w:r w:rsidR="00C941B0">
        <w:t>o</w:t>
      </w:r>
      <w:r w:rsidRPr="00B513F4">
        <w:t xml:space="preserve">LPSHRD, MOFEP, and counterpart ministries at state levels), as has been done during earlier payroll cleaning exercises. Furthermore, rolling out an HRMIS system to </w:t>
      </w:r>
      <w:r w:rsidR="000B41E3">
        <w:t xml:space="preserve">the </w:t>
      </w:r>
      <w:r w:rsidRPr="00B513F4">
        <w:t>states and counties could facilitate HR actions and reduce the need for travel to state or national capitals</w:t>
      </w:r>
      <w:r w:rsidR="000B41E3">
        <w:t>—</w:t>
      </w:r>
      <w:r w:rsidRPr="00B513F4">
        <w:t xml:space="preserve">combined with the appropriate checks and balances against local collusion. </w:t>
      </w:r>
    </w:p>
    <w:p w14:paraId="281570F2" w14:textId="34A09024" w:rsidR="00A56EDD" w:rsidRPr="00B513F4" w:rsidRDefault="00A56EDD" w:rsidP="00A56EDD">
      <w:pPr>
        <w:jc w:val="both"/>
      </w:pPr>
      <w:r w:rsidRPr="00F576AD">
        <w:rPr>
          <w:b/>
        </w:rPr>
        <w:t>Further implementing the SSEPS.</w:t>
      </w:r>
      <w:r w:rsidRPr="00B513F4">
        <w:t xml:space="preserve"> The payroll system has a clear benefit </w:t>
      </w:r>
      <w:r w:rsidR="000B41E3">
        <w:t>with regard to</w:t>
      </w:r>
      <w:r w:rsidRPr="00B513F4">
        <w:t xml:space="preserve"> ensuring that public service staff </w:t>
      </w:r>
      <w:r w:rsidR="000B41E3">
        <w:t>are</w:t>
      </w:r>
      <w:r w:rsidR="000B41E3" w:rsidRPr="00B513F4">
        <w:t xml:space="preserve"> </w:t>
      </w:r>
      <w:r w:rsidRPr="00B513F4">
        <w:t>reliably paid and at the same time limiting the expansion of the payroll without requisite approvals (finance and public service at respective levels). Central ministries can work sector by sector and state</w:t>
      </w:r>
      <w:r w:rsidR="000B41E3">
        <w:t xml:space="preserve"> </w:t>
      </w:r>
      <w:r w:rsidRPr="00B513F4">
        <w:t>by</w:t>
      </w:r>
      <w:r w:rsidR="000B41E3">
        <w:t xml:space="preserve"> </w:t>
      </w:r>
      <w:r w:rsidRPr="00B513F4">
        <w:t xml:space="preserve">state to ensure that the system is up to date and complied with, and that there is less/no renewed emergence of ghosts. It will be important to take stock of where the development of SSEPS II stands and how it should be taken forward, including the interface with the HRMIS. </w:t>
      </w:r>
    </w:p>
    <w:p w14:paraId="599AB074" w14:textId="6E6C0CD2" w:rsidR="00A56EDD" w:rsidRPr="00B513F4" w:rsidRDefault="00A56EDD" w:rsidP="00A56EDD">
      <w:pPr>
        <w:jc w:val="both"/>
      </w:pPr>
      <w:r w:rsidRPr="00B513F4">
        <w:t>Introducing ID cards for government officials may be a useful complementary measure for reducing the risk of ghost workers and ensuring that key information is registered.</w:t>
      </w:r>
    </w:p>
    <w:p w14:paraId="1E70495B" w14:textId="28A55ED9" w:rsidR="00A56EDD" w:rsidRPr="00B513F4" w:rsidRDefault="00A56EDD" w:rsidP="00A56EDD">
      <w:pPr>
        <w:jc w:val="both"/>
      </w:pPr>
      <w:r w:rsidRPr="00B513F4">
        <w:rPr>
          <w:b/>
        </w:rPr>
        <w:t>The procedures for hiring need to be further developed.</w:t>
      </w:r>
      <w:r>
        <w:t xml:space="preserve"> As noted in section 5.5</w:t>
      </w:r>
      <w:r w:rsidRPr="00B513F4">
        <w:t xml:space="preserve">, the CSC is not involved in hiring in South Sudan. A Recruitment Board has been created under </w:t>
      </w:r>
      <w:r w:rsidR="000B41E3">
        <w:t xml:space="preserve">the </w:t>
      </w:r>
      <w:r w:rsidR="00F576AD">
        <w:t>MoLPSHRD</w:t>
      </w:r>
      <w:r w:rsidRPr="00B513F4">
        <w:t xml:space="preserve"> but remains institutionally weak. To ensure that public servants can perform assigned tasks, as well as to avoid renewed hiring of ghosts, agreed qualification standards have to be enforced. It has proven very challenging to successfully strengthen hiring practices in other countries, given the tendency for patronage practices to override formal gatekeeping efforts. The suggested system is therefore one that balances group considerations—but not patronage as such—and requirements for minimum standards to be met by any candidate (such as full literacy, numeracy, job-relevant knowledge of English and IT for any professional grades) as opposed to hiring exclusively on meritocratic grounds. National stakeholders will need to decide jointly on what model they prefer and agree to implement. This should be combined with an agreement to </w:t>
      </w:r>
      <w:r w:rsidRPr="00B513F4">
        <w:rPr>
          <w:b/>
        </w:rPr>
        <w:t>limit the number of staff in nonprofessional grades</w:t>
      </w:r>
      <w:r w:rsidRPr="00B513F4">
        <w:t xml:space="preserve"> and/or clear limits on the share of the payroll for each agency that can be allocated to such grades. </w:t>
      </w:r>
    </w:p>
    <w:p w14:paraId="54BADB29" w14:textId="6B3480C6" w:rsidR="00A56EDD" w:rsidRPr="00B513F4" w:rsidRDefault="00A56EDD" w:rsidP="00A56EDD">
      <w:pPr>
        <w:pStyle w:val="ListParagraph"/>
        <w:numPr>
          <w:ilvl w:val="0"/>
          <w:numId w:val="12"/>
        </w:numPr>
        <w:jc w:val="both"/>
        <w:rPr>
          <w:b/>
        </w:rPr>
      </w:pPr>
      <w:r w:rsidRPr="00B513F4">
        <w:rPr>
          <w:b/>
        </w:rPr>
        <w:t>Facilitating HRM and managing pay for frontline service delivery</w:t>
      </w:r>
    </w:p>
    <w:p w14:paraId="1F768917" w14:textId="59242182" w:rsidR="00A56EDD" w:rsidRPr="00B513F4" w:rsidRDefault="00A56EDD" w:rsidP="00A56EDD">
      <w:pPr>
        <w:jc w:val="both"/>
      </w:pPr>
      <w:r w:rsidRPr="00B513F4">
        <w:t xml:space="preserve">Ensuring that there is a growing number of staff providing frontline service delivery will require a substantial effort in South Sudan. Efforts in this regard have been initiated, including the adoption of a Local Service Support Joint Plan of Action in mid-2013, a gradual shift in fiscal allocations toward subnational levels, and policy discussions over increasing compensation levels for frontline health and </w:t>
      </w:r>
      <w:r w:rsidRPr="00B513F4">
        <w:lastRenderedPageBreak/>
        <w:t xml:space="preserve">education sector staff (possibly to be followed by other sectors). Such efforts complement the overall issue of shifting at least some fiscal resources from security to service delivery expenditures (recommendation </w:t>
      </w:r>
      <w:r w:rsidRPr="00806E69">
        <w:t>(i)</w:t>
      </w:r>
      <w:r w:rsidRPr="00B513F4">
        <w:t xml:space="preserve">). </w:t>
      </w:r>
    </w:p>
    <w:p w14:paraId="2175FEFD" w14:textId="065B91A8" w:rsidR="00A56EDD" w:rsidRPr="00B513F4" w:rsidRDefault="00A56EDD" w:rsidP="00A56EDD">
      <w:pPr>
        <w:jc w:val="both"/>
      </w:pPr>
      <w:r w:rsidRPr="00B513F4">
        <w:t>For frontline staff, ease of HR actions</w:t>
      </w:r>
      <w:r w:rsidR="00806E69">
        <w:t>—</w:t>
      </w:r>
      <w:r w:rsidRPr="00B513F4">
        <w:t xml:space="preserve">such as recruitment, receiving pay, registering promotions, </w:t>
      </w:r>
      <w:r w:rsidR="00CF7BB4">
        <w:t>and so on</w:t>
      </w:r>
      <w:r w:rsidR="00806E69">
        <w:t>—</w:t>
      </w:r>
      <w:r w:rsidRPr="00B513F4">
        <w:t>is an important aspect: time spent traveling to state capitals for such actions is time not spent on service delivery. Devolving functions to the county level can have important benefits in this regard and with an appropriate design</w:t>
      </w:r>
      <w:r w:rsidR="00806E69">
        <w:t>,</w:t>
      </w:r>
      <w:r w:rsidRPr="00B513F4">
        <w:t xml:space="preserve"> </w:t>
      </w:r>
      <w:r w:rsidR="00806E69">
        <w:t xml:space="preserve">they </w:t>
      </w:r>
      <w:r w:rsidRPr="00B513F4">
        <w:t>can help ensure that funding reaches specific frontline functions as intended. Furthermore, there is a need to adequately compensate staff</w:t>
      </w:r>
      <w:r w:rsidR="00806E69">
        <w:t>,</w:t>
      </w:r>
      <w:r w:rsidRPr="00B513F4">
        <w:t xml:space="preserve"> while exercising caution in maintaining a coherent system and avoiding overpay. Experience</w:t>
      </w:r>
      <w:r w:rsidR="00806E69">
        <w:t>s</w:t>
      </w:r>
      <w:r w:rsidRPr="00B513F4">
        <w:t xml:space="preserve"> from other countries suggest that increases for one category of staff frequently result in pressures to also increase compensation of other categories of staff, posing fiscal as well as political risks. Developing compensation policies and grounding them in fiscal and labor market assessments will be important. </w:t>
      </w:r>
    </w:p>
    <w:p w14:paraId="67B173B3" w14:textId="73FB4407" w:rsidR="00A56EDD" w:rsidRPr="00B513F4" w:rsidRDefault="00A56EDD" w:rsidP="00A56EDD">
      <w:pPr>
        <w:jc w:val="both"/>
      </w:pPr>
      <w:r w:rsidRPr="00B513F4">
        <w:t>Bringing more funding and functions to local (</w:t>
      </w:r>
      <w:r w:rsidR="0093206E">
        <w:t>that is,</w:t>
      </w:r>
      <w:r w:rsidRPr="00B513F4">
        <w:t xml:space="preserve"> county and </w:t>
      </w:r>
      <w:r w:rsidRPr="00F576AD">
        <w:rPr>
          <w:i/>
        </w:rPr>
        <w:t>payam</w:t>
      </w:r>
      <w:r w:rsidRPr="00B513F4">
        <w:t>) levels needs to be accompanied by appropriate accountability measures</w:t>
      </w:r>
      <w:r w:rsidR="00806E69">
        <w:t>—</w:t>
      </w:r>
      <w:r w:rsidRPr="00B513F4">
        <w:t>including transparency and accountability measures appropriate for the context (including a high level of adult illiteracy) that enable citizens to identify and signal concerns</w:t>
      </w:r>
      <w:r w:rsidR="00806E69">
        <w:t xml:space="preserve"> and</w:t>
      </w:r>
      <w:r w:rsidRPr="00B513F4">
        <w:t xml:space="preserve"> managerial accountability relationships with higher levels</w:t>
      </w:r>
      <w:r w:rsidR="00806E69">
        <w:t>—</w:t>
      </w:r>
      <w:r w:rsidRPr="00B513F4">
        <w:t>such as requirements for regular reporting of payroll, and a reach of key horizontal accountability institutions, such as the audit chamber down to state and local levels. Intergovernmental relations in South Sudan are explored further in a sec</w:t>
      </w:r>
      <w:r>
        <w:t>ond policy note (World Bank 2015</w:t>
      </w:r>
      <w:r w:rsidR="00644DBD">
        <w:t>a</w:t>
      </w:r>
      <w:r w:rsidRPr="00B513F4">
        <w:t>). The emergence of ghost workers on a large</w:t>
      </w:r>
      <w:r w:rsidR="00806E69">
        <w:t xml:space="preserve"> </w:t>
      </w:r>
      <w:r w:rsidRPr="00B513F4">
        <w:t>scale during the initial development of the public service provides an important reminder of the need for clear accountability standa</w:t>
      </w:r>
      <w:r>
        <w:t>rds and oversight capabilities</w:t>
      </w:r>
      <w:r w:rsidR="00806E69">
        <w:t>.</w:t>
      </w:r>
      <w:r>
        <w:t xml:space="preserve"> </w:t>
      </w:r>
      <w:r w:rsidR="00806E69">
        <w:t>L</w:t>
      </w:r>
      <w:r>
        <w:t>ocal</w:t>
      </w:r>
      <w:r w:rsidR="00806E69">
        <w:t>-</w:t>
      </w:r>
      <w:r>
        <w:t xml:space="preserve">level pressures to bring extended family members on the public payroll may be substantial. </w:t>
      </w:r>
    </w:p>
    <w:p w14:paraId="1DB0804F" w14:textId="096DB4B0" w:rsidR="00A56EDD" w:rsidRPr="00B513F4" w:rsidRDefault="00A56EDD" w:rsidP="004F305E">
      <w:pPr>
        <w:pStyle w:val="ListParagraph"/>
        <w:numPr>
          <w:ilvl w:val="0"/>
          <w:numId w:val="12"/>
        </w:numPr>
        <w:ind w:left="1440"/>
        <w:rPr>
          <w:b/>
        </w:rPr>
      </w:pPr>
      <w:r w:rsidRPr="00B513F4">
        <w:rPr>
          <w:b/>
        </w:rPr>
        <w:t xml:space="preserve">Capacity building: </w:t>
      </w:r>
      <w:r w:rsidR="00806E69">
        <w:rPr>
          <w:b/>
        </w:rPr>
        <w:t>S</w:t>
      </w:r>
      <w:r w:rsidRPr="00B513F4">
        <w:rPr>
          <w:b/>
        </w:rPr>
        <w:t>trengthening the supply, monitoring, and incentives</w:t>
      </w:r>
    </w:p>
    <w:p w14:paraId="173707DB" w14:textId="7540F986" w:rsidR="00A56EDD" w:rsidRPr="00B513F4" w:rsidRDefault="00A56EDD" w:rsidP="00A56EDD">
      <w:pPr>
        <w:jc w:val="both"/>
      </w:pPr>
      <w:r w:rsidRPr="00B513F4">
        <w:t>Capacity</w:t>
      </w:r>
      <w:r w:rsidR="00806E69">
        <w:t>-</w:t>
      </w:r>
      <w:r w:rsidRPr="00B513F4">
        <w:t xml:space="preserve">building efforts have the potential to become more systematic and also </w:t>
      </w:r>
      <w:r w:rsidR="0040349B">
        <w:t xml:space="preserve">be </w:t>
      </w:r>
      <w:r w:rsidRPr="00B513F4">
        <w:t xml:space="preserve">better monitored. As has been traced in section 5 of this note, substantial effort has been channeled toward capacity building, but it remains very unclear what has been achieved relative to the resources that were allocated. </w:t>
      </w:r>
    </w:p>
    <w:p w14:paraId="35351608" w14:textId="49076D8E" w:rsidR="00A56EDD" w:rsidRPr="00B513F4" w:rsidRDefault="00A56EDD" w:rsidP="00772CA8">
      <w:pPr>
        <w:pStyle w:val="ListParagraph"/>
        <w:numPr>
          <w:ilvl w:val="0"/>
          <w:numId w:val="40"/>
        </w:numPr>
        <w:ind w:left="1800"/>
        <w:contextualSpacing w:val="0"/>
        <w:jc w:val="both"/>
      </w:pPr>
      <w:r w:rsidRPr="00B513F4">
        <w:rPr>
          <w:i/>
        </w:rPr>
        <w:t>Strengthening the supply</w:t>
      </w:r>
      <w:r w:rsidRPr="00B513F4">
        <w:t>: Reducing ad hoc training and increasing sufficiently in-depth training opportunities will be crucial. Courses lasting for two weeks often have little effect, in particular if participants are not well selected and tested at the outset. Creating and strengthening in-country training facilities can help make training more staff for longer periods of time relatively more affordable</w:t>
      </w:r>
      <w:r w:rsidR="0040349B">
        <w:t>—</w:t>
      </w:r>
      <w:r w:rsidR="0093206E">
        <w:t>for example,</w:t>
      </w:r>
      <w:r w:rsidRPr="00B513F4">
        <w:t xml:space="preserve"> offering more 1</w:t>
      </w:r>
      <w:r w:rsidR="0040349B">
        <w:t>–</w:t>
      </w:r>
      <w:r w:rsidRPr="00B513F4">
        <w:t xml:space="preserve">3 months courses and beyond. More systematic training supply could be complemented with </w:t>
      </w:r>
      <w:r w:rsidRPr="00B513F4">
        <w:rPr>
          <w:b/>
        </w:rPr>
        <w:t>establishing curricula that facilitate case</w:t>
      </w:r>
      <w:r w:rsidRPr="00B513F4">
        <w:t>-</w:t>
      </w:r>
      <w:r w:rsidRPr="00B513F4">
        <w:rPr>
          <w:b/>
        </w:rPr>
        <w:t>based learning for a large number of civil servants across levels of government and</w:t>
      </w:r>
      <w:r w:rsidRPr="00B513F4">
        <w:t xml:space="preserve"> </w:t>
      </w:r>
      <w:r w:rsidRPr="00B513F4">
        <w:rPr>
          <w:b/>
        </w:rPr>
        <w:t xml:space="preserve">establishing mentoring teams for various job cadres that can provide advice and support, </w:t>
      </w:r>
      <w:r w:rsidR="0093206E">
        <w:rPr>
          <w:b/>
        </w:rPr>
        <w:t>for example,</w:t>
      </w:r>
      <w:r w:rsidRPr="00B513F4">
        <w:rPr>
          <w:b/>
        </w:rPr>
        <w:t xml:space="preserve"> from retiring to more recently recruited staff, through IGAD</w:t>
      </w:r>
      <w:r w:rsidR="008F3E45">
        <w:rPr>
          <w:b/>
        </w:rPr>
        <w:t>-</w:t>
      </w:r>
      <w:r w:rsidRPr="00B513F4">
        <w:rPr>
          <w:b/>
        </w:rPr>
        <w:t xml:space="preserve">funded staff, </w:t>
      </w:r>
      <w:r w:rsidR="00CF7BB4">
        <w:rPr>
          <w:b/>
        </w:rPr>
        <w:t>and so on</w:t>
      </w:r>
      <w:r w:rsidRPr="00B513F4">
        <w:rPr>
          <w:b/>
        </w:rPr>
        <w:t>.</w:t>
      </w:r>
      <w:r w:rsidRPr="00B513F4">
        <w:t xml:space="preserve"> </w:t>
      </w:r>
    </w:p>
    <w:p w14:paraId="509AF098" w14:textId="56E14620" w:rsidR="00A56EDD" w:rsidRPr="00B513F4" w:rsidRDefault="00A56EDD" w:rsidP="00772CA8">
      <w:pPr>
        <w:pStyle w:val="ListParagraph"/>
        <w:numPr>
          <w:ilvl w:val="0"/>
          <w:numId w:val="40"/>
        </w:numPr>
        <w:ind w:left="1800"/>
        <w:contextualSpacing w:val="0"/>
        <w:jc w:val="both"/>
      </w:pPr>
      <w:r w:rsidRPr="00B513F4">
        <w:lastRenderedPageBreak/>
        <w:t xml:space="preserve">For service delivery sectors, it will be important to further strengthen training opportunities and institutions, </w:t>
      </w:r>
      <w:r w:rsidR="0093206E">
        <w:t>for example,</w:t>
      </w:r>
      <w:r w:rsidRPr="00B513F4">
        <w:t xml:space="preserve"> for teachers and nurses. Based on appropriate identification of priorities and approaches, </w:t>
      </w:r>
      <w:r w:rsidR="008F3E45">
        <w:t xml:space="preserve">the </w:t>
      </w:r>
      <w:r w:rsidRPr="00B513F4">
        <w:t xml:space="preserve">government may want to consider explicitly seeking funding from development partners for such institutions, as there is potential for a multiplier effect on service delivery; while it may want to always provide sufficient co-funding to mitigate the risk of aid volatility. </w:t>
      </w:r>
    </w:p>
    <w:p w14:paraId="630CE031" w14:textId="513D2645" w:rsidR="00A56EDD" w:rsidRPr="00B513F4" w:rsidRDefault="00A56EDD" w:rsidP="00772CA8">
      <w:pPr>
        <w:pStyle w:val="ListParagraph"/>
        <w:numPr>
          <w:ilvl w:val="0"/>
          <w:numId w:val="40"/>
        </w:numPr>
        <w:ind w:left="1800"/>
        <w:contextualSpacing w:val="0"/>
        <w:jc w:val="both"/>
      </w:pPr>
      <w:r w:rsidRPr="00B513F4">
        <w:t xml:space="preserve">Ultimately, training ‘pathways’ should come to resemble more </w:t>
      </w:r>
      <w:r w:rsidR="00937CD1">
        <w:t xml:space="preserve">of </w:t>
      </w:r>
      <w:r w:rsidRPr="00B513F4">
        <w:t>those stable countries (</w:t>
      </w:r>
      <w:r w:rsidR="0093206E">
        <w:t>that is,</w:t>
      </w:r>
      <w:r w:rsidRPr="00B513F4">
        <w:t xml:space="preserve"> successive general primary and secondary schooling followed by substantial post-secondary training). While this is a long-term strategy, it is an important one so as to avoid facing the same or similar capacity gaps in a decade that are being faced today. </w:t>
      </w:r>
    </w:p>
    <w:p w14:paraId="0001A400" w14:textId="77777777" w:rsidR="00A56EDD" w:rsidRPr="00B513F4" w:rsidRDefault="00A56EDD" w:rsidP="00772CA8">
      <w:pPr>
        <w:pStyle w:val="ListParagraph"/>
        <w:numPr>
          <w:ilvl w:val="0"/>
          <w:numId w:val="40"/>
        </w:numPr>
        <w:ind w:left="1800"/>
        <w:contextualSpacing w:val="0"/>
        <w:jc w:val="both"/>
      </w:pPr>
      <w:r w:rsidRPr="00B513F4">
        <w:rPr>
          <w:i/>
        </w:rPr>
        <w:t>Strengthening monitoring of the impacts of capacity building</w:t>
      </w:r>
      <w:r w:rsidRPr="00B513F4">
        <w:t>: a strengthened supply will also facilitate better tracking of and monitoring of how these systems expand and how many individuals and in what areas have benefitted. It will remain more challenging to track and monitor how added capacity is being used within the public sector, but this should be pursued in parallel if it is possible to establish at least insipient performance management.</w:t>
      </w:r>
    </w:p>
    <w:p w14:paraId="59FD5290" w14:textId="5EB6B69F" w:rsidR="00A56EDD" w:rsidRPr="00B513F4" w:rsidRDefault="00A56EDD" w:rsidP="00772CA8">
      <w:pPr>
        <w:pStyle w:val="ListParagraph"/>
        <w:numPr>
          <w:ilvl w:val="0"/>
          <w:numId w:val="40"/>
        </w:numPr>
        <w:ind w:left="1800"/>
        <w:contextualSpacing w:val="0"/>
        <w:jc w:val="both"/>
      </w:pPr>
      <w:r w:rsidRPr="00B513F4">
        <w:rPr>
          <w:i/>
        </w:rPr>
        <w:t>Addressing the issue of unqualified staff in positions</w:t>
      </w:r>
      <w:r w:rsidRPr="00B513F4">
        <w:t xml:space="preserve">: It is not likely to be feasible to make unqualified staff redundant at a larger scale, even though earlier reform efforts have targeted this. Therefore, the following are a set of combined second-best approaches: </w:t>
      </w:r>
      <w:r w:rsidR="00937CD1">
        <w:t>the g</w:t>
      </w:r>
      <w:r w:rsidRPr="00B513F4">
        <w:t xml:space="preserve">overnment at </w:t>
      </w:r>
      <w:r w:rsidR="00937CD1">
        <w:t xml:space="preserve">the </w:t>
      </w:r>
      <w:r w:rsidRPr="00B513F4">
        <w:t>federal, state</w:t>
      </w:r>
      <w:r w:rsidR="00937CD1">
        <w:t>,</w:t>
      </w:r>
      <w:r w:rsidRPr="00B513F4">
        <w:t xml:space="preserve"> and county levels should consider offering training to any existing staff at professional levels who currently do</w:t>
      </w:r>
      <w:r w:rsidR="00937CD1">
        <w:t>es</w:t>
      </w:r>
      <w:r w:rsidRPr="00B513F4">
        <w:t xml:space="preserve"> not meet the basic standards in the four basic categories (literacy, numeracy, English, </w:t>
      </w:r>
      <w:r w:rsidR="00937CD1">
        <w:t xml:space="preserve">and </w:t>
      </w:r>
      <w:r w:rsidRPr="00B513F4">
        <w:t>IT</w:t>
      </w:r>
      <w:r w:rsidR="00937CD1">
        <w:t xml:space="preserve"> </w:t>
      </w:r>
      <w:r w:rsidRPr="00B513F4">
        <w:t>skills). This w</w:t>
      </w:r>
      <w:r w:rsidR="00937CD1">
        <w:t>ill</w:t>
      </w:r>
      <w:r w:rsidRPr="00B513F4">
        <w:t xml:space="preserve"> allow sufficient time</w:t>
      </w:r>
      <w:r w:rsidR="00937CD1">
        <w:t>,</w:t>
      </w:r>
      <w:r w:rsidRPr="00B513F4">
        <w:t xml:space="preserve"> in principle</w:t>
      </w:r>
      <w:r w:rsidR="00937CD1">
        <w:t>,</w:t>
      </w:r>
      <w:r w:rsidRPr="00B513F4">
        <w:t xml:space="preserve"> to catch up on key qualifications, even for staff who may have had limited opportunities for training earlier. In principle, such agreements should apply both to civil service staff and to staff employed by the four organized forces (police, prison, fire, wildlife). </w:t>
      </w:r>
    </w:p>
    <w:p w14:paraId="665551DA" w14:textId="74ACE7FA" w:rsidR="00A56EDD" w:rsidRPr="00B513F4" w:rsidRDefault="00A56EDD" w:rsidP="00772CA8">
      <w:pPr>
        <w:pStyle w:val="ListParagraph"/>
        <w:numPr>
          <w:ilvl w:val="0"/>
          <w:numId w:val="40"/>
        </w:numPr>
        <w:ind w:left="1800"/>
        <w:contextualSpacing w:val="0"/>
        <w:jc w:val="both"/>
      </w:pPr>
      <w:r w:rsidRPr="00B513F4">
        <w:rPr>
          <w:i/>
        </w:rPr>
        <w:t xml:space="preserve">The government could consider providing incentives for qualifying staff currently employed in the organized forces to move toward the civil side of employment. </w:t>
      </w:r>
      <w:r w:rsidRPr="00B513F4">
        <w:t>As set out in section 4, there is an imbalance in the employment between the two. Stability considerations render it difficult to dismiss staff</w:t>
      </w:r>
      <w:r w:rsidR="00937CD1">
        <w:t>,</w:t>
      </w:r>
      <w:r w:rsidRPr="00B513F4">
        <w:t xml:space="preserve"> but it may be possible to shift at least some staff to functions with greater social benefits. Such an approach should complement rather than replace overall considerations about restructuring and if possible reducing the organized forces. </w:t>
      </w:r>
    </w:p>
    <w:p w14:paraId="03B71712" w14:textId="77777777" w:rsidR="00A56EDD" w:rsidRPr="00B513F4" w:rsidRDefault="00A56EDD" w:rsidP="00A56EDD">
      <w:pPr>
        <w:pStyle w:val="ListParagraph"/>
        <w:numPr>
          <w:ilvl w:val="0"/>
          <w:numId w:val="12"/>
        </w:numPr>
        <w:rPr>
          <w:b/>
        </w:rPr>
      </w:pPr>
      <w:r w:rsidRPr="00B513F4">
        <w:rPr>
          <w:b/>
        </w:rPr>
        <w:t>Strengthening the coordination and effectiveness of development partner support</w:t>
      </w:r>
    </w:p>
    <w:p w14:paraId="21FCC7C3" w14:textId="5FDA7DB3" w:rsidR="00A56EDD" w:rsidRPr="00B513F4" w:rsidRDefault="00A56EDD" w:rsidP="00A56EDD">
      <w:pPr>
        <w:jc w:val="both"/>
        <w:rPr>
          <w:b/>
        </w:rPr>
      </w:pPr>
      <w:r w:rsidRPr="00B513F4">
        <w:rPr>
          <w:i/>
        </w:rPr>
        <w:t xml:space="preserve">Establishing regular high-level and continuous coordination of public sector strengthening efforts: </w:t>
      </w:r>
      <w:r>
        <w:t xml:space="preserve">The GRSS and </w:t>
      </w:r>
      <w:r w:rsidR="00937CD1">
        <w:t>d</w:t>
      </w:r>
      <w:r>
        <w:t xml:space="preserve">evelopment </w:t>
      </w:r>
      <w:r w:rsidR="00937CD1">
        <w:t>p</w:t>
      </w:r>
      <w:r w:rsidRPr="00B513F4">
        <w:t xml:space="preserve">artners to an extent have exchanged mutual blame for shortcomings in public sector development. A more effective approach going forward will require a more systematic effort at </w:t>
      </w:r>
      <w:r w:rsidRPr="00B513F4">
        <w:lastRenderedPageBreak/>
        <w:t xml:space="preserve">coordination, including periodic high-level dialogue, supported by a relevant structure of working groups and information sharing. </w:t>
      </w:r>
    </w:p>
    <w:p w14:paraId="79883C7C" w14:textId="77777777" w:rsidR="00A56EDD" w:rsidRPr="00B513F4" w:rsidRDefault="00A56EDD" w:rsidP="00A56EDD">
      <w:r w:rsidRPr="00B513F4">
        <w:t>The key actions that can be taken by development partners include the following:</w:t>
      </w:r>
    </w:p>
    <w:p w14:paraId="7A85472C" w14:textId="57AD2AAA" w:rsidR="00A56EDD" w:rsidRPr="00B513F4" w:rsidRDefault="00A56EDD" w:rsidP="00772CA8">
      <w:pPr>
        <w:pStyle w:val="ListParagraph"/>
        <w:numPr>
          <w:ilvl w:val="0"/>
          <w:numId w:val="7"/>
        </w:numPr>
        <w:tabs>
          <w:tab w:val="clear" w:pos="720"/>
        </w:tabs>
        <w:contextualSpacing w:val="0"/>
        <w:jc w:val="both"/>
      </w:pPr>
      <w:r w:rsidRPr="00B513F4">
        <w:t>Strengthening information sharing and collaboration around support to capacity building and to public service reform: in particular as the CBTF as a hub for sharing information comes to an end, creating a mechanism for this will be important</w:t>
      </w:r>
      <w:r w:rsidR="009C39A8">
        <w:t>—</w:t>
      </w:r>
      <w:r w:rsidRPr="00B513F4">
        <w:t>while avoiding overly complex coordination</w:t>
      </w:r>
      <w:r>
        <w:t xml:space="preserve"> structures</w:t>
      </w:r>
      <w:r w:rsidRPr="00B513F4">
        <w:t xml:space="preserve">. As part of this, a </w:t>
      </w:r>
      <w:r w:rsidRPr="008D32E1">
        <w:rPr>
          <w:i/>
        </w:rPr>
        <w:t>public administration sector working group</w:t>
      </w:r>
      <w:r w:rsidRPr="00B513F4">
        <w:t xml:space="preserve"> should be considered. This can help </w:t>
      </w:r>
      <w:r w:rsidR="009C39A8">
        <w:t>d</w:t>
      </w:r>
      <w:r w:rsidRPr="00B513F4">
        <w:t xml:space="preserve">evelopment </w:t>
      </w:r>
      <w:r w:rsidR="009C39A8">
        <w:t>p</w:t>
      </w:r>
      <w:r w:rsidRPr="00B513F4">
        <w:t xml:space="preserve">artners and the GRSS discuss on a regular basis where reform efforts stand and what support is needed. Such a </w:t>
      </w:r>
      <w:r w:rsidR="009C39A8">
        <w:t>sector working group</w:t>
      </w:r>
      <w:r w:rsidRPr="00B513F4">
        <w:t xml:space="preserve"> will also be crucial for restarting the dialogue on public sector reforms once a renewed political settlement emerges. </w:t>
      </w:r>
    </w:p>
    <w:p w14:paraId="66085300" w14:textId="5FF80D15" w:rsidR="00A56EDD" w:rsidRPr="00B513F4" w:rsidRDefault="00A56EDD" w:rsidP="00772CA8">
      <w:pPr>
        <w:pStyle w:val="ListParagraph"/>
        <w:numPr>
          <w:ilvl w:val="1"/>
          <w:numId w:val="7"/>
        </w:numPr>
        <w:tabs>
          <w:tab w:val="clear" w:pos="1440"/>
        </w:tabs>
        <w:contextualSpacing w:val="0"/>
        <w:jc w:val="both"/>
      </w:pPr>
      <w:r w:rsidRPr="00B513F4">
        <w:t>Better information sharing could include some sector</w:t>
      </w:r>
      <w:r w:rsidR="009C39A8">
        <w:t>-</w:t>
      </w:r>
      <w:r w:rsidRPr="00B513F4">
        <w:t>by</w:t>
      </w:r>
      <w:r w:rsidR="009C39A8">
        <w:t>-</w:t>
      </w:r>
      <w:r w:rsidRPr="00B513F4">
        <w:t xml:space="preserve">sector and state-by-state mapping of what trainings have been organized as well as a depository of curricula used. </w:t>
      </w:r>
    </w:p>
    <w:p w14:paraId="6865161E" w14:textId="37CD4C74" w:rsidR="00A56EDD" w:rsidRPr="00B513F4" w:rsidRDefault="00A56EDD" w:rsidP="00772CA8">
      <w:pPr>
        <w:pStyle w:val="ListParagraph"/>
        <w:numPr>
          <w:ilvl w:val="0"/>
          <w:numId w:val="7"/>
        </w:numPr>
        <w:tabs>
          <w:tab w:val="clear" w:pos="720"/>
        </w:tabs>
        <w:contextualSpacing w:val="0"/>
        <w:jc w:val="both"/>
      </w:pPr>
      <w:r w:rsidRPr="00B513F4">
        <w:t>Development partners can s</w:t>
      </w:r>
      <w:r>
        <w:t>upport</w:t>
      </w:r>
      <w:r w:rsidRPr="00B513F4">
        <w:t xml:space="preserve"> efforts at highlighting fiscal trade-offs, costs, and choices</w:t>
      </w:r>
      <w:r>
        <w:t xml:space="preserve">, and thus help </w:t>
      </w:r>
      <w:r w:rsidR="009C39A8">
        <w:t>the g</w:t>
      </w:r>
      <w:r>
        <w:t>overnment</w:t>
      </w:r>
      <w:r w:rsidRPr="00B513F4">
        <w:t xml:space="preserve"> take more informed choices. However, doing so effectively requires a degree of trust to share planned policies in sufficient detail so that key costs can be anticipated. </w:t>
      </w:r>
    </w:p>
    <w:p w14:paraId="090E650D" w14:textId="59FAC506" w:rsidR="00A56EDD" w:rsidRPr="00B513F4" w:rsidRDefault="00A56EDD" w:rsidP="00772CA8">
      <w:pPr>
        <w:pStyle w:val="ListParagraph"/>
        <w:numPr>
          <w:ilvl w:val="0"/>
          <w:numId w:val="7"/>
        </w:numPr>
        <w:tabs>
          <w:tab w:val="clear" w:pos="720"/>
        </w:tabs>
        <w:contextualSpacing w:val="0"/>
        <w:jc w:val="both"/>
      </w:pPr>
      <w:r w:rsidRPr="00B513F4">
        <w:t xml:space="preserve">Supporting monitoring and evaluation and highlighting progress that is being made. </w:t>
      </w:r>
      <w:r w:rsidR="009C39A8">
        <w:t xml:space="preserve">The </w:t>
      </w:r>
      <w:r w:rsidRPr="00B513F4">
        <w:t xml:space="preserve">GRSS has expressed a strong interest in developing the capabilities for </w:t>
      </w:r>
      <w:r w:rsidR="009C39A8">
        <w:t>monitoring and evaluation</w:t>
      </w:r>
      <w:r w:rsidRPr="00B513F4">
        <w:t xml:space="preserve">, and development partners can play an important role in supporting the development of such capabilities. </w:t>
      </w:r>
    </w:p>
    <w:p w14:paraId="084769A2" w14:textId="2D5564F5" w:rsidR="00A56EDD" w:rsidRPr="00B513F4" w:rsidRDefault="00A56EDD" w:rsidP="00772CA8">
      <w:pPr>
        <w:pStyle w:val="ListParagraph"/>
        <w:numPr>
          <w:ilvl w:val="0"/>
          <w:numId w:val="7"/>
        </w:numPr>
        <w:tabs>
          <w:tab w:val="clear" w:pos="720"/>
        </w:tabs>
        <w:contextualSpacing w:val="0"/>
        <w:jc w:val="both"/>
      </w:pPr>
      <w:r w:rsidRPr="00B513F4">
        <w:t xml:space="preserve">Helping the GRSS to connect to international experience. Many officials in </w:t>
      </w:r>
      <w:r w:rsidR="00756306">
        <w:t xml:space="preserve">the </w:t>
      </w:r>
      <w:r w:rsidRPr="00B513F4">
        <w:t xml:space="preserve">GRSS have had some exposure to other systems, as discussed in </w:t>
      </w:r>
      <w:r w:rsidR="00756306">
        <w:t>s</w:t>
      </w:r>
      <w:r w:rsidRPr="00B513F4">
        <w:t>ection 5.1; and many have some knowledge of the constraints, weaknesses</w:t>
      </w:r>
      <w:r w:rsidR="00756306">
        <w:t>,</w:t>
      </w:r>
      <w:r w:rsidRPr="00B513F4">
        <w:t xml:space="preserve"> and public sector reform efforts in other countries in the region. However, a more systematic assessment of experiences across countries, as well as direct access</w:t>
      </w:r>
      <w:r w:rsidR="00756306">
        <w:t>—</w:t>
      </w:r>
      <w:r w:rsidR="0093206E">
        <w:t>for example,</w:t>
      </w:r>
      <w:r w:rsidRPr="00B513F4">
        <w:t xml:space="preserve"> to ‘reform entrepreneurs’ who have managed to pursue reform steps elsewhere</w:t>
      </w:r>
      <w:r w:rsidR="00756306">
        <w:t>—</w:t>
      </w:r>
      <w:r w:rsidRPr="00B513F4">
        <w:t>are likely to be valuab</w:t>
      </w:r>
      <w:r>
        <w:t xml:space="preserve">le, and are contributions that </w:t>
      </w:r>
      <w:r w:rsidR="00756306">
        <w:t>d</w:t>
      </w:r>
      <w:r>
        <w:t xml:space="preserve">evelopment </w:t>
      </w:r>
      <w:r w:rsidR="00756306">
        <w:t>p</w:t>
      </w:r>
      <w:r w:rsidRPr="00B513F4">
        <w:t xml:space="preserve">artners can make. </w:t>
      </w:r>
    </w:p>
    <w:p w14:paraId="36AC3163" w14:textId="5B651B51" w:rsidR="00A56EDD" w:rsidRPr="00B513F4" w:rsidRDefault="00A56EDD" w:rsidP="00A56EDD">
      <w:pPr>
        <w:jc w:val="both"/>
      </w:pPr>
      <w:r w:rsidRPr="00B513F4">
        <w:t xml:space="preserve">For the Bank, the </w:t>
      </w:r>
      <w:r w:rsidRPr="00B513F4">
        <w:rPr>
          <w:i/>
        </w:rPr>
        <w:t>Institutional Development and Capacity Building Project</w:t>
      </w:r>
      <w:r w:rsidRPr="00B513F4">
        <w:t xml:space="preserve"> that is under preparation offers opportunities to engage on several of these issues, in particular restarting efforts on HRM systems development and strengthening the supply for capacity building and monitoring efforts, as well as on a stronger emphasis on performance. Hence</w:t>
      </w:r>
      <w:r w:rsidR="00756306">
        <w:t>,</w:t>
      </w:r>
      <w:r w:rsidRPr="00B513F4">
        <w:t xml:space="preserve"> there is a close and direct relationship of this analytic work with our operational engagement. The team will also seek to engage through policy dialogue and outreach on the overall agenda. The first step in this regard is expected to be a discussion of the findings contained in this note</w:t>
      </w:r>
      <w:r w:rsidR="00756306">
        <w:t>,</w:t>
      </w:r>
      <w:r w:rsidRPr="00B513F4">
        <w:t xml:space="preserve"> involving a range of stakeholders from </w:t>
      </w:r>
      <w:r w:rsidR="00756306">
        <w:t xml:space="preserve">the </w:t>
      </w:r>
      <w:r w:rsidRPr="00B513F4">
        <w:t xml:space="preserve">government, South Sudanese </w:t>
      </w:r>
      <w:r w:rsidR="00756306">
        <w:t>t</w:t>
      </w:r>
      <w:r w:rsidRPr="00B513F4">
        <w:t xml:space="preserve">hink </w:t>
      </w:r>
      <w:r w:rsidR="00756306">
        <w:t>t</w:t>
      </w:r>
      <w:r w:rsidRPr="00B513F4">
        <w:t xml:space="preserve">anks, as well as pertinent other development partners. </w:t>
      </w:r>
    </w:p>
    <w:p w14:paraId="2913A239" w14:textId="32038D36" w:rsidR="00A56EDD" w:rsidRDefault="00A56EDD" w:rsidP="00F576AD">
      <w:pPr>
        <w:jc w:val="both"/>
        <w:sectPr w:rsidR="00A56EDD">
          <w:pgSz w:w="12240" w:h="15840"/>
          <w:pgMar w:top="1440" w:right="1440" w:bottom="1440" w:left="1440" w:header="720" w:footer="720" w:gutter="0"/>
          <w:cols w:space="720"/>
          <w:docGrid w:linePitch="360"/>
        </w:sectPr>
      </w:pPr>
      <w:r w:rsidRPr="00B513F4">
        <w:t xml:space="preserve">Several other projects provide relevant support as well. The Bank is providing support for </w:t>
      </w:r>
      <w:r w:rsidR="003E0E00">
        <w:t>s</w:t>
      </w:r>
      <w:r w:rsidRPr="00B513F4">
        <w:t xml:space="preserve">tatistical </w:t>
      </w:r>
      <w:r w:rsidR="003E0E00">
        <w:t>c</w:t>
      </w:r>
      <w:r w:rsidRPr="00B513F4">
        <w:t xml:space="preserve">apacity </w:t>
      </w:r>
      <w:r w:rsidR="003E0E00">
        <w:t>b</w:t>
      </w:r>
      <w:r w:rsidRPr="00B513F4">
        <w:t xml:space="preserve">uilding; </w:t>
      </w:r>
      <w:r w:rsidR="003E0E00">
        <w:t>p</w:t>
      </w:r>
      <w:r w:rsidRPr="00B513F4">
        <w:t xml:space="preserve">rivate </w:t>
      </w:r>
      <w:r w:rsidR="003E0E00">
        <w:t>s</w:t>
      </w:r>
      <w:r w:rsidRPr="00B513F4">
        <w:t xml:space="preserve">ector </w:t>
      </w:r>
      <w:r w:rsidR="003E0E00">
        <w:t>d</w:t>
      </w:r>
      <w:r w:rsidRPr="00B513F4">
        <w:t xml:space="preserve">evelopment; </w:t>
      </w:r>
      <w:r w:rsidR="003E0E00">
        <w:t>l</w:t>
      </w:r>
      <w:r w:rsidRPr="00B513F4">
        <w:t xml:space="preserve">ocal </w:t>
      </w:r>
      <w:r w:rsidR="003E0E00">
        <w:t>g</w:t>
      </w:r>
      <w:r w:rsidRPr="00B513F4">
        <w:t xml:space="preserve">overnance and </w:t>
      </w:r>
      <w:r w:rsidR="003E0E00">
        <w:t>s</w:t>
      </w:r>
      <w:r w:rsidRPr="00B513F4">
        <w:t xml:space="preserve">ervice </w:t>
      </w:r>
      <w:r w:rsidR="003E0E00">
        <w:t>d</w:t>
      </w:r>
      <w:r w:rsidRPr="00B513F4">
        <w:t xml:space="preserve">elivery; </w:t>
      </w:r>
      <w:r w:rsidR="003E0E00">
        <w:t>r</w:t>
      </w:r>
      <w:r w:rsidRPr="00B513F4">
        <w:t xml:space="preserve">apid </w:t>
      </w:r>
      <w:r w:rsidR="003E0E00">
        <w:t>r</w:t>
      </w:r>
      <w:r w:rsidRPr="00B513F4">
        <w:t xml:space="preserve">esults in the </w:t>
      </w:r>
      <w:r w:rsidR="003E0E00">
        <w:t>h</w:t>
      </w:r>
      <w:r w:rsidRPr="00B513F4">
        <w:t xml:space="preserve">ealth </w:t>
      </w:r>
      <w:r w:rsidR="003E0E00">
        <w:t>s</w:t>
      </w:r>
      <w:r w:rsidRPr="00B513F4">
        <w:t xml:space="preserve">ector; </w:t>
      </w:r>
      <w:r w:rsidR="003E0E00">
        <w:t>r</w:t>
      </w:r>
      <w:r w:rsidRPr="00B513F4">
        <w:t xml:space="preserve">ural </w:t>
      </w:r>
      <w:r w:rsidR="003E0E00">
        <w:t>r</w:t>
      </w:r>
      <w:r w:rsidRPr="00B513F4">
        <w:t xml:space="preserve">oads; and </w:t>
      </w:r>
      <w:r w:rsidR="003E0E00">
        <w:t>s</w:t>
      </w:r>
      <w:r w:rsidRPr="00B513F4">
        <w:t xml:space="preserve">afety </w:t>
      </w:r>
      <w:r w:rsidR="003E0E00">
        <w:t>n</w:t>
      </w:r>
      <w:r w:rsidRPr="00B513F4">
        <w:t xml:space="preserve">ets and </w:t>
      </w:r>
      <w:r w:rsidR="003E0E00">
        <w:t>s</w:t>
      </w:r>
      <w:r w:rsidRPr="00B513F4">
        <w:t xml:space="preserve">kills </w:t>
      </w:r>
      <w:r w:rsidR="003E0E00">
        <w:t>d</w:t>
      </w:r>
      <w:r w:rsidRPr="00B513F4">
        <w:t xml:space="preserve">evelopment. It is also preparing analytic work on </w:t>
      </w:r>
      <w:r w:rsidR="005C0EA6">
        <w:lastRenderedPageBreak/>
        <w:t>s</w:t>
      </w:r>
      <w:r w:rsidRPr="00B513F4">
        <w:t xml:space="preserve">ervice </w:t>
      </w:r>
      <w:r w:rsidR="005C0EA6">
        <w:t>d</w:t>
      </w:r>
      <w:r w:rsidRPr="00B513F4">
        <w:t xml:space="preserve">elivery </w:t>
      </w:r>
      <w:r w:rsidR="005C0EA6">
        <w:t>i</w:t>
      </w:r>
      <w:r w:rsidRPr="00B513F4">
        <w:t>ndicators</w:t>
      </w:r>
      <w:r w:rsidR="005C0EA6">
        <w:t>,</w:t>
      </w:r>
      <w:r w:rsidRPr="00B513F4">
        <w:t xml:space="preserve"> a High Frequency Survey</w:t>
      </w:r>
      <w:r w:rsidR="005C0EA6">
        <w:t>,</w:t>
      </w:r>
      <w:r w:rsidRPr="00B513F4">
        <w:t xml:space="preserve"> and an </w:t>
      </w:r>
      <w:r w:rsidR="005C0EA6">
        <w:t>a</w:t>
      </w:r>
      <w:r w:rsidRPr="00B513F4">
        <w:t xml:space="preserve">ssessment of the </w:t>
      </w:r>
      <w:r w:rsidR="005C0EA6">
        <w:t>w</w:t>
      </w:r>
      <w:r w:rsidRPr="00B513F4">
        <w:t xml:space="preserve">ater </w:t>
      </w:r>
      <w:r w:rsidR="005C0EA6">
        <w:t>s</w:t>
      </w:r>
      <w:r w:rsidRPr="00B513F4">
        <w:t>ector and provides smaller</w:t>
      </w:r>
      <w:r w:rsidR="005C0EA6">
        <w:t>-</w:t>
      </w:r>
      <w:r w:rsidRPr="00B513F4">
        <w:t xml:space="preserve">scale support for developing the capacity of the DDR Commission. All of these provide opportunities for the </w:t>
      </w:r>
      <w:r w:rsidR="002A51BE">
        <w:t>g</w:t>
      </w:r>
      <w:r w:rsidRPr="00B513F4">
        <w:t>overnment to use the resources and expertise being provided to further develop and strengthen the service provision and the capacities of the public sector across sectors and levels of government.</w:t>
      </w:r>
    </w:p>
    <w:p w14:paraId="71433CAC" w14:textId="3B76AF79" w:rsidR="00A56EDD" w:rsidRPr="00B513F4" w:rsidRDefault="00A56EDD" w:rsidP="00A56EDD">
      <w:pPr>
        <w:pStyle w:val="Heading2"/>
      </w:pPr>
      <w:bookmarkStart w:id="47" w:name="_Toc447892408"/>
      <w:r w:rsidRPr="00B513F4">
        <w:lastRenderedPageBreak/>
        <w:t xml:space="preserve">Annex 1: Overview of </w:t>
      </w:r>
      <w:r w:rsidR="00DD5E18">
        <w:t>P</w:t>
      </w:r>
      <w:r w:rsidRPr="00B513F4">
        <w:t xml:space="preserve">ublic </w:t>
      </w:r>
      <w:r w:rsidR="00DD5E18">
        <w:t>S</w:t>
      </w:r>
      <w:r w:rsidRPr="00B513F4">
        <w:t xml:space="preserve">ector </w:t>
      </w:r>
      <w:r w:rsidR="00DD5E18">
        <w:t>E</w:t>
      </w:r>
      <w:r w:rsidRPr="00B513F4">
        <w:t>volution in South Sudan, 2004</w:t>
      </w:r>
      <w:r w:rsidR="00DD5E18">
        <w:t>–</w:t>
      </w:r>
      <w:r w:rsidRPr="00B513F4">
        <w:t>201</w:t>
      </w:r>
      <w:r w:rsidR="00535DAC">
        <w:t>5</w:t>
      </w:r>
      <w:bookmarkEnd w:id="47"/>
    </w:p>
    <w:p w14:paraId="3B7B75C4" w14:textId="77777777" w:rsidR="00A56EDD" w:rsidRPr="00B513F4" w:rsidRDefault="00A56EDD" w:rsidP="00A56EDD">
      <w:pPr>
        <w:sectPr w:rsidR="00A56EDD" w:rsidRPr="00B513F4">
          <w:pgSz w:w="12240" w:h="15840"/>
          <w:pgMar w:top="1440" w:right="1440" w:bottom="1440" w:left="1440" w:header="720" w:footer="720" w:gutter="0"/>
          <w:cols w:space="720"/>
          <w:docGrid w:linePitch="360"/>
        </w:sectPr>
      </w:pPr>
    </w:p>
    <w:p w14:paraId="0A61AD9C" w14:textId="1547AD95" w:rsidR="00A56EDD" w:rsidRPr="00B513F4" w:rsidRDefault="00807923" w:rsidP="00A56EDD">
      <w:pPr>
        <w:pStyle w:val="Default"/>
        <w:spacing w:after="120"/>
        <w:jc w:val="both"/>
        <w:rPr>
          <w:b/>
          <w:bCs/>
          <w:sz w:val="20"/>
          <w:szCs w:val="20"/>
          <w:u w:val="single"/>
        </w:rPr>
        <w:sectPr w:rsidR="00A56EDD" w:rsidRPr="00B513F4" w:rsidSect="007857CB">
          <w:pgSz w:w="15840" w:h="12240" w:orient="landscape"/>
          <w:pgMar w:top="720" w:right="720" w:bottom="720" w:left="720" w:header="720" w:footer="720" w:gutter="0"/>
          <w:cols w:space="720"/>
          <w:docGrid w:linePitch="360"/>
        </w:sectPr>
      </w:pPr>
      <w:r>
        <w:rPr>
          <w:noProof/>
        </w:rPr>
        <w:lastRenderedPageBreak/>
        <mc:AlternateContent>
          <mc:Choice Requires="wps">
            <w:drawing>
              <wp:anchor distT="0" distB="0" distL="114300" distR="114300" simplePos="0" relativeHeight="251669504" behindDoc="0" locked="0" layoutInCell="1" allowOverlap="1" wp14:anchorId="79DADFDA" wp14:editId="5B3D6A89">
                <wp:simplePos x="0" y="0"/>
                <wp:positionH relativeFrom="margin">
                  <wp:align>left</wp:align>
                </wp:positionH>
                <wp:positionV relativeFrom="paragraph">
                  <wp:posOffset>-3810</wp:posOffset>
                </wp:positionV>
                <wp:extent cx="9131935" cy="302149"/>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9131935" cy="302149"/>
                        </a:xfrm>
                        <a:prstGeom prst="rect">
                          <a:avLst/>
                        </a:prstGeom>
                        <a:solidFill>
                          <a:prstClr val="white"/>
                        </a:solidFill>
                        <a:ln>
                          <a:noFill/>
                        </a:ln>
                        <a:effectLst/>
                      </wps:spPr>
                      <wps:txbx>
                        <w:txbxContent>
                          <w:p w14:paraId="2E3B850C" w14:textId="24AF9026" w:rsidR="00D56EAC" w:rsidRPr="006E1702" w:rsidRDefault="00D56EAC" w:rsidP="00301AD8">
                            <w:pPr>
                              <w:pStyle w:val="Caption"/>
                              <w:rPr>
                                <w:noProof/>
                              </w:rPr>
                            </w:pPr>
                            <w:r>
                              <w:t xml:space="preserve">Figure </w:t>
                            </w:r>
                            <w:fldSimple w:instr=" SEQ Figure \* ARABIC ">
                              <w:r>
                                <w:rPr>
                                  <w:noProof/>
                                </w:rPr>
                                <w:t>16</w:t>
                              </w:r>
                            </w:fldSimple>
                            <w:r>
                              <w:t>. Overview of Public Sector Evolution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DADFDA" id="Text Box 2" o:spid="_x0000_s1046" type="#_x0000_t202" style="position:absolute;left:0;text-align:left;margin-left:0;margin-top:-.3pt;width:719.05pt;height:23.8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" stroked="f">
                <v:textbox inset="0,0,0,0">
                  <w:txbxContent>
                    <w:p w14:paraId="2E3B850C" w14:textId="24AF9026" w:rsidR="00D56EAC" w:rsidRPr="006E1702" w:rsidRDefault="00D56EAC" w:rsidP="00301AD8">
                      <w:pPr>
                        <w:pStyle w:val="Caption"/>
                        <w:rPr>
                          <w:noProof/>
                        </w:rPr>
                      </w:pPr>
                      <w:r>
                        <w:t xml:space="preserve">Figure </w:t>
                      </w:r>
                      <w:fldSimple w:instr=" SEQ Figure \* ARABIC ">
                        <w:r>
                          <w:rPr>
                            <w:noProof/>
                          </w:rPr>
                          <w:t>16</w:t>
                        </w:r>
                      </w:fldSimple>
                      <w:r>
                        <w:t>. Overview of Public Sector Evolution</w:t>
                      </w:r>
                    </w:p>
                  </w:txbxContent>
                </v:textbox>
                <w10:wrap anchorx="margin"/>
              </v:shape>
            </w:pict>
          </mc:Fallback>
        </mc:AlternateContent>
      </w:r>
      <w:r w:rsidR="00A56EDD" w:rsidRPr="00B513F4">
        <w:rPr>
          <w:rFonts w:asciiTheme="minorHAnsi" w:hAnsiTheme="minorHAnsi" w:cstheme="minorBidi"/>
          <w:noProof/>
          <w:color w:val="auto"/>
          <w:sz w:val="22"/>
          <w:szCs w:val="22"/>
        </w:rPr>
        <mc:AlternateContent>
          <mc:Choice Requires="wpc">
            <w:drawing>
              <wp:anchor distT="0" distB="0" distL="114300" distR="114300" simplePos="0" relativeHeight="251667456" behindDoc="0" locked="0" layoutInCell="1" allowOverlap="1" wp14:anchorId="01E370A3" wp14:editId="630E89EB">
                <wp:simplePos x="0" y="0"/>
                <wp:positionH relativeFrom="column">
                  <wp:posOffset>3810</wp:posOffset>
                </wp:positionH>
                <wp:positionV relativeFrom="paragraph">
                  <wp:posOffset>0</wp:posOffset>
                </wp:positionV>
                <wp:extent cx="9131935" cy="6820535"/>
                <wp:effectExtent l="0" t="0" r="69215" b="94615"/>
                <wp:wrapTopAndBottom/>
                <wp:docPr id="104" name="Canvas 10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0" name="Straight Connector 60"/>
                        <wps:cNvCnPr/>
                        <wps:spPr>
                          <a:xfrm flipV="1">
                            <a:off x="114291" y="3428439"/>
                            <a:ext cx="7438671" cy="284"/>
                          </a:xfrm>
                          <a:prstGeom prst="line">
                            <a:avLst/>
                          </a:prstGeom>
                          <a:noFill/>
                          <a:ln w="34925" cap="flat" cmpd="sng" algn="ctr">
                            <a:solidFill>
                              <a:srgbClr val="4F81BD">
                                <a:shade val="95000"/>
                                <a:satMod val="105000"/>
                              </a:srgbClr>
                            </a:solidFill>
                            <a:prstDash val="solid"/>
                          </a:ln>
                          <a:effectLst/>
                        </wps:spPr>
                        <wps:bodyPr/>
                      </wps:wsp>
                      <wps:wsp>
                        <wps:cNvPr id="62" name="Straight Arrow Connector 62"/>
                        <wps:cNvCnPr/>
                        <wps:spPr>
                          <a:xfrm>
                            <a:off x="7572375" y="3428720"/>
                            <a:ext cx="1523563" cy="1"/>
                          </a:xfrm>
                          <a:prstGeom prst="straightConnector1">
                            <a:avLst/>
                          </a:prstGeom>
                          <a:noFill/>
                          <a:ln w="34925" cap="flat" cmpd="sng" algn="ctr">
                            <a:solidFill>
                              <a:srgbClr val="4F81BD">
                                <a:shade val="95000"/>
                                <a:satMod val="105000"/>
                              </a:srgbClr>
                            </a:solidFill>
                            <a:prstDash val="dash"/>
                            <a:tailEnd type="arrow"/>
                          </a:ln>
                          <a:effectLst/>
                        </wps:spPr>
                        <wps:bodyPr/>
                      </wps:wsp>
                      <wps:wsp>
                        <wps:cNvPr id="66" name="Straight Connector 66"/>
                        <wps:cNvCnPr/>
                        <wps:spPr>
                          <a:xfrm>
                            <a:off x="7553325" y="3305175"/>
                            <a:ext cx="0" cy="200025"/>
                          </a:xfrm>
                          <a:prstGeom prst="line">
                            <a:avLst/>
                          </a:prstGeom>
                          <a:noFill/>
                          <a:ln w="9525" cap="flat" cmpd="sng" algn="ctr">
                            <a:solidFill>
                              <a:srgbClr val="4F81BD">
                                <a:shade val="95000"/>
                                <a:satMod val="105000"/>
                              </a:srgbClr>
                            </a:solidFill>
                            <a:prstDash val="solid"/>
                          </a:ln>
                          <a:effectLst/>
                        </wps:spPr>
                        <wps:bodyPr/>
                      </wps:wsp>
                      <wps:wsp>
                        <wps:cNvPr id="67" name="Text Box 67"/>
                        <wps:cNvSpPr txBox="1"/>
                        <wps:spPr>
                          <a:xfrm>
                            <a:off x="438150" y="352425"/>
                            <a:ext cx="990600" cy="1619250"/>
                          </a:xfrm>
                          <a:prstGeom prst="rect">
                            <a:avLst/>
                          </a:prstGeom>
                          <a:solidFill>
                            <a:srgbClr val="4F81BD">
                              <a:lumMod val="60000"/>
                              <a:lumOff val="40000"/>
                              <a:alpha val="50000"/>
                            </a:srgbClr>
                          </a:solidFill>
                          <a:ln w="6350">
                            <a:noFill/>
                          </a:ln>
                          <a:effectLst/>
                        </wps:spPr>
                        <wps:txbx>
                          <w:txbxContent>
                            <w:p w14:paraId="0B5B5F68" w14:textId="77777777" w:rsidR="00D56EAC" w:rsidRPr="001833FC" w:rsidRDefault="00D56EAC" w:rsidP="00A56EDD">
                              <w:pPr>
                                <w:rPr>
                                  <w:sz w:val="18"/>
                                </w:rPr>
                              </w:pPr>
                              <w:r w:rsidRPr="001833FC">
                                <w:rPr>
                                  <w:sz w:val="18"/>
                                </w:rPr>
                                <w:t>Civil war, garrison towns and liberated areas</w:t>
                              </w:r>
                            </w:p>
                            <w:p w14:paraId="4B67C789" w14:textId="77777777" w:rsidR="00D56EAC" w:rsidRPr="001833FC" w:rsidRDefault="00D56EAC" w:rsidP="00A56EDD">
                              <w:pPr>
                                <w:rPr>
                                  <w:sz w:val="18"/>
                                </w:rPr>
                              </w:pPr>
                              <w:r w:rsidRPr="001833FC">
                                <w:rPr>
                                  <w:sz w:val="18"/>
                                </w:rPr>
                                <w:t>Service provision mainly through NGOs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Left Arrow 69"/>
                        <wps:cNvSpPr/>
                        <wps:spPr>
                          <a:xfrm>
                            <a:off x="0" y="1561125"/>
                            <a:ext cx="1266824" cy="666750"/>
                          </a:xfrm>
                          <a:prstGeom prst="leftArrow">
                            <a:avLst/>
                          </a:prstGeom>
                          <a:solidFill>
                            <a:srgbClr val="4F81BD">
                              <a:alpha val="3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Text Box 70"/>
                        <wps:cNvSpPr txBox="1"/>
                        <wps:spPr>
                          <a:xfrm>
                            <a:off x="190500" y="1685925"/>
                            <a:ext cx="1238250" cy="400050"/>
                          </a:xfrm>
                          <a:prstGeom prst="rect">
                            <a:avLst/>
                          </a:prstGeom>
                          <a:noFill/>
                          <a:ln w="6350">
                            <a:noFill/>
                          </a:ln>
                          <a:effectLst/>
                        </wps:spPr>
                        <wps:txbx>
                          <w:txbxContent>
                            <w:p w14:paraId="380A9795" w14:textId="53F91E52" w:rsidR="00D56EAC" w:rsidRDefault="00D56EAC" w:rsidP="00A56EDD">
                              <w:pPr>
                                <w:spacing w:after="0" w:line="240" w:lineRule="auto"/>
                                <w:rPr>
                                  <w:sz w:val="18"/>
                                </w:rPr>
                              </w:pPr>
                              <w:r w:rsidRPr="001833FC">
                                <w:rPr>
                                  <w:sz w:val="18"/>
                                </w:rPr>
                                <w:t>1</w:t>
                              </w:r>
                              <w:r>
                                <w:rPr>
                                  <w:sz w:val="18"/>
                                </w:rPr>
                                <w:t>951–1972</w:t>
                              </w:r>
                              <w:r w:rsidRPr="001833FC">
                                <w:rPr>
                                  <w:sz w:val="18"/>
                                </w:rPr>
                                <w:t xml:space="preserve">, </w:t>
                              </w:r>
                            </w:p>
                            <w:p w14:paraId="09660C1E" w14:textId="170D0D14" w:rsidR="00D56EAC" w:rsidRPr="001833FC" w:rsidRDefault="00D56EAC" w:rsidP="00A56EDD">
                              <w:pPr>
                                <w:spacing w:after="0" w:line="240" w:lineRule="auto"/>
                                <w:rPr>
                                  <w:sz w:val="18"/>
                                </w:rPr>
                              </w:pPr>
                              <w:r w:rsidRPr="001833FC">
                                <w:rPr>
                                  <w:sz w:val="18"/>
                                </w:rPr>
                                <w:t>1983</w:t>
                              </w:r>
                              <w:r>
                                <w:rPr>
                                  <w:sz w:val="18"/>
                                </w:rPr>
                                <w:t>–</w:t>
                              </w:r>
                              <w:r w:rsidRPr="001833FC">
                                <w:rPr>
                                  <w:sz w:val="18"/>
                                </w:rPr>
                                <w:t>early 2000s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Text Box 72"/>
                        <wps:cNvSpPr txBox="1"/>
                        <wps:spPr>
                          <a:xfrm>
                            <a:off x="923925" y="2352675"/>
                            <a:ext cx="1381125" cy="819149"/>
                          </a:xfrm>
                          <a:prstGeom prst="rect">
                            <a:avLst/>
                          </a:prstGeom>
                          <a:solidFill>
                            <a:sysClr val="window" lastClr="FFFFFF"/>
                          </a:solidFill>
                          <a:ln w="6350">
                            <a:solidFill>
                              <a:prstClr val="black"/>
                            </a:solidFill>
                          </a:ln>
                          <a:effectLst/>
                        </wps:spPr>
                        <wps:txbx>
                          <w:txbxContent>
                            <w:p w14:paraId="2C260F01" w14:textId="77777777" w:rsidR="00D56EAC" w:rsidRPr="001833FC" w:rsidRDefault="00D56EAC" w:rsidP="00A56EDD">
                              <w:pPr>
                                <w:spacing w:after="0" w:line="240" w:lineRule="auto"/>
                                <w:rPr>
                                  <w:sz w:val="18"/>
                                </w:rPr>
                              </w:pPr>
                              <w:r w:rsidRPr="001833FC">
                                <w:rPr>
                                  <w:sz w:val="18"/>
                                </w:rPr>
                                <w:t>January 2005</w:t>
                              </w:r>
                            </w:p>
                            <w:p w14:paraId="4B1A50F6" w14:textId="57D1AE7B" w:rsidR="00D56EAC" w:rsidRDefault="00D56EAC" w:rsidP="00A56EDD">
                              <w:pPr>
                                <w:spacing w:after="0" w:line="240" w:lineRule="auto"/>
                                <w:rPr>
                                  <w:sz w:val="18"/>
                                </w:rPr>
                              </w:pPr>
                              <w:r w:rsidRPr="001833FC">
                                <w:rPr>
                                  <w:sz w:val="18"/>
                                </w:rPr>
                                <w:t>CPA signed between the SPLM and GoS</w:t>
                              </w:r>
                              <w:r>
                                <w:rPr>
                                  <w:sz w:val="18"/>
                                </w:rPr>
                                <w:t>S</w:t>
                              </w:r>
                            </w:p>
                            <w:p w14:paraId="4BA0BEAA" w14:textId="0C5D9D13" w:rsidR="00D56EAC" w:rsidRPr="001833FC" w:rsidRDefault="00D56EAC" w:rsidP="00A56EDD">
                              <w:pPr>
                                <w:spacing w:after="0" w:line="240" w:lineRule="auto"/>
                                <w:rPr>
                                  <w:sz w:val="18"/>
                                </w:rPr>
                              </w:pPr>
                              <w:r w:rsidRPr="008F7EB3">
                                <w:rPr>
                                  <w:b/>
                                  <w:sz w:val="18"/>
                                </w:rPr>
                                <w:t xml:space="preserve">Interim </w:t>
                              </w:r>
                              <w:r>
                                <w:rPr>
                                  <w:b/>
                                  <w:sz w:val="18"/>
                                </w:rPr>
                                <w:t>c</w:t>
                              </w:r>
                              <w:r w:rsidRPr="008F7EB3">
                                <w:rPr>
                                  <w:b/>
                                  <w:sz w:val="18"/>
                                </w:rPr>
                                <w:t xml:space="preserve">onstitution </w:t>
                              </w:r>
                              <w:r>
                                <w:rPr>
                                  <w:sz w:val="18"/>
                                </w:rPr>
                                <w:t>enacted as part of CPA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Text Box 11"/>
                        <wps:cNvSpPr txBox="1"/>
                        <wps:spPr>
                          <a:xfrm>
                            <a:off x="4303912" y="2275128"/>
                            <a:ext cx="1277324" cy="763098"/>
                          </a:xfrm>
                          <a:prstGeom prst="rect">
                            <a:avLst/>
                          </a:prstGeom>
                          <a:solidFill>
                            <a:sysClr val="window" lastClr="FFFFFF"/>
                          </a:solidFill>
                          <a:ln w="6350">
                            <a:solidFill>
                              <a:prstClr val="black"/>
                            </a:solidFill>
                          </a:ln>
                          <a:effectLst/>
                        </wps:spPr>
                        <wps:txbx>
                          <w:txbxContent>
                            <w:p w14:paraId="7852EEF3" w14:textId="77777777" w:rsidR="00D56EAC" w:rsidRPr="001833FC" w:rsidRDefault="00D56EAC" w:rsidP="00A56EDD">
                              <w:pPr>
                                <w:spacing w:after="0" w:line="240" w:lineRule="auto"/>
                                <w:rPr>
                                  <w:sz w:val="18"/>
                                </w:rPr>
                              </w:pPr>
                              <w:r w:rsidRPr="001833FC">
                                <w:rPr>
                                  <w:sz w:val="18"/>
                                </w:rPr>
                                <w:t>July 2011</w:t>
                              </w:r>
                            </w:p>
                            <w:p w14:paraId="20A5D099" w14:textId="77777777" w:rsidR="00D56EAC" w:rsidRDefault="00D56EAC" w:rsidP="00A56EDD">
                              <w:pPr>
                                <w:spacing w:after="0" w:line="240" w:lineRule="auto"/>
                                <w:rPr>
                                  <w:sz w:val="18"/>
                                </w:rPr>
                              </w:pPr>
                              <w:r w:rsidRPr="001833FC">
                                <w:rPr>
                                  <w:sz w:val="18"/>
                                </w:rPr>
                                <w:t>Independence</w:t>
                              </w:r>
                              <w:r>
                                <w:rPr>
                                  <w:sz w:val="18"/>
                                </w:rPr>
                                <w:t xml:space="preserve"> of South Sudan</w:t>
                              </w:r>
                            </w:p>
                            <w:p w14:paraId="14403BDA" w14:textId="364E20C1" w:rsidR="00D56EAC" w:rsidRPr="001833FC" w:rsidRDefault="00D56EAC" w:rsidP="00A56EDD">
                              <w:pPr>
                                <w:spacing w:after="0" w:line="240" w:lineRule="auto"/>
                                <w:rPr>
                                  <w:sz w:val="18"/>
                                </w:rPr>
                              </w:pPr>
                              <w:r w:rsidRPr="00A30EA4">
                                <w:rPr>
                                  <w:b/>
                                  <w:sz w:val="18"/>
                                </w:rPr>
                                <w:t>Transitional</w:t>
                              </w:r>
                              <w:r w:rsidRPr="00A30EA4">
                                <w:rPr>
                                  <w:sz w:val="18"/>
                                </w:rPr>
                                <w:t xml:space="preserve"> </w:t>
                              </w:r>
                              <w:r>
                                <w:rPr>
                                  <w:b/>
                                  <w:sz w:val="18"/>
                                </w:rPr>
                                <w:t>c</w:t>
                              </w:r>
                              <w:r w:rsidRPr="008F7EB3">
                                <w:rPr>
                                  <w:b/>
                                  <w:sz w:val="18"/>
                                </w:rPr>
                                <w:t>onstitution</w:t>
                              </w:r>
                              <w:r>
                                <w:rPr>
                                  <w:sz w:val="18"/>
                                </w:rPr>
                                <w:t xml:space="preserve"> enacted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4" name="Text Box 11"/>
                        <wps:cNvSpPr txBox="1"/>
                        <wps:spPr>
                          <a:xfrm>
                            <a:off x="6037585" y="2483889"/>
                            <a:ext cx="1258565" cy="533400"/>
                          </a:xfrm>
                          <a:prstGeom prst="rect">
                            <a:avLst/>
                          </a:prstGeom>
                          <a:solidFill>
                            <a:sysClr val="window" lastClr="FFFFFF"/>
                          </a:solidFill>
                          <a:ln w="6350">
                            <a:solidFill>
                              <a:prstClr val="black"/>
                            </a:solidFill>
                          </a:ln>
                          <a:effectLst/>
                        </wps:spPr>
                        <wps:txbx>
                          <w:txbxContent>
                            <w:p w14:paraId="0D3FB4E9" w14:textId="77777777" w:rsidR="00D56EAC" w:rsidRPr="001833FC" w:rsidRDefault="00D56EAC" w:rsidP="00A56EDD">
                              <w:pPr>
                                <w:spacing w:after="0" w:line="240" w:lineRule="auto"/>
                                <w:rPr>
                                  <w:sz w:val="18"/>
                                </w:rPr>
                              </w:pPr>
                              <w:r w:rsidRPr="001833FC">
                                <w:rPr>
                                  <w:sz w:val="18"/>
                                </w:rPr>
                                <w:t>December 2013</w:t>
                              </w:r>
                            </w:p>
                            <w:p w14:paraId="600C062A" w14:textId="77777777" w:rsidR="00D56EAC" w:rsidRPr="008F7EB3" w:rsidRDefault="00D56EAC" w:rsidP="00A56EDD">
                              <w:pPr>
                                <w:spacing w:after="0" w:line="240" w:lineRule="auto"/>
                                <w:rPr>
                                  <w:b/>
                                  <w:sz w:val="18"/>
                                </w:rPr>
                              </w:pPr>
                              <w:r w:rsidRPr="008F7EB3">
                                <w:rPr>
                                  <w:b/>
                                  <w:sz w:val="18"/>
                                </w:rPr>
                                <w:t>Outbreak of violence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5" name="Text Box 75"/>
                        <wps:cNvSpPr txBox="1"/>
                        <wps:spPr>
                          <a:xfrm>
                            <a:off x="2952608" y="2264813"/>
                            <a:ext cx="1238250" cy="740779"/>
                          </a:xfrm>
                          <a:prstGeom prst="rect">
                            <a:avLst/>
                          </a:prstGeom>
                          <a:solidFill>
                            <a:sysClr val="window" lastClr="FFFFFF"/>
                          </a:solidFill>
                          <a:ln w="6350">
                            <a:solidFill>
                              <a:prstClr val="black"/>
                            </a:solidFill>
                          </a:ln>
                          <a:effectLst/>
                        </wps:spPr>
                        <wps:txbx>
                          <w:txbxContent>
                            <w:p w14:paraId="0FCE7050" w14:textId="77777777" w:rsidR="00D56EAC" w:rsidRDefault="00D56EAC" w:rsidP="00A56EDD">
                              <w:pPr>
                                <w:spacing w:after="0" w:line="240" w:lineRule="auto"/>
                                <w:rPr>
                                  <w:sz w:val="18"/>
                                </w:rPr>
                              </w:pPr>
                              <w:r>
                                <w:rPr>
                                  <w:sz w:val="18"/>
                                </w:rPr>
                                <w:t>April 2010</w:t>
                              </w:r>
                            </w:p>
                            <w:p w14:paraId="7DB76927" w14:textId="33F30041" w:rsidR="00D56EAC" w:rsidRDefault="00D56EAC" w:rsidP="00A56EDD">
                              <w:pPr>
                                <w:spacing w:after="0" w:line="240" w:lineRule="auto"/>
                              </w:pPr>
                              <w:r w:rsidRPr="008F7EB3">
                                <w:rPr>
                                  <w:b/>
                                  <w:sz w:val="18"/>
                                </w:rPr>
                                <w:t>Elections</w:t>
                              </w:r>
                              <w:r>
                                <w:t xml:space="preserve"> </w:t>
                              </w:r>
                              <w:r w:rsidRPr="00CB1FB6">
                                <w:rPr>
                                  <w:sz w:val="18"/>
                                </w:rPr>
                                <w:t xml:space="preserve">in the </w:t>
                              </w:r>
                              <w:r>
                                <w:rPr>
                                  <w:sz w:val="18"/>
                                </w:rPr>
                                <w:t>n</w:t>
                              </w:r>
                              <w:r w:rsidRPr="00CB1FB6">
                                <w:rPr>
                                  <w:sz w:val="18"/>
                                </w:rPr>
                                <w:t xml:space="preserve">orth and in </w:t>
                              </w:r>
                              <w:r>
                                <w:rPr>
                                  <w:sz w:val="18"/>
                                </w:rPr>
                                <w:t>s</w:t>
                              </w:r>
                              <w:r w:rsidRPr="00CB1FB6">
                                <w:rPr>
                                  <w:sz w:val="18"/>
                                </w:rPr>
                                <w:t>outhern Sudan</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Text Box 11"/>
                        <wps:cNvSpPr txBox="1"/>
                        <wps:spPr>
                          <a:xfrm>
                            <a:off x="3732825" y="1561125"/>
                            <a:ext cx="991575" cy="600075"/>
                          </a:xfrm>
                          <a:prstGeom prst="rect">
                            <a:avLst/>
                          </a:prstGeom>
                          <a:solidFill>
                            <a:sysClr val="window" lastClr="FFFFFF"/>
                          </a:solidFill>
                          <a:ln w="6350">
                            <a:solidFill>
                              <a:prstClr val="black"/>
                            </a:solidFill>
                          </a:ln>
                          <a:effectLst/>
                        </wps:spPr>
                        <wps:txbx>
                          <w:txbxContent>
                            <w:p w14:paraId="2FACCCBA" w14:textId="77777777" w:rsidR="00D56EAC" w:rsidRPr="00CB1FB6" w:rsidRDefault="00D56EAC" w:rsidP="00A56EDD">
                              <w:pPr>
                                <w:spacing w:after="0" w:line="240" w:lineRule="auto"/>
                                <w:rPr>
                                  <w:sz w:val="18"/>
                                </w:rPr>
                              </w:pPr>
                              <w:r w:rsidRPr="00CB1FB6">
                                <w:rPr>
                                  <w:sz w:val="18"/>
                                </w:rPr>
                                <w:t>January 2011</w:t>
                              </w:r>
                            </w:p>
                            <w:p w14:paraId="1336D57D" w14:textId="77777777" w:rsidR="00D56EAC" w:rsidRPr="00CB1FB6" w:rsidRDefault="00D56EAC" w:rsidP="00A56EDD">
                              <w:pPr>
                                <w:spacing w:after="0" w:line="240" w:lineRule="auto"/>
                                <w:rPr>
                                  <w:sz w:val="18"/>
                                </w:rPr>
                              </w:pPr>
                              <w:r w:rsidRPr="008F7EB3">
                                <w:rPr>
                                  <w:b/>
                                  <w:sz w:val="18"/>
                                </w:rPr>
                                <w:t>Referendum</w:t>
                              </w:r>
                              <w:r w:rsidRPr="00CB1FB6">
                                <w:rPr>
                                  <w:sz w:val="18"/>
                                </w:rPr>
                                <w:t xml:space="preserve"> on Independence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7" name="Text Box 15"/>
                        <wps:cNvSpPr txBox="1"/>
                        <wps:spPr>
                          <a:xfrm>
                            <a:off x="7893306" y="2262679"/>
                            <a:ext cx="1238250" cy="718646"/>
                          </a:xfrm>
                          <a:prstGeom prst="rect">
                            <a:avLst/>
                          </a:prstGeom>
                          <a:solidFill>
                            <a:sysClr val="window" lastClr="FFFFFF"/>
                          </a:solidFill>
                          <a:ln w="6350">
                            <a:solidFill>
                              <a:prstClr val="black"/>
                            </a:solidFill>
                            <a:prstDash val="dash"/>
                          </a:ln>
                          <a:effectLst/>
                        </wps:spPr>
                        <wps:txbx>
                          <w:txbxContent>
                            <w:p w14:paraId="1E35F261" w14:textId="49D09C14" w:rsidR="00D56EAC" w:rsidRPr="00B71BEA" w:rsidRDefault="00D56EAC" w:rsidP="00A56EDD">
                              <w:pPr>
                                <w:spacing w:after="0" w:line="240" w:lineRule="auto"/>
                                <w:rPr>
                                  <w:color w:val="70AD47" w:themeColor="accent6"/>
                                  <w:sz w:val="18"/>
                                </w:rPr>
                              </w:pPr>
                              <w:r>
                                <w:rPr>
                                  <w:color w:val="70AD47" w:themeColor="accent6"/>
                                  <w:sz w:val="18"/>
                                </w:rPr>
                                <w:t>2019</w:t>
                              </w:r>
                            </w:p>
                            <w:p w14:paraId="16A029DD" w14:textId="77777777" w:rsidR="00D56EAC" w:rsidRPr="00CB1FB6" w:rsidRDefault="00D56EAC" w:rsidP="00A56EDD">
                              <w:pPr>
                                <w:spacing w:after="0" w:line="240" w:lineRule="auto"/>
                                <w:rPr>
                                  <w:sz w:val="18"/>
                                </w:rPr>
                              </w:pPr>
                              <w:r w:rsidRPr="00CB1FB6">
                                <w:rPr>
                                  <w:sz w:val="18"/>
                                </w:rPr>
                                <w:t xml:space="preserve">Scheduled date for next </w:t>
                              </w:r>
                              <w:r>
                                <w:rPr>
                                  <w:sz w:val="18"/>
                                </w:rPr>
                                <w:t xml:space="preserve">(postponed) </w:t>
                              </w:r>
                              <w:r w:rsidRPr="00CB1FB6">
                                <w:rPr>
                                  <w:sz w:val="18"/>
                                </w:rPr>
                                <w:t xml:space="preserve">elections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8" name="Text Box 78"/>
                        <wps:cNvSpPr txBox="1"/>
                        <wps:spPr>
                          <a:xfrm>
                            <a:off x="2276475" y="3619499"/>
                            <a:ext cx="1047750" cy="733425"/>
                          </a:xfrm>
                          <a:prstGeom prst="rect">
                            <a:avLst/>
                          </a:prstGeom>
                          <a:solidFill>
                            <a:sysClr val="window" lastClr="FFFFFF"/>
                          </a:solidFill>
                          <a:ln w="6350">
                            <a:solidFill>
                              <a:prstClr val="black"/>
                            </a:solidFill>
                          </a:ln>
                          <a:effectLst/>
                        </wps:spPr>
                        <wps:txbx>
                          <w:txbxContent>
                            <w:p w14:paraId="633E6CF7" w14:textId="677EE2EF" w:rsidR="00D56EAC" w:rsidRPr="009C56AF" w:rsidRDefault="00D56EAC" w:rsidP="00A56EDD">
                              <w:pPr>
                                <w:rPr>
                                  <w:b/>
                                  <w:color w:val="525252" w:themeColor="accent3" w:themeShade="80"/>
                                  <w:sz w:val="18"/>
                                </w:rPr>
                              </w:pPr>
                              <w:r w:rsidRPr="009C56AF">
                                <w:rPr>
                                  <w:b/>
                                  <w:color w:val="525252" w:themeColor="accent3" w:themeShade="80"/>
                                  <w:sz w:val="18"/>
                                </w:rPr>
                                <w:t>2007</w:t>
                              </w:r>
                              <w:r>
                                <w:rPr>
                                  <w:b/>
                                  <w:color w:val="525252" w:themeColor="accent3" w:themeShade="80"/>
                                  <w:sz w:val="18"/>
                                </w:rPr>
                                <w:t>–</w:t>
                              </w:r>
                              <w:r w:rsidRPr="009C56AF">
                                <w:rPr>
                                  <w:b/>
                                  <w:color w:val="525252" w:themeColor="accent3" w:themeShade="80"/>
                                  <w:sz w:val="18"/>
                                </w:rPr>
                                <w:t>08 Initial efforts to ‘right size’ and reform the public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Text Box 79"/>
                        <wps:cNvSpPr txBox="1"/>
                        <wps:spPr>
                          <a:xfrm>
                            <a:off x="342902" y="3638549"/>
                            <a:ext cx="1152524" cy="752475"/>
                          </a:xfrm>
                          <a:prstGeom prst="rect">
                            <a:avLst/>
                          </a:prstGeom>
                          <a:solidFill>
                            <a:sysClr val="window" lastClr="FFFFFF"/>
                          </a:solidFill>
                          <a:ln w="6350">
                            <a:solidFill>
                              <a:prstClr val="black"/>
                            </a:solidFill>
                          </a:ln>
                          <a:effectLst/>
                        </wps:spPr>
                        <wps:txbx>
                          <w:txbxContent>
                            <w:p w14:paraId="796AE098" w14:textId="77777777" w:rsidR="00D56EAC" w:rsidRDefault="00D56EAC" w:rsidP="00A56EDD">
                              <w:pPr>
                                <w:spacing w:after="0" w:line="240" w:lineRule="auto"/>
                                <w:rPr>
                                  <w:i/>
                                  <w:sz w:val="18"/>
                                </w:rPr>
                              </w:pPr>
                              <w:r w:rsidRPr="007F3449">
                                <w:rPr>
                                  <w:b/>
                                  <w:i/>
                                  <w:color w:val="538135" w:themeColor="accent6" w:themeShade="BF"/>
                                  <w:sz w:val="20"/>
                                </w:rPr>
                                <w:t>2004</w:t>
                              </w:r>
                              <w:r>
                                <w:rPr>
                                  <w:i/>
                                  <w:sz w:val="18"/>
                                </w:rPr>
                                <w:t>—</w:t>
                              </w:r>
                            </w:p>
                            <w:p w14:paraId="14372A92" w14:textId="77777777" w:rsidR="00D56EAC" w:rsidRPr="0094528A" w:rsidRDefault="00D56EAC" w:rsidP="00A56EDD">
                              <w:pPr>
                                <w:spacing w:after="0" w:line="240" w:lineRule="auto"/>
                                <w:rPr>
                                  <w:sz w:val="18"/>
                                </w:rPr>
                              </w:pPr>
                              <w:r w:rsidRPr="009C56AF">
                                <w:rPr>
                                  <w:b/>
                                  <w:i/>
                                  <w:sz w:val="18"/>
                                </w:rPr>
                                <w:t>SPLM Strategic Framework</w:t>
                              </w:r>
                              <w:r w:rsidRPr="0094528A">
                                <w:rPr>
                                  <w:i/>
                                  <w:sz w:val="18"/>
                                </w:rPr>
                                <w:t xml:space="preserve"> for War to Peace Transition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Text Box 80"/>
                        <wps:cNvSpPr txBox="1"/>
                        <wps:spPr>
                          <a:xfrm>
                            <a:off x="2608875" y="4391024"/>
                            <a:ext cx="1172550" cy="676276"/>
                          </a:xfrm>
                          <a:prstGeom prst="rect">
                            <a:avLst/>
                          </a:prstGeom>
                          <a:solidFill>
                            <a:sysClr val="window" lastClr="FFFFFF"/>
                          </a:solidFill>
                          <a:ln w="6350">
                            <a:solidFill>
                              <a:prstClr val="black"/>
                            </a:solidFill>
                          </a:ln>
                          <a:effectLst/>
                        </wps:spPr>
                        <wps:txbx>
                          <w:txbxContent>
                            <w:p w14:paraId="0A617BF4" w14:textId="77777777" w:rsidR="00D56EAC" w:rsidRPr="00623FC4" w:rsidRDefault="00D56EAC" w:rsidP="00A56EDD">
                              <w:pPr>
                                <w:spacing w:after="0" w:line="240" w:lineRule="auto"/>
                                <w:rPr>
                                  <w:sz w:val="18"/>
                                </w:rPr>
                              </w:pPr>
                              <w:r w:rsidRPr="00623FC4">
                                <w:rPr>
                                  <w:sz w:val="18"/>
                                </w:rPr>
                                <w:t>2009 declared as ‘</w:t>
                              </w:r>
                              <w:r w:rsidRPr="00623FC4">
                                <w:rPr>
                                  <w:b/>
                                  <w:sz w:val="18"/>
                                </w:rPr>
                                <w:t>Year of public service reform’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Text Box 18"/>
                        <wps:cNvSpPr txBox="1"/>
                        <wps:spPr>
                          <a:xfrm>
                            <a:off x="866775" y="4486276"/>
                            <a:ext cx="1200150" cy="838200"/>
                          </a:xfrm>
                          <a:prstGeom prst="rect">
                            <a:avLst/>
                          </a:prstGeom>
                          <a:solidFill>
                            <a:sysClr val="window" lastClr="FFFFFF"/>
                          </a:solidFill>
                          <a:ln w="6350">
                            <a:solidFill>
                              <a:prstClr val="black"/>
                            </a:solidFill>
                          </a:ln>
                          <a:effectLst/>
                        </wps:spPr>
                        <wps:txbx>
                          <w:txbxContent>
                            <w:p w14:paraId="2F679792" w14:textId="02DCC8C5" w:rsidR="00D56EAC" w:rsidRPr="00E34EB7" w:rsidRDefault="00D56EAC" w:rsidP="00A56EDD">
                              <w:pPr>
                                <w:spacing w:after="0" w:line="240" w:lineRule="auto"/>
                                <w:rPr>
                                  <w:sz w:val="18"/>
                                </w:rPr>
                              </w:pPr>
                              <w:r w:rsidRPr="00E34EB7">
                                <w:rPr>
                                  <w:sz w:val="18"/>
                                </w:rPr>
                                <w:t>2004</w:t>
                              </w:r>
                              <w:r>
                                <w:rPr>
                                  <w:sz w:val="18"/>
                                </w:rPr>
                                <w:t>–</w:t>
                              </w:r>
                              <w:r w:rsidRPr="00E34EB7">
                                <w:rPr>
                                  <w:sz w:val="18"/>
                                </w:rPr>
                                <w:t xml:space="preserve">05 </w:t>
                              </w:r>
                              <w:r w:rsidRPr="009C56AF">
                                <w:rPr>
                                  <w:b/>
                                  <w:sz w:val="18"/>
                                </w:rPr>
                                <w:t>JAM</w:t>
                              </w:r>
                              <w:r w:rsidRPr="00E34EB7">
                                <w:rPr>
                                  <w:sz w:val="18"/>
                                </w:rPr>
                                <w:t xml:space="preserve"> sets out ambitious targets for developing an effective public sector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2" name="Text Box 82"/>
                        <wps:cNvSpPr txBox="1"/>
                        <wps:spPr>
                          <a:xfrm>
                            <a:off x="1266824" y="5772150"/>
                            <a:ext cx="1495426" cy="523875"/>
                          </a:xfrm>
                          <a:prstGeom prst="rect">
                            <a:avLst/>
                          </a:prstGeom>
                          <a:solidFill>
                            <a:sysClr val="window" lastClr="FFFFFF"/>
                          </a:solidFill>
                          <a:ln w="6350">
                            <a:solidFill>
                              <a:prstClr val="black"/>
                            </a:solidFill>
                          </a:ln>
                          <a:effectLst/>
                        </wps:spPr>
                        <wps:txbx>
                          <w:txbxContent>
                            <w:p w14:paraId="7A276B2F" w14:textId="1A631DE7" w:rsidR="00D56EAC" w:rsidRPr="009C56AF" w:rsidRDefault="00D56EAC" w:rsidP="00A56EDD">
                              <w:pPr>
                                <w:spacing w:after="0" w:line="240" w:lineRule="auto"/>
                                <w:rPr>
                                  <w:b/>
                                  <w:color w:val="FF0000"/>
                                  <w:sz w:val="20"/>
                                </w:rPr>
                              </w:pPr>
                              <w:r>
                                <w:rPr>
                                  <w:b/>
                                  <w:color w:val="FF0000"/>
                                  <w:sz w:val="20"/>
                                </w:rPr>
                                <w:t>Period of i</w:t>
                              </w:r>
                              <w:r w:rsidRPr="009C56AF">
                                <w:rPr>
                                  <w:b/>
                                  <w:color w:val="FF0000"/>
                                  <w:sz w:val="20"/>
                                </w:rPr>
                                <w:t>nitial rapid hiring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Text Box 83"/>
                        <wps:cNvSpPr txBox="1"/>
                        <wps:spPr>
                          <a:xfrm>
                            <a:off x="1161939" y="5367130"/>
                            <a:ext cx="1304924" cy="373240"/>
                          </a:xfrm>
                          <a:prstGeom prst="rect">
                            <a:avLst/>
                          </a:prstGeom>
                          <a:solidFill>
                            <a:sysClr val="window" lastClr="FFFFFF"/>
                          </a:solidFill>
                          <a:ln w="6350">
                            <a:solidFill>
                              <a:prstClr val="black"/>
                            </a:solidFill>
                          </a:ln>
                          <a:effectLst/>
                        </wps:spPr>
                        <wps:txbx>
                          <w:txbxContent>
                            <w:p w14:paraId="40D70FDA" w14:textId="7E5FA51C" w:rsidR="00D56EAC" w:rsidRPr="00972202" w:rsidRDefault="00D56EAC" w:rsidP="00A56EDD">
                              <w:pPr>
                                <w:rPr>
                                  <w:sz w:val="20"/>
                                </w:rPr>
                              </w:pPr>
                              <w:r w:rsidRPr="00F31FDB">
                                <w:rPr>
                                  <w:sz w:val="18"/>
                                </w:rPr>
                                <w:t>Civil service survey 2005/06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Text Box 84"/>
                        <wps:cNvSpPr txBox="1"/>
                        <wps:spPr>
                          <a:xfrm>
                            <a:off x="2952750" y="5248275"/>
                            <a:ext cx="1351575" cy="923925"/>
                          </a:xfrm>
                          <a:prstGeom prst="rect">
                            <a:avLst/>
                          </a:prstGeom>
                          <a:solidFill>
                            <a:sysClr val="window" lastClr="FFFFFF"/>
                          </a:solidFill>
                          <a:ln w="6350">
                            <a:solidFill>
                              <a:prstClr val="black"/>
                            </a:solidFill>
                          </a:ln>
                          <a:effectLst/>
                        </wps:spPr>
                        <wps:txbx>
                          <w:txbxContent>
                            <w:p w14:paraId="1E5CCAC3" w14:textId="77777777" w:rsidR="00D56EAC" w:rsidRPr="00F31FDB" w:rsidRDefault="00D56EAC" w:rsidP="00A56EDD">
                              <w:pPr>
                                <w:spacing w:after="0" w:line="240" w:lineRule="auto"/>
                                <w:rPr>
                                  <w:sz w:val="18"/>
                                </w:rPr>
                              </w:pPr>
                              <w:r w:rsidRPr="00F31FDB">
                                <w:rPr>
                                  <w:sz w:val="18"/>
                                </w:rPr>
                                <w:t xml:space="preserve">2009 </w:t>
                              </w:r>
                              <w:r w:rsidRPr="00F31FDB">
                                <w:rPr>
                                  <w:b/>
                                  <w:sz w:val="18"/>
                                </w:rPr>
                                <w:t>Laws</w:t>
                              </w:r>
                              <w:r w:rsidRPr="00F31FDB">
                                <w:rPr>
                                  <w:sz w:val="18"/>
                                </w:rPr>
                                <w:t xml:space="preserve">: </w:t>
                              </w:r>
                            </w:p>
                            <w:p w14:paraId="68DB4A7E" w14:textId="77777777" w:rsidR="00D56EAC" w:rsidRPr="00F31FDB" w:rsidRDefault="00D56EAC" w:rsidP="00A56EDD">
                              <w:pPr>
                                <w:spacing w:after="0" w:line="240" w:lineRule="auto"/>
                                <w:rPr>
                                  <w:sz w:val="18"/>
                                </w:rPr>
                              </w:pPr>
                              <w:r w:rsidRPr="00F31FDB">
                                <w:rPr>
                                  <w:sz w:val="18"/>
                                </w:rPr>
                                <w:t>Public services bill (transitional order)</w:t>
                              </w:r>
                            </w:p>
                            <w:p w14:paraId="3FC5B1B2" w14:textId="77777777" w:rsidR="00D56EAC" w:rsidRPr="00F31FDB" w:rsidRDefault="00D56EAC" w:rsidP="00A56EDD">
                              <w:pPr>
                                <w:spacing w:after="0" w:line="240" w:lineRule="auto"/>
                                <w:rPr>
                                  <w:sz w:val="18"/>
                                </w:rPr>
                              </w:pPr>
                              <w:r w:rsidRPr="00F31FDB">
                                <w:rPr>
                                  <w:sz w:val="18"/>
                                </w:rPr>
                                <w:t>Police Act</w:t>
                              </w:r>
                            </w:p>
                            <w:p w14:paraId="1E3EBF0D" w14:textId="77777777" w:rsidR="00D56EAC" w:rsidRPr="00F31FDB" w:rsidRDefault="00D56EAC" w:rsidP="00A56EDD">
                              <w:pPr>
                                <w:spacing w:after="0" w:line="240" w:lineRule="auto"/>
                                <w:rPr>
                                  <w:sz w:val="18"/>
                                </w:rPr>
                              </w:pPr>
                              <w:r w:rsidRPr="00F31FDB">
                                <w:rPr>
                                  <w:sz w:val="18"/>
                                </w:rPr>
                                <w:t>Local Government Act</w:t>
                              </w:r>
                            </w:p>
                            <w:p w14:paraId="683410D7" w14:textId="77777777" w:rsidR="00D56EAC" w:rsidRDefault="00D56EAC" w:rsidP="00A56E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Text Box 24"/>
                        <wps:cNvSpPr txBox="1"/>
                        <wps:spPr>
                          <a:xfrm>
                            <a:off x="4238626" y="5391150"/>
                            <a:ext cx="1447800" cy="904876"/>
                          </a:xfrm>
                          <a:prstGeom prst="rect">
                            <a:avLst/>
                          </a:prstGeom>
                          <a:solidFill>
                            <a:sysClr val="window" lastClr="FFFFFF"/>
                          </a:solidFill>
                          <a:ln w="6350">
                            <a:solidFill>
                              <a:prstClr val="black"/>
                            </a:solidFill>
                          </a:ln>
                          <a:effectLst/>
                        </wps:spPr>
                        <wps:txbx>
                          <w:txbxContent>
                            <w:p w14:paraId="5D959DC3" w14:textId="77777777" w:rsidR="00D56EAC" w:rsidRPr="00F31FDB" w:rsidRDefault="00D56EAC" w:rsidP="00A56EDD">
                              <w:pPr>
                                <w:spacing w:after="0" w:line="240" w:lineRule="auto"/>
                                <w:rPr>
                                  <w:sz w:val="18"/>
                                </w:rPr>
                              </w:pPr>
                              <w:r w:rsidRPr="00F31FDB">
                                <w:rPr>
                                  <w:sz w:val="18"/>
                                </w:rPr>
                                <w:t xml:space="preserve">2011 </w:t>
                              </w:r>
                              <w:r w:rsidRPr="00F31FDB">
                                <w:rPr>
                                  <w:b/>
                                  <w:sz w:val="18"/>
                                </w:rPr>
                                <w:t>Laws</w:t>
                              </w:r>
                              <w:r w:rsidRPr="00F31FDB">
                                <w:rPr>
                                  <w:sz w:val="18"/>
                                </w:rPr>
                                <w:t>:</w:t>
                              </w:r>
                            </w:p>
                            <w:p w14:paraId="4FD23647" w14:textId="77777777" w:rsidR="00D56EAC" w:rsidRPr="00F31FDB" w:rsidRDefault="00D56EAC" w:rsidP="00A56EDD">
                              <w:pPr>
                                <w:spacing w:after="0" w:line="240" w:lineRule="auto"/>
                                <w:rPr>
                                  <w:sz w:val="18"/>
                                </w:rPr>
                              </w:pPr>
                              <w:r w:rsidRPr="00F31FDB">
                                <w:rPr>
                                  <w:sz w:val="18"/>
                                </w:rPr>
                                <w:t>Civil Service, CSC</w:t>
                              </w:r>
                            </w:p>
                            <w:p w14:paraId="4E7925F9" w14:textId="77777777" w:rsidR="00D56EAC" w:rsidRPr="00F31FDB" w:rsidRDefault="00D56EAC" w:rsidP="00A56EDD">
                              <w:pPr>
                                <w:spacing w:after="0" w:line="240" w:lineRule="auto"/>
                                <w:rPr>
                                  <w:sz w:val="18"/>
                                </w:rPr>
                              </w:pPr>
                              <w:r w:rsidRPr="00F31FDB">
                                <w:rPr>
                                  <w:sz w:val="18"/>
                                </w:rPr>
                                <w:t>Wildlife Services</w:t>
                              </w:r>
                            </w:p>
                            <w:p w14:paraId="18B295AE" w14:textId="77777777" w:rsidR="00D56EAC" w:rsidRPr="00F31FDB" w:rsidRDefault="00D56EAC" w:rsidP="00A56EDD">
                              <w:pPr>
                                <w:spacing w:after="0" w:line="240" w:lineRule="auto"/>
                                <w:rPr>
                                  <w:sz w:val="18"/>
                                </w:rPr>
                              </w:pPr>
                              <w:r w:rsidRPr="00F31FDB">
                                <w:rPr>
                                  <w:sz w:val="18"/>
                                </w:rPr>
                                <w:t>PFMAA</w:t>
                              </w:r>
                            </w:p>
                            <w:p w14:paraId="1624EDFC" w14:textId="77777777" w:rsidR="00D56EAC" w:rsidRPr="00F31FDB" w:rsidRDefault="00D56EAC" w:rsidP="00A56EDD">
                              <w:pPr>
                                <w:spacing w:after="0" w:line="240" w:lineRule="auto"/>
                                <w:rPr>
                                  <w:sz w:val="18"/>
                                </w:rPr>
                              </w:pPr>
                              <w:r w:rsidRPr="00F31FDB">
                                <w:rPr>
                                  <w:sz w:val="18"/>
                                </w:rPr>
                                <w:t>Audit Chamber</w:t>
                              </w:r>
                            </w:p>
                            <w:p w14:paraId="21CA91C0" w14:textId="77777777" w:rsidR="00D56EAC" w:rsidRPr="00972202" w:rsidRDefault="00D56EAC" w:rsidP="00A56EDD">
                              <w:pPr>
                                <w:spacing w:after="0" w:line="240" w:lineRule="auto"/>
                                <w:rPr>
                                  <w:sz w:val="20"/>
                                </w:rPr>
                              </w:pPr>
                            </w:p>
                            <w:p w14:paraId="734624E0" w14:textId="77777777" w:rsidR="00D56EAC" w:rsidRDefault="00D56EAC" w:rsidP="00A56EDD">
                              <w:pPr>
                                <w:pStyle w:val="NormalWeb"/>
                                <w:spacing w:before="0" w:beforeAutospacing="0" w:after="200" w:afterAutospacing="0" w:line="276" w:lineRule="auto"/>
                              </w:pPr>
                              <w:r>
                                <w:rPr>
                                  <w:rFonts w:eastAsia="Calibri"/>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6" name="Text Box 18"/>
                        <wps:cNvSpPr txBox="1"/>
                        <wps:spPr>
                          <a:xfrm>
                            <a:off x="4724400" y="3429003"/>
                            <a:ext cx="1219200" cy="790575"/>
                          </a:xfrm>
                          <a:prstGeom prst="rect">
                            <a:avLst/>
                          </a:prstGeom>
                          <a:solidFill>
                            <a:sysClr val="window" lastClr="FFFFFF"/>
                          </a:solidFill>
                          <a:ln w="6350">
                            <a:solidFill>
                              <a:prstClr val="black"/>
                            </a:solidFill>
                          </a:ln>
                          <a:effectLst/>
                        </wps:spPr>
                        <wps:txbx>
                          <w:txbxContent>
                            <w:p w14:paraId="0873F062" w14:textId="6E4B5012" w:rsidR="00D56EAC" w:rsidRPr="009C56AF" w:rsidRDefault="00D56EAC" w:rsidP="00A56EDD">
                              <w:pPr>
                                <w:rPr>
                                  <w:b/>
                                  <w:color w:val="525252" w:themeColor="accent3" w:themeShade="80"/>
                                  <w:sz w:val="18"/>
                                </w:rPr>
                              </w:pPr>
                              <w:r w:rsidRPr="009C56AF">
                                <w:rPr>
                                  <w:b/>
                                  <w:color w:val="525252" w:themeColor="accent3" w:themeShade="80"/>
                                  <w:sz w:val="18"/>
                                </w:rPr>
                                <w:t xml:space="preserve">Fall 2011: </w:t>
                              </w:r>
                              <w:r>
                                <w:rPr>
                                  <w:b/>
                                  <w:color w:val="525252" w:themeColor="accent3" w:themeShade="80"/>
                                  <w:sz w:val="18"/>
                                </w:rPr>
                                <w:t>E</w:t>
                              </w:r>
                              <w:r w:rsidRPr="009C56AF">
                                <w:rPr>
                                  <w:b/>
                                  <w:color w:val="525252" w:themeColor="accent3" w:themeShade="80"/>
                                  <w:sz w:val="18"/>
                                </w:rPr>
                                <w:t>ffort to screen civil servants’ qualifications (stopped)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7" name="Elbow Connector 87"/>
                        <wps:cNvCnPr/>
                        <wps:spPr>
                          <a:xfrm rot="5400000" flipH="1" flipV="1">
                            <a:off x="1273969" y="4769644"/>
                            <a:ext cx="1743075" cy="261938"/>
                          </a:xfrm>
                          <a:prstGeom prst="bentConnector3">
                            <a:avLst>
                              <a:gd name="adj1" fmla="val 98634"/>
                            </a:avLst>
                          </a:prstGeom>
                          <a:noFill/>
                          <a:ln w="9525" cap="flat" cmpd="sng" algn="ctr">
                            <a:solidFill>
                              <a:srgbClr val="4F81BD">
                                <a:shade val="95000"/>
                                <a:satMod val="105000"/>
                              </a:srgbClr>
                            </a:solidFill>
                            <a:prstDash val="solid"/>
                            <a:tailEnd type="arrow"/>
                          </a:ln>
                          <a:effectLst/>
                        </wps:spPr>
                        <wps:bodyPr/>
                      </wps:wsp>
                      <wps:wsp>
                        <wps:cNvPr id="88" name="Text Box 88"/>
                        <wps:cNvSpPr txBox="1"/>
                        <wps:spPr>
                          <a:xfrm>
                            <a:off x="5743575" y="1561125"/>
                            <a:ext cx="904875" cy="600075"/>
                          </a:xfrm>
                          <a:prstGeom prst="rect">
                            <a:avLst/>
                          </a:prstGeom>
                          <a:solidFill>
                            <a:sysClr val="window" lastClr="FFFFFF"/>
                          </a:solidFill>
                          <a:ln w="6350">
                            <a:solidFill>
                              <a:prstClr val="black"/>
                            </a:solidFill>
                          </a:ln>
                          <a:effectLst/>
                        </wps:spPr>
                        <wps:txbx>
                          <w:txbxContent>
                            <w:p w14:paraId="52EBB568" w14:textId="77777777" w:rsidR="00D56EAC" w:rsidRPr="00F31FDB" w:rsidRDefault="00D56EAC" w:rsidP="00A56EDD">
                              <w:pPr>
                                <w:spacing w:after="0" w:line="240" w:lineRule="auto"/>
                                <w:rPr>
                                  <w:sz w:val="18"/>
                                </w:rPr>
                              </w:pPr>
                              <w:r w:rsidRPr="00F31FDB">
                                <w:rPr>
                                  <w:sz w:val="18"/>
                                </w:rPr>
                                <w:t>July 2013: Government replaced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Text Box 89"/>
                        <wps:cNvSpPr txBox="1"/>
                        <wps:spPr>
                          <a:xfrm>
                            <a:off x="3781425" y="6372225"/>
                            <a:ext cx="1714500" cy="523875"/>
                          </a:xfrm>
                          <a:prstGeom prst="rect">
                            <a:avLst/>
                          </a:prstGeom>
                          <a:solidFill>
                            <a:sysClr val="window" lastClr="FFFFFF"/>
                          </a:solidFill>
                          <a:ln w="6350">
                            <a:solidFill>
                              <a:prstClr val="black"/>
                            </a:solidFill>
                          </a:ln>
                          <a:effectLst/>
                        </wps:spPr>
                        <wps:txbx>
                          <w:txbxContent>
                            <w:p w14:paraId="59686121" w14:textId="77777777" w:rsidR="00D56EAC" w:rsidRDefault="00D56EAC" w:rsidP="00A56EDD">
                              <w:pPr>
                                <w:spacing w:after="0" w:line="240" w:lineRule="auto"/>
                                <w:rPr>
                                  <w:sz w:val="18"/>
                                </w:rPr>
                              </w:pPr>
                              <w:r>
                                <w:rPr>
                                  <w:sz w:val="18"/>
                                </w:rPr>
                                <w:t xml:space="preserve">2011: </w:t>
                              </w:r>
                            </w:p>
                            <w:p w14:paraId="14630D8D" w14:textId="77777777" w:rsidR="00D56EAC" w:rsidRPr="00BE00AB" w:rsidRDefault="00D56EAC" w:rsidP="00A56EDD">
                              <w:pPr>
                                <w:spacing w:after="0" w:line="240" w:lineRule="auto"/>
                                <w:rPr>
                                  <w:b/>
                                  <w:sz w:val="18"/>
                                </w:rPr>
                              </w:pPr>
                              <w:r w:rsidRPr="00BE00AB">
                                <w:rPr>
                                  <w:b/>
                                  <w:sz w:val="18"/>
                                </w:rPr>
                                <w:t>Sudan Vision 2040</w:t>
                              </w:r>
                            </w:p>
                            <w:p w14:paraId="370B968A" w14:textId="77777777" w:rsidR="00D56EAC" w:rsidRPr="00BE00AB" w:rsidRDefault="00D56EAC" w:rsidP="00A56EDD">
                              <w:pPr>
                                <w:spacing w:after="0" w:line="240" w:lineRule="auto"/>
                                <w:rPr>
                                  <w:b/>
                                  <w:sz w:val="18"/>
                                </w:rPr>
                              </w:pPr>
                              <w:r w:rsidRPr="00BE00AB">
                                <w:rPr>
                                  <w:b/>
                                  <w:sz w:val="18"/>
                                </w:rPr>
                                <w:t>South Sudan Development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Text Box 90"/>
                        <wps:cNvSpPr txBox="1"/>
                        <wps:spPr>
                          <a:xfrm>
                            <a:off x="4420869" y="4219578"/>
                            <a:ext cx="1617006" cy="628649"/>
                          </a:xfrm>
                          <a:prstGeom prst="rect">
                            <a:avLst/>
                          </a:prstGeom>
                          <a:solidFill>
                            <a:sysClr val="window" lastClr="FFFFFF"/>
                          </a:solidFill>
                          <a:ln w="6350">
                            <a:solidFill>
                              <a:prstClr val="black"/>
                            </a:solidFill>
                          </a:ln>
                          <a:effectLst/>
                        </wps:spPr>
                        <wps:txbx>
                          <w:txbxContent>
                            <w:p w14:paraId="2185C484" w14:textId="5A4BB913" w:rsidR="00D56EAC" w:rsidRDefault="00D56EAC" w:rsidP="00A56EDD">
                              <w:pPr>
                                <w:spacing w:after="0" w:line="240" w:lineRule="auto"/>
                                <w:rPr>
                                  <w:sz w:val="18"/>
                                </w:rPr>
                              </w:pPr>
                              <w:r w:rsidRPr="00BE00AB">
                                <w:rPr>
                                  <w:sz w:val="18"/>
                                </w:rPr>
                                <w:t>M</w:t>
                              </w:r>
                              <w:r>
                                <w:rPr>
                                  <w:sz w:val="18"/>
                                </w:rPr>
                                <w:t>o</w:t>
                              </w:r>
                              <w:r w:rsidRPr="00BE00AB">
                                <w:rPr>
                                  <w:sz w:val="18"/>
                                </w:rPr>
                                <w:t>LPSHRD</w:t>
                              </w:r>
                              <w:r>
                                <w:rPr>
                                  <w:sz w:val="18"/>
                                </w:rPr>
                                <w:t xml:space="preserve"> </w:t>
                              </w:r>
                              <w:r w:rsidRPr="00BE00AB">
                                <w:rPr>
                                  <w:sz w:val="18"/>
                                </w:rPr>
                                <w:t xml:space="preserve">Strategic Plan and </w:t>
                              </w:r>
                            </w:p>
                            <w:p w14:paraId="23D0D006" w14:textId="77777777" w:rsidR="00D56EAC" w:rsidRDefault="00D56EAC" w:rsidP="00A56EDD">
                              <w:pPr>
                                <w:spacing w:after="0" w:line="240" w:lineRule="auto"/>
                                <w:rPr>
                                  <w:sz w:val="18"/>
                                </w:rPr>
                              </w:pPr>
                              <w:r w:rsidRPr="00BE00AB">
                                <w:rPr>
                                  <w:sz w:val="18"/>
                                </w:rPr>
                                <w:t xml:space="preserve">Medium Term </w:t>
                              </w:r>
                            </w:p>
                            <w:p w14:paraId="1CC94861" w14:textId="77777777" w:rsidR="00D56EAC" w:rsidRPr="00BE00AB" w:rsidRDefault="00D56EAC" w:rsidP="00A56EDD">
                              <w:pPr>
                                <w:spacing w:after="0" w:line="240" w:lineRule="auto"/>
                                <w:rPr>
                                  <w:sz w:val="18"/>
                                </w:rPr>
                              </w:pPr>
                              <w:r w:rsidRPr="00BE00AB">
                                <w:rPr>
                                  <w:sz w:val="18"/>
                                </w:rPr>
                                <w:t>Capacity Development Strategy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Text Box 91"/>
                        <wps:cNvSpPr txBox="1"/>
                        <wps:spPr>
                          <a:xfrm>
                            <a:off x="5381625" y="847725"/>
                            <a:ext cx="1190625" cy="523875"/>
                          </a:xfrm>
                          <a:prstGeom prst="rect">
                            <a:avLst/>
                          </a:prstGeom>
                          <a:solidFill>
                            <a:sysClr val="window" lastClr="FFFFFF"/>
                          </a:solidFill>
                          <a:ln w="6350">
                            <a:solidFill>
                              <a:prstClr val="black"/>
                            </a:solidFill>
                          </a:ln>
                          <a:effectLst/>
                        </wps:spPr>
                        <wps:txbx>
                          <w:txbxContent>
                            <w:p w14:paraId="6CA4E0F3" w14:textId="77777777" w:rsidR="00D56EAC" w:rsidRPr="00BE00AB" w:rsidRDefault="00D56EAC" w:rsidP="00A56EDD">
                              <w:pPr>
                                <w:spacing w:after="0" w:line="240" w:lineRule="auto"/>
                                <w:rPr>
                                  <w:b/>
                                  <w:sz w:val="18"/>
                                </w:rPr>
                              </w:pPr>
                              <w:r w:rsidRPr="00BE00AB">
                                <w:rPr>
                                  <w:sz w:val="18"/>
                                </w:rPr>
                                <w:t xml:space="preserve">January 2012: Beginning of </w:t>
                              </w:r>
                              <w:r w:rsidRPr="00BE00AB">
                                <w:rPr>
                                  <w:b/>
                                  <w:sz w:val="18"/>
                                </w:rPr>
                                <w:t>fiscal austerity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Right Arrow 92"/>
                        <wps:cNvSpPr/>
                        <wps:spPr>
                          <a:xfrm>
                            <a:off x="6495738" y="971471"/>
                            <a:ext cx="828987" cy="304800"/>
                          </a:xfrm>
                          <a:prstGeom prst="righ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Text Box 31"/>
                        <wps:cNvSpPr txBox="1"/>
                        <wps:spPr>
                          <a:xfrm>
                            <a:off x="3781425" y="4847250"/>
                            <a:ext cx="1714500" cy="401025"/>
                          </a:xfrm>
                          <a:prstGeom prst="rect">
                            <a:avLst/>
                          </a:prstGeom>
                          <a:solidFill>
                            <a:sysClr val="window" lastClr="FFFFFF"/>
                          </a:solidFill>
                          <a:ln w="6350">
                            <a:solidFill>
                              <a:prstClr val="black"/>
                            </a:solidFill>
                          </a:ln>
                          <a:effectLst/>
                        </wps:spPr>
                        <wps:txbx>
                          <w:txbxContent>
                            <w:p w14:paraId="76EDB616" w14:textId="77777777" w:rsidR="00D56EAC" w:rsidRPr="00E95329" w:rsidRDefault="00D56EAC" w:rsidP="00A56EDD">
                              <w:pPr>
                                <w:rPr>
                                  <w:sz w:val="18"/>
                                </w:rPr>
                              </w:pPr>
                              <w:r w:rsidRPr="00E95329">
                                <w:rPr>
                                  <w:sz w:val="18"/>
                                </w:rPr>
                                <w:t>2010: Development of electronic payroll system started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4" name="Right Arrow 94"/>
                        <wps:cNvSpPr/>
                        <wps:spPr>
                          <a:xfrm>
                            <a:off x="5437800" y="4848227"/>
                            <a:ext cx="1981200" cy="219073"/>
                          </a:xfrm>
                          <a:prstGeom prst="rightArrow">
                            <a:avLst/>
                          </a:prstGeom>
                          <a:noFill/>
                          <a:ln w="6350" cap="flat" cmpd="sng" algn="ctr">
                            <a:solidFill>
                              <a:sysClr val="windowText" lastClr="000000"/>
                            </a:solidFill>
                            <a:prstDash val="solid"/>
                          </a:ln>
                          <a:effectLst/>
                        </wps:spPr>
                        <wps:txbx>
                          <w:txbxContent>
                            <w:p w14:paraId="0267133A" w14:textId="77777777" w:rsidR="00D56EAC" w:rsidRDefault="00D56EAC" w:rsidP="00A56ED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5" name="Text Box 95"/>
                        <wps:cNvSpPr txBox="1"/>
                        <wps:spPr>
                          <a:xfrm>
                            <a:off x="7419000" y="4848227"/>
                            <a:ext cx="923925" cy="400048"/>
                          </a:xfrm>
                          <a:prstGeom prst="rect">
                            <a:avLst/>
                          </a:prstGeom>
                          <a:solidFill>
                            <a:sysClr val="window" lastClr="FFFFFF"/>
                          </a:solidFill>
                          <a:ln w="6350">
                            <a:solidFill>
                              <a:prstClr val="black"/>
                            </a:solidFill>
                          </a:ln>
                          <a:effectLst/>
                        </wps:spPr>
                        <wps:txbx>
                          <w:txbxContent>
                            <w:p w14:paraId="4777AE40" w14:textId="77777777" w:rsidR="00D56EAC" w:rsidRPr="00E95329" w:rsidRDefault="00D56EAC" w:rsidP="00A56EDD">
                              <w:pPr>
                                <w:rPr>
                                  <w:sz w:val="18"/>
                                </w:rPr>
                              </w:pPr>
                              <w:r w:rsidRPr="00E95329">
                                <w:rPr>
                                  <w:sz w:val="18"/>
                                </w:rPr>
                                <w:t>SSEPS suspended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Text Box 31"/>
                        <wps:cNvSpPr txBox="1"/>
                        <wps:spPr>
                          <a:xfrm>
                            <a:off x="5495925" y="5133001"/>
                            <a:ext cx="1285875" cy="315300"/>
                          </a:xfrm>
                          <a:prstGeom prst="rect">
                            <a:avLst/>
                          </a:prstGeom>
                          <a:solidFill>
                            <a:sysClr val="window" lastClr="FFFFFF"/>
                          </a:solidFill>
                          <a:ln w="6350">
                            <a:solidFill>
                              <a:prstClr val="black"/>
                            </a:solidFill>
                          </a:ln>
                          <a:effectLst/>
                        </wps:spPr>
                        <wps:txbx>
                          <w:txbxContent>
                            <w:p w14:paraId="1084F960" w14:textId="77777777" w:rsidR="00D56EAC" w:rsidRPr="00F31FDB" w:rsidRDefault="00D56EAC" w:rsidP="00A56EDD">
                              <w:pPr>
                                <w:spacing w:after="0" w:line="240" w:lineRule="auto"/>
                                <w:rPr>
                                  <w:sz w:val="18"/>
                                </w:rPr>
                              </w:pPr>
                              <w:r w:rsidRPr="00F31FDB">
                                <w:rPr>
                                  <w:sz w:val="18"/>
                                </w:rPr>
                                <w:t>2012: HRMIS started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7" name="Text Box 31"/>
                        <wps:cNvSpPr txBox="1"/>
                        <wps:spPr>
                          <a:xfrm>
                            <a:off x="5581649" y="5971540"/>
                            <a:ext cx="1762125" cy="534035"/>
                          </a:xfrm>
                          <a:prstGeom prst="rect">
                            <a:avLst/>
                          </a:prstGeom>
                          <a:solidFill>
                            <a:sysClr val="window" lastClr="FFFFFF"/>
                          </a:solidFill>
                          <a:ln w="6350">
                            <a:solidFill>
                              <a:prstClr val="black"/>
                            </a:solidFill>
                          </a:ln>
                          <a:effectLst/>
                        </wps:spPr>
                        <wps:txbx>
                          <w:txbxContent>
                            <w:p w14:paraId="67CA66D3" w14:textId="77777777" w:rsidR="00D56EAC" w:rsidRPr="00F31FDB" w:rsidRDefault="00D56EAC" w:rsidP="00A56EDD">
                              <w:pPr>
                                <w:spacing w:after="0" w:line="240" w:lineRule="auto"/>
                                <w:rPr>
                                  <w:sz w:val="18"/>
                                </w:rPr>
                              </w:pPr>
                              <w:r w:rsidRPr="00F31FDB">
                                <w:rPr>
                                  <w:sz w:val="18"/>
                                </w:rPr>
                                <w:t>2012: Beginning of efforts to introduce a pension system</w:t>
                              </w:r>
                            </w:p>
                            <w:p w14:paraId="5AD7ABF4" w14:textId="77777777" w:rsidR="00D56EAC" w:rsidRPr="00F31FDB" w:rsidRDefault="00D56EAC" w:rsidP="00A56EDD">
                              <w:pPr>
                                <w:spacing w:after="0" w:line="240" w:lineRule="auto"/>
                                <w:rPr>
                                  <w:sz w:val="18"/>
                                </w:rPr>
                              </w:pPr>
                              <w:r w:rsidRPr="00F31FDB">
                                <w:rPr>
                                  <w:sz w:val="18"/>
                                </w:rPr>
                                <w:t>(agreement with Sudan, law)</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8" name="Straight Connector 98"/>
                        <wps:cNvCnPr/>
                        <wps:spPr>
                          <a:xfrm>
                            <a:off x="342902" y="3286125"/>
                            <a:ext cx="0" cy="257175"/>
                          </a:xfrm>
                          <a:prstGeom prst="line">
                            <a:avLst/>
                          </a:prstGeom>
                          <a:noFill/>
                          <a:ln w="9525" cap="flat" cmpd="sng" algn="ctr">
                            <a:solidFill>
                              <a:srgbClr val="4F81BD">
                                <a:shade val="95000"/>
                                <a:satMod val="105000"/>
                              </a:srgbClr>
                            </a:solidFill>
                            <a:prstDash val="solid"/>
                          </a:ln>
                          <a:effectLst/>
                        </wps:spPr>
                        <wps:bodyPr/>
                      </wps:wsp>
                      <wps:wsp>
                        <wps:cNvPr id="99" name="Text Box 99"/>
                        <wps:cNvSpPr txBox="1"/>
                        <wps:spPr>
                          <a:xfrm>
                            <a:off x="114296" y="3038475"/>
                            <a:ext cx="809629" cy="304800"/>
                          </a:xfrm>
                          <a:prstGeom prst="rect">
                            <a:avLst/>
                          </a:prstGeom>
                          <a:solidFill>
                            <a:sysClr val="window" lastClr="FFFFFF"/>
                          </a:solidFill>
                          <a:ln w="6350">
                            <a:noFill/>
                          </a:ln>
                          <a:effectLst/>
                        </wps:spPr>
                        <wps:txbx>
                          <w:txbxContent>
                            <w:p w14:paraId="76E0FD22" w14:textId="77777777" w:rsidR="00D56EAC" w:rsidRPr="007F3449" w:rsidRDefault="00D56EAC" w:rsidP="00A56EDD">
                              <w:pPr>
                                <w:rPr>
                                  <w:b/>
                                  <w:color w:val="538135" w:themeColor="accent6" w:themeShade="BF"/>
                                  <w:sz w:val="28"/>
                                </w:rPr>
                              </w:pPr>
                              <w:r w:rsidRPr="007F3449">
                                <w:rPr>
                                  <w:b/>
                                  <w:color w:val="538135" w:themeColor="accent6" w:themeShade="BF"/>
                                  <w:sz w:val="28"/>
                                </w:rPr>
                                <w:t>2004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Text Box 3"/>
                        <wps:cNvSpPr txBox="1"/>
                        <wps:spPr>
                          <a:xfrm>
                            <a:off x="4191000" y="3062328"/>
                            <a:ext cx="809625" cy="304800"/>
                          </a:xfrm>
                          <a:prstGeom prst="rect">
                            <a:avLst/>
                          </a:prstGeom>
                          <a:solidFill>
                            <a:sysClr val="window" lastClr="FFFFFF"/>
                          </a:solidFill>
                          <a:ln w="6350">
                            <a:noFill/>
                          </a:ln>
                          <a:effectLst/>
                        </wps:spPr>
                        <wps:txbx>
                          <w:txbxContent>
                            <w:p w14:paraId="524A7210" w14:textId="77777777" w:rsidR="00D56EAC" w:rsidRPr="007F3449" w:rsidRDefault="00D56EAC" w:rsidP="00A56EDD">
                              <w:pPr>
                                <w:pStyle w:val="NormalWeb"/>
                                <w:spacing w:before="0" w:beforeAutospacing="0" w:after="200" w:afterAutospacing="0" w:line="276" w:lineRule="auto"/>
                                <w:rPr>
                                  <w:rFonts w:asciiTheme="minorHAnsi" w:hAnsiTheme="minorHAnsi"/>
                                </w:rPr>
                              </w:pPr>
                              <w:r w:rsidRPr="007F3449">
                                <w:rPr>
                                  <w:rFonts w:asciiTheme="minorHAnsi" w:eastAsia="Calibri" w:hAnsiTheme="minorHAnsi"/>
                                  <w:b/>
                                  <w:bCs/>
                                  <w:color w:val="E46C0A"/>
                                  <w:sz w:val="28"/>
                                  <w:szCs w:val="28"/>
                                </w:rPr>
                                <w:t>2011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1" name="Text Box 3"/>
                        <wps:cNvSpPr txBox="1"/>
                        <wps:spPr>
                          <a:xfrm>
                            <a:off x="7458075" y="3086100"/>
                            <a:ext cx="809625" cy="304800"/>
                          </a:xfrm>
                          <a:prstGeom prst="rect">
                            <a:avLst/>
                          </a:prstGeom>
                          <a:solidFill>
                            <a:sysClr val="window" lastClr="FFFFFF"/>
                          </a:solidFill>
                          <a:ln w="6350">
                            <a:noFill/>
                          </a:ln>
                          <a:effectLst/>
                        </wps:spPr>
                        <wps:txbx>
                          <w:txbxContent>
                            <w:p w14:paraId="5422D7C7" w14:textId="77777777" w:rsidR="00D56EAC" w:rsidRPr="007F3449" w:rsidRDefault="00D56EAC" w:rsidP="00A56EDD">
                              <w:pPr>
                                <w:pStyle w:val="NormalWeb"/>
                                <w:spacing w:before="0" w:beforeAutospacing="0" w:after="200" w:afterAutospacing="0" w:line="276" w:lineRule="auto"/>
                                <w:rPr>
                                  <w:rFonts w:asciiTheme="minorHAnsi" w:hAnsiTheme="minorHAnsi"/>
                                </w:rPr>
                              </w:pPr>
                              <w:r>
                                <w:rPr>
                                  <w:rFonts w:asciiTheme="minorHAnsi" w:eastAsia="Calibri" w:hAnsiTheme="minorHAnsi"/>
                                  <w:b/>
                                  <w:bCs/>
                                  <w:color w:val="E46C0A"/>
                                  <w:sz w:val="28"/>
                                  <w:szCs w:val="28"/>
                                </w:rPr>
                                <w:t>2015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2" name="Straight Connector 102"/>
                        <wps:cNvCnPr/>
                        <wps:spPr>
                          <a:xfrm>
                            <a:off x="4400844" y="3323250"/>
                            <a:ext cx="0" cy="257175"/>
                          </a:xfrm>
                          <a:prstGeom prst="line">
                            <a:avLst/>
                          </a:prstGeom>
                          <a:noFill/>
                          <a:ln w="9525" cap="flat" cmpd="sng" algn="ctr">
                            <a:solidFill>
                              <a:srgbClr val="4F81BD">
                                <a:shade val="95000"/>
                                <a:satMod val="105000"/>
                              </a:srgbClr>
                            </a:solidFill>
                            <a:prstDash val="solid"/>
                          </a:ln>
                          <a:effectLst/>
                        </wps:spPr>
                        <wps:bodyPr/>
                      </wps:wsp>
                      <wps:wsp>
                        <wps:cNvPr id="117" name="Text Box 91"/>
                        <wps:cNvSpPr txBox="1"/>
                        <wps:spPr>
                          <a:xfrm>
                            <a:off x="7333437" y="851553"/>
                            <a:ext cx="1189990" cy="523240"/>
                          </a:xfrm>
                          <a:prstGeom prst="rect">
                            <a:avLst/>
                          </a:prstGeom>
                          <a:solidFill>
                            <a:sysClr val="window" lastClr="FFFFFF"/>
                          </a:solidFill>
                          <a:ln w="6350">
                            <a:solidFill>
                              <a:prstClr val="black"/>
                            </a:solidFill>
                          </a:ln>
                          <a:effectLst/>
                        </wps:spPr>
                        <wps:txbx>
                          <w:txbxContent>
                            <w:p w14:paraId="024F7C96" w14:textId="77777777" w:rsidR="00D56EAC" w:rsidRDefault="00D56EAC" w:rsidP="00A56EDD">
                              <w:pPr>
                                <w:pStyle w:val="NormalWeb"/>
                                <w:spacing w:before="0" w:beforeAutospacing="0" w:after="0" w:afterAutospacing="0" w:line="276" w:lineRule="auto"/>
                                <w:rPr>
                                  <w:rFonts w:ascii="Calibri" w:eastAsia="Calibri" w:hAnsi="Calibri"/>
                                  <w:sz w:val="18"/>
                                  <w:szCs w:val="18"/>
                                </w:rPr>
                              </w:pPr>
                              <w:r>
                                <w:rPr>
                                  <w:rFonts w:ascii="Calibri" w:eastAsia="Calibri" w:hAnsi="Calibri"/>
                                  <w:sz w:val="18"/>
                                  <w:szCs w:val="18"/>
                                </w:rPr>
                                <w:t xml:space="preserve">Fall 2014: </w:t>
                              </w:r>
                            </w:p>
                            <w:p w14:paraId="3E6B2DE8" w14:textId="5F1BE8B7" w:rsidR="00D56EAC" w:rsidRDefault="00D56EAC" w:rsidP="00A56EDD">
                              <w:pPr>
                                <w:pStyle w:val="NormalWeb"/>
                                <w:spacing w:before="0" w:beforeAutospacing="0" w:after="0" w:afterAutospacing="0" w:line="276" w:lineRule="auto"/>
                              </w:pPr>
                              <w:r>
                                <w:rPr>
                                  <w:rFonts w:ascii="Calibri" w:eastAsia="Calibri" w:hAnsi="Calibri"/>
                                  <w:sz w:val="18"/>
                                  <w:szCs w:val="18"/>
                                </w:rPr>
                                <w:t xml:space="preserve">Rapid fall in oil prices - </w:t>
                              </w:r>
                              <w:r w:rsidRPr="00B71BEA">
                                <w:rPr>
                                  <w:rFonts w:ascii="Calibri" w:eastAsia="Calibri" w:hAnsi="Calibri"/>
                                  <w:b/>
                                  <w:sz w:val="18"/>
                                  <w:szCs w:val="18"/>
                                </w:rPr>
                                <w:t>fiscal crisis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0" name="Text Box 88"/>
                        <wps:cNvSpPr txBox="1"/>
                        <wps:spPr>
                          <a:xfrm>
                            <a:off x="6713503" y="1465026"/>
                            <a:ext cx="1001424" cy="849549"/>
                          </a:xfrm>
                          <a:prstGeom prst="rect">
                            <a:avLst/>
                          </a:prstGeom>
                          <a:solidFill>
                            <a:sysClr val="window" lastClr="FFFFFF"/>
                          </a:solidFill>
                          <a:ln w="6350">
                            <a:solidFill>
                              <a:prstClr val="black"/>
                            </a:solidFill>
                          </a:ln>
                          <a:effectLst/>
                        </wps:spPr>
                        <wps:txbx>
                          <w:txbxContent>
                            <w:p w14:paraId="3F90A733" w14:textId="4CBB9969" w:rsidR="00D56EAC" w:rsidRPr="00F31FDB" w:rsidRDefault="00D56EAC" w:rsidP="00A56EDD">
                              <w:pPr>
                                <w:pStyle w:val="NormalWeb"/>
                                <w:spacing w:before="0" w:beforeAutospacing="0" w:after="0" w:afterAutospacing="0" w:line="276" w:lineRule="auto"/>
                                <w:rPr>
                                  <w:sz w:val="22"/>
                                </w:rPr>
                              </w:pPr>
                              <w:r w:rsidRPr="00F31FDB">
                                <w:rPr>
                                  <w:rFonts w:ascii="Calibri" w:eastAsia="Calibri" w:hAnsi="Calibri"/>
                                  <w:sz w:val="18"/>
                                  <w:szCs w:val="20"/>
                                </w:rPr>
                                <w:t>2014: peace negotiations in Addis Ababa; Arusha (SPLM)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2" name="Text Box 15"/>
                        <wps:cNvSpPr txBox="1"/>
                        <wps:spPr>
                          <a:xfrm>
                            <a:off x="7656389" y="1543050"/>
                            <a:ext cx="1237615" cy="721583"/>
                          </a:xfrm>
                          <a:prstGeom prst="rect">
                            <a:avLst/>
                          </a:prstGeom>
                          <a:solidFill>
                            <a:sysClr val="window" lastClr="FFFFFF"/>
                          </a:solidFill>
                          <a:ln w="6350">
                            <a:solidFill>
                              <a:prstClr val="black"/>
                            </a:solidFill>
                            <a:prstDash val="dash"/>
                          </a:ln>
                          <a:effectLst/>
                        </wps:spPr>
                        <wps:txbx>
                          <w:txbxContent>
                            <w:p w14:paraId="617A1CDE" w14:textId="77777777" w:rsidR="00D56EAC" w:rsidRPr="00535DAC" w:rsidRDefault="00D56EAC" w:rsidP="00A56EDD">
                              <w:pPr>
                                <w:pStyle w:val="NormalWeb"/>
                                <w:spacing w:before="0" w:beforeAutospacing="0" w:after="0" w:afterAutospacing="0" w:line="276" w:lineRule="auto"/>
                                <w:rPr>
                                  <w:rFonts w:ascii="Calibri" w:eastAsia="Calibri" w:hAnsi="Calibri"/>
                                  <w:color w:val="000000" w:themeColor="text1"/>
                                  <w:sz w:val="18"/>
                                  <w:szCs w:val="18"/>
                                </w:rPr>
                              </w:pPr>
                              <w:r w:rsidRPr="00535DAC">
                                <w:rPr>
                                  <w:rFonts w:ascii="Calibri" w:eastAsia="Calibri" w:hAnsi="Calibri"/>
                                  <w:color w:val="000000" w:themeColor="text1"/>
                                  <w:sz w:val="18"/>
                                  <w:szCs w:val="18"/>
                                </w:rPr>
                                <w:t>August 2015</w:t>
                              </w:r>
                            </w:p>
                            <w:p w14:paraId="2FF6D9E9" w14:textId="05DB9F2B" w:rsidR="00D56EAC" w:rsidRPr="00535DAC" w:rsidRDefault="00D56EAC" w:rsidP="00A56EDD">
                              <w:pPr>
                                <w:pStyle w:val="NormalWeb"/>
                                <w:spacing w:before="0" w:beforeAutospacing="0" w:after="0" w:afterAutospacing="0" w:line="276" w:lineRule="auto"/>
                                <w:rPr>
                                  <w:rFonts w:ascii="Calibri" w:eastAsia="Calibri" w:hAnsi="Calibri"/>
                                  <w:sz w:val="18"/>
                                  <w:szCs w:val="20"/>
                                </w:rPr>
                              </w:pPr>
                              <w:r w:rsidRPr="00535DAC">
                                <w:rPr>
                                  <w:rFonts w:ascii="Calibri" w:eastAsia="Calibri" w:hAnsi="Calibri"/>
                                  <w:sz w:val="18"/>
                                  <w:szCs w:val="20"/>
                                </w:rPr>
                                <w:t xml:space="preserve">Agreement on Resolution of Conflict in </w:t>
                              </w:r>
                              <w:r w:rsidRPr="00535DAC">
                                <w:rPr>
                                  <w:rFonts w:ascii="Calibri" w:eastAsia="Calibri" w:hAnsi="Calibri"/>
                                  <w:bCs/>
                                  <w:sz w:val="18"/>
                                  <w:szCs w:val="20"/>
                                </w:rPr>
                                <w:t>South Sudan</w:t>
                              </w:r>
                              <w:r w:rsidRPr="00535DAC">
                                <w:rPr>
                                  <w:rFonts w:ascii="Calibri" w:eastAsia="Calibri" w:hAnsi="Calibri"/>
                                  <w:sz w:val="18"/>
                                  <w:szCs w:val="20"/>
                                </w:rPr>
                                <w:t xml:space="preserve"> </w:t>
                              </w:r>
                              <w:r>
                                <w:rPr>
                                  <w:rFonts w:ascii="Calibri" w:eastAsia="Calibri" w:hAnsi="Calibri"/>
                                  <w:sz w:val="18"/>
                                  <w:szCs w:val="20"/>
                                </w:rPr>
                                <w:t>signed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anchor>
            </w:drawing>
          </mc:Choice>
          <mc:Fallback>
            <w:pict>
              <v:group w14:anchorId="01E370A3" id="Canvas 104" o:spid="_x0000_s1047" editas="canvas" style="position:absolute;left:0;text-align:left;margin-left:.3pt;margin-top:0;width:719.05pt;height:537.05pt;z-index:251667456" coordsize="91319,68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">
                <v:shape id="_x0000_s1048" type="#_x0000_t75" style="position:absolute;width:91319;height:68205;visibility:visible;mso-wrap-style:square">
                  <v:fill o:detectmouseclick="t"/>
                  <v:path o:connecttype="none"/>
                </v:shape>
                <v:line id="Straight Connector 60" o:spid="_x0000_s1049" style="position:absolute;flip:y;visibility:visible;mso-wrap-style:square" from="1142,34284" to="75529,34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RSlMMAAADbAAAADwAAAGRycy9kb3ducmV2LnhtbERPPWvDMBDdC/kP4gJZSiM3QyhOlOAG&#10;Au5QShMHPB7W1Ta1TsaSHbm/vhoKHR/ve38MphMTDa61rOB5nYAgrqxuuVZQXM9PLyCcR9bYWSYF&#10;Mzk4HhYPe0y1vfMnTRdfixjCLkUFjfd9KqWrGjLo1rYnjtyXHQz6CIda6gHvMdx0cpMkW2mw5djQ&#10;YE+nhqrvy2gUjHO4JW/Ta/lRPIb3MXP5PP6USq2WIduB8BT8v/jPnWsF27g+fok/QB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UUpTDAAAA2wAAAA8AAAAAAAAAAAAA&#10;AAAAoQIAAGRycy9kb3ducmV2LnhtbFBLBQYAAAAABAAEAPkAAACRAwAAAAA=&#10;" strokecolor="#4a7ebb" strokeweight="2.75pt"/>
                <v:shapetype id="_x0000_t32" coordsize="21600,21600" o:spt="32" o:oned="t" path="m,l21600,21600e" filled="f">
                  <v:path arrowok="t" fillok="f" o:connecttype="none"/>
                  <o:lock v:ext="edit" shapetype="t"/>
                </v:shapetype>
                <v:shape id="Straight Arrow Connector 62" o:spid="_x0000_s1050" type="#_x0000_t32" style="position:absolute;left:75723;top:34287;width:152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n88QAAADbAAAADwAAAGRycy9kb3ducmV2LnhtbESPQWvCQBSE74L/YXmCN90kiErqGtqK&#10;IEhBbaHXR/aZTZt9G7Orpv++WxB6HGbmG2ZV9LYRN+p87VhBOk1AEJdO11wp+HjfTpYgfEDW2Dgm&#10;BT/koVgPByvMtbvzkW6nUIkIYZ+jAhNCm0vpS0MW/dS1xNE7u85iiLKrpO7wHuG2kVmSzKXFmuOC&#10;wZZeDZXfp6tVcKnPX5/75Szrd4vt4fi2MWlDL0qNR/3zE4hAffgPP9o7rWCewd+X+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ufzxAAAANsAAAAPAAAAAAAAAAAA&#10;AAAAAKECAABkcnMvZG93bnJldi54bWxQSwUGAAAAAAQABAD5AAAAkgMAAAAA&#10;" strokecolor="#4a7ebb" strokeweight="2.75pt">
                  <v:stroke dashstyle="dash" endarrow="open"/>
                </v:shape>
                <v:line id="Straight Connector 66" o:spid="_x0000_s1051" style="position:absolute;visibility:visible;mso-wrap-style:square" from="75533,33051" to="75533,35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oBBsIAAADbAAAADwAAAGRycy9kb3ducmV2LnhtbESPQWsCMRSE7wX/Q3hCb92sLSx1NYoI&#10;Qg8e1Bbq8Zk8N4ubl3UTdf33Rij0OMzMN8x03rtGXKkLtWcFoywHQay9qblS8PO9evsEESKywcYz&#10;KbhTgPls8DLF0vgbb+m6i5VIEA4lKrAxtqWUQVtyGDLfEifv6DuHMcmukqbDW4K7Rr7neSEd1pwW&#10;LLa0tKRPu4tT8GtxvdnoQyT/sV9oUxnjz2OlXof9YgIiUh//w3/tL6OgKOD5Jf0AO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RoBBsIAAADbAAAADwAAAAAAAAAAAAAA&#10;AAChAgAAZHJzL2Rvd25yZXYueG1sUEsFBgAAAAAEAAQA+QAAAJADAAAAAA==&#10;" strokecolor="#4a7ebb"/>
                <v:shape id="Text Box 67" o:spid="_x0000_s1052" type="#_x0000_t202" style="position:absolute;left:4381;top:3524;width:9906;height:16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85aMQA&#10;AADbAAAADwAAAGRycy9kb3ducmV2LnhtbESPQWvCQBSE7wX/w/KE3urGUlSiqwSpIOgl6kFvj+wz&#10;CWbfhuwa1/76bqHgcZiZb5jFKphG9NS52rKC8SgBQVxYXXOp4HTcfMxAOI+ssbFMCp7kYLUcvC0w&#10;1fbBOfUHX4oIYZeigsr7NpXSFRUZdCPbEkfvajuDPsqulLrDR4SbRn4myUQarDkuVNjSuqLidrgb&#10;Bf3u7H+2+/r7ss72XxnlIQt5rtT7MGRzEJ6Cf4X/21utYDKFvy/x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OWjEAAAA2wAAAA8AAAAAAAAAAAAAAAAAmAIAAGRycy9k&#10;b3ducmV2LnhtbFBLBQYAAAAABAAEAPUAAACJAwAAAAA=&#10;" fillcolor="#95b3d7" stroked="f" strokeweight=".5pt">
                  <v:fill opacity="32896f"/>
                  <v:textbox>
                    <w:txbxContent>
                      <w:p w14:paraId="0B5B5F68" w14:textId="77777777" w:rsidR="00D56EAC" w:rsidRPr="001833FC" w:rsidRDefault="00D56EAC" w:rsidP="00A56EDD">
                        <w:pPr>
                          <w:rPr>
                            <w:sz w:val="18"/>
                          </w:rPr>
                        </w:pPr>
                        <w:r w:rsidRPr="001833FC">
                          <w:rPr>
                            <w:sz w:val="18"/>
                          </w:rPr>
                          <w:t>Civil war, garrison towns and liberated areas</w:t>
                        </w:r>
                      </w:p>
                      <w:p w14:paraId="4B67C789" w14:textId="77777777" w:rsidR="00D56EAC" w:rsidRPr="001833FC" w:rsidRDefault="00D56EAC" w:rsidP="00A56EDD">
                        <w:pPr>
                          <w:rPr>
                            <w:sz w:val="18"/>
                          </w:rPr>
                        </w:pPr>
                        <w:r w:rsidRPr="001833FC">
                          <w:rPr>
                            <w:sz w:val="18"/>
                          </w:rPr>
                          <w:t>Service provision mainly through NGOs</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69" o:spid="_x0000_s1053" type="#_x0000_t66" style="position:absolute;top:15611;width:12668;height:6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mh3sUA&#10;AADbAAAADwAAAGRycy9kb3ducmV2LnhtbESPT0sDMRTE74LfITzBm83WQ7Fr0yIVwT9Y2q2X3h6b&#10;1+xi8rJsntutn94IgsdhZn7DLFZj8GqgPrWRDUwnBSjiOtqWnYGP/dPNHagkyBZ9ZDJwpgSr5eXF&#10;AksbT7yjoRKnMoRTiQYaka7UOtUNBUyT2BFn7xj7gJJl77Tt8ZThwevbopjpgC3nhQY7WjdUf1Zf&#10;wcDBDdW4fZTXt3e3+d54P9cvZzHm+mp8uAclNMp/+K/9bA3M5vD7Jf8Av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aHexQAAANsAAAAPAAAAAAAAAAAAAAAAAJgCAABkcnMv&#10;ZG93bnJldi54bWxQSwUGAAAAAAQABAD1AAAAigMAAAAA&#10;" adj="5684" fillcolor="#4f81bd" strokecolor="#385d8a" strokeweight="2pt">
                  <v:fill opacity="22873f"/>
                </v:shape>
                <v:shape id="Text Box 70" o:spid="_x0000_s1054" type="#_x0000_t202" style="position:absolute;left:1905;top:16859;width:12382;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L8MA&#10;AADbAAAADwAAAGRycy9kb3ducmV2LnhtbERPy2rCQBTdF/yH4Ra6q5MKVYlOQgiIpbQLrZvubjM3&#10;D8zciZkxSf36zkLo8nDe23QyrRiod41lBS/zCARxYXXDlYLT1+55DcJ5ZI2tZVLwSw7SZPawxVjb&#10;kQ80HH0lQgi7GBXU3nexlK6oyaCb2444cKXtDfoA+0rqHscQblq5iKKlNNhwaKixo7ym4ny8GgXv&#10;+e4TDz8Ls761+f6jzLrL6ftVqafHKduA8DT5f/Hd/aYVrML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j/L8MAAADbAAAADwAAAAAAAAAAAAAAAACYAgAAZHJzL2Rv&#10;d25yZXYueG1sUEsFBgAAAAAEAAQA9QAAAIgDAAAAAA==&#10;" filled="f" stroked="f" strokeweight=".5pt">
                  <v:textbox>
                    <w:txbxContent>
                      <w:p w14:paraId="380A9795" w14:textId="53F91E52" w:rsidR="00D56EAC" w:rsidRDefault="00D56EAC" w:rsidP="00A56EDD">
                        <w:pPr>
                          <w:spacing w:after="0" w:line="240" w:lineRule="auto"/>
                          <w:rPr>
                            <w:sz w:val="18"/>
                          </w:rPr>
                        </w:pPr>
                        <w:r w:rsidRPr="001833FC">
                          <w:rPr>
                            <w:sz w:val="18"/>
                          </w:rPr>
                          <w:t>1</w:t>
                        </w:r>
                        <w:r>
                          <w:rPr>
                            <w:sz w:val="18"/>
                          </w:rPr>
                          <w:t>951–1972</w:t>
                        </w:r>
                        <w:r w:rsidRPr="001833FC">
                          <w:rPr>
                            <w:sz w:val="18"/>
                          </w:rPr>
                          <w:t xml:space="preserve">, </w:t>
                        </w:r>
                      </w:p>
                      <w:p w14:paraId="09660C1E" w14:textId="170D0D14" w:rsidR="00D56EAC" w:rsidRPr="001833FC" w:rsidRDefault="00D56EAC" w:rsidP="00A56EDD">
                        <w:pPr>
                          <w:spacing w:after="0" w:line="240" w:lineRule="auto"/>
                          <w:rPr>
                            <w:sz w:val="18"/>
                          </w:rPr>
                        </w:pPr>
                        <w:r w:rsidRPr="001833FC">
                          <w:rPr>
                            <w:sz w:val="18"/>
                          </w:rPr>
                          <w:t>1983</w:t>
                        </w:r>
                        <w:r>
                          <w:rPr>
                            <w:sz w:val="18"/>
                          </w:rPr>
                          <w:t>–</w:t>
                        </w:r>
                        <w:r w:rsidRPr="001833FC">
                          <w:rPr>
                            <w:sz w:val="18"/>
                          </w:rPr>
                          <w:t>early 2000s</w:t>
                        </w:r>
                      </w:p>
                    </w:txbxContent>
                  </v:textbox>
                </v:shape>
                <v:shape id="Text Box 72" o:spid="_x0000_s1055" type="#_x0000_t202" style="position:absolute;left:9239;top:23526;width:13811;height:8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tzesMA&#10;AADbAAAADwAAAGRycy9kb3ducmV2LnhtbESPQWvCQBSE70L/w/IK3nRTD9WmbkIpFHopYvRgb4/d&#10;12Q1+zZktzH6691CweMwM98w63J0rRioD9azgqd5BoJYe2O5VrDffcxWIEJENth6JgUXClAWD5M1&#10;5safeUtDFWuRIBxyVNDE2OVSBt2QwzD3HXHyfnzvMCbZ19L0eE5w18pFlj1Lh5bTQoMdvTekT9Wv&#10;U2D44Fl/26+r5Urbl+tmddSDUtPH8e0VRKQx3sP/7U+jYLmAvy/pB8j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tzesMAAADbAAAADwAAAAAAAAAAAAAAAACYAgAAZHJzL2Rv&#10;d25yZXYueG1sUEsFBgAAAAAEAAQA9QAAAIgDAAAAAA==&#10;" fillcolor="window" strokeweight=".5pt">
                  <v:textbox>
                    <w:txbxContent>
                      <w:p w14:paraId="2C260F01" w14:textId="77777777" w:rsidR="00D56EAC" w:rsidRPr="001833FC" w:rsidRDefault="00D56EAC" w:rsidP="00A56EDD">
                        <w:pPr>
                          <w:spacing w:after="0" w:line="240" w:lineRule="auto"/>
                          <w:rPr>
                            <w:sz w:val="18"/>
                          </w:rPr>
                        </w:pPr>
                        <w:r w:rsidRPr="001833FC">
                          <w:rPr>
                            <w:sz w:val="18"/>
                          </w:rPr>
                          <w:t>January 2005</w:t>
                        </w:r>
                      </w:p>
                      <w:p w14:paraId="4B1A50F6" w14:textId="57D1AE7B" w:rsidR="00D56EAC" w:rsidRDefault="00D56EAC" w:rsidP="00A56EDD">
                        <w:pPr>
                          <w:spacing w:after="0" w:line="240" w:lineRule="auto"/>
                          <w:rPr>
                            <w:sz w:val="18"/>
                          </w:rPr>
                        </w:pPr>
                        <w:r w:rsidRPr="001833FC">
                          <w:rPr>
                            <w:sz w:val="18"/>
                          </w:rPr>
                          <w:t>CPA signed between the SPLM and GoS</w:t>
                        </w:r>
                        <w:r>
                          <w:rPr>
                            <w:sz w:val="18"/>
                          </w:rPr>
                          <w:t>S</w:t>
                        </w:r>
                      </w:p>
                      <w:p w14:paraId="4BA0BEAA" w14:textId="0C5D9D13" w:rsidR="00D56EAC" w:rsidRPr="001833FC" w:rsidRDefault="00D56EAC" w:rsidP="00A56EDD">
                        <w:pPr>
                          <w:spacing w:after="0" w:line="240" w:lineRule="auto"/>
                          <w:rPr>
                            <w:sz w:val="18"/>
                          </w:rPr>
                        </w:pPr>
                        <w:r w:rsidRPr="008F7EB3">
                          <w:rPr>
                            <w:b/>
                            <w:sz w:val="18"/>
                          </w:rPr>
                          <w:t xml:space="preserve">Interim </w:t>
                        </w:r>
                        <w:r>
                          <w:rPr>
                            <w:b/>
                            <w:sz w:val="18"/>
                          </w:rPr>
                          <w:t>c</w:t>
                        </w:r>
                        <w:r w:rsidRPr="008F7EB3">
                          <w:rPr>
                            <w:b/>
                            <w:sz w:val="18"/>
                          </w:rPr>
                          <w:t xml:space="preserve">onstitution </w:t>
                        </w:r>
                        <w:r>
                          <w:rPr>
                            <w:sz w:val="18"/>
                          </w:rPr>
                          <w:t>enacted as part of CPA</w:t>
                        </w:r>
                      </w:p>
                    </w:txbxContent>
                  </v:textbox>
                </v:shape>
                <v:shape id="Text Box 11" o:spid="_x0000_s1056" type="#_x0000_t202" style="position:absolute;left:43039;top:22751;width:12773;height:7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fW4cMA&#10;AADbAAAADwAAAGRycy9kb3ducmV2LnhtbESPQWsCMRSE74X+h/AKvdWsLdh1NYoIhV6KdPWgt0fy&#10;3I1uXpZNum799Y0g9DjMzDfMfDm4RvTUBetZwXiUgSDW3liuFOy2Hy85iBCRDTaeScEvBVguHh/m&#10;WBh/4W/qy1iJBOFQoII6xraQMuiaHIaRb4mTd/Sdw5hkV0nT4SXBXSNfs2wiHVpOCzW2tK5Jn8sf&#10;p8Dw3rM+2K+r5VLb6XWTn3Sv1PPTsJqBiDTE//C9/WkUvL/B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fW4cMAAADbAAAADwAAAAAAAAAAAAAAAACYAgAAZHJzL2Rv&#10;d25yZXYueG1sUEsFBgAAAAAEAAQA9QAAAIgDAAAAAA==&#10;" fillcolor="window" strokeweight=".5pt">
                  <v:textbox>
                    <w:txbxContent>
                      <w:p w14:paraId="7852EEF3" w14:textId="77777777" w:rsidR="00D56EAC" w:rsidRPr="001833FC" w:rsidRDefault="00D56EAC" w:rsidP="00A56EDD">
                        <w:pPr>
                          <w:spacing w:after="0" w:line="240" w:lineRule="auto"/>
                          <w:rPr>
                            <w:sz w:val="18"/>
                          </w:rPr>
                        </w:pPr>
                        <w:r w:rsidRPr="001833FC">
                          <w:rPr>
                            <w:sz w:val="18"/>
                          </w:rPr>
                          <w:t>July 2011</w:t>
                        </w:r>
                      </w:p>
                      <w:p w14:paraId="20A5D099" w14:textId="77777777" w:rsidR="00D56EAC" w:rsidRDefault="00D56EAC" w:rsidP="00A56EDD">
                        <w:pPr>
                          <w:spacing w:after="0" w:line="240" w:lineRule="auto"/>
                          <w:rPr>
                            <w:sz w:val="18"/>
                          </w:rPr>
                        </w:pPr>
                        <w:r w:rsidRPr="001833FC">
                          <w:rPr>
                            <w:sz w:val="18"/>
                          </w:rPr>
                          <w:t>Independence</w:t>
                        </w:r>
                        <w:r>
                          <w:rPr>
                            <w:sz w:val="18"/>
                          </w:rPr>
                          <w:t xml:space="preserve"> of South Sudan</w:t>
                        </w:r>
                      </w:p>
                      <w:p w14:paraId="14403BDA" w14:textId="364E20C1" w:rsidR="00D56EAC" w:rsidRPr="001833FC" w:rsidRDefault="00D56EAC" w:rsidP="00A56EDD">
                        <w:pPr>
                          <w:spacing w:after="0" w:line="240" w:lineRule="auto"/>
                          <w:rPr>
                            <w:sz w:val="18"/>
                          </w:rPr>
                        </w:pPr>
                        <w:r w:rsidRPr="00A30EA4">
                          <w:rPr>
                            <w:b/>
                            <w:sz w:val="18"/>
                          </w:rPr>
                          <w:t>Transitional</w:t>
                        </w:r>
                        <w:r w:rsidRPr="00A30EA4">
                          <w:rPr>
                            <w:sz w:val="18"/>
                          </w:rPr>
                          <w:t xml:space="preserve"> </w:t>
                        </w:r>
                        <w:r>
                          <w:rPr>
                            <w:b/>
                            <w:sz w:val="18"/>
                          </w:rPr>
                          <w:t>c</w:t>
                        </w:r>
                        <w:r w:rsidRPr="008F7EB3">
                          <w:rPr>
                            <w:b/>
                            <w:sz w:val="18"/>
                          </w:rPr>
                          <w:t>onstitution</w:t>
                        </w:r>
                        <w:r>
                          <w:rPr>
                            <w:sz w:val="18"/>
                          </w:rPr>
                          <w:t xml:space="preserve"> enacted</w:t>
                        </w:r>
                      </w:p>
                    </w:txbxContent>
                  </v:textbox>
                </v:shape>
                <v:shape id="Text Box 11" o:spid="_x0000_s1057" type="#_x0000_t202" style="position:absolute;left:60375;top:24838;width:12586;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5OlcMA&#10;AADbAAAADwAAAGRycy9kb3ducmV2LnhtbESPQWsCMRSE74X+h/AKvdWspdh1NYoIhV6KdPWgt0fy&#10;3I1uXpZNum799Y0g9DjMzDfMfDm4RvTUBetZwXiUgSDW3liuFOy2Hy85iBCRDTaeScEvBVguHh/m&#10;WBh/4W/qy1iJBOFQoII6xraQMuiaHIaRb4mTd/Sdw5hkV0nT4SXBXSNfs2wiHVpOCzW2tK5Jn8sf&#10;p8Dw3rM+2K+r5VLb6XWTn3Sv1PPTsJqBiDTE//C9/WkUvL/B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5OlcMAAADbAAAADwAAAAAAAAAAAAAAAACYAgAAZHJzL2Rv&#10;d25yZXYueG1sUEsFBgAAAAAEAAQA9QAAAIgDAAAAAA==&#10;" fillcolor="window" strokeweight=".5pt">
                  <v:textbox>
                    <w:txbxContent>
                      <w:p w14:paraId="0D3FB4E9" w14:textId="77777777" w:rsidR="00D56EAC" w:rsidRPr="001833FC" w:rsidRDefault="00D56EAC" w:rsidP="00A56EDD">
                        <w:pPr>
                          <w:spacing w:after="0" w:line="240" w:lineRule="auto"/>
                          <w:rPr>
                            <w:sz w:val="18"/>
                          </w:rPr>
                        </w:pPr>
                        <w:r w:rsidRPr="001833FC">
                          <w:rPr>
                            <w:sz w:val="18"/>
                          </w:rPr>
                          <w:t>December 2013</w:t>
                        </w:r>
                      </w:p>
                      <w:p w14:paraId="600C062A" w14:textId="77777777" w:rsidR="00D56EAC" w:rsidRPr="008F7EB3" w:rsidRDefault="00D56EAC" w:rsidP="00A56EDD">
                        <w:pPr>
                          <w:spacing w:after="0" w:line="240" w:lineRule="auto"/>
                          <w:rPr>
                            <w:b/>
                            <w:sz w:val="18"/>
                          </w:rPr>
                        </w:pPr>
                        <w:r w:rsidRPr="008F7EB3">
                          <w:rPr>
                            <w:b/>
                            <w:sz w:val="18"/>
                          </w:rPr>
                          <w:t>Outbreak of violence</w:t>
                        </w:r>
                      </w:p>
                    </w:txbxContent>
                  </v:textbox>
                </v:shape>
                <v:shape id="Text Box 75" o:spid="_x0000_s1058" type="#_x0000_t202" style="position:absolute;left:29526;top:22648;width:12382;height:7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rDsMA&#10;AADbAAAADwAAAGRycy9kb3ducmV2LnhtbESPQWsCMRSE74X+h/AKvdWshdp1NYoIhV6KdPWgt0fy&#10;3I1uXpZNum799Y0g9DjMzDfMfDm4RvTUBetZwXiUgSDW3liuFOy2Hy85iBCRDTaeScEvBVguHh/m&#10;WBh/4W/qy1iJBOFQoII6xraQMuiaHIaRb4mTd/Sdw5hkV0nT4SXBXSNfs2wiHVpOCzW2tK5Jn8sf&#10;p8Dw3rM+2K+r5VLb6XWTn3Sv1PPTsJqBiDTE//C9/WkUvL/B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LrDsMAAADbAAAADwAAAAAAAAAAAAAAAACYAgAAZHJzL2Rv&#10;d25yZXYueG1sUEsFBgAAAAAEAAQA9QAAAIgDAAAAAA==&#10;" fillcolor="window" strokeweight=".5pt">
                  <v:textbox>
                    <w:txbxContent>
                      <w:p w14:paraId="0FCE7050" w14:textId="77777777" w:rsidR="00D56EAC" w:rsidRDefault="00D56EAC" w:rsidP="00A56EDD">
                        <w:pPr>
                          <w:spacing w:after="0" w:line="240" w:lineRule="auto"/>
                          <w:rPr>
                            <w:sz w:val="18"/>
                          </w:rPr>
                        </w:pPr>
                        <w:r>
                          <w:rPr>
                            <w:sz w:val="18"/>
                          </w:rPr>
                          <w:t>April 2010</w:t>
                        </w:r>
                      </w:p>
                      <w:p w14:paraId="7DB76927" w14:textId="33F30041" w:rsidR="00D56EAC" w:rsidRDefault="00D56EAC" w:rsidP="00A56EDD">
                        <w:pPr>
                          <w:spacing w:after="0" w:line="240" w:lineRule="auto"/>
                        </w:pPr>
                        <w:r w:rsidRPr="008F7EB3">
                          <w:rPr>
                            <w:b/>
                            <w:sz w:val="18"/>
                          </w:rPr>
                          <w:t>Elections</w:t>
                        </w:r>
                        <w:r>
                          <w:t xml:space="preserve"> </w:t>
                        </w:r>
                        <w:r w:rsidRPr="00CB1FB6">
                          <w:rPr>
                            <w:sz w:val="18"/>
                          </w:rPr>
                          <w:t xml:space="preserve">in the </w:t>
                        </w:r>
                        <w:r>
                          <w:rPr>
                            <w:sz w:val="18"/>
                          </w:rPr>
                          <w:t>n</w:t>
                        </w:r>
                        <w:r w:rsidRPr="00CB1FB6">
                          <w:rPr>
                            <w:sz w:val="18"/>
                          </w:rPr>
                          <w:t xml:space="preserve">orth and in </w:t>
                        </w:r>
                        <w:r>
                          <w:rPr>
                            <w:sz w:val="18"/>
                          </w:rPr>
                          <w:t>s</w:t>
                        </w:r>
                        <w:r w:rsidRPr="00CB1FB6">
                          <w:rPr>
                            <w:sz w:val="18"/>
                          </w:rPr>
                          <w:t>outhern Sudan</w:t>
                        </w:r>
                        <w:r>
                          <w:t xml:space="preserve"> </w:t>
                        </w:r>
                      </w:p>
                    </w:txbxContent>
                  </v:textbox>
                </v:shape>
                <v:shape id="Text Box 11" o:spid="_x0000_s1059" type="#_x0000_t202" style="position:absolute;left:37328;top:15611;width:9916;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1ecMA&#10;AADbAAAADwAAAGRycy9kb3ducmV2LnhtbESPQWvCQBSE7wX/w/KE3uqmHqxGN6EIQi9FmvZQb4/d&#10;Z7KafRuya0z99W6h0OMwM98wm3J0rRioD9azgudZBoJYe2O5VvD1uXtagggR2WDrmRT8UICymDxs&#10;MDf+yh80VLEWCcIhRwVNjF0uZdANOQwz3xEn7+h7hzHJvpamx2uCu1bOs2whHVpOCw12tG1In6uL&#10;U2D427M+2Peb5Urb1W2/POlBqcfp+LoGEWmM/+G/9ptR8LKA3y/pB8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1ecMAAADbAAAADwAAAAAAAAAAAAAAAACYAgAAZHJzL2Rv&#10;d25yZXYueG1sUEsFBgAAAAAEAAQA9QAAAIgDAAAAAA==&#10;" fillcolor="window" strokeweight=".5pt">
                  <v:textbox>
                    <w:txbxContent>
                      <w:p w14:paraId="2FACCCBA" w14:textId="77777777" w:rsidR="00D56EAC" w:rsidRPr="00CB1FB6" w:rsidRDefault="00D56EAC" w:rsidP="00A56EDD">
                        <w:pPr>
                          <w:spacing w:after="0" w:line="240" w:lineRule="auto"/>
                          <w:rPr>
                            <w:sz w:val="18"/>
                          </w:rPr>
                        </w:pPr>
                        <w:r w:rsidRPr="00CB1FB6">
                          <w:rPr>
                            <w:sz w:val="18"/>
                          </w:rPr>
                          <w:t>January 2011</w:t>
                        </w:r>
                      </w:p>
                      <w:p w14:paraId="1336D57D" w14:textId="77777777" w:rsidR="00D56EAC" w:rsidRPr="00CB1FB6" w:rsidRDefault="00D56EAC" w:rsidP="00A56EDD">
                        <w:pPr>
                          <w:spacing w:after="0" w:line="240" w:lineRule="auto"/>
                          <w:rPr>
                            <w:sz w:val="18"/>
                          </w:rPr>
                        </w:pPr>
                        <w:r w:rsidRPr="008F7EB3">
                          <w:rPr>
                            <w:b/>
                            <w:sz w:val="18"/>
                          </w:rPr>
                          <w:t>Referendum</w:t>
                        </w:r>
                        <w:r w:rsidRPr="00CB1FB6">
                          <w:rPr>
                            <w:sz w:val="18"/>
                          </w:rPr>
                          <w:t xml:space="preserve"> on Independence</w:t>
                        </w:r>
                      </w:p>
                    </w:txbxContent>
                  </v:textbox>
                </v:shape>
                <v:shape id="Text Box 15" o:spid="_x0000_s1060" type="#_x0000_t202" style="position:absolute;left:78933;top:22626;width:12382;height:7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KMOsQA&#10;AADbAAAADwAAAGRycy9kb3ducmV2LnhtbESPT2vCQBTE7wW/w/IEb3Wjh2ijq4ioKPRSq+DxmX3m&#10;j9m3IbvG9Nt3CwWPw8z8hpkvO1OJlhpXWFYwGkYgiFOrC84UnL6371MQziNrrCyTgh9ysFz03uaY&#10;aPvkL2qPPhMBwi5BBbn3dSKlS3My6Ia2Jg7ezTYGfZBNJnWDzwA3lRxHUSwNFhwWcqxpnVN6Pz6M&#10;AizL6rQz0RXj6WXTnj8PcflxUGrQ71YzEJ46/wr/t/dawWQCf1/C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SjDrEAAAA2wAAAA8AAAAAAAAAAAAAAAAAmAIAAGRycy9k&#10;b3ducmV2LnhtbFBLBQYAAAAABAAEAPUAAACJAwAAAAA=&#10;" fillcolor="window" strokeweight=".5pt">
                  <v:stroke dashstyle="dash"/>
                  <v:textbox>
                    <w:txbxContent>
                      <w:p w14:paraId="1E35F261" w14:textId="49D09C14" w:rsidR="00D56EAC" w:rsidRPr="00B71BEA" w:rsidRDefault="00D56EAC" w:rsidP="00A56EDD">
                        <w:pPr>
                          <w:spacing w:after="0" w:line="240" w:lineRule="auto"/>
                          <w:rPr>
                            <w:color w:val="70AD47" w:themeColor="accent6"/>
                            <w:sz w:val="18"/>
                          </w:rPr>
                        </w:pPr>
                        <w:r>
                          <w:rPr>
                            <w:color w:val="70AD47" w:themeColor="accent6"/>
                            <w:sz w:val="18"/>
                          </w:rPr>
                          <w:t>2019</w:t>
                        </w:r>
                      </w:p>
                      <w:p w14:paraId="16A029DD" w14:textId="77777777" w:rsidR="00D56EAC" w:rsidRPr="00CB1FB6" w:rsidRDefault="00D56EAC" w:rsidP="00A56EDD">
                        <w:pPr>
                          <w:spacing w:after="0" w:line="240" w:lineRule="auto"/>
                          <w:rPr>
                            <w:sz w:val="18"/>
                          </w:rPr>
                        </w:pPr>
                        <w:r w:rsidRPr="00CB1FB6">
                          <w:rPr>
                            <w:sz w:val="18"/>
                          </w:rPr>
                          <w:t xml:space="preserve">Scheduled date for next </w:t>
                        </w:r>
                        <w:r>
                          <w:rPr>
                            <w:sz w:val="18"/>
                          </w:rPr>
                          <w:t xml:space="preserve">(postponed) </w:t>
                        </w:r>
                        <w:r w:rsidRPr="00CB1FB6">
                          <w:rPr>
                            <w:sz w:val="18"/>
                          </w:rPr>
                          <w:t xml:space="preserve">elections </w:t>
                        </w:r>
                      </w:p>
                    </w:txbxContent>
                  </v:textbox>
                </v:shape>
                <v:shape id="Text Box 78" o:spid="_x0000_s1061" type="#_x0000_t202" style="position:absolute;left:22764;top:36194;width:10478;height:7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NEkMAA&#10;AADbAAAADwAAAGRycy9kb3ducmV2LnhtbERPz2vCMBS+C/sfwhvsZlN32Fw1FhGEXcaw8+Buj+TZ&#10;RpuX0mRt519vDoMdP77f63JyrRioD9azgkWWgyDW3liuFRy/9vMliBCRDbaeScEvBSg3D7M1FsaP&#10;fKChirVIIRwKVNDE2BVSBt2Qw5D5jjhxZ987jAn2tTQ9jinctfI5z1+kQ8upocGOdg3pa/XjFBg+&#10;edbf9uNmudL27fa5vOhBqafHabsCEWmK/+I/97tR8JrGpi/pB8jN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xNEkMAAAADbAAAADwAAAAAAAAAAAAAAAACYAgAAZHJzL2Rvd25y&#10;ZXYueG1sUEsFBgAAAAAEAAQA9QAAAIUDAAAAAA==&#10;" fillcolor="window" strokeweight=".5pt">
                  <v:textbox>
                    <w:txbxContent>
                      <w:p w14:paraId="633E6CF7" w14:textId="677EE2EF" w:rsidR="00D56EAC" w:rsidRPr="009C56AF" w:rsidRDefault="00D56EAC" w:rsidP="00A56EDD">
                        <w:pPr>
                          <w:rPr>
                            <w:b/>
                            <w:color w:val="525252" w:themeColor="accent3" w:themeShade="80"/>
                            <w:sz w:val="18"/>
                          </w:rPr>
                        </w:pPr>
                        <w:r w:rsidRPr="009C56AF">
                          <w:rPr>
                            <w:b/>
                            <w:color w:val="525252" w:themeColor="accent3" w:themeShade="80"/>
                            <w:sz w:val="18"/>
                          </w:rPr>
                          <w:t>2007</w:t>
                        </w:r>
                        <w:r>
                          <w:rPr>
                            <w:b/>
                            <w:color w:val="525252" w:themeColor="accent3" w:themeShade="80"/>
                            <w:sz w:val="18"/>
                          </w:rPr>
                          <w:t>–</w:t>
                        </w:r>
                        <w:r w:rsidRPr="009C56AF">
                          <w:rPr>
                            <w:b/>
                            <w:color w:val="525252" w:themeColor="accent3" w:themeShade="80"/>
                            <w:sz w:val="18"/>
                          </w:rPr>
                          <w:t>08 Initial efforts to ‘right size’ and reform the public service</w:t>
                        </w:r>
                      </w:p>
                    </w:txbxContent>
                  </v:textbox>
                </v:shape>
                <v:shape id="Text Box 79" o:spid="_x0000_s1062" type="#_x0000_t202" style="position:absolute;left:3429;top:36385;width:11525;height:7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hC8MA&#10;AADbAAAADwAAAGRycy9kb3ducmV2LnhtbESPQWvCQBSE70L/w/IKvemmHqpG1yAFoZdSTHuot8fu&#10;M1nNvg3ZbZL667uC0OMwM98wm2J0jeipC9azgudZBoJYe2O5UvD1uZ8uQYSIbLDxTAp+KUCxfZhs&#10;MDd+4AP1ZaxEgnDIUUEdY5tLGXRNDsPMt8TJO/nOYUyyq6TpcEhw18h5lr1Ih5bTQo0tvdakL+WP&#10;U2D427M+2ver5VLb1fVjeda9Uk+P424NItIY/8P39ptRsFjB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hC8MAAADbAAAADwAAAAAAAAAAAAAAAACYAgAAZHJzL2Rv&#10;d25yZXYueG1sUEsFBgAAAAAEAAQA9QAAAIgDAAAAAA==&#10;" fillcolor="window" strokeweight=".5pt">
                  <v:textbox>
                    <w:txbxContent>
                      <w:p w14:paraId="796AE098" w14:textId="77777777" w:rsidR="00D56EAC" w:rsidRDefault="00D56EAC" w:rsidP="00A56EDD">
                        <w:pPr>
                          <w:spacing w:after="0" w:line="240" w:lineRule="auto"/>
                          <w:rPr>
                            <w:i/>
                            <w:sz w:val="18"/>
                          </w:rPr>
                        </w:pPr>
                        <w:r w:rsidRPr="007F3449">
                          <w:rPr>
                            <w:b/>
                            <w:i/>
                            <w:color w:val="538135" w:themeColor="accent6" w:themeShade="BF"/>
                            <w:sz w:val="20"/>
                          </w:rPr>
                          <w:t>2004</w:t>
                        </w:r>
                        <w:r>
                          <w:rPr>
                            <w:i/>
                            <w:sz w:val="18"/>
                          </w:rPr>
                          <w:t>—</w:t>
                        </w:r>
                      </w:p>
                      <w:p w14:paraId="14372A92" w14:textId="77777777" w:rsidR="00D56EAC" w:rsidRPr="0094528A" w:rsidRDefault="00D56EAC" w:rsidP="00A56EDD">
                        <w:pPr>
                          <w:spacing w:after="0" w:line="240" w:lineRule="auto"/>
                          <w:rPr>
                            <w:sz w:val="18"/>
                          </w:rPr>
                        </w:pPr>
                        <w:r w:rsidRPr="009C56AF">
                          <w:rPr>
                            <w:b/>
                            <w:i/>
                            <w:sz w:val="18"/>
                          </w:rPr>
                          <w:t>SPLM Strategic Framework</w:t>
                        </w:r>
                        <w:r w:rsidRPr="0094528A">
                          <w:rPr>
                            <w:i/>
                            <w:sz w:val="18"/>
                          </w:rPr>
                          <w:t xml:space="preserve"> for War to Peace Transition</w:t>
                        </w:r>
                      </w:p>
                    </w:txbxContent>
                  </v:textbox>
                </v:shape>
                <v:shape id="Text Box 80" o:spid="_x0000_s1063" type="#_x0000_t202" style="position:absolute;left:26088;top:43910;width:11726;height:6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A4scAA&#10;AADbAAAADwAAAGRycy9kb3ducmV2LnhtbERPz2vCMBS+D/wfwhO8zXQ7SFeNRQaCFxG7HfT2SN7a&#10;zOalNFlb/euXw2DHj+/3ppxcKwbqg/Ws4GWZgSDW3liuFXx+7J9zECEiG2w9k4I7BSi3s6cNFsaP&#10;fKahirVIIRwKVNDE2BVSBt2Qw7D0HXHivnzvMCbY19L0OKZw18rXLFtJh5ZTQ4MdvTekb9WPU2D4&#10;4llf7fFhudL27XHKv/Wg1GI+7dYgIk3xX/znPhgFeVqfvqQf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LA4scAAAADbAAAADwAAAAAAAAAAAAAAAACYAgAAZHJzL2Rvd25y&#10;ZXYueG1sUEsFBgAAAAAEAAQA9QAAAIUDAAAAAA==&#10;" fillcolor="window" strokeweight=".5pt">
                  <v:textbox>
                    <w:txbxContent>
                      <w:p w14:paraId="0A617BF4" w14:textId="77777777" w:rsidR="00D56EAC" w:rsidRPr="00623FC4" w:rsidRDefault="00D56EAC" w:rsidP="00A56EDD">
                        <w:pPr>
                          <w:spacing w:after="0" w:line="240" w:lineRule="auto"/>
                          <w:rPr>
                            <w:sz w:val="18"/>
                          </w:rPr>
                        </w:pPr>
                        <w:r w:rsidRPr="00623FC4">
                          <w:rPr>
                            <w:sz w:val="18"/>
                          </w:rPr>
                          <w:t>2009 declared as ‘</w:t>
                        </w:r>
                        <w:r w:rsidRPr="00623FC4">
                          <w:rPr>
                            <w:b/>
                            <w:sz w:val="18"/>
                          </w:rPr>
                          <w:t>Year of public service reform’</w:t>
                        </w:r>
                      </w:p>
                    </w:txbxContent>
                  </v:textbox>
                </v:shape>
                <v:shape id="Text Box 18" o:spid="_x0000_s1064" type="#_x0000_t202" style="position:absolute;left:8667;top:44862;width:12002;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dKsIA&#10;AADbAAAADwAAAGRycy9kb3ducmV2LnhtbESPQWsCMRSE70L/Q3iF3jSrh7JujSKFgpdSXD3Y2yN5&#10;7kY3L8smXbf+eiMIHoeZ+YZZrAbXiJ66YD0rmE4yEMTaG8uVgv3ua5yDCBHZYOOZFPxTgNXyZbTA&#10;wvgLb6kvYyUShEOBCuoY20LKoGtyGCa+JU7e0XcOY5JdJU2HlwR3jZxl2bt0aDkt1NjSZ036XP45&#10;BYYPnvWv/b5aLrWdX3/yk+6Vensd1h8gIg3xGX60N0ZBPoX7l/Q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J0qwgAAANsAAAAPAAAAAAAAAAAAAAAAAJgCAABkcnMvZG93&#10;bnJldi54bWxQSwUGAAAAAAQABAD1AAAAhwMAAAAA&#10;" fillcolor="window" strokeweight=".5pt">
                  <v:textbox>
                    <w:txbxContent>
                      <w:p w14:paraId="2F679792" w14:textId="02DCC8C5" w:rsidR="00D56EAC" w:rsidRPr="00E34EB7" w:rsidRDefault="00D56EAC" w:rsidP="00A56EDD">
                        <w:pPr>
                          <w:spacing w:after="0" w:line="240" w:lineRule="auto"/>
                          <w:rPr>
                            <w:sz w:val="18"/>
                          </w:rPr>
                        </w:pPr>
                        <w:r w:rsidRPr="00E34EB7">
                          <w:rPr>
                            <w:sz w:val="18"/>
                          </w:rPr>
                          <w:t>2004</w:t>
                        </w:r>
                        <w:r>
                          <w:rPr>
                            <w:sz w:val="18"/>
                          </w:rPr>
                          <w:t>–</w:t>
                        </w:r>
                        <w:r w:rsidRPr="00E34EB7">
                          <w:rPr>
                            <w:sz w:val="18"/>
                          </w:rPr>
                          <w:t xml:space="preserve">05 </w:t>
                        </w:r>
                        <w:r w:rsidRPr="009C56AF">
                          <w:rPr>
                            <w:b/>
                            <w:sz w:val="18"/>
                          </w:rPr>
                          <w:t>JAM</w:t>
                        </w:r>
                        <w:r w:rsidRPr="00E34EB7">
                          <w:rPr>
                            <w:sz w:val="18"/>
                          </w:rPr>
                          <w:t xml:space="preserve"> sets out ambitious targets for developing an effective public sector</w:t>
                        </w:r>
                      </w:p>
                    </w:txbxContent>
                  </v:textbox>
                </v:shape>
                <v:shape id="Text Box 82" o:spid="_x0000_s1065" type="#_x0000_t202" style="position:absolute;left:12668;top:57721;width:14954;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4DXcMA&#10;AADbAAAADwAAAGRycy9kb3ducmV2LnhtbESPwWrDMBBE74H8g9hAb4ncHIrjRjalEMgllLg5pLdF&#10;2tpqrZWxFMfN10eFQo/DzLxhttXkOjHSEKxnBY+rDASx9sZyo+D0vlvmIEJENth5JgU/FKAq57Mt&#10;FsZf+UhjHRuRIBwKVNDG2BdSBt2Sw7DyPXHyPv3gMCY5NNIMeE1w18l1lj1Jh5bTQos9vbakv+uL&#10;U2D47Fl/2MPNcq3t5vaWf+lRqYfF9PIMItIU/8N/7b1RkK/h90v6AbK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4DXcMAAADbAAAADwAAAAAAAAAAAAAAAACYAgAAZHJzL2Rv&#10;d25yZXYueG1sUEsFBgAAAAAEAAQA9QAAAIgDAAAAAA==&#10;" fillcolor="window" strokeweight=".5pt">
                  <v:textbox>
                    <w:txbxContent>
                      <w:p w14:paraId="7A276B2F" w14:textId="1A631DE7" w:rsidR="00D56EAC" w:rsidRPr="009C56AF" w:rsidRDefault="00D56EAC" w:rsidP="00A56EDD">
                        <w:pPr>
                          <w:spacing w:after="0" w:line="240" w:lineRule="auto"/>
                          <w:rPr>
                            <w:b/>
                            <w:color w:val="FF0000"/>
                            <w:sz w:val="20"/>
                          </w:rPr>
                        </w:pPr>
                        <w:r>
                          <w:rPr>
                            <w:b/>
                            <w:color w:val="FF0000"/>
                            <w:sz w:val="20"/>
                          </w:rPr>
                          <w:t>Period of i</w:t>
                        </w:r>
                        <w:r w:rsidRPr="009C56AF">
                          <w:rPr>
                            <w:b/>
                            <w:color w:val="FF0000"/>
                            <w:sz w:val="20"/>
                          </w:rPr>
                          <w:t>nitial rapid hiring</w:t>
                        </w:r>
                      </w:p>
                    </w:txbxContent>
                  </v:textbox>
                </v:shape>
                <v:shape id="Text Box 83" o:spid="_x0000_s1066" type="#_x0000_t202" style="position:absolute;left:11619;top:53671;width:13049;height:3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KmxsMA&#10;AADbAAAADwAAAGRycy9kb3ducmV2LnhtbESPQWvCQBSE7wX/w/IEb81GCyWmriKC0EuRph7s7bH7&#10;mmzNvg3ZbYz+erdQ6HGYmW+Y1WZ0rRioD9azgnmWgyDW3liuFRw/9o8FiBCRDbaeScGVAmzWk4cV&#10;lsZf+J2GKtYiQTiUqKCJsSulDLohhyHzHXHyvnzvMCbZ19L0eElw18pFnj9Lh5bTQoMd7RrS5+rH&#10;KTB88qw/7dvNcqXt8nYovvWg1Gw6bl9ARBrjf/iv/WoUFE/w+yX9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KmxsMAAADbAAAADwAAAAAAAAAAAAAAAACYAgAAZHJzL2Rv&#10;d25yZXYueG1sUEsFBgAAAAAEAAQA9QAAAIgDAAAAAA==&#10;" fillcolor="window" strokeweight=".5pt">
                  <v:textbox>
                    <w:txbxContent>
                      <w:p w14:paraId="40D70FDA" w14:textId="7E5FA51C" w:rsidR="00D56EAC" w:rsidRPr="00972202" w:rsidRDefault="00D56EAC" w:rsidP="00A56EDD">
                        <w:pPr>
                          <w:rPr>
                            <w:sz w:val="20"/>
                          </w:rPr>
                        </w:pPr>
                        <w:r w:rsidRPr="00F31FDB">
                          <w:rPr>
                            <w:sz w:val="18"/>
                          </w:rPr>
                          <w:t>Civil service survey 2005/06</w:t>
                        </w:r>
                      </w:p>
                    </w:txbxContent>
                  </v:textbox>
                </v:shape>
                <v:shape id="Text Box 84" o:spid="_x0000_s1067" type="#_x0000_t202" style="position:absolute;left:29527;top:52482;width:13516;height:9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s+ssMA&#10;AADbAAAADwAAAGRycy9kb3ducmV2LnhtbESPQWvCQBSE7wX/w/IEb81GKSWmriKC0EuRph7s7bH7&#10;mmzNvg3ZbYz+erdQ6HGYmW+Y1WZ0rRioD9azgnmWgyDW3liuFRw/9o8FiBCRDbaeScGVAmzWk4cV&#10;lsZf+J2GKtYiQTiUqKCJsSulDLohhyHzHXHyvnzvMCbZ19L0eElw18pFnj9Lh5bTQoMd7RrS5+rH&#10;KTB88qw/7dvNcqXt8nYovvWg1Gw6bl9ARBrjf/iv/WoUFE/w+yX9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s+ssMAAADbAAAADwAAAAAAAAAAAAAAAACYAgAAZHJzL2Rv&#10;d25yZXYueG1sUEsFBgAAAAAEAAQA9QAAAIgDAAAAAA==&#10;" fillcolor="window" strokeweight=".5pt">
                  <v:textbox>
                    <w:txbxContent>
                      <w:p w14:paraId="1E5CCAC3" w14:textId="77777777" w:rsidR="00D56EAC" w:rsidRPr="00F31FDB" w:rsidRDefault="00D56EAC" w:rsidP="00A56EDD">
                        <w:pPr>
                          <w:spacing w:after="0" w:line="240" w:lineRule="auto"/>
                          <w:rPr>
                            <w:sz w:val="18"/>
                          </w:rPr>
                        </w:pPr>
                        <w:r w:rsidRPr="00F31FDB">
                          <w:rPr>
                            <w:sz w:val="18"/>
                          </w:rPr>
                          <w:t xml:space="preserve">2009 </w:t>
                        </w:r>
                        <w:r w:rsidRPr="00F31FDB">
                          <w:rPr>
                            <w:b/>
                            <w:sz w:val="18"/>
                          </w:rPr>
                          <w:t>Laws</w:t>
                        </w:r>
                        <w:r w:rsidRPr="00F31FDB">
                          <w:rPr>
                            <w:sz w:val="18"/>
                          </w:rPr>
                          <w:t xml:space="preserve">: </w:t>
                        </w:r>
                      </w:p>
                      <w:p w14:paraId="68DB4A7E" w14:textId="77777777" w:rsidR="00D56EAC" w:rsidRPr="00F31FDB" w:rsidRDefault="00D56EAC" w:rsidP="00A56EDD">
                        <w:pPr>
                          <w:spacing w:after="0" w:line="240" w:lineRule="auto"/>
                          <w:rPr>
                            <w:sz w:val="18"/>
                          </w:rPr>
                        </w:pPr>
                        <w:r w:rsidRPr="00F31FDB">
                          <w:rPr>
                            <w:sz w:val="18"/>
                          </w:rPr>
                          <w:t>Public services bill (transitional order)</w:t>
                        </w:r>
                      </w:p>
                      <w:p w14:paraId="3FC5B1B2" w14:textId="77777777" w:rsidR="00D56EAC" w:rsidRPr="00F31FDB" w:rsidRDefault="00D56EAC" w:rsidP="00A56EDD">
                        <w:pPr>
                          <w:spacing w:after="0" w:line="240" w:lineRule="auto"/>
                          <w:rPr>
                            <w:sz w:val="18"/>
                          </w:rPr>
                        </w:pPr>
                        <w:r w:rsidRPr="00F31FDB">
                          <w:rPr>
                            <w:sz w:val="18"/>
                          </w:rPr>
                          <w:t>Police Act</w:t>
                        </w:r>
                      </w:p>
                      <w:p w14:paraId="1E3EBF0D" w14:textId="77777777" w:rsidR="00D56EAC" w:rsidRPr="00F31FDB" w:rsidRDefault="00D56EAC" w:rsidP="00A56EDD">
                        <w:pPr>
                          <w:spacing w:after="0" w:line="240" w:lineRule="auto"/>
                          <w:rPr>
                            <w:sz w:val="18"/>
                          </w:rPr>
                        </w:pPr>
                        <w:r w:rsidRPr="00F31FDB">
                          <w:rPr>
                            <w:sz w:val="18"/>
                          </w:rPr>
                          <w:t>Local Government Act</w:t>
                        </w:r>
                      </w:p>
                      <w:p w14:paraId="683410D7" w14:textId="77777777" w:rsidR="00D56EAC" w:rsidRDefault="00D56EAC" w:rsidP="00A56EDD"/>
                    </w:txbxContent>
                  </v:textbox>
                </v:shape>
                <v:shape id="Text Box 24" o:spid="_x0000_s1068" type="#_x0000_t202" style="position:absolute;left:42386;top:53911;width:14478;height:9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ebKcMA&#10;AADbAAAADwAAAGRycy9kb3ducmV2LnhtbESPQWvCQBSE7wX/w/IEb81GoSWmriKC0EuRph7s7bH7&#10;mmzNvg3ZbYz+erdQ6HGYmW+Y1WZ0rRioD9azgnmWgyDW3liuFRw/9o8FiBCRDbaeScGVAmzWk4cV&#10;lsZf+J2GKtYiQTiUqKCJsSulDLohhyHzHXHyvnzvMCbZ19L0eElw18pFnj9Lh5bTQoMd7RrS5+rH&#10;KTB88qw/7dvNcqXt8nYovvWg1Gw6bl9ARBrjf/iv/WoUFE/w+yX9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ebKcMAAADbAAAADwAAAAAAAAAAAAAAAACYAgAAZHJzL2Rv&#10;d25yZXYueG1sUEsFBgAAAAAEAAQA9QAAAIgDAAAAAA==&#10;" fillcolor="window" strokeweight=".5pt">
                  <v:textbox>
                    <w:txbxContent>
                      <w:p w14:paraId="5D959DC3" w14:textId="77777777" w:rsidR="00D56EAC" w:rsidRPr="00F31FDB" w:rsidRDefault="00D56EAC" w:rsidP="00A56EDD">
                        <w:pPr>
                          <w:spacing w:after="0" w:line="240" w:lineRule="auto"/>
                          <w:rPr>
                            <w:sz w:val="18"/>
                          </w:rPr>
                        </w:pPr>
                        <w:r w:rsidRPr="00F31FDB">
                          <w:rPr>
                            <w:sz w:val="18"/>
                          </w:rPr>
                          <w:t xml:space="preserve">2011 </w:t>
                        </w:r>
                        <w:r w:rsidRPr="00F31FDB">
                          <w:rPr>
                            <w:b/>
                            <w:sz w:val="18"/>
                          </w:rPr>
                          <w:t>Laws</w:t>
                        </w:r>
                        <w:r w:rsidRPr="00F31FDB">
                          <w:rPr>
                            <w:sz w:val="18"/>
                          </w:rPr>
                          <w:t>:</w:t>
                        </w:r>
                      </w:p>
                      <w:p w14:paraId="4FD23647" w14:textId="77777777" w:rsidR="00D56EAC" w:rsidRPr="00F31FDB" w:rsidRDefault="00D56EAC" w:rsidP="00A56EDD">
                        <w:pPr>
                          <w:spacing w:after="0" w:line="240" w:lineRule="auto"/>
                          <w:rPr>
                            <w:sz w:val="18"/>
                          </w:rPr>
                        </w:pPr>
                        <w:r w:rsidRPr="00F31FDB">
                          <w:rPr>
                            <w:sz w:val="18"/>
                          </w:rPr>
                          <w:t>Civil Service, CSC</w:t>
                        </w:r>
                      </w:p>
                      <w:p w14:paraId="4E7925F9" w14:textId="77777777" w:rsidR="00D56EAC" w:rsidRPr="00F31FDB" w:rsidRDefault="00D56EAC" w:rsidP="00A56EDD">
                        <w:pPr>
                          <w:spacing w:after="0" w:line="240" w:lineRule="auto"/>
                          <w:rPr>
                            <w:sz w:val="18"/>
                          </w:rPr>
                        </w:pPr>
                        <w:r w:rsidRPr="00F31FDB">
                          <w:rPr>
                            <w:sz w:val="18"/>
                          </w:rPr>
                          <w:t>Wildlife Services</w:t>
                        </w:r>
                      </w:p>
                      <w:p w14:paraId="18B295AE" w14:textId="77777777" w:rsidR="00D56EAC" w:rsidRPr="00F31FDB" w:rsidRDefault="00D56EAC" w:rsidP="00A56EDD">
                        <w:pPr>
                          <w:spacing w:after="0" w:line="240" w:lineRule="auto"/>
                          <w:rPr>
                            <w:sz w:val="18"/>
                          </w:rPr>
                        </w:pPr>
                        <w:r w:rsidRPr="00F31FDB">
                          <w:rPr>
                            <w:sz w:val="18"/>
                          </w:rPr>
                          <w:t>PFMAA</w:t>
                        </w:r>
                      </w:p>
                      <w:p w14:paraId="1624EDFC" w14:textId="77777777" w:rsidR="00D56EAC" w:rsidRPr="00F31FDB" w:rsidRDefault="00D56EAC" w:rsidP="00A56EDD">
                        <w:pPr>
                          <w:spacing w:after="0" w:line="240" w:lineRule="auto"/>
                          <w:rPr>
                            <w:sz w:val="18"/>
                          </w:rPr>
                        </w:pPr>
                        <w:r w:rsidRPr="00F31FDB">
                          <w:rPr>
                            <w:sz w:val="18"/>
                          </w:rPr>
                          <w:t>Audit Chamber</w:t>
                        </w:r>
                      </w:p>
                      <w:p w14:paraId="21CA91C0" w14:textId="77777777" w:rsidR="00D56EAC" w:rsidRPr="00972202" w:rsidRDefault="00D56EAC" w:rsidP="00A56EDD">
                        <w:pPr>
                          <w:spacing w:after="0" w:line="240" w:lineRule="auto"/>
                          <w:rPr>
                            <w:sz w:val="20"/>
                          </w:rPr>
                        </w:pPr>
                      </w:p>
                      <w:p w14:paraId="734624E0" w14:textId="77777777" w:rsidR="00D56EAC" w:rsidRDefault="00D56EAC" w:rsidP="00A56EDD">
                        <w:pPr>
                          <w:pStyle w:val="NormalWeb"/>
                          <w:spacing w:before="0" w:beforeAutospacing="0" w:after="200" w:afterAutospacing="0" w:line="276" w:lineRule="auto"/>
                        </w:pPr>
                        <w:r>
                          <w:rPr>
                            <w:rFonts w:eastAsia="Calibri"/>
                            <w:sz w:val="22"/>
                            <w:szCs w:val="22"/>
                          </w:rPr>
                          <w:t> </w:t>
                        </w:r>
                      </w:p>
                    </w:txbxContent>
                  </v:textbox>
                </v:shape>
                <v:shape id="Text Box 18" o:spid="_x0000_s1069" type="#_x0000_t202" style="position:absolute;left:47244;top:34290;width:12192;height:7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FXsIA&#10;AADbAAAADwAAAGRycy9kb3ducmV2LnhtbESPQWsCMRSE7wX/Q3hCbzVrD7JdjSKC4EXEbQ96eyTP&#10;3ejmZdmk69ZfbwqFHoeZ+YZZrAbXiJ66YD0rmE4yEMTaG8uVgq/P7VsOIkRkg41nUvBDAVbL0csC&#10;C+PvfKS+jJVIEA4FKqhjbAspg67JYZj4ljh5F985jEl2lTQd3hPcNfI9y2bSoeW0UGNLm5r0rfx2&#10;CgyfPOuz3T8sl9p+PA75VfdKvY6H9RxEpCH+h//aO6Mgn8Hvl/Q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FQVewgAAANsAAAAPAAAAAAAAAAAAAAAAAJgCAABkcnMvZG93&#10;bnJldi54bWxQSwUGAAAAAAQABAD1AAAAhwMAAAAA&#10;" fillcolor="window" strokeweight=".5pt">
                  <v:textbox>
                    <w:txbxContent>
                      <w:p w14:paraId="0873F062" w14:textId="6E4B5012" w:rsidR="00D56EAC" w:rsidRPr="009C56AF" w:rsidRDefault="00D56EAC" w:rsidP="00A56EDD">
                        <w:pPr>
                          <w:rPr>
                            <w:b/>
                            <w:color w:val="525252" w:themeColor="accent3" w:themeShade="80"/>
                            <w:sz w:val="18"/>
                          </w:rPr>
                        </w:pPr>
                        <w:r w:rsidRPr="009C56AF">
                          <w:rPr>
                            <w:b/>
                            <w:color w:val="525252" w:themeColor="accent3" w:themeShade="80"/>
                            <w:sz w:val="18"/>
                          </w:rPr>
                          <w:t xml:space="preserve">Fall 2011: </w:t>
                        </w:r>
                        <w:r>
                          <w:rPr>
                            <w:b/>
                            <w:color w:val="525252" w:themeColor="accent3" w:themeShade="80"/>
                            <w:sz w:val="18"/>
                          </w:rPr>
                          <w:t>E</w:t>
                        </w:r>
                        <w:r w:rsidRPr="009C56AF">
                          <w:rPr>
                            <w:b/>
                            <w:color w:val="525252" w:themeColor="accent3" w:themeShade="80"/>
                            <w:sz w:val="18"/>
                          </w:rPr>
                          <w:t>ffort to screen civil servants’ qualifications (stopped)</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7" o:spid="_x0000_s1070" type="#_x0000_t34" style="position:absolute;left:12739;top:47696;width:17431;height:2619;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NvMIAAADbAAAADwAAAGRycy9kb3ducmV2LnhtbESPQYvCMBSE74L/ITxhb5rag0o1igqK&#10;B0Gqgtdn82yrzUtponb/vREW9jjMzDfMbNGaSryocaVlBcNBBII4s7rkXMH5tOlPQDiPrLGyTAp+&#10;ycFi3u3MMNH2zSm9jj4XAcIuQQWF93UipcsKMugGtiYO3s02Bn2QTS51g+8AN5WMo2gkDZYcFgqs&#10;aV1Q9jg+jYI0Srf7/ep6u1OWX4aH2MT1PVbqp9cupyA8tf4//NfeaQWTMXy/hB8g5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F/NvMIAAADbAAAADwAAAAAAAAAAAAAA&#10;AAChAgAAZHJzL2Rvd25yZXYueG1sUEsFBgAAAAAEAAQA+QAAAJADAAAAAA==&#10;" adj="21305" strokecolor="#4a7ebb">
                  <v:stroke endarrow="open"/>
                </v:shape>
                <v:shape id="Text Box 88" o:spid="_x0000_s1071" type="#_x0000_t202" style="position:absolute;left:57435;top:15611;width:9049;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Y0t8AA&#10;AADbAAAADwAAAGRycy9kb3ducmV2LnhtbERPz2vCMBS+D/wfwhO8zXQ7SFeNRQaCFxG7HfT2SN7a&#10;zOalNFlb/euXw2DHj+/3ppxcKwbqg/Ws4GWZgSDW3liuFXx+7J9zECEiG2w9k4I7BSi3s6cNFsaP&#10;fKahirVIIRwKVNDE2BVSBt2Qw7D0HXHivnzvMCbY19L0OKZw18rXLFtJh5ZTQ4MdvTekb9WPU2D4&#10;4llf7fFhudL27XHKv/Wg1GI+7dYgIk3xX/znPhgFeRqbvqQf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sY0t8AAAADbAAAADwAAAAAAAAAAAAAAAACYAgAAZHJzL2Rvd25y&#10;ZXYueG1sUEsFBgAAAAAEAAQA9QAAAIUDAAAAAA==&#10;" fillcolor="window" strokeweight=".5pt">
                  <v:textbox>
                    <w:txbxContent>
                      <w:p w14:paraId="52EBB568" w14:textId="77777777" w:rsidR="00D56EAC" w:rsidRPr="00F31FDB" w:rsidRDefault="00D56EAC" w:rsidP="00A56EDD">
                        <w:pPr>
                          <w:spacing w:after="0" w:line="240" w:lineRule="auto"/>
                          <w:rPr>
                            <w:sz w:val="18"/>
                          </w:rPr>
                        </w:pPr>
                        <w:r w:rsidRPr="00F31FDB">
                          <w:rPr>
                            <w:sz w:val="18"/>
                          </w:rPr>
                          <w:t>July 2013: Government replaced</w:t>
                        </w:r>
                      </w:p>
                    </w:txbxContent>
                  </v:textbox>
                </v:shape>
                <v:shape id="Text Box 89" o:spid="_x0000_s1072" type="#_x0000_t202" style="position:absolute;left:37814;top:63722;width:17145;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qRLMIA&#10;AADbAAAADwAAAGRycy9kb3ducmV2LnhtbESPQWsCMRSE7wX/Q3iCt5rVg6yrUYogeBFx24PeHsnr&#10;btrNy7KJ6+qvbwqFHoeZ+YZZbwfXiJ66YD0rmE0zEMTaG8uVgo/3/WsOIkRkg41nUvCgANvN6GWN&#10;hfF3PlNfxkokCIcCFdQxtoWUQdfkMEx9S5y8T985jEl2lTQd3hPcNXKeZQvp0HJaqLGlXU36u7w5&#10;BYYvnvXVHp+WS22Xz1P+pXulJuPhbQUi0hD/w3/tg1GQL+H3S/o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ipEswgAAANsAAAAPAAAAAAAAAAAAAAAAAJgCAABkcnMvZG93&#10;bnJldi54bWxQSwUGAAAAAAQABAD1AAAAhwMAAAAA&#10;" fillcolor="window" strokeweight=".5pt">
                  <v:textbox>
                    <w:txbxContent>
                      <w:p w14:paraId="59686121" w14:textId="77777777" w:rsidR="00D56EAC" w:rsidRDefault="00D56EAC" w:rsidP="00A56EDD">
                        <w:pPr>
                          <w:spacing w:after="0" w:line="240" w:lineRule="auto"/>
                          <w:rPr>
                            <w:sz w:val="18"/>
                          </w:rPr>
                        </w:pPr>
                        <w:r>
                          <w:rPr>
                            <w:sz w:val="18"/>
                          </w:rPr>
                          <w:t xml:space="preserve">2011: </w:t>
                        </w:r>
                      </w:p>
                      <w:p w14:paraId="14630D8D" w14:textId="77777777" w:rsidR="00D56EAC" w:rsidRPr="00BE00AB" w:rsidRDefault="00D56EAC" w:rsidP="00A56EDD">
                        <w:pPr>
                          <w:spacing w:after="0" w:line="240" w:lineRule="auto"/>
                          <w:rPr>
                            <w:b/>
                            <w:sz w:val="18"/>
                          </w:rPr>
                        </w:pPr>
                        <w:r w:rsidRPr="00BE00AB">
                          <w:rPr>
                            <w:b/>
                            <w:sz w:val="18"/>
                          </w:rPr>
                          <w:t>Sudan Vision 2040</w:t>
                        </w:r>
                      </w:p>
                      <w:p w14:paraId="370B968A" w14:textId="77777777" w:rsidR="00D56EAC" w:rsidRPr="00BE00AB" w:rsidRDefault="00D56EAC" w:rsidP="00A56EDD">
                        <w:pPr>
                          <w:spacing w:after="0" w:line="240" w:lineRule="auto"/>
                          <w:rPr>
                            <w:b/>
                            <w:sz w:val="18"/>
                          </w:rPr>
                        </w:pPr>
                        <w:r w:rsidRPr="00BE00AB">
                          <w:rPr>
                            <w:b/>
                            <w:sz w:val="18"/>
                          </w:rPr>
                          <w:t>South Sudan Development Plan</w:t>
                        </w:r>
                      </w:p>
                    </w:txbxContent>
                  </v:textbox>
                </v:shape>
                <v:shape id="Text Box 90" o:spid="_x0000_s1073" type="#_x0000_t202" style="position:absolute;left:44208;top:42195;width:16170;height:6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mubMAA&#10;AADbAAAADwAAAGRycy9kb3ducmV2LnhtbERPPWvDMBDdC/0P4gLdajkZiu1YCSFQyFJK3Q7tdkgX&#10;W4l1MpbquPn11RDI+Hjf9XZ2vZhoDNazgmWWgyDW3lhuFXx9vj4XIEJENth7JgV/FGC7eXyosTL+&#10;wh80NbEVKYRDhQq6GIdKyqA7chgyPxAn7uhHhzHBsZVmxEsKd71c5fmLdGg5NXQ40L4jfW5+nQLD&#10;3571j327Wm60La/vxUlPSj0t5t0aRKQ53sU398EoKNP69CX9AL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mubMAAAADbAAAADwAAAAAAAAAAAAAAAACYAgAAZHJzL2Rvd25y&#10;ZXYueG1sUEsFBgAAAAAEAAQA9QAAAIUDAAAAAA==&#10;" fillcolor="window" strokeweight=".5pt">
                  <v:textbox>
                    <w:txbxContent>
                      <w:p w14:paraId="2185C484" w14:textId="5A4BB913" w:rsidR="00D56EAC" w:rsidRDefault="00D56EAC" w:rsidP="00A56EDD">
                        <w:pPr>
                          <w:spacing w:after="0" w:line="240" w:lineRule="auto"/>
                          <w:rPr>
                            <w:sz w:val="18"/>
                          </w:rPr>
                        </w:pPr>
                        <w:r w:rsidRPr="00BE00AB">
                          <w:rPr>
                            <w:sz w:val="18"/>
                          </w:rPr>
                          <w:t>M</w:t>
                        </w:r>
                        <w:r>
                          <w:rPr>
                            <w:sz w:val="18"/>
                          </w:rPr>
                          <w:t>o</w:t>
                        </w:r>
                        <w:r w:rsidRPr="00BE00AB">
                          <w:rPr>
                            <w:sz w:val="18"/>
                          </w:rPr>
                          <w:t>LPSHRD</w:t>
                        </w:r>
                        <w:r>
                          <w:rPr>
                            <w:sz w:val="18"/>
                          </w:rPr>
                          <w:t xml:space="preserve"> </w:t>
                        </w:r>
                        <w:r w:rsidRPr="00BE00AB">
                          <w:rPr>
                            <w:sz w:val="18"/>
                          </w:rPr>
                          <w:t xml:space="preserve">Strategic Plan and </w:t>
                        </w:r>
                      </w:p>
                      <w:p w14:paraId="23D0D006" w14:textId="77777777" w:rsidR="00D56EAC" w:rsidRDefault="00D56EAC" w:rsidP="00A56EDD">
                        <w:pPr>
                          <w:spacing w:after="0" w:line="240" w:lineRule="auto"/>
                          <w:rPr>
                            <w:sz w:val="18"/>
                          </w:rPr>
                        </w:pPr>
                        <w:r w:rsidRPr="00BE00AB">
                          <w:rPr>
                            <w:sz w:val="18"/>
                          </w:rPr>
                          <w:t xml:space="preserve">Medium Term </w:t>
                        </w:r>
                      </w:p>
                      <w:p w14:paraId="1CC94861" w14:textId="77777777" w:rsidR="00D56EAC" w:rsidRPr="00BE00AB" w:rsidRDefault="00D56EAC" w:rsidP="00A56EDD">
                        <w:pPr>
                          <w:spacing w:after="0" w:line="240" w:lineRule="auto"/>
                          <w:rPr>
                            <w:sz w:val="18"/>
                          </w:rPr>
                        </w:pPr>
                        <w:r w:rsidRPr="00BE00AB">
                          <w:rPr>
                            <w:sz w:val="18"/>
                          </w:rPr>
                          <w:t>Capacity Development Strategy</w:t>
                        </w:r>
                      </w:p>
                    </w:txbxContent>
                  </v:textbox>
                </v:shape>
                <v:shape id="Text Box 91" o:spid="_x0000_s1074" type="#_x0000_t202" style="position:absolute;left:53816;top:8477;width:11906;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UL98IA&#10;AADbAAAADwAAAGRycy9kb3ducmV2LnhtbESPQWsCMRSE74L/ITyhNzerh6KrUUqh0Esp3XrQ2yN5&#10;7kY3L8smrlt/vREKHoeZ+YZZbwfXiJ66YD0rmGU5CGLtjeVKwe73Y7oAESKywcYzKfijANvNeLTG&#10;wvgr/1BfxkokCIcCFdQxtoWUQdfkMGS+JU7e0XcOY5JdJU2H1wR3jZzn+at0aDkt1NjSe036XF6c&#10;AsN7z/pgv26WS22Xt+/FSfdKvUyGtxWISEN8hv/bn0bBcgaPL+k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JQv3wgAAANsAAAAPAAAAAAAAAAAAAAAAAJgCAABkcnMvZG93&#10;bnJldi54bWxQSwUGAAAAAAQABAD1AAAAhwMAAAAA&#10;" fillcolor="window" strokeweight=".5pt">
                  <v:textbox>
                    <w:txbxContent>
                      <w:p w14:paraId="6CA4E0F3" w14:textId="77777777" w:rsidR="00D56EAC" w:rsidRPr="00BE00AB" w:rsidRDefault="00D56EAC" w:rsidP="00A56EDD">
                        <w:pPr>
                          <w:spacing w:after="0" w:line="240" w:lineRule="auto"/>
                          <w:rPr>
                            <w:b/>
                            <w:sz w:val="18"/>
                          </w:rPr>
                        </w:pPr>
                        <w:r w:rsidRPr="00BE00AB">
                          <w:rPr>
                            <w:sz w:val="18"/>
                          </w:rPr>
                          <w:t xml:space="preserve">January 2012: Beginning of </w:t>
                        </w:r>
                        <w:r w:rsidRPr="00BE00AB">
                          <w:rPr>
                            <w:b/>
                            <w:sz w:val="18"/>
                          </w:rPr>
                          <w:t>fiscal austerity</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2" o:spid="_x0000_s1075" type="#_x0000_t13" style="position:absolute;left:64957;top:9714;width:8290;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ucH8MA&#10;AADbAAAADwAAAGRycy9kb3ducmV2LnhtbESPQWvCQBSE7wX/w/KE3pqNoUgbXSUUCu1FNFrPj+wz&#10;G8y+TbPbJP57t1DocZj5Zpj1drKtGKj3jWMFiyQFQVw53XCt4HR8f3oB4QOyxtYxKbiRh+1m9rDG&#10;XLuRDzSUoRaxhH2OCkwIXS6lrwxZ9InriKN3cb3FEGVfS93jGMttK7M0XUqLDccFgx29Gaqu5Y9V&#10;8Fp8fj+3l+WXyW4ez/tdtTt0XqnH+VSsQASawn/4j/7Qkcvg90v8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ucH8MAAADbAAAADwAAAAAAAAAAAAAAAACYAgAAZHJzL2Rv&#10;d25yZXYueG1sUEsFBgAAAAAEAAQA9QAAAIgDAAAAAA==&#10;" adj="17629" filled="f" strokecolor="windowText" strokeweight=".5pt"/>
                <v:shape id="Text Box 31" o:spid="_x0000_s1076" type="#_x0000_t202" style="position:absolute;left:37814;top:48472;width:17145;height:4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wG8MA&#10;AADbAAAADwAAAGRycy9kb3ducmV2LnhtbESPQWvCQBSE70L/w/IKvemmFkSja5CC0Esppj3U22P3&#10;maxm34bsNkn99V1B6HGYmW+YTTG6RvTUBetZwfMsA0GsvbFcKfj63E+XIEJENth4JgW/FKDYPkw2&#10;mBs/8IH6MlYiQTjkqKCOsc2lDLomh2HmW+LknXznMCbZVdJ0OCS4a+Q8yxbSoeW0UGNLrzXpS/nj&#10;FBj+9qyP9v1qudR2df1YnnWv1NPjuFuDiDTG//C9/WYUrF7g9iX9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swG8MAAADbAAAADwAAAAAAAAAAAAAAAACYAgAAZHJzL2Rv&#10;d25yZXYueG1sUEsFBgAAAAAEAAQA9QAAAIgDAAAAAA==&#10;" fillcolor="window" strokeweight=".5pt">
                  <v:textbox>
                    <w:txbxContent>
                      <w:p w14:paraId="76EDB616" w14:textId="77777777" w:rsidR="00D56EAC" w:rsidRPr="00E95329" w:rsidRDefault="00D56EAC" w:rsidP="00A56EDD">
                        <w:pPr>
                          <w:rPr>
                            <w:sz w:val="18"/>
                          </w:rPr>
                        </w:pPr>
                        <w:r w:rsidRPr="00E95329">
                          <w:rPr>
                            <w:sz w:val="18"/>
                          </w:rPr>
                          <w:t>2010: Development of electronic payroll system started</w:t>
                        </w:r>
                      </w:p>
                    </w:txbxContent>
                  </v:textbox>
                </v:shape>
                <v:shape id="Right Arrow 94" o:spid="_x0000_s1077" type="#_x0000_t13" style="position:absolute;left:54378;top:48482;width:1981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kJjcUA&#10;AADbAAAADwAAAGRycy9kb3ducmV2LnhtbESPQWvCQBSE7wX/w/KEXkQ3LaWY6CpaCORQKI16f2Sf&#10;Sdrs25hdTdJf3y0UPA4z8w2z3g6mETfqXG1ZwdMiAkFcWF1zqeB4SOdLEM4ja2wsk4KRHGw3k4c1&#10;Jtr2/Em33JciQNglqKDyvk2kdEVFBt3CtsTBO9vOoA+yK6XusA9w08jnKHqVBmsOCxW29FZR8Z1f&#10;jQI92+fv/mP2k6Xj8eu6P8WtvMRKPU6H3QqEp8Hfw//tTCuIX+DvS/gB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WQmNxQAAANsAAAAPAAAAAAAAAAAAAAAAAJgCAABkcnMv&#10;ZG93bnJldi54bWxQSwUGAAAAAAQABAD1AAAAigMAAAAA&#10;" adj="20406" filled="f" strokecolor="windowText" strokeweight=".5pt">
                  <v:textbox>
                    <w:txbxContent>
                      <w:p w14:paraId="0267133A" w14:textId="77777777" w:rsidR="00D56EAC" w:rsidRDefault="00D56EAC" w:rsidP="00A56EDD">
                        <w:pPr>
                          <w:rPr>
                            <w:rFonts w:eastAsia="Times New Roman"/>
                          </w:rPr>
                        </w:pPr>
                      </w:p>
                    </w:txbxContent>
                  </v:textbox>
                </v:shape>
                <v:shape id="Text Box 95" o:spid="_x0000_s1078" type="#_x0000_t202" style="position:absolute;left:74190;top:48482;width:9239;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4N9MMA&#10;AADbAAAADwAAAGRycy9kb3ducmV2LnhtbESPQWvCQBSE70L/w/IKvemmQkWja5CC0Esppj3U22P3&#10;maxm34bsNkn99V1B6HGYmW+YTTG6RvTUBetZwfMsA0GsvbFcKfj63E+XIEJENth4JgW/FKDYPkw2&#10;mBs/8IH6MlYiQTjkqKCOsc2lDLomh2HmW+LknXznMCbZVdJ0OCS4a+Q8yxbSoeW0UGNLrzXpS/nj&#10;FBj+9qyP9v1qudR2df1YnnWv1NPjuFuDiDTG//C9/WYUrF7g9iX9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4N9MMAAADbAAAADwAAAAAAAAAAAAAAAACYAgAAZHJzL2Rv&#10;d25yZXYueG1sUEsFBgAAAAAEAAQA9QAAAIgDAAAAAA==&#10;" fillcolor="window" strokeweight=".5pt">
                  <v:textbox>
                    <w:txbxContent>
                      <w:p w14:paraId="4777AE40" w14:textId="77777777" w:rsidR="00D56EAC" w:rsidRPr="00E95329" w:rsidRDefault="00D56EAC" w:rsidP="00A56EDD">
                        <w:pPr>
                          <w:rPr>
                            <w:sz w:val="18"/>
                          </w:rPr>
                        </w:pPr>
                        <w:r w:rsidRPr="00E95329">
                          <w:rPr>
                            <w:sz w:val="18"/>
                          </w:rPr>
                          <w:t>SSEPS suspended</w:t>
                        </w:r>
                      </w:p>
                    </w:txbxContent>
                  </v:textbox>
                </v:shape>
                <v:shape id="Text Box 31" o:spid="_x0000_s1079" type="#_x0000_t202" style="position:absolute;left:54959;top:51330;width:12859;height:3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yTg8MA&#10;AADbAAAADwAAAGRycy9kb3ducmV2LnhtbESPQWvCQBSE70L/w/IKvemmHkSjaxCh4KWUph709th9&#10;JqvZtyG7TVJ/fbdQ8DjMzDfMphhdI3rqgvWs4HWWgSDW3liuFBy/3qZLECEiG2w8k4IfClBsnyYb&#10;zI0f+JP6MlYiQTjkqKCOsc2lDLomh2HmW+LkXXznMCbZVdJ0OCS4a+Q8yxbSoeW0UGNL+5r0rfx2&#10;CgyfPOuzfb9bLrVd3T+WV90r9fI87tYgIo3xEf5vH4yC1QL+vq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yTg8MAAADbAAAADwAAAAAAAAAAAAAAAACYAgAAZHJzL2Rv&#10;d25yZXYueG1sUEsFBgAAAAAEAAQA9QAAAIgDAAAAAA==&#10;" fillcolor="window" strokeweight=".5pt">
                  <v:textbox>
                    <w:txbxContent>
                      <w:p w14:paraId="1084F960" w14:textId="77777777" w:rsidR="00D56EAC" w:rsidRPr="00F31FDB" w:rsidRDefault="00D56EAC" w:rsidP="00A56EDD">
                        <w:pPr>
                          <w:spacing w:after="0" w:line="240" w:lineRule="auto"/>
                          <w:rPr>
                            <w:sz w:val="18"/>
                          </w:rPr>
                        </w:pPr>
                        <w:r w:rsidRPr="00F31FDB">
                          <w:rPr>
                            <w:sz w:val="18"/>
                          </w:rPr>
                          <w:t>2012: HRMIS started</w:t>
                        </w:r>
                      </w:p>
                    </w:txbxContent>
                  </v:textbox>
                </v:shape>
                <v:shape id="Text Box 31" o:spid="_x0000_s1080" type="#_x0000_t202" style="position:absolute;left:55816;top:59715;width:17621;height:5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A2GMMA&#10;AADbAAAADwAAAGRycy9kb3ducmV2LnhtbESPQWvCQBSE70L/w/IKvemmHqpG1yAFoZdSTHuot8fu&#10;M1nNvg3ZbZL667uC0OMwM98wm2J0jeipC9azgudZBoJYe2O5UvD1uZ8uQYSIbLDxTAp+KUCxfZhs&#10;MDd+4AP1ZaxEgnDIUUEdY5tLGXRNDsPMt8TJO/nOYUyyq6TpcEhw18h5lr1Ih5bTQo0tvdakL+WP&#10;U2D427M+2ver5VLb1fVjeda9Uk+P424NItIY/8P39ptRsFr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A2GMMAAADbAAAADwAAAAAAAAAAAAAAAACYAgAAZHJzL2Rv&#10;d25yZXYueG1sUEsFBgAAAAAEAAQA9QAAAIgDAAAAAA==&#10;" fillcolor="window" strokeweight=".5pt">
                  <v:textbox>
                    <w:txbxContent>
                      <w:p w14:paraId="67CA66D3" w14:textId="77777777" w:rsidR="00D56EAC" w:rsidRPr="00F31FDB" w:rsidRDefault="00D56EAC" w:rsidP="00A56EDD">
                        <w:pPr>
                          <w:spacing w:after="0" w:line="240" w:lineRule="auto"/>
                          <w:rPr>
                            <w:sz w:val="18"/>
                          </w:rPr>
                        </w:pPr>
                        <w:r w:rsidRPr="00F31FDB">
                          <w:rPr>
                            <w:sz w:val="18"/>
                          </w:rPr>
                          <w:t>2012: Beginning of efforts to introduce a pension system</w:t>
                        </w:r>
                      </w:p>
                      <w:p w14:paraId="5AD7ABF4" w14:textId="77777777" w:rsidR="00D56EAC" w:rsidRPr="00F31FDB" w:rsidRDefault="00D56EAC" w:rsidP="00A56EDD">
                        <w:pPr>
                          <w:spacing w:after="0" w:line="240" w:lineRule="auto"/>
                          <w:rPr>
                            <w:sz w:val="18"/>
                          </w:rPr>
                        </w:pPr>
                        <w:r w:rsidRPr="00F31FDB">
                          <w:rPr>
                            <w:sz w:val="18"/>
                          </w:rPr>
                          <w:t>(agreement with Sudan, law)</w:t>
                        </w:r>
                      </w:p>
                    </w:txbxContent>
                  </v:textbox>
                </v:shape>
                <v:line id="Straight Connector 98" o:spid="_x0000_s1081" style="position:absolute;visibility:visible;mso-wrap-style:square" from="3429,32861" to="3429,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xAyMAAAADbAAAADwAAAGRycy9kb3ducmV2LnhtbERPz2vCMBS+D/wfwhN2m6kbDK1GKcJg&#10;hx06FfT4TJ5NsXnpmqyt/705DHb8+H6vt6NrRE9dqD0rmM8yEMTam5orBcfDx8sCRIjIBhvPpOBO&#10;AbabydMac+MH/qZ+HyuRQjjkqMDG2OZSBm3JYZj5ljhxV985jAl2lTQdDincNfI1y96lw5pTg8WW&#10;dpb0bf/rFJwsfpWlvkTyb+dCm8oY/7NU6nk6FisQkcb4L/5zfxoFyzQ2fUk/QG4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ocQMjAAAAA2wAAAA8AAAAAAAAAAAAAAAAA&#10;oQIAAGRycy9kb3ducmV2LnhtbFBLBQYAAAAABAAEAPkAAACOAwAAAAA=&#10;" strokecolor="#4a7ebb"/>
                <v:shape id="Text Box 99" o:spid="_x0000_s1082" type="#_x0000_t202" style="position:absolute;left:1142;top:30384;width:809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FvcUA&#10;AADbAAAADwAAAGRycy9kb3ducmV2LnhtbESPQWvCQBSE7wX/w/KE3urGHkpNXaWIpQoN1ljw+sg+&#10;k9Ts27C7NdFf7wpCj8PMfMNM571pxImcry0rGI8SEMSF1TWXCn52H0+vIHxA1thYJgVn8jCfDR6m&#10;mGrb8ZZOeShFhLBPUUEVQptK6YuKDPqRbYmjd7DOYIjSlVI77CLcNPI5SV6kwZrjQoUtLSoqjvmf&#10;UbDv8k+3Wa9/v9tVdtlc8uyLlplSj8P+/Q1EoD78h+/tlVYwmcDtS/w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4W9xQAAANsAAAAPAAAAAAAAAAAAAAAAAJgCAABkcnMv&#10;ZG93bnJldi54bWxQSwUGAAAAAAQABAD1AAAAigMAAAAA&#10;" fillcolor="window" stroked="f" strokeweight=".5pt">
                  <v:textbox>
                    <w:txbxContent>
                      <w:p w14:paraId="76E0FD22" w14:textId="77777777" w:rsidR="00D56EAC" w:rsidRPr="007F3449" w:rsidRDefault="00D56EAC" w:rsidP="00A56EDD">
                        <w:pPr>
                          <w:rPr>
                            <w:b/>
                            <w:color w:val="538135" w:themeColor="accent6" w:themeShade="BF"/>
                            <w:sz w:val="28"/>
                          </w:rPr>
                        </w:pPr>
                        <w:r w:rsidRPr="007F3449">
                          <w:rPr>
                            <w:b/>
                            <w:color w:val="538135" w:themeColor="accent6" w:themeShade="BF"/>
                            <w:sz w:val="28"/>
                          </w:rPr>
                          <w:t>2004</w:t>
                        </w:r>
                      </w:p>
                    </w:txbxContent>
                  </v:textbox>
                </v:shape>
                <v:shape id="Text Box 3" o:spid="_x0000_s1083" type="#_x0000_t202" style="position:absolute;left:41910;top:30623;width:809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xAk8YA&#10;AADcAAAADwAAAGRycy9kb3ducmV2LnhtbESPQUvDQBCF70L/wzIFb3ZTDyKx21LEYguG2ljodchO&#10;k2h2NuyuTeyvdw6Ctxnem/e+WaxG16kLhdh6NjCfZaCIK29brg0cPzZ3j6BiQrbYeSYDPxRhtZzc&#10;LDC3fuADXcpUKwnhmKOBJqU+1zpWDTmMM98Ti3b2wWGSNdTaBhwk3HX6PssetMOWpaHBnp4bqr7K&#10;b2fgNJSvYb/bfb732+K6v5bFG70UxtxOx/UTqERj+jf/XW+t4GeCL8/IBH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xAk8YAAADcAAAADwAAAAAAAAAAAAAAAACYAgAAZHJz&#10;L2Rvd25yZXYueG1sUEsFBgAAAAAEAAQA9QAAAIsDAAAAAA==&#10;" fillcolor="window" stroked="f" strokeweight=".5pt">
                  <v:textbox>
                    <w:txbxContent>
                      <w:p w14:paraId="524A7210" w14:textId="77777777" w:rsidR="00D56EAC" w:rsidRPr="007F3449" w:rsidRDefault="00D56EAC" w:rsidP="00A56EDD">
                        <w:pPr>
                          <w:pStyle w:val="NormalWeb"/>
                          <w:spacing w:before="0" w:beforeAutospacing="0" w:after="200" w:afterAutospacing="0" w:line="276" w:lineRule="auto"/>
                          <w:rPr>
                            <w:rFonts w:asciiTheme="minorHAnsi" w:hAnsiTheme="minorHAnsi"/>
                          </w:rPr>
                        </w:pPr>
                        <w:r w:rsidRPr="007F3449">
                          <w:rPr>
                            <w:rFonts w:asciiTheme="minorHAnsi" w:eastAsia="Calibri" w:hAnsiTheme="minorHAnsi"/>
                            <w:b/>
                            <w:bCs/>
                            <w:color w:val="E46C0A"/>
                            <w:sz w:val="28"/>
                            <w:szCs w:val="28"/>
                          </w:rPr>
                          <w:t>2011</w:t>
                        </w:r>
                      </w:p>
                    </w:txbxContent>
                  </v:textbox>
                </v:shape>
                <v:shape id="Text Box 3" o:spid="_x0000_s1084" type="#_x0000_t202" style="position:absolute;left:74580;top:30861;width:809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DlCMMA&#10;AADcAAAADwAAAGRycy9kb3ducmV2LnhtbERPTWvCQBC9C/6HZQRvdWMPUqKriFRUaLDGQq9Ddkxi&#10;s7Nhd2tSf323UPA2j/c5i1VvGnEj52vLCqaTBARxYXXNpYKP8/bpBYQPyBoby6TghzyslsPBAlNt&#10;Oz7RLQ+liCHsU1RQhdCmUvqiIoN+YlviyF2sMxgidKXUDrsYbhr5nCQzabDm2FBhS5uKiq/82yj4&#10;7PKdOx4O1/d2n92P9zx7o9dMqfGoX89BBOrDQ/zv3us4P5nC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DlCMMAAADcAAAADwAAAAAAAAAAAAAAAACYAgAAZHJzL2Rv&#10;d25yZXYueG1sUEsFBgAAAAAEAAQA9QAAAIgDAAAAAA==&#10;" fillcolor="window" stroked="f" strokeweight=".5pt">
                  <v:textbox>
                    <w:txbxContent>
                      <w:p w14:paraId="5422D7C7" w14:textId="77777777" w:rsidR="00D56EAC" w:rsidRPr="007F3449" w:rsidRDefault="00D56EAC" w:rsidP="00A56EDD">
                        <w:pPr>
                          <w:pStyle w:val="NormalWeb"/>
                          <w:spacing w:before="0" w:beforeAutospacing="0" w:after="200" w:afterAutospacing="0" w:line="276" w:lineRule="auto"/>
                          <w:rPr>
                            <w:rFonts w:asciiTheme="minorHAnsi" w:hAnsiTheme="minorHAnsi"/>
                          </w:rPr>
                        </w:pPr>
                        <w:r>
                          <w:rPr>
                            <w:rFonts w:asciiTheme="minorHAnsi" w:eastAsia="Calibri" w:hAnsiTheme="minorHAnsi"/>
                            <w:b/>
                            <w:bCs/>
                            <w:color w:val="E46C0A"/>
                            <w:sz w:val="28"/>
                            <w:szCs w:val="28"/>
                          </w:rPr>
                          <w:t>2015</w:t>
                        </w:r>
                      </w:p>
                    </w:txbxContent>
                  </v:textbox>
                </v:shape>
                <v:line id="Straight Connector 102" o:spid="_x0000_s1085" style="position:absolute;visibility:visible;mso-wrap-style:square" from="44008,33232" to="44008,35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AjfMIAAADcAAAADwAAAGRycy9kb3ducmV2LnhtbERPTWvCQBC9C/6HZQq9mU0tiE2zigiF&#10;HnpIo2CP090xG8zOptmtpv++Kwje5vE+p1yPrhNnGkLrWcFTloMg1t603CjY795mSxAhIhvsPJOC&#10;PwqwXk0nJRbGX/iTznVsRArhUKACG2NfSBm0JYch8z1x4o5+cBgTHBppBrykcNfJeZ4vpMOWU4PF&#10;nraW9Kn+dQoOFj+qSn9H8s9fG20aY/zPi1KPD+PmFUSkMd7FN/e7SfPzOVyfSRf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AjfMIAAADcAAAADwAAAAAAAAAAAAAA&#10;AAChAgAAZHJzL2Rvd25yZXYueG1sUEsFBgAAAAAEAAQA+QAAAJADAAAAAA==&#10;" strokecolor="#4a7ebb"/>
                <v:shape id="Text Box 91" o:spid="_x0000_s1086" type="#_x0000_t202" style="position:absolute;left:73334;top:8515;width:11900;height:5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dnsMEA&#10;AADcAAAADwAAAGRycy9kb3ducmV2LnhtbERPTWsCMRC9F/wPYQRvNWsP1m6NIkLBi0hXD/Y2JNPd&#10;6GaybOK6+utNoeBtHu9z5sve1aKjNljPCibjDASx9sZyqeCw/3qdgQgR2WDtmRTcKMByMXiZY278&#10;lb+pK2IpUgiHHBVUMTa5lEFX5DCMfUOcuF/fOowJtqU0LV5TuKvlW5ZNpUPLqaHChtYV6XNxcQoM&#10;Hz3rH7u9Wy60/bjvZifdKTUa9qtPEJH6+BT/uzcmzZ+8w98z6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HZ7DBAAAA3AAAAA8AAAAAAAAAAAAAAAAAmAIAAGRycy9kb3du&#10;cmV2LnhtbFBLBQYAAAAABAAEAPUAAACGAwAAAAA=&#10;" fillcolor="window" strokeweight=".5pt">
                  <v:textbox>
                    <w:txbxContent>
                      <w:p w14:paraId="024F7C96" w14:textId="77777777" w:rsidR="00D56EAC" w:rsidRDefault="00D56EAC" w:rsidP="00A56EDD">
                        <w:pPr>
                          <w:pStyle w:val="NormalWeb"/>
                          <w:spacing w:before="0" w:beforeAutospacing="0" w:after="0" w:afterAutospacing="0" w:line="276" w:lineRule="auto"/>
                          <w:rPr>
                            <w:rFonts w:ascii="Calibri" w:eastAsia="Calibri" w:hAnsi="Calibri"/>
                            <w:sz w:val="18"/>
                            <w:szCs w:val="18"/>
                          </w:rPr>
                        </w:pPr>
                        <w:r>
                          <w:rPr>
                            <w:rFonts w:ascii="Calibri" w:eastAsia="Calibri" w:hAnsi="Calibri"/>
                            <w:sz w:val="18"/>
                            <w:szCs w:val="18"/>
                          </w:rPr>
                          <w:t xml:space="preserve">Fall 2014: </w:t>
                        </w:r>
                      </w:p>
                      <w:p w14:paraId="3E6B2DE8" w14:textId="5F1BE8B7" w:rsidR="00D56EAC" w:rsidRDefault="00D56EAC" w:rsidP="00A56EDD">
                        <w:pPr>
                          <w:pStyle w:val="NormalWeb"/>
                          <w:spacing w:before="0" w:beforeAutospacing="0" w:after="0" w:afterAutospacing="0" w:line="276" w:lineRule="auto"/>
                        </w:pPr>
                        <w:r>
                          <w:rPr>
                            <w:rFonts w:ascii="Calibri" w:eastAsia="Calibri" w:hAnsi="Calibri"/>
                            <w:sz w:val="18"/>
                            <w:szCs w:val="18"/>
                          </w:rPr>
                          <w:t xml:space="preserve">Rapid fall in oil prices - </w:t>
                        </w:r>
                        <w:r w:rsidRPr="00B71BEA">
                          <w:rPr>
                            <w:rFonts w:ascii="Calibri" w:eastAsia="Calibri" w:hAnsi="Calibri"/>
                            <w:b/>
                            <w:sz w:val="18"/>
                            <w:szCs w:val="18"/>
                          </w:rPr>
                          <w:t>fiscal crisis</w:t>
                        </w:r>
                      </w:p>
                    </w:txbxContent>
                  </v:textbox>
                </v:shape>
                <v:shape id="Text Box 88" o:spid="_x0000_s1087" type="#_x0000_t202" style="position:absolute;left:67135;top:14650;width:10014;height:8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I1ecQA&#10;AADcAAAADwAAAGRycy9kb3ducmV2LnhtbESPQW/CMAyF75P4D5GRdhspHCbWERBCQtoFoRUO281K&#10;vDZb41RNVjp+PT4g7WbrPb/3ebUZQ6sG6pOPbGA+K0AR2+g81wbOp/3TElTKyA7byGTgjxJs1pOH&#10;FZYuXvidhirXSkI4lWigybkrtU62oYBpFjti0b5iHzDL2tfa9XiR8NDqRVE864CepaHBjnYN2Z/q&#10;Nxhw/BHZfvrD1XNl/cv1uPy2gzGP03H7CirTmP/N9+s3J/gLwZdnZAK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CNXnEAAAA3AAAAA8AAAAAAAAAAAAAAAAAmAIAAGRycy9k&#10;b3ducmV2LnhtbFBLBQYAAAAABAAEAPUAAACJAwAAAAA=&#10;" fillcolor="window" strokeweight=".5pt">
                  <v:textbox>
                    <w:txbxContent>
                      <w:p w14:paraId="3F90A733" w14:textId="4CBB9969" w:rsidR="00D56EAC" w:rsidRPr="00F31FDB" w:rsidRDefault="00D56EAC" w:rsidP="00A56EDD">
                        <w:pPr>
                          <w:pStyle w:val="NormalWeb"/>
                          <w:spacing w:before="0" w:beforeAutospacing="0" w:after="0" w:afterAutospacing="0" w:line="276" w:lineRule="auto"/>
                          <w:rPr>
                            <w:sz w:val="22"/>
                          </w:rPr>
                        </w:pPr>
                        <w:r w:rsidRPr="00F31FDB">
                          <w:rPr>
                            <w:rFonts w:ascii="Calibri" w:eastAsia="Calibri" w:hAnsi="Calibri"/>
                            <w:sz w:val="18"/>
                            <w:szCs w:val="20"/>
                          </w:rPr>
                          <w:t>2014: peace negotiations in Addis Ababa; Arusha (SPLM)</w:t>
                        </w:r>
                      </w:p>
                    </w:txbxContent>
                  </v:textbox>
                </v:shape>
                <v:shape id="Text Box 15" o:spid="_x0000_s1088" type="#_x0000_t202" style="position:absolute;left:76563;top:15430;width:12377;height:7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0Z8MA&#10;AADcAAAADwAAAGRycy9kb3ducmV2LnhtbERPS2vCQBC+F/oflin0VjfNIWh0E0SqVOilNoLHMTvm&#10;YXY2ZLcx/ffdgtDbfHzPWeWT6cRIg2ssK3idRSCIS6sbrhQUX9uXOQjnkTV2lknBDznIs8eHFaba&#10;3viTxoOvRAhhl6KC2vs+ldKVNRl0M9sTB+5iB4M+wKGSesBbCDedjKMokQYbDg019rSpqbwevo0C&#10;bNuu2JnojMn89DYeP/ZJu9gr9fw0rZcgPE3+X3x3v+swP47h75lw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C0Z8MAAADcAAAADwAAAAAAAAAAAAAAAACYAgAAZHJzL2Rv&#10;d25yZXYueG1sUEsFBgAAAAAEAAQA9QAAAIgDAAAAAA==&#10;" fillcolor="window" strokeweight=".5pt">
                  <v:stroke dashstyle="dash"/>
                  <v:textbox>
                    <w:txbxContent>
                      <w:p w14:paraId="617A1CDE" w14:textId="77777777" w:rsidR="00D56EAC" w:rsidRPr="00535DAC" w:rsidRDefault="00D56EAC" w:rsidP="00A56EDD">
                        <w:pPr>
                          <w:pStyle w:val="NormalWeb"/>
                          <w:spacing w:before="0" w:beforeAutospacing="0" w:after="0" w:afterAutospacing="0" w:line="276" w:lineRule="auto"/>
                          <w:rPr>
                            <w:rFonts w:ascii="Calibri" w:eastAsia="Calibri" w:hAnsi="Calibri"/>
                            <w:color w:val="000000" w:themeColor="text1"/>
                            <w:sz w:val="18"/>
                            <w:szCs w:val="18"/>
                          </w:rPr>
                        </w:pPr>
                        <w:r w:rsidRPr="00535DAC">
                          <w:rPr>
                            <w:rFonts w:ascii="Calibri" w:eastAsia="Calibri" w:hAnsi="Calibri"/>
                            <w:color w:val="000000" w:themeColor="text1"/>
                            <w:sz w:val="18"/>
                            <w:szCs w:val="18"/>
                          </w:rPr>
                          <w:t>August 2015</w:t>
                        </w:r>
                      </w:p>
                      <w:p w14:paraId="2FF6D9E9" w14:textId="05DB9F2B" w:rsidR="00D56EAC" w:rsidRPr="00535DAC" w:rsidRDefault="00D56EAC" w:rsidP="00A56EDD">
                        <w:pPr>
                          <w:pStyle w:val="NormalWeb"/>
                          <w:spacing w:before="0" w:beforeAutospacing="0" w:after="0" w:afterAutospacing="0" w:line="276" w:lineRule="auto"/>
                          <w:rPr>
                            <w:rFonts w:ascii="Calibri" w:eastAsia="Calibri" w:hAnsi="Calibri"/>
                            <w:sz w:val="18"/>
                            <w:szCs w:val="20"/>
                          </w:rPr>
                        </w:pPr>
                        <w:r w:rsidRPr="00535DAC">
                          <w:rPr>
                            <w:rFonts w:ascii="Calibri" w:eastAsia="Calibri" w:hAnsi="Calibri"/>
                            <w:sz w:val="18"/>
                            <w:szCs w:val="20"/>
                          </w:rPr>
                          <w:t xml:space="preserve">Agreement on Resolution of Conflict in </w:t>
                        </w:r>
                        <w:r w:rsidRPr="00535DAC">
                          <w:rPr>
                            <w:rFonts w:ascii="Calibri" w:eastAsia="Calibri" w:hAnsi="Calibri"/>
                            <w:bCs/>
                            <w:sz w:val="18"/>
                            <w:szCs w:val="20"/>
                          </w:rPr>
                          <w:t>South Sudan</w:t>
                        </w:r>
                        <w:r w:rsidRPr="00535DAC">
                          <w:rPr>
                            <w:rFonts w:ascii="Calibri" w:eastAsia="Calibri" w:hAnsi="Calibri"/>
                            <w:sz w:val="18"/>
                            <w:szCs w:val="20"/>
                          </w:rPr>
                          <w:t xml:space="preserve"> </w:t>
                        </w:r>
                        <w:r>
                          <w:rPr>
                            <w:rFonts w:ascii="Calibri" w:eastAsia="Calibri" w:hAnsi="Calibri"/>
                            <w:sz w:val="18"/>
                            <w:szCs w:val="20"/>
                          </w:rPr>
                          <w:t>signed</w:t>
                        </w:r>
                      </w:p>
                    </w:txbxContent>
                  </v:textbox>
                </v:shape>
                <w10:wrap type="topAndBottom"/>
              </v:group>
            </w:pict>
          </mc:Fallback>
        </mc:AlternateContent>
      </w:r>
    </w:p>
    <w:p w14:paraId="604DDF22" w14:textId="2B811EB1" w:rsidR="00A56EDD" w:rsidRPr="00B513F4" w:rsidRDefault="00A56EDD" w:rsidP="00A56EDD">
      <w:pPr>
        <w:pStyle w:val="Heading2"/>
      </w:pPr>
      <w:bookmarkStart w:id="48" w:name="_Toc447892409"/>
      <w:r w:rsidRPr="00B513F4">
        <w:lastRenderedPageBreak/>
        <w:t xml:space="preserve">Annex 2: Domains of the </w:t>
      </w:r>
      <w:r w:rsidR="00DD5E18">
        <w:t>S</w:t>
      </w:r>
      <w:r w:rsidRPr="00B513F4">
        <w:t xml:space="preserve">tate and </w:t>
      </w:r>
      <w:r w:rsidR="00DD5E18">
        <w:t>E</w:t>
      </w:r>
      <w:r w:rsidRPr="00B513F4">
        <w:t xml:space="preserve">xternal </w:t>
      </w:r>
      <w:r w:rsidR="00DD5E18">
        <w:t>I</w:t>
      </w:r>
      <w:r w:rsidRPr="00B513F4">
        <w:t>nterventions</w:t>
      </w:r>
      <w:bookmarkEnd w:id="48"/>
    </w:p>
    <w:p w14:paraId="18E2C118" w14:textId="1DA6B1BB" w:rsidR="00886D70" w:rsidRPr="00222781" w:rsidRDefault="00886D70" w:rsidP="00886D70">
      <w:pPr>
        <w:pStyle w:val="Caption"/>
        <w:rPr>
          <w:noProof/>
        </w:rPr>
      </w:pPr>
      <w:bookmarkStart w:id="49" w:name="_Ref447533576"/>
      <w:r>
        <w:t xml:space="preserve">Figure </w:t>
      </w:r>
      <w:fldSimple w:instr=" SEQ Figure \* ARABIC ">
        <w:r w:rsidR="00807923">
          <w:rPr>
            <w:noProof/>
          </w:rPr>
          <w:t>17</w:t>
        </w:r>
      </w:fldSimple>
      <w:bookmarkEnd w:id="49"/>
      <w:r>
        <w:t xml:space="preserve">. </w:t>
      </w:r>
      <w:r w:rsidRPr="008D607B">
        <w:t xml:space="preserve">Domains of the </w:t>
      </w:r>
      <w:r>
        <w:t>S</w:t>
      </w:r>
      <w:r w:rsidRPr="008D607B">
        <w:t xml:space="preserve">tate and </w:t>
      </w:r>
      <w:r>
        <w:t>I</w:t>
      </w:r>
      <w:r w:rsidRPr="008D607B">
        <w:t>nterventions by the International Community</w:t>
      </w:r>
    </w:p>
    <w:p w14:paraId="1B037429" w14:textId="410B74BA" w:rsidR="00A56EDD" w:rsidRPr="00B513F4" w:rsidRDefault="00886D70" w:rsidP="00A56EDD">
      <w:r w:rsidRPr="00B513F4">
        <w:rPr>
          <w:noProof/>
        </w:rPr>
        <mc:AlternateContent>
          <mc:Choice Requires="wpg">
            <w:drawing>
              <wp:anchor distT="0" distB="0" distL="114300" distR="114300" simplePos="0" relativeHeight="251665408" behindDoc="0" locked="0" layoutInCell="1" allowOverlap="1" wp14:anchorId="68608274" wp14:editId="0BE381F9">
                <wp:simplePos x="0" y="0"/>
                <wp:positionH relativeFrom="margin">
                  <wp:align>left</wp:align>
                </wp:positionH>
                <wp:positionV relativeFrom="paragraph">
                  <wp:posOffset>165100</wp:posOffset>
                </wp:positionV>
                <wp:extent cx="6099175" cy="5464810"/>
                <wp:effectExtent l="0" t="0" r="15875" b="193040"/>
                <wp:wrapNone/>
                <wp:docPr id="9" name="Group 137"/>
                <wp:cNvGraphicFramePr/>
                <a:graphic xmlns:a="http://schemas.openxmlformats.org/drawingml/2006/main">
                  <a:graphicData uri="http://schemas.microsoft.com/office/word/2010/wordprocessingGroup">
                    <wpg:wgp>
                      <wpg:cNvGrpSpPr/>
                      <wpg:grpSpPr bwMode="auto">
                        <a:xfrm>
                          <a:off x="0" y="0"/>
                          <a:ext cx="6099175" cy="5464810"/>
                          <a:chOff x="-16" y="-189"/>
                          <a:chExt cx="7859" cy="7505"/>
                        </a:xfrm>
                      </wpg:grpSpPr>
                      <wps:wsp>
                        <wps:cNvPr id="10" name="AutoShape 171"/>
                        <wps:cNvSpPr>
                          <a:spLocks noChangeAspect="1" noChangeArrowheads="1" noTextEdit="1"/>
                        </wps:cNvSpPr>
                        <wps:spPr bwMode="auto">
                          <a:xfrm>
                            <a:off x="-16" y="-189"/>
                            <a:ext cx="7859" cy="6909"/>
                          </a:xfrm>
                          <a:prstGeom prst="rect">
                            <a:avLst/>
                          </a:prstGeom>
                          <a:noFill/>
                          <a:extLst>
                            <a:ext uri="{909E8E84-426E-40DD-AFC4-6F175D3DCCD1}">
                              <a14:hiddenFill xmlns:a14="http://schemas.microsoft.com/office/drawing/2010/main">
                                <a:solidFill>
                                  <a:srgbClr val="FFFFFF"/>
                                </a:solidFill>
                              </a14:hiddenFill>
                            </a:ext>
                          </a:extLst>
                        </wps:spPr>
                        <wps:txbx>
                          <w:txbxContent>
                            <w:p w14:paraId="6165F268" w14:textId="77777777" w:rsidR="00D56EAC" w:rsidRDefault="00D56EAC" w:rsidP="00A56EDD">
                              <w:pPr>
                                <w:rPr>
                                  <w:rFonts w:eastAsia="Times New Roman"/>
                                </w:rPr>
                              </w:pPr>
                            </w:p>
                          </w:txbxContent>
                        </wps:txbx>
                        <wps:bodyPr/>
                      </wps:wsp>
                      <wps:wsp>
                        <wps:cNvPr id="11" name="Oval 11"/>
                        <wps:cNvSpPr>
                          <a:spLocks noChangeArrowheads="1"/>
                        </wps:cNvSpPr>
                        <wps:spPr bwMode="auto">
                          <a:xfrm>
                            <a:off x="157" y="436"/>
                            <a:ext cx="7200" cy="6880"/>
                          </a:xfrm>
                          <a:prstGeom prst="ellipse">
                            <a:avLst/>
                          </a:prstGeom>
                          <a:solidFill>
                            <a:srgbClr val="C0C0C0">
                              <a:alpha val="47000"/>
                            </a:srgbClr>
                          </a:solidFill>
                          <a:ln w="9525">
                            <a:solidFill>
                              <a:srgbClr val="000000"/>
                            </a:solidFill>
                            <a:round/>
                            <a:headEnd/>
                            <a:tailEnd/>
                          </a:ln>
                        </wps:spPr>
                        <wps:txbx>
                          <w:txbxContent>
                            <w:p w14:paraId="791DA99E" w14:textId="77777777" w:rsidR="00D56EAC" w:rsidRDefault="00D56EAC" w:rsidP="00A56EDD">
                              <w:pPr>
                                <w:rPr>
                                  <w:rFonts w:eastAsia="Times New Roman"/>
                                </w:rPr>
                              </w:pPr>
                            </w:p>
                          </w:txbxContent>
                        </wps:txbx>
                        <wps:bodyPr/>
                      </wps:wsp>
                      <wps:wsp>
                        <wps:cNvPr id="12" name="Oval 12"/>
                        <wps:cNvSpPr>
                          <a:spLocks noChangeArrowheads="1"/>
                        </wps:cNvSpPr>
                        <wps:spPr bwMode="auto">
                          <a:xfrm>
                            <a:off x="940" y="1396"/>
                            <a:ext cx="5478" cy="5280"/>
                          </a:xfrm>
                          <a:prstGeom prst="ellipse">
                            <a:avLst/>
                          </a:prstGeom>
                          <a:solidFill>
                            <a:srgbClr val="007025">
                              <a:alpha val="28000"/>
                            </a:srgbClr>
                          </a:solidFill>
                          <a:ln w="9525">
                            <a:solidFill>
                              <a:srgbClr val="000000"/>
                            </a:solidFill>
                            <a:round/>
                            <a:headEnd/>
                            <a:tailEnd/>
                          </a:ln>
                        </wps:spPr>
                        <wps:txbx>
                          <w:txbxContent>
                            <w:p w14:paraId="7E55EE23" w14:textId="77777777" w:rsidR="00D56EAC" w:rsidRDefault="00D56EAC" w:rsidP="00A56EDD">
                              <w:pPr>
                                <w:rPr>
                                  <w:rFonts w:eastAsia="Times New Roman"/>
                                </w:rPr>
                              </w:pPr>
                            </w:p>
                          </w:txbxContent>
                        </wps:txbx>
                        <wps:bodyPr/>
                      </wps:wsp>
                      <wps:wsp>
                        <wps:cNvPr id="13" name="Oval 13"/>
                        <wps:cNvSpPr>
                          <a:spLocks noChangeArrowheads="1"/>
                        </wps:cNvSpPr>
                        <wps:spPr bwMode="auto">
                          <a:xfrm>
                            <a:off x="1566" y="2196"/>
                            <a:ext cx="4226" cy="3840"/>
                          </a:xfrm>
                          <a:prstGeom prst="ellipse">
                            <a:avLst/>
                          </a:prstGeom>
                          <a:solidFill>
                            <a:srgbClr val="FDBA13"/>
                          </a:solidFill>
                          <a:ln w="9525">
                            <a:solidFill>
                              <a:srgbClr val="000000"/>
                            </a:solidFill>
                            <a:round/>
                            <a:headEnd/>
                            <a:tailEnd/>
                          </a:ln>
                        </wps:spPr>
                        <wps:txbx>
                          <w:txbxContent>
                            <w:p w14:paraId="59832C02" w14:textId="77777777" w:rsidR="00D56EAC" w:rsidRDefault="00D56EAC" w:rsidP="00A56EDD">
                              <w:pPr>
                                <w:rPr>
                                  <w:rFonts w:eastAsia="Times New Roman"/>
                                </w:rPr>
                              </w:pPr>
                            </w:p>
                          </w:txbxContent>
                        </wps:txbx>
                        <wps:bodyPr/>
                      </wps:wsp>
                      <wps:wsp>
                        <wps:cNvPr id="14" name="Oval 14"/>
                        <wps:cNvSpPr>
                          <a:spLocks noChangeArrowheads="1"/>
                        </wps:cNvSpPr>
                        <wps:spPr bwMode="auto">
                          <a:xfrm>
                            <a:off x="2348" y="2676"/>
                            <a:ext cx="2504" cy="2400"/>
                          </a:xfrm>
                          <a:prstGeom prst="ellipse">
                            <a:avLst/>
                          </a:prstGeom>
                          <a:solidFill>
                            <a:srgbClr val="FF6565">
                              <a:alpha val="77000"/>
                            </a:srgbClr>
                          </a:solidFill>
                          <a:ln w="9525">
                            <a:solidFill>
                              <a:srgbClr val="000000"/>
                            </a:solidFill>
                            <a:round/>
                            <a:headEnd/>
                            <a:tailEnd/>
                          </a:ln>
                        </wps:spPr>
                        <wps:txbx>
                          <w:txbxContent>
                            <w:p w14:paraId="58D2A625" w14:textId="77777777" w:rsidR="00D56EAC" w:rsidRDefault="00D56EAC" w:rsidP="00A56EDD">
                              <w:pPr>
                                <w:rPr>
                                  <w:rFonts w:eastAsia="Times New Roman"/>
                                </w:rPr>
                              </w:pPr>
                            </w:p>
                          </w:txbxContent>
                        </wps:txbx>
                        <wps:bodyPr/>
                      </wps:wsp>
                      <wps:wsp>
                        <wps:cNvPr id="15" name="Oval 15"/>
                        <wps:cNvSpPr>
                          <a:spLocks noChangeArrowheads="1"/>
                        </wps:cNvSpPr>
                        <wps:spPr bwMode="auto">
                          <a:xfrm>
                            <a:off x="2818" y="3316"/>
                            <a:ext cx="1565" cy="1280"/>
                          </a:xfrm>
                          <a:prstGeom prst="ellipse">
                            <a:avLst/>
                          </a:prstGeom>
                          <a:solidFill>
                            <a:srgbClr val="FE0000">
                              <a:alpha val="86000"/>
                            </a:srgbClr>
                          </a:solidFill>
                          <a:ln w="9525">
                            <a:solidFill>
                              <a:srgbClr val="000000"/>
                            </a:solidFill>
                            <a:round/>
                            <a:headEnd/>
                            <a:tailEnd/>
                          </a:ln>
                        </wps:spPr>
                        <wps:txbx>
                          <w:txbxContent>
                            <w:p w14:paraId="491832EC" w14:textId="77777777" w:rsidR="00D56EAC" w:rsidRDefault="00D56EAC" w:rsidP="00A56EDD">
                              <w:pPr>
                                <w:rPr>
                                  <w:rFonts w:eastAsia="Times New Roman"/>
                                </w:rPr>
                              </w:pPr>
                            </w:p>
                          </w:txbxContent>
                        </wps:txbx>
                        <wps:bodyPr/>
                      </wps:wsp>
                      <wps:wsp>
                        <wps:cNvPr id="16" name="Text Box 165"/>
                        <wps:cNvSpPr txBox="1">
                          <a:spLocks noChangeArrowheads="1"/>
                        </wps:cNvSpPr>
                        <wps:spPr bwMode="auto">
                          <a:xfrm>
                            <a:off x="3027" y="3500"/>
                            <a:ext cx="1253"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F84F3" w14:textId="77777777" w:rsidR="00D56EAC" w:rsidRPr="002D542B" w:rsidRDefault="00D56EAC" w:rsidP="00A56EDD">
                              <w:pPr>
                                <w:pStyle w:val="NormalWeb"/>
                                <w:spacing w:before="0" w:beforeAutospacing="0" w:after="0" w:afterAutospacing="0"/>
                                <w:textAlignment w:val="baseline"/>
                                <w:rPr>
                                  <w:sz w:val="22"/>
                                </w:rPr>
                              </w:pPr>
                              <w:r w:rsidRPr="002D542B">
                                <w:rPr>
                                  <w:rFonts w:ascii="Arial" w:hAnsi="Arial"/>
                                  <w:color w:val="000000" w:themeColor="text1"/>
                                  <w:kern w:val="24"/>
                                  <w:sz w:val="22"/>
                                  <w:lang w:val="en-GB"/>
                                </w:rPr>
                                <w:t>Political settlement/</w:t>
                              </w:r>
                            </w:p>
                            <w:p w14:paraId="1E4C1EDE" w14:textId="77777777" w:rsidR="00D56EAC" w:rsidRPr="002D542B" w:rsidRDefault="00D56EAC" w:rsidP="00A56EDD">
                              <w:pPr>
                                <w:pStyle w:val="NormalWeb"/>
                                <w:spacing w:before="0" w:beforeAutospacing="0" w:after="0" w:afterAutospacing="0"/>
                                <w:textAlignment w:val="baseline"/>
                                <w:rPr>
                                  <w:sz w:val="22"/>
                                </w:rPr>
                              </w:pPr>
                              <w:r w:rsidRPr="002D542B">
                                <w:rPr>
                                  <w:rFonts w:ascii="Arial" w:hAnsi="Arial"/>
                                  <w:color w:val="000000" w:themeColor="text1"/>
                                  <w:kern w:val="24"/>
                                  <w:sz w:val="22"/>
                                  <w:lang w:val="en-GB"/>
                                </w:rPr>
                                <w:t>government</w:t>
                              </w:r>
                            </w:p>
                          </w:txbxContent>
                        </wps:txbx>
                        <wps:bodyPr/>
                      </wps:wsp>
                      <wps:wsp>
                        <wps:cNvPr id="17" name="Text Box 164"/>
                        <wps:cNvSpPr txBox="1">
                          <a:spLocks noChangeArrowheads="1"/>
                        </wps:cNvSpPr>
                        <wps:spPr bwMode="auto">
                          <a:xfrm>
                            <a:off x="2974" y="2676"/>
                            <a:ext cx="2035"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B5D47" w14:textId="77777777" w:rsidR="00D56EAC" w:rsidRDefault="00D56EAC" w:rsidP="00A56EDD">
                              <w:pPr>
                                <w:pStyle w:val="NormalWeb"/>
                                <w:spacing w:before="0" w:beforeAutospacing="0" w:after="0" w:afterAutospacing="0"/>
                                <w:textAlignment w:val="baseline"/>
                              </w:pPr>
                              <w:r>
                                <w:rPr>
                                  <w:rFonts w:ascii="Arial" w:hAnsi="Arial"/>
                                  <w:color w:val="000000" w:themeColor="text1"/>
                                  <w:kern w:val="24"/>
                                  <w:lang w:val="en-GB"/>
                                </w:rPr>
                                <w:t>Public administration</w:t>
                              </w:r>
                            </w:p>
                          </w:txbxContent>
                        </wps:txbx>
                        <wps:bodyPr/>
                      </wps:wsp>
                      <wps:wsp>
                        <wps:cNvPr id="18" name="Text Box 163"/>
                        <wps:cNvSpPr txBox="1">
                          <a:spLocks noChangeArrowheads="1"/>
                        </wps:cNvSpPr>
                        <wps:spPr bwMode="auto">
                          <a:xfrm>
                            <a:off x="3131" y="4596"/>
                            <a:ext cx="1722"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6ADD7" w14:textId="77777777" w:rsidR="00D56EAC" w:rsidRDefault="00D56EAC" w:rsidP="00A56EDD">
                              <w:pPr>
                                <w:pStyle w:val="NormalWeb"/>
                                <w:spacing w:before="0" w:beforeAutospacing="0" w:after="0" w:afterAutospacing="0"/>
                                <w:textAlignment w:val="baseline"/>
                              </w:pPr>
                              <w:r>
                                <w:rPr>
                                  <w:rFonts w:ascii="Arial" w:hAnsi="Arial"/>
                                  <w:color w:val="000000" w:themeColor="text1"/>
                                  <w:kern w:val="24"/>
                                  <w:lang w:val="en-GB"/>
                                </w:rPr>
                                <w:t>Security</w:t>
                              </w:r>
                            </w:p>
                          </w:txbxContent>
                        </wps:txbx>
                        <wps:bodyPr/>
                      </wps:wsp>
                      <wps:wsp>
                        <wps:cNvPr id="19" name="Text Box 162"/>
                        <wps:cNvSpPr txBox="1">
                          <a:spLocks noChangeArrowheads="1"/>
                        </wps:cNvSpPr>
                        <wps:spPr bwMode="auto">
                          <a:xfrm>
                            <a:off x="939" y="3476"/>
                            <a:ext cx="1097" cy="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1EF20" w14:textId="77777777" w:rsidR="00D56EAC" w:rsidRDefault="00D56EAC" w:rsidP="00A56EDD">
                              <w:pPr>
                                <w:pStyle w:val="NormalWeb"/>
                                <w:spacing w:before="0" w:beforeAutospacing="0" w:after="0" w:afterAutospacing="0"/>
                                <w:textAlignment w:val="baseline"/>
                              </w:pPr>
                              <w:r>
                                <w:rPr>
                                  <w:rFonts w:ascii="Arial" w:hAnsi="Arial"/>
                                  <w:color w:val="000000" w:themeColor="text1"/>
                                  <w:kern w:val="24"/>
                                  <w:lang w:val="en-GB"/>
                                </w:rPr>
                                <w:t>Wider society</w:t>
                              </w:r>
                            </w:p>
                          </w:txbxContent>
                        </wps:txbx>
                        <wps:bodyPr/>
                      </wps:wsp>
                      <wps:wsp>
                        <wps:cNvPr id="20" name="Text Box 161"/>
                        <wps:cNvSpPr txBox="1">
                          <a:spLocks noChangeArrowheads="1"/>
                        </wps:cNvSpPr>
                        <wps:spPr bwMode="auto">
                          <a:xfrm>
                            <a:off x="2505" y="1716"/>
                            <a:ext cx="219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6DD6C" w14:textId="77777777" w:rsidR="00D56EAC" w:rsidRDefault="00D56EAC" w:rsidP="00A56EDD">
                              <w:pPr>
                                <w:pStyle w:val="NormalWeb"/>
                                <w:spacing w:before="0" w:beforeAutospacing="0" w:after="0" w:afterAutospacing="0"/>
                                <w:textAlignment w:val="baseline"/>
                              </w:pPr>
                              <w:r w:rsidRPr="002D542B">
                                <w:rPr>
                                  <w:rFonts w:ascii="Arial" w:hAnsi="Arial"/>
                                  <w:i/>
                                  <w:color w:val="595959" w:themeColor="text1" w:themeTint="A6"/>
                                  <w:kern w:val="24"/>
                                  <w:lang w:val="en-GB"/>
                                </w:rPr>
                                <w:t>Wider society</w:t>
                              </w:r>
                              <w:r>
                                <w:rPr>
                                  <w:rFonts w:ascii="Arial" w:hAnsi="Arial"/>
                                  <w:color w:val="000000" w:themeColor="text1"/>
                                  <w:kern w:val="24"/>
                                  <w:lang w:val="en-GB"/>
                                </w:rPr>
                                <w:t>: social/</w:t>
                              </w:r>
                            </w:p>
                            <w:p w14:paraId="34195F1D" w14:textId="77777777" w:rsidR="00D56EAC" w:rsidRDefault="00D56EAC" w:rsidP="00A56EDD">
                              <w:pPr>
                                <w:pStyle w:val="NormalWeb"/>
                                <w:kinsoku w:val="0"/>
                                <w:overflowPunct w:val="0"/>
                                <w:spacing w:before="0" w:beforeAutospacing="0" w:after="0" w:afterAutospacing="0"/>
                                <w:textAlignment w:val="baseline"/>
                              </w:pPr>
                              <w:r>
                                <w:rPr>
                                  <w:rFonts w:ascii="Arial" w:hAnsi="Arial"/>
                                  <w:color w:val="000000" w:themeColor="text1"/>
                                  <w:kern w:val="24"/>
                                  <w:lang w:val="en-GB"/>
                                </w:rPr>
                                <w:t>patronage networks</w:t>
                              </w:r>
                            </w:p>
                          </w:txbxContent>
                        </wps:txbx>
                        <wps:bodyPr/>
                      </wps:wsp>
                      <wps:wsp>
                        <wps:cNvPr id="21" name="Text Box 160"/>
                        <wps:cNvSpPr txBox="1">
                          <a:spLocks noChangeArrowheads="1"/>
                        </wps:cNvSpPr>
                        <wps:spPr bwMode="auto">
                          <a:xfrm>
                            <a:off x="2505" y="6036"/>
                            <a:ext cx="2034"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6FDC4" w14:textId="77777777" w:rsidR="00D56EAC" w:rsidRDefault="00D56EAC" w:rsidP="00A56EDD">
                              <w:pPr>
                                <w:pStyle w:val="NormalWeb"/>
                                <w:spacing w:before="0" w:beforeAutospacing="0" w:after="0" w:afterAutospacing="0"/>
                                <w:textAlignment w:val="baseline"/>
                              </w:pPr>
                              <w:r>
                                <w:rPr>
                                  <w:rFonts w:ascii="Arial" w:hAnsi="Arial"/>
                                  <w:color w:val="000000" w:themeColor="text1"/>
                                  <w:kern w:val="24"/>
                                  <w:lang w:val="en-GB"/>
                                </w:rPr>
                                <w:t>Wider society</w:t>
                              </w:r>
                            </w:p>
                          </w:txbxContent>
                        </wps:txbx>
                        <wps:bodyPr/>
                      </wps:wsp>
                      <wps:wsp>
                        <wps:cNvPr id="22" name="AutoShape 159"/>
                        <wps:cNvSpPr>
                          <a:spLocks noChangeArrowheads="1"/>
                        </wps:cNvSpPr>
                        <wps:spPr bwMode="auto">
                          <a:xfrm rot="12518093">
                            <a:off x="4151" y="140"/>
                            <a:ext cx="1566" cy="3179"/>
                          </a:xfrm>
                          <a:prstGeom prst="triangle">
                            <a:avLst>
                              <a:gd name="adj" fmla="val 50000"/>
                            </a:avLst>
                          </a:prstGeom>
                          <a:noFill/>
                          <a:ln w="9525">
                            <a:solidFill>
                              <a:srgbClr val="000000"/>
                            </a:solidFill>
                            <a:miter lim="800000"/>
                            <a:headEnd/>
                            <a:tailEnd/>
                          </a:ln>
                        </wps:spPr>
                        <wps:txbx>
                          <w:txbxContent>
                            <w:p w14:paraId="6E385790" w14:textId="77777777" w:rsidR="00D56EAC" w:rsidRDefault="00D56EAC" w:rsidP="00A56EDD">
                              <w:pPr>
                                <w:rPr>
                                  <w:rFonts w:eastAsia="Times New Roman"/>
                                </w:rPr>
                              </w:pPr>
                            </w:p>
                          </w:txbxContent>
                        </wps:txbx>
                        <wps:bodyPr/>
                      </wps:wsp>
                      <wps:wsp>
                        <wps:cNvPr id="23" name="AutoShape 158"/>
                        <wps:cNvSpPr>
                          <a:spLocks noChangeArrowheads="1"/>
                        </wps:cNvSpPr>
                        <wps:spPr bwMode="auto">
                          <a:xfrm rot="2966136">
                            <a:off x="1555" y="4339"/>
                            <a:ext cx="1536" cy="3102"/>
                          </a:xfrm>
                          <a:prstGeom prst="triangle">
                            <a:avLst>
                              <a:gd name="adj" fmla="val 50000"/>
                            </a:avLst>
                          </a:prstGeom>
                          <a:noFill/>
                          <a:ln w="9525">
                            <a:solidFill>
                              <a:srgbClr val="000000"/>
                            </a:solidFill>
                            <a:miter lim="800000"/>
                            <a:headEnd/>
                            <a:tailEnd/>
                          </a:ln>
                        </wps:spPr>
                        <wps:txbx>
                          <w:txbxContent>
                            <w:p w14:paraId="2181EAE9" w14:textId="77777777" w:rsidR="00D56EAC" w:rsidRDefault="00D56EAC" w:rsidP="00A56EDD">
                              <w:pPr>
                                <w:rPr>
                                  <w:rFonts w:eastAsia="Times New Roman"/>
                                </w:rPr>
                              </w:pPr>
                            </w:p>
                          </w:txbxContent>
                        </wps:txbx>
                        <wps:bodyPr/>
                      </wps:wsp>
                      <wps:wsp>
                        <wps:cNvPr id="24" name="AutoShape 157"/>
                        <wps:cNvSpPr>
                          <a:spLocks noChangeArrowheads="1"/>
                        </wps:cNvSpPr>
                        <wps:spPr bwMode="auto">
                          <a:xfrm rot="-3212227">
                            <a:off x="5068" y="4741"/>
                            <a:ext cx="2039" cy="2158"/>
                          </a:xfrm>
                          <a:prstGeom prst="triangle">
                            <a:avLst>
                              <a:gd name="adj" fmla="val 50000"/>
                            </a:avLst>
                          </a:prstGeom>
                          <a:noFill/>
                          <a:ln w="9525">
                            <a:solidFill>
                              <a:srgbClr val="000000"/>
                            </a:solidFill>
                            <a:miter lim="800000"/>
                            <a:headEnd/>
                            <a:tailEnd/>
                          </a:ln>
                        </wps:spPr>
                        <wps:txbx>
                          <w:txbxContent>
                            <w:p w14:paraId="5DC534B7" w14:textId="77777777" w:rsidR="00D56EAC" w:rsidRDefault="00D56EAC" w:rsidP="00A56EDD">
                              <w:pPr>
                                <w:rPr>
                                  <w:rFonts w:eastAsia="Times New Roman"/>
                                </w:rPr>
                              </w:pPr>
                            </w:p>
                          </w:txbxContent>
                        </wps:txbx>
                        <wps:bodyPr/>
                      </wps:wsp>
                      <wps:wsp>
                        <wps:cNvPr id="25" name="Text Box 156"/>
                        <wps:cNvSpPr txBox="1">
                          <a:spLocks noChangeArrowheads="1"/>
                        </wps:cNvSpPr>
                        <wps:spPr bwMode="auto">
                          <a:xfrm rot="19224002">
                            <a:off x="940" y="6003"/>
                            <a:ext cx="1565" cy="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8A82D" w14:textId="77777777" w:rsidR="00D56EAC" w:rsidRPr="00943813" w:rsidRDefault="00D56EAC" w:rsidP="00A56EDD">
                              <w:pPr>
                                <w:pStyle w:val="NormalWeb"/>
                                <w:spacing w:before="0" w:beforeAutospacing="0" w:after="0" w:afterAutospacing="0"/>
                                <w:textAlignment w:val="baseline"/>
                                <w:rPr>
                                  <w:sz w:val="22"/>
                                </w:rPr>
                              </w:pPr>
                              <w:r w:rsidRPr="00943813">
                                <w:rPr>
                                  <w:rFonts w:ascii="Arial" w:hAnsi="Arial"/>
                                  <w:color w:val="000000" w:themeColor="text1"/>
                                  <w:kern w:val="24"/>
                                  <w:sz w:val="22"/>
                                  <w:lang w:val="en-GB"/>
                                </w:rPr>
                                <w:t>External occupation, peacekeeping</w:t>
                              </w:r>
                            </w:p>
                          </w:txbxContent>
                        </wps:txbx>
                        <wps:bodyPr/>
                      </wps:wsp>
                      <wps:wsp>
                        <wps:cNvPr id="26" name="Arc 155"/>
                        <wps:cNvSpPr>
                          <a:spLocks/>
                        </wps:cNvSpPr>
                        <wps:spPr bwMode="auto">
                          <a:xfrm rot="-3016099" flipH="1" flipV="1">
                            <a:off x="1689" y="4068"/>
                            <a:ext cx="1438" cy="940"/>
                          </a:xfrm>
                          <a:custGeom>
                            <a:avLst/>
                            <a:gdLst>
                              <a:gd name="G0" fmla="+- 1113 0 0"/>
                              <a:gd name="G1" fmla="+- 21600 0 0"/>
                              <a:gd name="G2" fmla="+- 21600 0 0"/>
                              <a:gd name="T0" fmla="*/ 0 w 22666"/>
                              <a:gd name="T1" fmla="*/ 29 h 21600"/>
                              <a:gd name="T2" fmla="*/ 22666 w 22666"/>
                              <a:gd name="T3" fmla="*/ 20171 h 21600"/>
                              <a:gd name="T4" fmla="*/ 1113 w 22666"/>
                              <a:gd name="T5" fmla="*/ 21600 h 21600"/>
                            </a:gdLst>
                            <a:ahLst/>
                            <a:cxnLst>
                              <a:cxn ang="0">
                                <a:pos x="T0" y="T1"/>
                              </a:cxn>
                              <a:cxn ang="0">
                                <a:pos x="T2" y="T3"/>
                              </a:cxn>
                              <a:cxn ang="0">
                                <a:pos x="T4" y="T5"/>
                              </a:cxn>
                            </a:cxnLst>
                            <a:rect l="0" t="0" r="r" b="b"/>
                            <a:pathLst>
                              <a:path w="22666" h="21600" fill="none" extrusionOk="0">
                                <a:moveTo>
                                  <a:pt x="-1" y="28"/>
                                </a:moveTo>
                                <a:cubicBezTo>
                                  <a:pt x="370" y="9"/>
                                  <a:pt x="741" y="-1"/>
                                  <a:pt x="1113" y="0"/>
                                </a:cubicBezTo>
                                <a:cubicBezTo>
                                  <a:pt x="12487" y="0"/>
                                  <a:pt x="21913" y="8821"/>
                                  <a:pt x="22665" y="20171"/>
                                </a:cubicBezTo>
                              </a:path>
                              <a:path w="22666" h="21600" stroke="0" extrusionOk="0">
                                <a:moveTo>
                                  <a:pt x="-1" y="28"/>
                                </a:moveTo>
                                <a:cubicBezTo>
                                  <a:pt x="370" y="9"/>
                                  <a:pt x="741" y="-1"/>
                                  <a:pt x="1113" y="0"/>
                                </a:cubicBezTo>
                                <a:cubicBezTo>
                                  <a:pt x="12487" y="0"/>
                                  <a:pt x="21913" y="8821"/>
                                  <a:pt x="22665" y="20171"/>
                                </a:cubicBezTo>
                                <a:lnTo>
                                  <a:pt x="1113" y="21600"/>
                                </a:lnTo>
                                <a:close/>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txbx>
                          <w:txbxContent>
                            <w:p w14:paraId="573EF28F" w14:textId="77777777" w:rsidR="00D56EAC" w:rsidRDefault="00D56EAC" w:rsidP="00A56EDD">
                              <w:pPr>
                                <w:rPr>
                                  <w:rFonts w:eastAsia="Times New Roman"/>
                                </w:rPr>
                              </w:pPr>
                            </w:p>
                          </w:txbxContent>
                        </wps:txbx>
                        <wps:bodyPr/>
                      </wps:wsp>
                      <wps:wsp>
                        <wps:cNvPr id="27" name="Arc 154"/>
                        <wps:cNvSpPr>
                          <a:spLocks/>
                        </wps:cNvSpPr>
                        <wps:spPr bwMode="auto">
                          <a:xfrm rot="-2196682">
                            <a:off x="1600" y="3266"/>
                            <a:ext cx="1025" cy="640"/>
                          </a:xfrm>
                          <a:custGeom>
                            <a:avLst/>
                            <a:gdLst>
                              <a:gd name="G0" fmla="+- 8969 0 0"/>
                              <a:gd name="G1" fmla="+- 21600 0 0"/>
                              <a:gd name="G2" fmla="+- 21600 0 0"/>
                              <a:gd name="T0" fmla="*/ 0 w 29171"/>
                              <a:gd name="T1" fmla="*/ 1950 h 21600"/>
                              <a:gd name="T2" fmla="*/ 29171 w 29171"/>
                              <a:gd name="T3" fmla="*/ 13957 h 21600"/>
                              <a:gd name="T4" fmla="*/ 8969 w 29171"/>
                              <a:gd name="T5" fmla="*/ 21600 h 21600"/>
                            </a:gdLst>
                            <a:ahLst/>
                            <a:cxnLst>
                              <a:cxn ang="0">
                                <a:pos x="T0" y="T1"/>
                              </a:cxn>
                              <a:cxn ang="0">
                                <a:pos x="T2" y="T3"/>
                              </a:cxn>
                              <a:cxn ang="0">
                                <a:pos x="T4" y="T5"/>
                              </a:cxn>
                            </a:cxnLst>
                            <a:rect l="0" t="0" r="r" b="b"/>
                            <a:pathLst>
                              <a:path w="29171" h="21600" fill="none" extrusionOk="0">
                                <a:moveTo>
                                  <a:pt x="0" y="1950"/>
                                </a:moveTo>
                                <a:cubicBezTo>
                                  <a:pt x="2815" y="665"/>
                                  <a:pt x="5874" y="-1"/>
                                  <a:pt x="8969" y="0"/>
                                </a:cubicBezTo>
                                <a:cubicBezTo>
                                  <a:pt x="17949" y="0"/>
                                  <a:pt x="25993" y="5557"/>
                                  <a:pt x="29171" y="13956"/>
                                </a:cubicBezTo>
                              </a:path>
                              <a:path w="29171" h="21600" stroke="0" extrusionOk="0">
                                <a:moveTo>
                                  <a:pt x="0" y="1950"/>
                                </a:moveTo>
                                <a:cubicBezTo>
                                  <a:pt x="2815" y="665"/>
                                  <a:pt x="5874" y="-1"/>
                                  <a:pt x="8969" y="0"/>
                                </a:cubicBezTo>
                                <a:cubicBezTo>
                                  <a:pt x="17949" y="0"/>
                                  <a:pt x="25993" y="5557"/>
                                  <a:pt x="29171" y="13956"/>
                                </a:cubicBezTo>
                                <a:lnTo>
                                  <a:pt x="8969" y="21600"/>
                                </a:lnTo>
                                <a:close/>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txbx>
                          <w:txbxContent>
                            <w:p w14:paraId="12FA12AC" w14:textId="77777777" w:rsidR="00D56EAC" w:rsidRDefault="00D56EAC" w:rsidP="00A56EDD">
                              <w:pPr>
                                <w:rPr>
                                  <w:rFonts w:eastAsia="Times New Roman"/>
                                </w:rPr>
                              </w:pPr>
                            </w:p>
                          </w:txbxContent>
                        </wps:txbx>
                        <wps:bodyPr/>
                      </wps:wsp>
                      <wps:wsp>
                        <wps:cNvPr id="28" name="Text Box 153"/>
                        <wps:cNvSpPr txBox="1">
                          <a:spLocks noChangeArrowheads="1"/>
                        </wps:cNvSpPr>
                        <wps:spPr bwMode="auto">
                          <a:xfrm>
                            <a:off x="1252" y="4276"/>
                            <a:ext cx="1879" cy="480"/>
                          </a:xfrm>
                          <a:prstGeom prst="rect">
                            <a:avLst/>
                          </a:prstGeom>
                          <a:solidFill>
                            <a:srgbClr val="C0C0C0">
                              <a:alpha val="5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7E9DA3" w14:textId="77777777" w:rsidR="00D56EAC" w:rsidRPr="008974E0" w:rsidRDefault="00D56EAC" w:rsidP="00A56EDD">
                              <w:pPr>
                                <w:pStyle w:val="NormalWeb"/>
                                <w:spacing w:before="0" w:beforeAutospacing="0" w:after="0" w:afterAutospacing="0"/>
                                <w:jc w:val="center"/>
                                <w:textAlignment w:val="baseline"/>
                                <w:rPr>
                                  <w:color w:val="595959" w:themeColor="text1" w:themeTint="A6"/>
                                </w:rPr>
                              </w:pPr>
                              <w:r w:rsidRPr="008974E0">
                                <w:rPr>
                                  <w:rFonts w:ascii="Arial" w:hAnsi="Arial"/>
                                  <w:color w:val="595959" w:themeColor="text1" w:themeTint="A6"/>
                                  <w:kern w:val="24"/>
                                  <w:lang w:val="en-GB"/>
                                </w:rPr>
                                <w:t>Internal dynamics</w:t>
                              </w:r>
                            </w:p>
                          </w:txbxContent>
                        </wps:txbx>
                        <wps:bodyPr/>
                      </wps:wsp>
                      <wps:wsp>
                        <wps:cNvPr id="29" name="Text Box 152"/>
                        <wps:cNvSpPr txBox="1">
                          <a:spLocks noChangeArrowheads="1"/>
                        </wps:cNvSpPr>
                        <wps:spPr bwMode="auto">
                          <a:xfrm>
                            <a:off x="2348" y="640"/>
                            <a:ext cx="3131"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EDC96" w14:textId="77777777" w:rsidR="00D56EAC" w:rsidRPr="002D542B" w:rsidRDefault="00D56EAC" w:rsidP="00A56EDD">
                              <w:pPr>
                                <w:pStyle w:val="NormalWeb"/>
                                <w:spacing w:before="0" w:beforeAutospacing="0" w:after="0" w:afterAutospacing="0"/>
                                <w:textAlignment w:val="baseline"/>
                                <w:rPr>
                                  <w:i/>
                                  <w:color w:val="808080" w:themeColor="background1" w:themeShade="80"/>
                                </w:rPr>
                              </w:pPr>
                              <w:r w:rsidRPr="002D542B">
                                <w:rPr>
                                  <w:rFonts w:ascii="Arial" w:hAnsi="Arial"/>
                                  <w:b/>
                                  <w:bCs/>
                                  <w:i/>
                                  <w:color w:val="808080" w:themeColor="background1" w:themeShade="80"/>
                                  <w:kern w:val="24"/>
                                  <w:lang w:val="en-GB"/>
                                </w:rPr>
                                <w:t>Legacies &amp; structural conditions</w:t>
                              </w:r>
                            </w:p>
                          </w:txbxContent>
                        </wps:txbx>
                        <wps:bodyPr/>
                      </wps:wsp>
                      <wps:wsp>
                        <wps:cNvPr id="30" name="Text Box 151"/>
                        <wps:cNvSpPr txBox="1">
                          <a:spLocks noChangeArrowheads="1"/>
                        </wps:cNvSpPr>
                        <wps:spPr bwMode="auto">
                          <a:xfrm>
                            <a:off x="308" y="2516"/>
                            <a:ext cx="530" cy="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52489" w14:textId="77777777" w:rsidR="00D56EAC" w:rsidRPr="00FB1F03" w:rsidRDefault="00D56EAC" w:rsidP="00A56EDD">
                              <w:pPr>
                                <w:pStyle w:val="NormalWeb"/>
                                <w:spacing w:before="0" w:beforeAutospacing="0" w:after="0" w:afterAutospacing="0"/>
                                <w:textAlignment w:val="baseline"/>
                                <w:rPr>
                                  <w:rFonts w:ascii="Arial" w:hAnsi="Arial" w:cs="Arial"/>
                                  <w:b/>
                                  <w:bCs/>
                                  <w:color w:val="000000" w:themeColor="text1"/>
                                  <w:kern w:val="24"/>
                                  <w:lang w:val="en-GB"/>
                                </w:rPr>
                              </w:pPr>
                              <w:r>
                                <w:rPr>
                                  <w:rFonts w:ascii="Arial" w:hAnsi="Arial" w:cs="Arial"/>
                                  <w:b/>
                                  <w:bCs/>
                                  <w:color w:val="000000" w:themeColor="text1"/>
                                  <w:kern w:val="24"/>
                                  <w:lang w:val="en-GB"/>
                                </w:rPr>
                                <w:t>Geography</w:t>
                              </w:r>
                            </w:p>
                            <w:p w14:paraId="63177F33" w14:textId="77777777" w:rsidR="00D56EAC" w:rsidRDefault="00D56EAC" w:rsidP="00A56EDD">
                              <w:pPr>
                                <w:pStyle w:val="NormalWeb"/>
                                <w:kinsoku w:val="0"/>
                                <w:overflowPunct w:val="0"/>
                                <w:spacing w:before="0" w:beforeAutospacing="0" w:after="0" w:afterAutospacing="0"/>
                                <w:textAlignment w:val="baseline"/>
                              </w:pPr>
                            </w:p>
                          </w:txbxContent>
                        </wps:txbx>
                        <wps:bodyPr vert="vert270"/>
                      </wps:wsp>
                      <wps:wsp>
                        <wps:cNvPr id="31" name="Text Box 150"/>
                        <wps:cNvSpPr txBox="1">
                          <a:spLocks noChangeArrowheads="1"/>
                        </wps:cNvSpPr>
                        <wps:spPr bwMode="auto">
                          <a:xfrm>
                            <a:off x="6418" y="2836"/>
                            <a:ext cx="780" cy="2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D025C" w14:textId="77777777" w:rsidR="00D56EAC" w:rsidRDefault="00D56EAC" w:rsidP="00A56EDD">
                              <w:pPr>
                                <w:pStyle w:val="NormalWeb"/>
                                <w:spacing w:before="0" w:beforeAutospacing="0" w:after="0" w:afterAutospacing="0"/>
                                <w:textAlignment w:val="baseline"/>
                              </w:pPr>
                              <w:r w:rsidRPr="00A572B7">
                                <w:rPr>
                                  <w:rFonts w:ascii="Arial" w:hAnsi="Arial" w:cs="Arial"/>
                                  <w:b/>
                                  <w:bCs/>
                                  <w:color w:val="000000" w:themeColor="text1"/>
                                  <w:kern w:val="24"/>
                                  <w:lang w:val="en-GB"/>
                                </w:rPr>
                                <w:t>N</w:t>
                              </w:r>
                              <w:r>
                                <w:rPr>
                                  <w:rFonts w:ascii="Arial" w:hAnsi="Arial" w:cs="Arial"/>
                                  <w:b/>
                                </w:rPr>
                                <w:t>a</w:t>
                              </w:r>
                              <w:r w:rsidRPr="00A572B7">
                                <w:rPr>
                                  <w:rFonts w:ascii="Arial" w:hAnsi="Arial" w:cs="Arial"/>
                                  <w:b/>
                                  <w:bCs/>
                                  <w:color w:val="000000" w:themeColor="text1"/>
                                  <w:kern w:val="24"/>
                                  <w:lang w:val="en-GB"/>
                                </w:rPr>
                                <w:t>tural</w:t>
                              </w:r>
                              <w:r>
                                <w:rPr>
                                  <w:rFonts w:ascii="Arial" w:hAnsi="Arial"/>
                                  <w:b/>
                                  <w:bCs/>
                                  <w:color w:val="000000" w:themeColor="text1"/>
                                  <w:kern w:val="24"/>
                                  <w:lang w:val="en-GB"/>
                                </w:rPr>
                                <w:t xml:space="preserve"> Resources</w:t>
                              </w:r>
                            </w:p>
                          </w:txbxContent>
                        </wps:txbx>
                        <wps:bodyPr vert="vert"/>
                      </wps:wsp>
                      <wps:wsp>
                        <wps:cNvPr id="32" name="Text Box 149"/>
                        <wps:cNvSpPr txBox="1">
                          <a:spLocks noChangeArrowheads="1"/>
                        </wps:cNvSpPr>
                        <wps:spPr bwMode="auto">
                          <a:xfrm>
                            <a:off x="4852" y="3476"/>
                            <a:ext cx="1044" cy="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8C649" w14:textId="77777777" w:rsidR="00D56EAC" w:rsidRPr="002D542B" w:rsidRDefault="00D56EAC" w:rsidP="00A56EDD">
                              <w:pPr>
                                <w:pStyle w:val="NormalWeb"/>
                                <w:spacing w:before="0" w:beforeAutospacing="0" w:after="0" w:afterAutospacing="0"/>
                                <w:textAlignment w:val="baseline"/>
                                <w:rPr>
                                  <w:i/>
                                  <w:sz w:val="22"/>
                                  <w:szCs w:val="22"/>
                                </w:rPr>
                              </w:pPr>
                              <w:r w:rsidRPr="002D542B">
                                <w:rPr>
                                  <w:rFonts w:ascii="Arial" w:hAnsi="Arial"/>
                                  <w:i/>
                                  <w:color w:val="595959" w:themeColor="text1" w:themeTint="A6"/>
                                  <w:kern w:val="24"/>
                                  <w:sz w:val="22"/>
                                  <w:szCs w:val="22"/>
                                  <w:lang w:val="en-GB"/>
                                </w:rPr>
                                <w:t>Outputs</w:t>
                              </w:r>
                              <w:r w:rsidRPr="002D542B">
                                <w:rPr>
                                  <w:rFonts w:ascii="Arial" w:hAnsi="Arial"/>
                                  <w:i/>
                                  <w:color w:val="000000" w:themeColor="text1"/>
                                  <w:kern w:val="24"/>
                                  <w:sz w:val="22"/>
                                  <w:szCs w:val="22"/>
                                  <w:lang w:val="en-GB"/>
                                </w:rPr>
                                <w:t xml:space="preserve">: </w:t>
                              </w:r>
                            </w:p>
                            <w:p w14:paraId="139BDA87" w14:textId="77777777" w:rsidR="00D56EAC" w:rsidRDefault="00D56EAC" w:rsidP="00A56EDD">
                              <w:pPr>
                                <w:pStyle w:val="NormalWeb"/>
                                <w:kinsoku w:val="0"/>
                                <w:overflowPunct w:val="0"/>
                                <w:spacing w:before="0" w:beforeAutospacing="0" w:after="0" w:afterAutospacing="0"/>
                                <w:textAlignment w:val="baseline"/>
                                <w:rPr>
                                  <w:rFonts w:ascii="Arial" w:hAnsi="Arial"/>
                                  <w:color w:val="000000" w:themeColor="text1"/>
                                  <w:kern w:val="24"/>
                                  <w:sz w:val="22"/>
                                  <w:szCs w:val="22"/>
                                  <w:lang w:val="en-GB"/>
                                </w:rPr>
                              </w:pPr>
                            </w:p>
                            <w:p w14:paraId="5D1B381F" w14:textId="77777777" w:rsidR="00D56EAC" w:rsidRPr="00FB1F03" w:rsidRDefault="00D56EAC" w:rsidP="00A56EDD">
                              <w:pPr>
                                <w:pStyle w:val="NormalWeb"/>
                                <w:kinsoku w:val="0"/>
                                <w:overflowPunct w:val="0"/>
                                <w:spacing w:before="0" w:beforeAutospacing="0" w:after="0" w:afterAutospacing="0"/>
                                <w:textAlignment w:val="baseline"/>
                                <w:rPr>
                                  <w:sz w:val="22"/>
                                  <w:szCs w:val="22"/>
                                </w:rPr>
                              </w:pPr>
                              <w:r>
                                <w:rPr>
                                  <w:rFonts w:ascii="Arial" w:hAnsi="Arial"/>
                                  <w:color w:val="000000" w:themeColor="text1"/>
                                  <w:kern w:val="24"/>
                                  <w:sz w:val="22"/>
                                  <w:szCs w:val="22"/>
                                  <w:lang w:val="en-GB"/>
                                </w:rPr>
                                <w:t>S</w:t>
                              </w:r>
                              <w:r w:rsidRPr="00FB1F03">
                                <w:rPr>
                                  <w:rFonts w:ascii="Arial" w:hAnsi="Arial"/>
                                  <w:color w:val="000000" w:themeColor="text1"/>
                                  <w:kern w:val="24"/>
                                  <w:sz w:val="22"/>
                                  <w:szCs w:val="22"/>
                                  <w:lang w:val="en-GB"/>
                                </w:rPr>
                                <w:t>ervices</w:t>
                              </w:r>
                            </w:p>
                          </w:txbxContent>
                        </wps:txbx>
                        <wps:bodyPr/>
                      </wps:wsp>
                      <wps:wsp>
                        <wps:cNvPr id="34" name="Freeform 34"/>
                        <wps:cNvSpPr>
                          <a:spLocks/>
                        </wps:cNvSpPr>
                        <wps:spPr bwMode="auto">
                          <a:xfrm rot="1294996">
                            <a:off x="5166" y="4320"/>
                            <a:ext cx="888" cy="480"/>
                          </a:xfrm>
                          <a:custGeom>
                            <a:avLst/>
                            <a:gdLst>
                              <a:gd name="T0" fmla="*/ 0 w 1022"/>
                              <a:gd name="T1" fmla="*/ 527 h 583"/>
                              <a:gd name="T2" fmla="*/ 481 w 1022"/>
                              <a:gd name="T3" fmla="*/ 555 h 583"/>
                              <a:gd name="T4" fmla="*/ 856 w 1022"/>
                              <a:gd name="T5" fmla="*/ 360 h 583"/>
                              <a:gd name="T6" fmla="*/ 1022 w 1022"/>
                              <a:gd name="T7" fmla="*/ 0 h 583"/>
                            </a:gdLst>
                            <a:ahLst/>
                            <a:cxnLst>
                              <a:cxn ang="0">
                                <a:pos x="T0" y="T1"/>
                              </a:cxn>
                              <a:cxn ang="0">
                                <a:pos x="T2" y="T3"/>
                              </a:cxn>
                              <a:cxn ang="0">
                                <a:pos x="T4" y="T5"/>
                              </a:cxn>
                              <a:cxn ang="0">
                                <a:pos x="T6" y="T7"/>
                              </a:cxn>
                            </a:cxnLst>
                            <a:rect l="0" t="0" r="r" b="b"/>
                            <a:pathLst>
                              <a:path w="1022" h="583">
                                <a:moveTo>
                                  <a:pt x="0" y="527"/>
                                </a:moveTo>
                                <a:cubicBezTo>
                                  <a:pt x="80" y="532"/>
                                  <a:pt x="338" y="583"/>
                                  <a:pt x="481" y="555"/>
                                </a:cubicBezTo>
                                <a:cubicBezTo>
                                  <a:pt x="624" y="527"/>
                                  <a:pt x="766" y="452"/>
                                  <a:pt x="856" y="360"/>
                                </a:cubicBezTo>
                                <a:cubicBezTo>
                                  <a:pt x="946" y="268"/>
                                  <a:pt x="988" y="75"/>
                                  <a:pt x="1022" y="0"/>
                                </a:cubicBezTo>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txbx>
                          <w:txbxContent>
                            <w:p w14:paraId="040291DD" w14:textId="77777777" w:rsidR="00D56EAC" w:rsidRDefault="00D56EAC" w:rsidP="00A56EDD">
                              <w:pPr>
                                <w:rPr>
                                  <w:rFonts w:eastAsia="Times New Roman"/>
                                </w:rPr>
                              </w:pPr>
                            </w:p>
                          </w:txbxContent>
                        </wps:txbx>
                        <wps:bodyPr/>
                      </wps:wsp>
                      <wps:wsp>
                        <wps:cNvPr id="35" name="Text Box 147"/>
                        <wps:cNvSpPr txBox="1">
                          <a:spLocks noChangeArrowheads="1"/>
                        </wps:cNvSpPr>
                        <wps:spPr bwMode="auto">
                          <a:xfrm>
                            <a:off x="3131" y="5385"/>
                            <a:ext cx="941"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85F85" w14:textId="77777777" w:rsidR="00D56EAC" w:rsidRPr="00FB1F03" w:rsidRDefault="00D56EAC" w:rsidP="00A56EDD">
                              <w:pPr>
                                <w:pStyle w:val="NormalWeb"/>
                                <w:spacing w:before="0" w:beforeAutospacing="0" w:after="0" w:afterAutospacing="0"/>
                                <w:textAlignment w:val="baseline"/>
                                <w:rPr>
                                  <w:sz w:val="22"/>
                                </w:rPr>
                              </w:pPr>
                              <w:r w:rsidRPr="00FB1F03">
                                <w:rPr>
                                  <w:rFonts w:ascii="Arial" w:hAnsi="Arial"/>
                                  <w:color w:val="000000" w:themeColor="text1"/>
                                  <w:kern w:val="24"/>
                                  <w:sz w:val="22"/>
                                  <w:lang w:val="en-GB"/>
                                </w:rPr>
                                <w:t>Justice</w:t>
                              </w:r>
                            </w:p>
                          </w:txbxContent>
                        </wps:txbx>
                        <wps:bodyPr/>
                      </wps:wsp>
                      <wps:wsp>
                        <wps:cNvPr id="36" name="Text Box 146"/>
                        <wps:cNvSpPr txBox="1">
                          <a:spLocks noChangeArrowheads="1"/>
                        </wps:cNvSpPr>
                        <wps:spPr bwMode="auto">
                          <a:xfrm>
                            <a:off x="3971" y="4960"/>
                            <a:ext cx="1408"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C75A2" w14:textId="77777777" w:rsidR="00D56EAC" w:rsidRPr="00FB1F03" w:rsidRDefault="00D56EAC" w:rsidP="00A56EDD">
                              <w:pPr>
                                <w:pStyle w:val="NormalWeb"/>
                                <w:spacing w:before="0" w:beforeAutospacing="0" w:after="0" w:afterAutospacing="0"/>
                                <w:textAlignment w:val="baseline"/>
                                <w:rPr>
                                  <w:sz w:val="22"/>
                                </w:rPr>
                              </w:pPr>
                              <w:r w:rsidRPr="00FB1F03">
                                <w:rPr>
                                  <w:rFonts w:ascii="Arial" w:hAnsi="Arial"/>
                                  <w:color w:val="000000" w:themeColor="text1"/>
                                  <w:kern w:val="24"/>
                                  <w:sz w:val="22"/>
                                  <w:lang w:val="en-GB"/>
                                </w:rPr>
                                <w:t>E</w:t>
                              </w:r>
                              <w:r>
                                <w:rPr>
                                  <w:rFonts w:ascii="Arial" w:hAnsi="Arial"/>
                                  <w:color w:val="000000" w:themeColor="text1"/>
                                  <w:kern w:val="24"/>
                                  <w:sz w:val="22"/>
                                  <w:lang w:val="en-GB"/>
                                </w:rPr>
                                <w:t xml:space="preserve">conomic </w:t>
                              </w:r>
                              <w:r w:rsidRPr="00FB1F03">
                                <w:rPr>
                                  <w:rFonts w:ascii="Arial" w:hAnsi="Arial"/>
                                  <w:color w:val="000000" w:themeColor="text1"/>
                                  <w:kern w:val="24"/>
                                  <w:sz w:val="22"/>
                                  <w:lang w:val="en-GB"/>
                                </w:rPr>
                                <w:t>management</w:t>
                              </w:r>
                            </w:p>
                          </w:txbxContent>
                        </wps:txbx>
                        <wps:bodyPr/>
                      </wps:wsp>
                      <wps:wsp>
                        <wps:cNvPr id="37" name="AutoShape 145"/>
                        <wps:cNvSpPr>
                          <a:spLocks noChangeArrowheads="1"/>
                        </wps:cNvSpPr>
                        <wps:spPr bwMode="auto">
                          <a:xfrm rot="14536033">
                            <a:off x="5478" y="978"/>
                            <a:ext cx="1441" cy="3006"/>
                          </a:xfrm>
                          <a:prstGeom prst="triangle">
                            <a:avLst>
                              <a:gd name="adj" fmla="val 50000"/>
                            </a:avLst>
                          </a:prstGeom>
                          <a:noFill/>
                          <a:ln w="9525">
                            <a:solidFill>
                              <a:srgbClr val="000000"/>
                            </a:solidFill>
                            <a:miter lim="800000"/>
                            <a:headEnd/>
                            <a:tailEnd/>
                          </a:ln>
                        </wps:spPr>
                        <wps:txbx>
                          <w:txbxContent>
                            <w:p w14:paraId="4B697EE0" w14:textId="77777777" w:rsidR="00D56EAC" w:rsidRDefault="00D56EAC" w:rsidP="00A56EDD">
                              <w:pPr>
                                <w:rPr>
                                  <w:rFonts w:eastAsia="Times New Roman"/>
                                </w:rPr>
                              </w:pPr>
                            </w:p>
                          </w:txbxContent>
                        </wps:txbx>
                        <wps:bodyPr/>
                      </wps:wsp>
                      <wps:wsp>
                        <wps:cNvPr id="38" name="AutoShape 144"/>
                        <wps:cNvSpPr>
                          <a:spLocks noChangeArrowheads="1"/>
                        </wps:cNvSpPr>
                        <wps:spPr bwMode="auto">
                          <a:xfrm rot="8328684">
                            <a:off x="1393" y="364"/>
                            <a:ext cx="1352" cy="3770"/>
                          </a:xfrm>
                          <a:prstGeom prst="triangle">
                            <a:avLst>
                              <a:gd name="adj" fmla="val 50000"/>
                            </a:avLst>
                          </a:prstGeom>
                          <a:noFill/>
                          <a:ln w="9525">
                            <a:solidFill>
                              <a:srgbClr val="000000"/>
                            </a:solidFill>
                            <a:miter lim="800000"/>
                            <a:headEnd/>
                            <a:tailEnd/>
                          </a:ln>
                        </wps:spPr>
                        <wps:txbx>
                          <w:txbxContent>
                            <w:p w14:paraId="777D2A5C" w14:textId="77777777" w:rsidR="00D56EAC" w:rsidRDefault="00D56EAC" w:rsidP="00A56EDD">
                              <w:pPr>
                                <w:rPr>
                                  <w:rFonts w:eastAsia="Times New Roman"/>
                                </w:rPr>
                              </w:pPr>
                            </w:p>
                          </w:txbxContent>
                        </wps:txbx>
                        <wps:bodyPr/>
                      </wps:wsp>
                      <wps:wsp>
                        <wps:cNvPr id="39" name="Text Box 143"/>
                        <wps:cNvSpPr txBox="1">
                          <a:spLocks noChangeArrowheads="1"/>
                        </wps:cNvSpPr>
                        <wps:spPr bwMode="auto">
                          <a:xfrm>
                            <a:off x="470" y="1236"/>
                            <a:ext cx="1564"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5F441" w14:textId="77777777" w:rsidR="00D56EAC" w:rsidRDefault="00D56EAC" w:rsidP="00A56EDD">
                              <w:pPr>
                                <w:rPr>
                                  <w:rFonts w:eastAsia="Times New Roman"/>
                                </w:rPr>
                              </w:pPr>
                            </w:p>
                          </w:txbxContent>
                        </wps:txbx>
                        <wps:bodyPr/>
                      </wps:wsp>
                      <wps:wsp>
                        <wps:cNvPr id="40" name="Text Box 142"/>
                        <wps:cNvSpPr txBox="1">
                          <a:spLocks noChangeArrowheads="1"/>
                        </wps:cNvSpPr>
                        <wps:spPr bwMode="auto">
                          <a:xfrm rot="2879701">
                            <a:off x="661" y="898"/>
                            <a:ext cx="1502" cy="1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F9EE1" w14:textId="77777777" w:rsidR="00D56EAC" w:rsidRPr="00943813" w:rsidRDefault="00D56EAC" w:rsidP="00A56EDD">
                              <w:pPr>
                                <w:pStyle w:val="NormalWeb"/>
                                <w:spacing w:before="0" w:beforeAutospacing="0" w:after="0" w:afterAutospacing="0"/>
                                <w:textAlignment w:val="baseline"/>
                                <w:rPr>
                                  <w:sz w:val="22"/>
                                  <w:szCs w:val="22"/>
                                </w:rPr>
                              </w:pPr>
                              <w:r w:rsidRPr="00943813">
                                <w:rPr>
                                  <w:rFonts w:ascii="Arial" w:hAnsi="Arial"/>
                                  <w:color w:val="000000" w:themeColor="text1"/>
                                  <w:kern w:val="24"/>
                                  <w:sz w:val="22"/>
                                  <w:szCs w:val="22"/>
                                  <w:lang w:val="en-GB"/>
                                </w:rPr>
                                <w:t>Int’l engagement in peace settlement</w:t>
                              </w:r>
                            </w:p>
                          </w:txbxContent>
                        </wps:txbx>
                        <wps:bodyPr/>
                      </wps:wsp>
                      <wps:wsp>
                        <wps:cNvPr id="41" name="Text Box 141"/>
                        <wps:cNvSpPr txBox="1">
                          <a:spLocks noChangeArrowheads="1"/>
                        </wps:cNvSpPr>
                        <wps:spPr bwMode="auto">
                          <a:xfrm rot="733933">
                            <a:off x="5792" y="5600"/>
                            <a:ext cx="1565"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D415E" w14:textId="77777777" w:rsidR="00D56EAC" w:rsidRPr="00943813" w:rsidRDefault="00D56EAC" w:rsidP="00A56EDD">
                              <w:pPr>
                                <w:pStyle w:val="NormalWeb"/>
                                <w:spacing w:before="0" w:beforeAutospacing="0" w:after="0" w:afterAutospacing="0"/>
                                <w:textAlignment w:val="baseline"/>
                                <w:rPr>
                                  <w:sz w:val="22"/>
                                </w:rPr>
                              </w:pPr>
                              <w:r w:rsidRPr="00943813">
                                <w:rPr>
                                  <w:rFonts w:ascii="Arial" w:hAnsi="Arial"/>
                                  <w:color w:val="000000" w:themeColor="text1"/>
                                  <w:kern w:val="24"/>
                                  <w:sz w:val="22"/>
                                  <w:lang w:val="en-GB"/>
                                </w:rPr>
                                <w:t>Humanitarian assistance</w:t>
                              </w:r>
                            </w:p>
                          </w:txbxContent>
                        </wps:txbx>
                        <wps:bodyPr/>
                      </wps:wsp>
                      <wps:wsp>
                        <wps:cNvPr id="42" name="Text Box 140"/>
                        <wps:cNvSpPr txBox="1">
                          <a:spLocks noChangeArrowheads="1"/>
                        </wps:cNvSpPr>
                        <wps:spPr bwMode="auto">
                          <a:xfrm rot="17880837">
                            <a:off x="4559" y="468"/>
                            <a:ext cx="1503" cy="1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D9CD0" w14:textId="77777777" w:rsidR="00D56EAC" w:rsidRPr="00943813" w:rsidRDefault="00D56EAC" w:rsidP="00A56EDD">
                              <w:pPr>
                                <w:pStyle w:val="NormalWeb"/>
                                <w:spacing w:before="0" w:beforeAutospacing="0" w:after="0" w:afterAutospacing="0"/>
                                <w:textAlignment w:val="baseline"/>
                                <w:rPr>
                                  <w:sz w:val="22"/>
                                  <w:szCs w:val="22"/>
                                </w:rPr>
                              </w:pPr>
                              <w:r w:rsidRPr="00943813">
                                <w:rPr>
                                  <w:rFonts w:ascii="Arial" w:hAnsi="Arial"/>
                                  <w:color w:val="000000" w:themeColor="text1"/>
                                  <w:kern w:val="24"/>
                                  <w:sz w:val="22"/>
                                  <w:szCs w:val="22"/>
                                  <w:lang w:val="en-GB"/>
                                </w:rPr>
                                <w:t>Dev</w:t>
                              </w:r>
                              <w:r>
                                <w:rPr>
                                  <w:rFonts w:ascii="Arial" w:hAnsi="Arial"/>
                                  <w:color w:val="000000" w:themeColor="text1"/>
                                  <w:kern w:val="24"/>
                                  <w:sz w:val="22"/>
                                  <w:szCs w:val="22"/>
                                  <w:lang w:val="en-GB"/>
                                </w:rPr>
                                <w:t>elopment</w:t>
                              </w:r>
                              <w:r w:rsidRPr="00943813">
                                <w:rPr>
                                  <w:rFonts w:ascii="Arial" w:hAnsi="Arial"/>
                                  <w:color w:val="000000" w:themeColor="text1"/>
                                  <w:kern w:val="24"/>
                                  <w:sz w:val="22"/>
                                  <w:szCs w:val="22"/>
                                  <w:lang w:val="en-GB"/>
                                </w:rPr>
                                <w:t xml:space="preserve"> ass</w:t>
                              </w:r>
                              <w:r>
                                <w:rPr>
                                  <w:rFonts w:ascii="Arial" w:hAnsi="Arial"/>
                                  <w:color w:val="000000" w:themeColor="text1"/>
                                  <w:kern w:val="24"/>
                                  <w:sz w:val="22"/>
                                  <w:szCs w:val="22"/>
                                  <w:lang w:val="en-GB"/>
                                </w:rPr>
                                <w:t>istance for public sector</w:t>
                              </w:r>
                              <w:r w:rsidRPr="00943813">
                                <w:rPr>
                                  <w:rFonts w:ascii="Arial" w:hAnsi="Arial"/>
                                  <w:color w:val="000000" w:themeColor="text1"/>
                                  <w:kern w:val="24"/>
                                  <w:sz w:val="22"/>
                                  <w:szCs w:val="22"/>
                                  <w:lang w:val="en-GB"/>
                                </w:rPr>
                                <w:t xml:space="preserve"> governance</w:t>
                              </w:r>
                            </w:p>
                            <w:p w14:paraId="7205A7E2" w14:textId="77777777" w:rsidR="00D56EAC" w:rsidRDefault="00D56EAC" w:rsidP="00A56EDD"/>
                          </w:txbxContent>
                        </wps:txbx>
                        <wps:bodyPr/>
                      </wps:wsp>
                      <wps:wsp>
                        <wps:cNvPr id="43" name="Text Box 139"/>
                        <wps:cNvSpPr txBox="1">
                          <a:spLocks noChangeArrowheads="1"/>
                        </wps:cNvSpPr>
                        <wps:spPr bwMode="auto">
                          <a:xfrm rot="19913532">
                            <a:off x="6147" y="1620"/>
                            <a:ext cx="1577"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059B5" w14:textId="77777777" w:rsidR="00D56EAC" w:rsidRPr="00943813" w:rsidRDefault="00D56EAC" w:rsidP="00A56EDD">
                              <w:pPr>
                                <w:pStyle w:val="NormalWeb"/>
                                <w:spacing w:before="0" w:beforeAutospacing="0" w:after="0" w:afterAutospacing="0"/>
                                <w:textAlignment w:val="baseline"/>
                                <w:rPr>
                                  <w:sz w:val="22"/>
                                  <w:szCs w:val="22"/>
                                </w:rPr>
                              </w:pPr>
                              <w:r w:rsidRPr="00943813">
                                <w:rPr>
                                  <w:rFonts w:ascii="Arial" w:hAnsi="Arial"/>
                                  <w:color w:val="000000" w:themeColor="text1"/>
                                  <w:kern w:val="24"/>
                                  <w:sz w:val="22"/>
                                  <w:szCs w:val="22"/>
                                  <w:lang w:val="en-GB"/>
                                </w:rPr>
                                <w:t>Development assistance for service delivery</w:t>
                              </w:r>
                            </w:p>
                          </w:txbxContent>
                        </wps:txbx>
                        <wps:bodyPr/>
                      </wps:wsp>
                      <wps:wsp>
                        <wps:cNvPr id="44" name="Text Box 138"/>
                        <wps:cNvSpPr txBox="1">
                          <a:spLocks noChangeArrowheads="1"/>
                        </wps:cNvSpPr>
                        <wps:spPr bwMode="auto">
                          <a:xfrm>
                            <a:off x="2818" y="6720"/>
                            <a:ext cx="2035"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626D1" w14:textId="77777777" w:rsidR="00D56EAC" w:rsidRDefault="00D56EAC" w:rsidP="00A56EDD">
                              <w:pPr>
                                <w:pStyle w:val="NormalWeb"/>
                                <w:spacing w:before="0" w:beforeAutospacing="0" w:after="0" w:afterAutospacing="0"/>
                                <w:textAlignment w:val="baseline"/>
                              </w:pPr>
                              <w:r>
                                <w:rPr>
                                  <w:rFonts w:ascii="Arial" w:hAnsi="Arial"/>
                                  <w:b/>
                                  <w:bCs/>
                                  <w:color w:val="000000" w:themeColor="text1"/>
                                  <w:kern w:val="24"/>
                                  <w:lang w:val="en-GB"/>
                                </w:rPr>
                                <w:t>Climate Change</w:t>
                              </w:r>
                            </w:p>
                          </w:txbxContent>
                        </wps:txbx>
                        <wps:bodyPr/>
                      </wps:wsp>
                    </wpg:wgp>
                  </a:graphicData>
                </a:graphic>
                <wp14:sizeRelV relativeFrom="margin">
                  <wp14:pctHeight>0</wp14:pctHeight>
                </wp14:sizeRelV>
              </wp:anchor>
            </w:drawing>
          </mc:Choice>
          <mc:Fallback>
            <w:pict>
              <v:group w14:anchorId="68608274" id="Group 137" o:spid="_x0000_s1089" style="position:absolute;margin-left:0;margin-top:13pt;width:480.25pt;height:430.3pt;z-index:251665408;mso-position-horizontal:left;mso-position-horizontal-relative:margin;mso-height-relative:margin" coordorigin="-16,-189" coordsize="7859,7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">
                <v:rect id="AutoShape 171" o:spid="_x0000_s1090" style="position:absolute;left:-16;top:-189;width:7859;height:6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o:lock v:ext="edit" aspectratio="t" text="t"/>
                  <v:textbox>
                    <w:txbxContent>
                      <w:p w14:paraId="6165F268" w14:textId="77777777" w:rsidR="00D56EAC" w:rsidRDefault="00D56EAC" w:rsidP="00A56EDD">
                        <w:pPr>
                          <w:rPr>
                            <w:rFonts w:eastAsia="Times New Roman"/>
                          </w:rPr>
                        </w:pPr>
                      </w:p>
                    </w:txbxContent>
                  </v:textbox>
                </v:rect>
                <v:oval id="Oval 11" o:spid="_x0000_s1091" style="position:absolute;left:157;top:436;width:7200;height:6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7+MEA&#10;AADbAAAADwAAAGRycy9kb3ducmV2LnhtbERPS4vCMBC+C/sfwizsTdMKinaNIquCBwUfe/A4NGNT&#10;tpmUJmr77zeC4G0+vufMFq2txJ0aXzpWkA4SEMS50yUXCn7Pm/4EhA/IGivHpKAjD4v5R2+GmXYP&#10;PtL9FAoRQ9hnqMCEUGdS+tyQRT9wNXHkrq6xGCJsCqkbfMRwW8lhkoylxZJjg8Gafgzlf6ebVXDZ&#10;TdNzl9vL1QxXaxptl6N9d1Dq67NdfoMI1Ia3+OXe6jg/hecv8Q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1O/jBAAAA2wAAAA8AAAAAAAAAAAAAAAAAmAIAAGRycy9kb3du&#10;cmV2LnhtbFBLBQYAAAAABAAEAPUAAACGAwAAAAA=&#10;" fillcolor="silver">
                  <v:fill opacity="30840f"/>
                  <v:textbox>
                    <w:txbxContent>
                      <w:p w14:paraId="791DA99E" w14:textId="77777777" w:rsidR="00D56EAC" w:rsidRDefault="00D56EAC" w:rsidP="00A56EDD">
                        <w:pPr>
                          <w:rPr>
                            <w:rFonts w:eastAsia="Times New Roman"/>
                          </w:rPr>
                        </w:pPr>
                      </w:p>
                    </w:txbxContent>
                  </v:textbox>
                </v:oval>
                <v:oval id="Oval 12" o:spid="_x0000_s1092" style="position:absolute;left:940;top:1396;width:5478;height:5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YPr4A&#10;AADbAAAADwAAAGRycy9kb3ducmV2LnhtbERPTYvCMBC9C/6HMAveNF0FkWoqiyAInqwrXsdmtilt&#10;JqWJbf33mwVhb/N4n7Pbj7YRPXW+cqzgc5GAIC6crrhU8H09zjcgfEDW2DgmBS/ysM+mkx2m2g18&#10;oT4PpYgh7FNUYEJoUyl9YciiX7iWOHI/rrMYIuxKqTscYrht5DJJ1tJixbHBYEsHQ0WdP62C5Dxc&#10;ho2hQ5vfwviw9Yp7vis1+xi/tiACjeFf/HafdJy/hL9f4gEy+w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w1mD6+AAAA2wAAAA8AAAAAAAAAAAAAAAAAmAIAAGRycy9kb3ducmV2&#10;LnhtbFBLBQYAAAAABAAEAPUAAACDAwAAAAA=&#10;" fillcolor="#007025">
                  <v:fill opacity="18247f"/>
                  <v:textbox>
                    <w:txbxContent>
                      <w:p w14:paraId="7E55EE23" w14:textId="77777777" w:rsidR="00D56EAC" w:rsidRDefault="00D56EAC" w:rsidP="00A56EDD">
                        <w:pPr>
                          <w:rPr>
                            <w:rFonts w:eastAsia="Times New Roman"/>
                          </w:rPr>
                        </w:pPr>
                      </w:p>
                    </w:txbxContent>
                  </v:textbox>
                </v:oval>
                <v:oval id="Oval 13" o:spid="_x0000_s1093" style="position:absolute;left:1566;top:2196;width:4226;height:3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uZNsIA&#10;AADbAAAADwAAAGRycy9kb3ducmV2LnhtbERP22rCQBB9F/oPywi+mY0KQVJXKcUWW5XQ1A8Ys9Mk&#10;NDubZlcT/75bEPo2h3Od1WYwjbhS52rLCmZRDIK4sLrmUsHp82W6BOE8ssbGMim4kYPN+mG0wlTb&#10;nj/omvtShBB2KSqovG9TKV1RkUEX2ZY4cF+2M+gD7EqpO+xDuGnkPI4TabDm0FBhS88VFd/5xSh4&#10;z7VM7I/OXt+Gw3Erj/t5tj0rNRkPT48gPA3+X3x373SYv4C/X8I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25k2wgAAANsAAAAPAAAAAAAAAAAAAAAAAJgCAABkcnMvZG93&#10;bnJldi54bWxQSwUGAAAAAAQABAD1AAAAhwMAAAAA&#10;" fillcolor="#fdba13">
                  <v:textbox>
                    <w:txbxContent>
                      <w:p w14:paraId="59832C02" w14:textId="77777777" w:rsidR="00D56EAC" w:rsidRDefault="00D56EAC" w:rsidP="00A56EDD">
                        <w:pPr>
                          <w:rPr>
                            <w:rFonts w:eastAsia="Times New Roman"/>
                          </w:rPr>
                        </w:pPr>
                      </w:p>
                    </w:txbxContent>
                  </v:textbox>
                </v:oval>
                <v:oval id="Oval 14" o:spid="_x0000_s1094" style="position:absolute;left:2348;top:2676;width:2504;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pGacIA&#10;AADbAAAADwAAAGRycy9kb3ducmV2LnhtbERP22oCMRB9F/yHMAVfima1UurWKF4oCEVLtR8wJNPd&#10;xc1k2Ux1+/emUPBtDuc682Xna3WhNlaBDYxHGShiG1zFhYGv09vwBVQUZId1YDLwSxGWi35vjrkL&#10;V/6ky1EKlUI45migFGlyraMtyWMchYY4cd+h9SgJtoV2LV5TuK/1JMuetceKU0OJDW1Ksufjjzfw&#10;Yd8f12uRwxSftry359Oss1tjBg/d6hWUUCd38b9759L8Kfz9kg7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akZpwgAAANsAAAAPAAAAAAAAAAAAAAAAAJgCAABkcnMvZG93&#10;bnJldi54bWxQSwUGAAAAAAQABAD1AAAAhwMAAAAA&#10;" fillcolor="#ff6565">
                  <v:fill opacity="50372f"/>
                  <v:textbox>
                    <w:txbxContent>
                      <w:p w14:paraId="58D2A625" w14:textId="77777777" w:rsidR="00D56EAC" w:rsidRDefault="00D56EAC" w:rsidP="00A56EDD">
                        <w:pPr>
                          <w:rPr>
                            <w:rFonts w:eastAsia="Times New Roman"/>
                          </w:rPr>
                        </w:pPr>
                      </w:p>
                    </w:txbxContent>
                  </v:textbox>
                </v:oval>
                <v:oval id="Oval 15" o:spid="_x0000_s1095" style="position:absolute;left:2818;top:3316;width:1565;height:1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N+zsEA&#10;AADbAAAADwAAAGRycy9kb3ducmV2LnhtbERPS4vCMBC+L/gfwgheljVdUXG7RhFhRQ8efBw8Ds1s&#10;W2wmJYlt/fdGELzNx/ec+bIzlWjI+dKygu9hAoI4s7rkXMH59Pc1A+EDssbKMim4k4flovcxx1Tb&#10;lg/UHEMuYgj7FBUUIdSplD4ryKAf2po4cv/WGQwRulxqh20MN5UcJclUGiw5NhRY07qg7Hq8GQXN&#10;Pps1t89tfRm3eFlLZ/Kf3UapQb9b/YII1IW3+OXe6jh/As9f4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jfs7BAAAA2wAAAA8AAAAAAAAAAAAAAAAAmAIAAGRycy9kb3du&#10;cmV2LnhtbFBLBQYAAAAABAAEAPUAAACGAwAAAAA=&#10;" fillcolor="#fe0000">
                  <v:fill opacity="56283f"/>
                  <v:textbox>
                    <w:txbxContent>
                      <w:p w14:paraId="491832EC" w14:textId="77777777" w:rsidR="00D56EAC" w:rsidRDefault="00D56EAC" w:rsidP="00A56EDD">
                        <w:pPr>
                          <w:rPr>
                            <w:rFonts w:eastAsia="Times New Roman"/>
                          </w:rPr>
                        </w:pPr>
                      </w:p>
                    </w:txbxContent>
                  </v:textbox>
                </v:oval>
                <v:shape id="Text Box 165" o:spid="_x0000_s1096" type="#_x0000_t202" style="position:absolute;left:3027;top:3500;width:1253;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316F84F3" w14:textId="77777777" w:rsidR="00D56EAC" w:rsidRPr="002D542B" w:rsidRDefault="00D56EAC" w:rsidP="00A56EDD">
                        <w:pPr>
                          <w:pStyle w:val="NormalWeb"/>
                          <w:spacing w:before="0" w:beforeAutospacing="0" w:after="0" w:afterAutospacing="0"/>
                          <w:textAlignment w:val="baseline"/>
                          <w:rPr>
                            <w:sz w:val="22"/>
                          </w:rPr>
                        </w:pPr>
                        <w:r w:rsidRPr="002D542B">
                          <w:rPr>
                            <w:rFonts w:ascii="Arial" w:hAnsi="Arial"/>
                            <w:color w:val="000000" w:themeColor="text1"/>
                            <w:kern w:val="24"/>
                            <w:sz w:val="22"/>
                            <w:lang w:val="en-GB"/>
                          </w:rPr>
                          <w:t>Political settlement/</w:t>
                        </w:r>
                      </w:p>
                      <w:p w14:paraId="1E4C1EDE" w14:textId="77777777" w:rsidR="00D56EAC" w:rsidRPr="002D542B" w:rsidRDefault="00D56EAC" w:rsidP="00A56EDD">
                        <w:pPr>
                          <w:pStyle w:val="NormalWeb"/>
                          <w:spacing w:before="0" w:beforeAutospacing="0" w:after="0" w:afterAutospacing="0"/>
                          <w:textAlignment w:val="baseline"/>
                          <w:rPr>
                            <w:sz w:val="22"/>
                          </w:rPr>
                        </w:pPr>
                        <w:r w:rsidRPr="002D542B">
                          <w:rPr>
                            <w:rFonts w:ascii="Arial" w:hAnsi="Arial"/>
                            <w:color w:val="000000" w:themeColor="text1"/>
                            <w:kern w:val="24"/>
                            <w:sz w:val="22"/>
                            <w:lang w:val="en-GB"/>
                          </w:rPr>
                          <w:t>government</w:t>
                        </w:r>
                      </w:p>
                    </w:txbxContent>
                  </v:textbox>
                </v:shape>
                <v:shape id="Text Box 164" o:spid="_x0000_s1097" type="#_x0000_t202" style="position:absolute;left:2974;top:2676;width:2035;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2ECB5D47" w14:textId="77777777" w:rsidR="00D56EAC" w:rsidRDefault="00D56EAC" w:rsidP="00A56EDD">
                        <w:pPr>
                          <w:pStyle w:val="NormalWeb"/>
                          <w:spacing w:before="0" w:beforeAutospacing="0" w:after="0" w:afterAutospacing="0"/>
                          <w:textAlignment w:val="baseline"/>
                        </w:pPr>
                        <w:r>
                          <w:rPr>
                            <w:rFonts w:ascii="Arial" w:hAnsi="Arial"/>
                            <w:color w:val="000000" w:themeColor="text1"/>
                            <w:kern w:val="24"/>
                            <w:lang w:val="en-GB"/>
                          </w:rPr>
                          <w:t>Public administration</w:t>
                        </w:r>
                      </w:p>
                    </w:txbxContent>
                  </v:textbox>
                </v:shape>
                <v:shape id="Text Box 163" o:spid="_x0000_s1098" type="#_x0000_t202" style="position:absolute;left:3131;top:4596;width:1722;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14:paraId="3026ADD7" w14:textId="77777777" w:rsidR="00D56EAC" w:rsidRDefault="00D56EAC" w:rsidP="00A56EDD">
                        <w:pPr>
                          <w:pStyle w:val="NormalWeb"/>
                          <w:spacing w:before="0" w:beforeAutospacing="0" w:after="0" w:afterAutospacing="0"/>
                          <w:textAlignment w:val="baseline"/>
                        </w:pPr>
                        <w:r>
                          <w:rPr>
                            <w:rFonts w:ascii="Arial" w:hAnsi="Arial"/>
                            <w:color w:val="000000" w:themeColor="text1"/>
                            <w:kern w:val="24"/>
                            <w:lang w:val="en-GB"/>
                          </w:rPr>
                          <w:t>Security</w:t>
                        </w:r>
                      </w:p>
                    </w:txbxContent>
                  </v:textbox>
                </v:shape>
                <v:shape id="Text Box 162" o:spid="_x0000_s1099" type="#_x0000_t202" style="position:absolute;left:939;top:3476;width:1097;height:1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1821EF20" w14:textId="77777777" w:rsidR="00D56EAC" w:rsidRDefault="00D56EAC" w:rsidP="00A56EDD">
                        <w:pPr>
                          <w:pStyle w:val="NormalWeb"/>
                          <w:spacing w:before="0" w:beforeAutospacing="0" w:after="0" w:afterAutospacing="0"/>
                          <w:textAlignment w:val="baseline"/>
                        </w:pPr>
                        <w:r>
                          <w:rPr>
                            <w:rFonts w:ascii="Arial" w:hAnsi="Arial"/>
                            <w:color w:val="000000" w:themeColor="text1"/>
                            <w:kern w:val="24"/>
                            <w:lang w:val="en-GB"/>
                          </w:rPr>
                          <w:t>Wider society</w:t>
                        </w:r>
                      </w:p>
                    </w:txbxContent>
                  </v:textbox>
                </v:shape>
                <v:shape id="Text Box 161" o:spid="_x0000_s1100" type="#_x0000_t202" style="position:absolute;left:2505;top:1716;width:219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5D76DD6C" w14:textId="77777777" w:rsidR="00D56EAC" w:rsidRDefault="00D56EAC" w:rsidP="00A56EDD">
                        <w:pPr>
                          <w:pStyle w:val="NormalWeb"/>
                          <w:spacing w:before="0" w:beforeAutospacing="0" w:after="0" w:afterAutospacing="0"/>
                          <w:textAlignment w:val="baseline"/>
                        </w:pPr>
                        <w:r w:rsidRPr="002D542B">
                          <w:rPr>
                            <w:rFonts w:ascii="Arial" w:hAnsi="Arial"/>
                            <w:i/>
                            <w:color w:val="595959" w:themeColor="text1" w:themeTint="A6"/>
                            <w:kern w:val="24"/>
                            <w:lang w:val="en-GB"/>
                          </w:rPr>
                          <w:t>Wider society</w:t>
                        </w:r>
                        <w:r>
                          <w:rPr>
                            <w:rFonts w:ascii="Arial" w:hAnsi="Arial"/>
                            <w:color w:val="000000" w:themeColor="text1"/>
                            <w:kern w:val="24"/>
                            <w:lang w:val="en-GB"/>
                          </w:rPr>
                          <w:t>: social/</w:t>
                        </w:r>
                      </w:p>
                      <w:p w14:paraId="34195F1D" w14:textId="77777777" w:rsidR="00D56EAC" w:rsidRDefault="00D56EAC" w:rsidP="00A56EDD">
                        <w:pPr>
                          <w:pStyle w:val="NormalWeb"/>
                          <w:kinsoku w:val="0"/>
                          <w:overflowPunct w:val="0"/>
                          <w:spacing w:before="0" w:beforeAutospacing="0" w:after="0" w:afterAutospacing="0"/>
                          <w:textAlignment w:val="baseline"/>
                        </w:pPr>
                        <w:r>
                          <w:rPr>
                            <w:rFonts w:ascii="Arial" w:hAnsi="Arial"/>
                            <w:color w:val="000000" w:themeColor="text1"/>
                            <w:kern w:val="24"/>
                            <w:lang w:val="en-GB"/>
                          </w:rPr>
                          <w:t>patronage networks</w:t>
                        </w:r>
                      </w:p>
                    </w:txbxContent>
                  </v:textbox>
                </v:shape>
                <v:shape id="Text Box 160" o:spid="_x0000_s1101" type="#_x0000_t202" style="position:absolute;left:2505;top:6036;width:2034;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7E56FDC4" w14:textId="77777777" w:rsidR="00D56EAC" w:rsidRDefault="00D56EAC" w:rsidP="00A56EDD">
                        <w:pPr>
                          <w:pStyle w:val="NormalWeb"/>
                          <w:spacing w:before="0" w:beforeAutospacing="0" w:after="0" w:afterAutospacing="0"/>
                          <w:textAlignment w:val="baseline"/>
                        </w:pPr>
                        <w:r>
                          <w:rPr>
                            <w:rFonts w:ascii="Arial" w:hAnsi="Arial"/>
                            <w:color w:val="000000" w:themeColor="text1"/>
                            <w:kern w:val="24"/>
                            <w:lang w:val="en-GB"/>
                          </w:rPr>
                          <w:t>Wider society</w:t>
                        </w:r>
                      </w:p>
                    </w:txbxContent>
                  </v:textbox>
                </v:shape>
                <v:shape id="AutoShape 159" o:spid="_x0000_s1102" type="#_x0000_t5" style="position:absolute;left:4151;top:140;width:1566;height:3179;rotation:-991986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MaYsQA&#10;AADbAAAADwAAAGRycy9kb3ducmV2LnhtbESP0WrCQBRE3wX/YbmFvtVNAxZNsxEtFLQU1NQPuGSv&#10;STB7d5vdaurXu4WCj8PMnGHyxWA6cabet5YVPE8SEMSV1S3XCg5f708zED4ga+wsk4Jf8rAoxqMc&#10;M20vvKdzGWoRIewzVNCE4DIpfdWQQT+xjjh6R9sbDFH2tdQ9XiLcdDJNkhdpsOW40KCjt4aqU/lj&#10;FOjN5xXLabfd7Jx2q+SwnH9810o9PgzLVxCBhnAP/7fXWkGawt+X+ANk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zGmLEAAAA2wAAAA8AAAAAAAAAAAAAAAAAmAIAAGRycy9k&#10;b3ducmV2LnhtbFBLBQYAAAAABAAEAPUAAACJAwAAAAA=&#10;" filled="f">
                  <v:textbox>
                    <w:txbxContent>
                      <w:p w14:paraId="6E385790" w14:textId="77777777" w:rsidR="00D56EAC" w:rsidRDefault="00D56EAC" w:rsidP="00A56EDD">
                        <w:pPr>
                          <w:rPr>
                            <w:rFonts w:eastAsia="Times New Roman"/>
                          </w:rPr>
                        </w:pPr>
                      </w:p>
                    </w:txbxContent>
                  </v:textbox>
                </v:shape>
                <v:shape id="AutoShape 158" o:spid="_x0000_s1103" type="#_x0000_t5" style="position:absolute;left:1555;top:4339;width:1536;height:3102;rotation:323981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DBisUA&#10;AADbAAAADwAAAGRycy9kb3ducmV2LnhtbESPT2sCMRTE70K/Q3gFbzWrLVW2RimFlh5a/4N4eySv&#10;u0s3L0sS19VPbwoFj8PM/IaZzjtbi5Z8qBwrGA4yEMTamYoLBbvt+8MERIjIBmvHpOBMAeazu94U&#10;c+NOvKZ2EwuRIBxyVFDG2ORSBl2SxTBwDXHyfpy3GJP0hTQeTwluaznKsmdpseK0UGJDbyXp383R&#10;KvhuF/uVPTy1X8PzIltq/XEZe6tU/757fQERqYu38H/70ygYPcLfl/Q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cMGKxQAAANsAAAAPAAAAAAAAAAAAAAAAAJgCAABkcnMv&#10;ZG93bnJldi54bWxQSwUGAAAAAAQABAD1AAAAigMAAAAA&#10;" filled="f">
                  <v:textbox>
                    <w:txbxContent>
                      <w:p w14:paraId="2181EAE9" w14:textId="77777777" w:rsidR="00D56EAC" w:rsidRDefault="00D56EAC" w:rsidP="00A56EDD">
                        <w:pPr>
                          <w:rPr>
                            <w:rFonts w:eastAsia="Times New Roman"/>
                          </w:rPr>
                        </w:pPr>
                      </w:p>
                    </w:txbxContent>
                  </v:textbox>
                </v:shape>
                <v:shape id="AutoShape 157" o:spid="_x0000_s1104" type="#_x0000_t5" style="position:absolute;left:5068;top:4741;width:2039;height:2158;rotation:-350860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0A3sMA&#10;AADbAAAADwAAAGRycy9kb3ducmV2LnhtbESPQWvCQBSE7wX/w/IEL0U3FSsSXUUCFSlS0AheH9ln&#10;Esy+Dburif++KxR6HGbmG2a16U0jHuR8bVnBxyQBQVxYXXOp4Jx/jRcgfEDW2FgmBU/ysFkP3laY&#10;atvxkR6nUIoIYZ+igiqENpXSFxUZ9BPbEkfvap3BEKUrpXbYRbhp5DRJ5tJgzXGhwpayiorb6W4U&#10;fNbn+fss+8mf+L07mkvuXZcdlBoN++0SRKA+/If/2nutYDqD1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0A3sMAAADbAAAADwAAAAAAAAAAAAAAAACYAgAAZHJzL2Rv&#10;d25yZXYueG1sUEsFBgAAAAAEAAQA9QAAAIgDAAAAAA==&#10;" filled="f">
                  <v:textbox>
                    <w:txbxContent>
                      <w:p w14:paraId="5DC534B7" w14:textId="77777777" w:rsidR="00D56EAC" w:rsidRDefault="00D56EAC" w:rsidP="00A56EDD">
                        <w:pPr>
                          <w:rPr>
                            <w:rFonts w:eastAsia="Times New Roman"/>
                          </w:rPr>
                        </w:pPr>
                      </w:p>
                    </w:txbxContent>
                  </v:textbox>
                </v:shape>
                <v:shape id="Text Box 156" o:spid="_x0000_s1105" type="#_x0000_t202" style="position:absolute;left:940;top:6003;width:1565;height:1120;rotation:-259522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Rq8QA&#10;AADbAAAADwAAAGRycy9kb3ducmV2LnhtbESP0WrCQBRE3wv+w3KFvtWNgRRJXUXFgg8aMe0HXLK3&#10;STR7N2RXk/y9Wyj0cZiZM8xyPZhGPKhztWUF81kEgriwuuZSwffX59sChPPIGhvLpGAkB+vV5GWJ&#10;qbY9X+iR+1IECLsUFVTet6mUrqjIoJvZljh4P7Yz6IPsSqk77APcNDKOondpsOawUGFLu4qKW343&#10;Cg7n0Z6zS5ZvMdlc9/39eFroo1Kv02HzAcLT4P/Df+2DVhAn8Psl/AC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nkavEAAAA2wAAAA8AAAAAAAAAAAAAAAAAmAIAAGRycy9k&#10;b3ducmV2LnhtbFBLBQYAAAAABAAEAPUAAACJAwAAAAA=&#10;" filled="f" stroked="f">
                  <v:textbox>
                    <w:txbxContent>
                      <w:p w14:paraId="7AF8A82D" w14:textId="77777777" w:rsidR="00D56EAC" w:rsidRPr="00943813" w:rsidRDefault="00D56EAC" w:rsidP="00A56EDD">
                        <w:pPr>
                          <w:pStyle w:val="NormalWeb"/>
                          <w:spacing w:before="0" w:beforeAutospacing="0" w:after="0" w:afterAutospacing="0"/>
                          <w:textAlignment w:val="baseline"/>
                          <w:rPr>
                            <w:sz w:val="22"/>
                          </w:rPr>
                        </w:pPr>
                        <w:r w:rsidRPr="00943813">
                          <w:rPr>
                            <w:rFonts w:ascii="Arial" w:hAnsi="Arial"/>
                            <w:color w:val="000000" w:themeColor="text1"/>
                            <w:kern w:val="24"/>
                            <w:sz w:val="22"/>
                            <w:lang w:val="en-GB"/>
                          </w:rPr>
                          <w:t>External occupation, peacekeeping</w:t>
                        </w:r>
                      </w:p>
                    </w:txbxContent>
                  </v:textbox>
                </v:shape>
                <v:shape id="Arc 155" o:spid="_x0000_s1106" style="position:absolute;left:1689;top:4068;width:1438;height:940;rotation:-3294384fd;flip:x y;visibility:visible;mso-wrap-style:square;v-text-anchor:top" coordsize="22666,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pUW8UA&#10;AADbAAAADwAAAGRycy9kb3ducmV2LnhtbESPQWsCMRSE7wX/Q3hCbzWrh8WuRhHFIpQWavXg7bF5&#10;blaTl+0mrtt/3xQKPQ4z8w0zX/bOio7aUHtWMB5lIIhLr2uuFBw+t09TECEia7SeScE3BVguBg9z&#10;LLS/8wd1+1iJBOFQoAITY1NIGUpDDsPIN8TJO/vWYUyyraRu8Z7gzspJluXSYc1pwWBDa0PldX9z&#10;Crrbm3nJbbCX0+umnvLu+ev9GJV6HParGYhIffwP/7V3WsEkh98v6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6lRbxQAAANsAAAAPAAAAAAAAAAAAAAAAAJgCAABkcnMv&#10;ZG93bnJldi54bWxQSwUGAAAAAAQABAD1AAAAigMAAAAA&#10;" adj="-11796480,,5400" path="m-1,28nfc370,9,741,-1,1113,,12487,,21913,8821,22665,20171em-1,28nsc370,9,741,-1,1113,,12487,,21913,8821,22665,20171l1113,21600,-1,28xe" filled="f">
                  <v:stroke startarrow="open" endarrow="open" joinstyle="round"/>
                  <v:formulas/>
                  <v:path arrowok="t" o:extrusionok="f" o:connecttype="custom" o:connectlocs="0,1;1438,878;71,940" o:connectangles="0,0,0" textboxrect="0,0,22666,21600"/>
                  <v:textbox>
                    <w:txbxContent>
                      <w:p w14:paraId="573EF28F" w14:textId="77777777" w:rsidR="00D56EAC" w:rsidRDefault="00D56EAC" w:rsidP="00A56EDD">
                        <w:pPr>
                          <w:rPr>
                            <w:rFonts w:eastAsia="Times New Roman"/>
                          </w:rPr>
                        </w:pPr>
                      </w:p>
                    </w:txbxContent>
                  </v:textbox>
                </v:shape>
                <v:shape id="Arc 154" o:spid="_x0000_s1107" style="position:absolute;left:1600;top:3266;width:1025;height:640;rotation:-2399363fd;visibility:visible;mso-wrap-style:square;v-text-anchor:top" coordsize="29171,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MjcYA&#10;AADbAAAADwAAAGRycy9kb3ducmV2LnhtbESPT2vCQBTE7wW/w/IEb3Wjh7ak2YhIay1S8N+hx9fs&#10;azYx+zZkV43f3i0UPA4z8xsmm/W2EWfqfOVYwWScgCAunK64VHDYvz++gPABWWPjmBRcycMsHzxk&#10;mGp34S2dd6EUEcI+RQUmhDaV0heGLPqxa4mj9+s6iyHKrpS6w0uE20ZOk+RJWqw4LhhsaWGoOO5O&#10;VsH6Yxk29ecyeVv/1K74NvXX6rBXajTs568gAvXhHv5vr7SC6TP8fYk/QO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MjcYAAADbAAAADwAAAAAAAAAAAAAAAACYAgAAZHJz&#10;L2Rvd25yZXYueG1sUEsFBgAAAAAEAAQA9QAAAIsDAAAAAA==&#10;" adj="-11796480,,5400" path="m,1950nfc2815,665,5874,-1,8969,v8980,,17024,5557,20202,13956em,1950nsc2815,665,5874,-1,8969,v8980,,17024,5557,20202,13956l8969,21600,,1950xe" filled="f">
                  <v:stroke startarrow="open" endarrow="open" joinstyle="round"/>
                  <v:formulas/>
                  <v:path arrowok="t" o:extrusionok="f" o:connecttype="custom" o:connectlocs="0,58;1025,414;315,640" o:connectangles="0,0,0" textboxrect="0,0,29171,21600"/>
                  <v:textbox>
                    <w:txbxContent>
                      <w:p w14:paraId="12FA12AC" w14:textId="77777777" w:rsidR="00D56EAC" w:rsidRDefault="00D56EAC" w:rsidP="00A56EDD">
                        <w:pPr>
                          <w:rPr>
                            <w:rFonts w:eastAsia="Times New Roman"/>
                          </w:rPr>
                        </w:pPr>
                      </w:p>
                    </w:txbxContent>
                  </v:textbox>
                </v:shape>
                <v:shape id="Text Box 153" o:spid="_x0000_s1108" type="#_x0000_t202" style="position:absolute;left:1252;top:4276;width:1879;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qwoMMA&#10;AADbAAAADwAAAGRycy9kb3ducmV2LnhtbERPy2rCQBTdF/yH4QpuipnUQtDoKCIUu+nCtKDuLpmb&#10;B2buDJkxpv36zqLQ5eG8N7vRdGKg3reWFbwkKQji0uqWawVfn2/zJQgfkDV2lknBN3nYbSdPG8y1&#10;ffCJhiLUIoawz1FBE4LLpfRlQwZ9Yh1x5CrbGwwR9rXUPT5iuOnkIk0zabDl2NCgo0ND5a24GwV+&#10;P4af8/WYnZ6P9nJ1blW9Dh9Kzabjfg0i0Bj+xX/ud61gEcfGL/E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qwoMMAAADbAAAADwAAAAAAAAAAAAAAAACYAgAAZHJzL2Rv&#10;d25yZXYueG1sUEsFBgAAAAAEAAQA9QAAAIgDAAAAAA==&#10;" fillcolor="silver" stroked="f">
                  <v:fill opacity="38036f"/>
                  <v:textbox>
                    <w:txbxContent>
                      <w:p w14:paraId="227E9DA3" w14:textId="77777777" w:rsidR="00D56EAC" w:rsidRPr="008974E0" w:rsidRDefault="00D56EAC" w:rsidP="00A56EDD">
                        <w:pPr>
                          <w:pStyle w:val="NormalWeb"/>
                          <w:spacing w:before="0" w:beforeAutospacing="0" w:after="0" w:afterAutospacing="0"/>
                          <w:jc w:val="center"/>
                          <w:textAlignment w:val="baseline"/>
                          <w:rPr>
                            <w:color w:val="595959" w:themeColor="text1" w:themeTint="A6"/>
                          </w:rPr>
                        </w:pPr>
                        <w:r w:rsidRPr="008974E0">
                          <w:rPr>
                            <w:rFonts w:ascii="Arial" w:hAnsi="Arial"/>
                            <w:color w:val="595959" w:themeColor="text1" w:themeTint="A6"/>
                            <w:kern w:val="24"/>
                            <w:lang w:val="en-GB"/>
                          </w:rPr>
                          <w:t>Internal dynamics</w:t>
                        </w:r>
                      </w:p>
                    </w:txbxContent>
                  </v:textbox>
                </v:shape>
                <v:shape id="Text Box 152" o:spid="_x0000_s1109" type="#_x0000_t202" style="position:absolute;left:2348;top:640;width:3131;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14:paraId="2CBEDC96" w14:textId="77777777" w:rsidR="00D56EAC" w:rsidRPr="002D542B" w:rsidRDefault="00D56EAC" w:rsidP="00A56EDD">
                        <w:pPr>
                          <w:pStyle w:val="NormalWeb"/>
                          <w:spacing w:before="0" w:beforeAutospacing="0" w:after="0" w:afterAutospacing="0"/>
                          <w:textAlignment w:val="baseline"/>
                          <w:rPr>
                            <w:i/>
                            <w:color w:val="808080" w:themeColor="background1" w:themeShade="80"/>
                          </w:rPr>
                        </w:pPr>
                        <w:r w:rsidRPr="002D542B">
                          <w:rPr>
                            <w:rFonts w:ascii="Arial" w:hAnsi="Arial"/>
                            <w:b/>
                            <w:bCs/>
                            <w:i/>
                            <w:color w:val="808080" w:themeColor="background1" w:themeShade="80"/>
                            <w:kern w:val="24"/>
                            <w:lang w:val="en-GB"/>
                          </w:rPr>
                          <w:t>Legacies &amp; structural conditions</w:t>
                        </w:r>
                      </w:p>
                    </w:txbxContent>
                  </v:textbox>
                </v:shape>
                <v:shape id="Text Box 151" o:spid="_x0000_s1110" type="#_x0000_t202" style="position:absolute;left:308;top:2516;width:530;height:2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KfbsEA&#10;AADbAAAADwAAAGRycy9kb3ducmV2LnhtbERPTYvCMBC9C/sfwgjebOoKy1KNIi4rehGtevA2NmNb&#10;bCa1ibb++81hwePjfU/nnanEkxpXWlYwimIQxJnVJecKjoff4TcI55E1VpZJwYsczGcfvSkm2ra8&#10;p2fqcxFC2CWooPC+TqR0WUEGXWRr4sBdbWPQB9jkUjfYhnBTyc84/pIGSw4NBda0LCi7pQ+j4HTZ&#10;vqp9PT7HZbvZdav7Lv1Z5UoN+t1iAsJT59/if/daKxiH9eFL+AFy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Sn27BAAAA2wAAAA8AAAAAAAAAAAAAAAAAmAIAAGRycy9kb3du&#10;cmV2LnhtbFBLBQYAAAAABAAEAPUAAACGAwAAAAA=&#10;" filled="f" stroked="f">
                  <v:textbox style="layout-flow:vertical;mso-layout-flow-alt:bottom-to-top">
                    <w:txbxContent>
                      <w:p w14:paraId="61C52489" w14:textId="77777777" w:rsidR="00D56EAC" w:rsidRPr="00FB1F03" w:rsidRDefault="00D56EAC" w:rsidP="00A56EDD">
                        <w:pPr>
                          <w:pStyle w:val="NormalWeb"/>
                          <w:spacing w:before="0" w:beforeAutospacing="0" w:after="0" w:afterAutospacing="0"/>
                          <w:textAlignment w:val="baseline"/>
                          <w:rPr>
                            <w:rFonts w:ascii="Arial" w:hAnsi="Arial" w:cs="Arial"/>
                            <w:b/>
                            <w:bCs/>
                            <w:color w:val="000000" w:themeColor="text1"/>
                            <w:kern w:val="24"/>
                            <w:lang w:val="en-GB"/>
                          </w:rPr>
                        </w:pPr>
                        <w:r>
                          <w:rPr>
                            <w:rFonts w:ascii="Arial" w:hAnsi="Arial" w:cs="Arial"/>
                            <w:b/>
                            <w:bCs/>
                            <w:color w:val="000000" w:themeColor="text1"/>
                            <w:kern w:val="24"/>
                            <w:lang w:val="en-GB"/>
                          </w:rPr>
                          <w:t>Geography</w:t>
                        </w:r>
                      </w:p>
                      <w:p w14:paraId="63177F33" w14:textId="77777777" w:rsidR="00D56EAC" w:rsidRDefault="00D56EAC" w:rsidP="00A56EDD">
                        <w:pPr>
                          <w:pStyle w:val="NormalWeb"/>
                          <w:kinsoku w:val="0"/>
                          <w:overflowPunct w:val="0"/>
                          <w:spacing w:before="0" w:beforeAutospacing="0" w:after="0" w:afterAutospacing="0"/>
                          <w:textAlignment w:val="baseline"/>
                        </w:pPr>
                      </w:p>
                    </w:txbxContent>
                  </v:textbox>
                </v:shape>
                <v:shape id="Text Box 150" o:spid="_x0000_s1111" type="#_x0000_t202" style="position:absolute;left:6418;top:2836;width:780;height:2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D1A8IA&#10;AADbAAAADwAAAGRycy9kb3ducmV2LnhtbESPQWsCMRSE7wX/Q3iCt5q1lrKsRhGL4KEtuOr9sXnu&#10;riYvSxLd7b9vCoUeh5n5hlmuB2vEg3xoHSuYTTMQxJXTLdcKTsfdcw4iRGSNxjEp+KYA69XoaYmF&#10;dj0f6FHGWiQIhwIVNDF2hZShashimLqOOHkX5y3GJH0ttcc+wa2RL1n2Ji22nBYa7GjbUHUr71bB&#10;jj778vCKX9rE84fP66vLzbtSk/GwWYCINMT/8F97rxXMZ/D7Jf0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8PUDwgAAANsAAAAPAAAAAAAAAAAAAAAAAJgCAABkcnMvZG93&#10;bnJldi54bWxQSwUGAAAAAAQABAD1AAAAhwMAAAAA&#10;" filled="f" stroked="f">
                  <v:textbox style="layout-flow:vertical">
                    <w:txbxContent>
                      <w:p w14:paraId="63AD025C" w14:textId="77777777" w:rsidR="00D56EAC" w:rsidRDefault="00D56EAC" w:rsidP="00A56EDD">
                        <w:pPr>
                          <w:pStyle w:val="NormalWeb"/>
                          <w:spacing w:before="0" w:beforeAutospacing="0" w:after="0" w:afterAutospacing="0"/>
                          <w:textAlignment w:val="baseline"/>
                        </w:pPr>
                        <w:r w:rsidRPr="00A572B7">
                          <w:rPr>
                            <w:rFonts w:ascii="Arial" w:hAnsi="Arial" w:cs="Arial"/>
                            <w:b/>
                            <w:bCs/>
                            <w:color w:val="000000" w:themeColor="text1"/>
                            <w:kern w:val="24"/>
                            <w:lang w:val="en-GB"/>
                          </w:rPr>
                          <w:t>N</w:t>
                        </w:r>
                        <w:r>
                          <w:rPr>
                            <w:rFonts w:ascii="Arial" w:hAnsi="Arial" w:cs="Arial"/>
                            <w:b/>
                          </w:rPr>
                          <w:t>a</w:t>
                        </w:r>
                        <w:r w:rsidRPr="00A572B7">
                          <w:rPr>
                            <w:rFonts w:ascii="Arial" w:hAnsi="Arial" w:cs="Arial"/>
                            <w:b/>
                            <w:bCs/>
                            <w:color w:val="000000" w:themeColor="text1"/>
                            <w:kern w:val="24"/>
                            <w:lang w:val="en-GB"/>
                          </w:rPr>
                          <w:t>tural</w:t>
                        </w:r>
                        <w:r>
                          <w:rPr>
                            <w:rFonts w:ascii="Arial" w:hAnsi="Arial"/>
                            <w:b/>
                            <w:bCs/>
                            <w:color w:val="000000" w:themeColor="text1"/>
                            <w:kern w:val="24"/>
                            <w:lang w:val="en-GB"/>
                          </w:rPr>
                          <w:t xml:space="preserve"> Resources</w:t>
                        </w:r>
                      </w:p>
                    </w:txbxContent>
                  </v:textbox>
                </v:shape>
                <v:shape id="Text Box 149" o:spid="_x0000_s1112" type="#_x0000_t202" style="position:absolute;left:4852;top:3476;width:1044;height:1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14:paraId="68B8C649" w14:textId="77777777" w:rsidR="00D56EAC" w:rsidRPr="002D542B" w:rsidRDefault="00D56EAC" w:rsidP="00A56EDD">
                        <w:pPr>
                          <w:pStyle w:val="NormalWeb"/>
                          <w:spacing w:before="0" w:beforeAutospacing="0" w:after="0" w:afterAutospacing="0"/>
                          <w:textAlignment w:val="baseline"/>
                          <w:rPr>
                            <w:i/>
                            <w:sz w:val="22"/>
                            <w:szCs w:val="22"/>
                          </w:rPr>
                        </w:pPr>
                        <w:r w:rsidRPr="002D542B">
                          <w:rPr>
                            <w:rFonts w:ascii="Arial" w:hAnsi="Arial"/>
                            <w:i/>
                            <w:color w:val="595959" w:themeColor="text1" w:themeTint="A6"/>
                            <w:kern w:val="24"/>
                            <w:sz w:val="22"/>
                            <w:szCs w:val="22"/>
                            <w:lang w:val="en-GB"/>
                          </w:rPr>
                          <w:t>Outputs</w:t>
                        </w:r>
                        <w:r w:rsidRPr="002D542B">
                          <w:rPr>
                            <w:rFonts w:ascii="Arial" w:hAnsi="Arial"/>
                            <w:i/>
                            <w:color w:val="000000" w:themeColor="text1"/>
                            <w:kern w:val="24"/>
                            <w:sz w:val="22"/>
                            <w:szCs w:val="22"/>
                            <w:lang w:val="en-GB"/>
                          </w:rPr>
                          <w:t xml:space="preserve">: </w:t>
                        </w:r>
                      </w:p>
                      <w:p w14:paraId="139BDA87" w14:textId="77777777" w:rsidR="00D56EAC" w:rsidRDefault="00D56EAC" w:rsidP="00A56EDD">
                        <w:pPr>
                          <w:pStyle w:val="NormalWeb"/>
                          <w:kinsoku w:val="0"/>
                          <w:overflowPunct w:val="0"/>
                          <w:spacing w:before="0" w:beforeAutospacing="0" w:after="0" w:afterAutospacing="0"/>
                          <w:textAlignment w:val="baseline"/>
                          <w:rPr>
                            <w:rFonts w:ascii="Arial" w:hAnsi="Arial"/>
                            <w:color w:val="000000" w:themeColor="text1"/>
                            <w:kern w:val="24"/>
                            <w:sz w:val="22"/>
                            <w:szCs w:val="22"/>
                            <w:lang w:val="en-GB"/>
                          </w:rPr>
                        </w:pPr>
                      </w:p>
                      <w:p w14:paraId="5D1B381F" w14:textId="77777777" w:rsidR="00D56EAC" w:rsidRPr="00FB1F03" w:rsidRDefault="00D56EAC" w:rsidP="00A56EDD">
                        <w:pPr>
                          <w:pStyle w:val="NormalWeb"/>
                          <w:kinsoku w:val="0"/>
                          <w:overflowPunct w:val="0"/>
                          <w:spacing w:before="0" w:beforeAutospacing="0" w:after="0" w:afterAutospacing="0"/>
                          <w:textAlignment w:val="baseline"/>
                          <w:rPr>
                            <w:sz w:val="22"/>
                            <w:szCs w:val="22"/>
                          </w:rPr>
                        </w:pPr>
                        <w:r>
                          <w:rPr>
                            <w:rFonts w:ascii="Arial" w:hAnsi="Arial"/>
                            <w:color w:val="000000" w:themeColor="text1"/>
                            <w:kern w:val="24"/>
                            <w:sz w:val="22"/>
                            <w:szCs w:val="22"/>
                            <w:lang w:val="en-GB"/>
                          </w:rPr>
                          <w:t>S</w:t>
                        </w:r>
                        <w:r w:rsidRPr="00FB1F03">
                          <w:rPr>
                            <w:rFonts w:ascii="Arial" w:hAnsi="Arial"/>
                            <w:color w:val="000000" w:themeColor="text1"/>
                            <w:kern w:val="24"/>
                            <w:sz w:val="22"/>
                            <w:szCs w:val="22"/>
                            <w:lang w:val="en-GB"/>
                          </w:rPr>
                          <w:t>ervices</w:t>
                        </w:r>
                      </w:p>
                    </w:txbxContent>
                  </v:textbox>
                </v:shape>
                <v:shape id="Freeform 34" o:spid="_x0000_s1113" style="position:absolute;left:5166;top:4320;width:888;height:480;rotation:1414481fd;visibility:visible;mso-wrap-style:square;v-text-anchor:top" coordsize="1022,5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5JHcUA&#10;AADbAAAADwAAAGRycy9kb3ducmV2LnhtbESPQWvCQBSE70L/w/IKvYjZ1EqsaVYRaUXoQdSC12f2&#10;NVmafRuyW03/vSsIPQ4z8w1TLHrbiDN13jhW8JykIIhLpw1XCr4OH6NXED4ga2wck4I/8rCYPwwK&#10;zLW78I7O+1CJCGGfo4I6hDaX0pc1WfSJa4mj9+06iyHKrpK6w0uE20aO0zSTFg3HhRpbWtVU/ux/&#10;rQKz/OTpKazLbSYbeRy+z1qznSn19Ngv30AE6sN/+N7eaAUvE7h9iT9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HkkdxQAAANsAAAAPAAAAAAAAAAAAAAAAAJgCAABkcnMv&#10;ZG93bnJldi54bWxQSwUGAAAAAAQABAD1AAAAigMAAAAA&#10;" adj="-11796480,,5400" path="m,527v80,5,338,56,481,28c624,527,766,452,856,360,946,268,988,75,1022,e" filled="f">
                  <v:stroke startarrow="open" endarrow="open" joinstyle="round"/>
                  <v:formulas/>
                  <v:path arrowok="t" o:connecttype="custom" o:connectlocs="0,434;418,457;744,296;888,0" o:connectangles="0,0,0,0" textboxrect="0,0,1022,583"/>
                  <v:textbox>
                    <w:txbxContent>
                      <w:p w14:paraId="040291DD" w14:textId="77777777" w:rsidR="00D56EAC" w:rsidRDefault="00D56EAC" w:rsidP="00A56EDD">
                        <w:pPr>
                          <w:rPr>
                            <w:rFonts w:eastAsia="Times New Roman"/>
                          </w:rPr>
                        </w:pPr>
                      </w:p>
                    </w:txbxContent>
                  </v:textbox>
                </v:shape>
                <v:shape id="Text Box 147" o:spid="_x0000_s1114" type="#_x0000_t202" style="position:absolute;left:3131;top:5385;width:941;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14:paraId="00985F85" w14:textId="77777777" w:rsidR="00D56EAC" w:rsidRPr="00FB1F03" w:rsidRDefault="00D56EAC" w:rsidP="00A56EDD">
                        <w:pPr>
                          <w:pStyle w:val="NormalWeb"/>
                          <w:spacing w:before="0" w:beforeAutospacing="0" w:after="0" w:afterAutospacing="0"/>
                          <w:textAlignment w:val="baseline"/>
                          <w:rPr>
                            <w:sz w:val="22"/>
                          </w:rPr>
                        </w:pPr>
                        <w:r w:rsidRPr="00FB1F03">
                          <w:rPr>
                            <w:rFonts w:ascii="Arial" w:hAnsi="Arial"/>
                            <w:color w:val="000000" w:themeColor="text1"/>
                            <w:kern w:val="24"/>
                            <w:sz w:val="22"/>
                            <w:lang w:val="en-GB"/>
                          </w:rPr>
                          <w:t>Justice</w:t>
                        </w:r>
                      </w:p>
                    </w:txbxContent>
                  </v:textbox>
                </v:shape>
                <v:shape id="Text Box 146" o:spid="_x0000_s1115" type="#_x0000_t202" style="position:absolute;left:3971;top:4960;width:1408;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14:paraId="218C75A2" w14:textId="77777777" w:rsidR="00D56EAC" w:rsidRPr="00FB1F03" w:rsidRDefault="00D56EAC" w:rsidP="00A56EDD">
                        <w:pPr>
                          <w:pStyle w:val="NormalWeb"/>
                          <w:spacing w:before="0" w:beforeAutospacing="0" w:after="0" w:afterAutospacing="0"/>
                          <w:textAlignment w:val="baseline"/>
                          <w:rPr>
                            <w:sz w:val="22"/>
                          </w:rPr>
                        </w:pPr>
                        <w:r w:rsidRPr="00FB1F03">
                          <w:rPr>
                            <w:rFonts w:ascii="Arial" w:hAnsi="Arial"/>
                            <w:color w:val="000000" w:themeColor="text1"/>
                            <w:kern w:val="24"/>
                            <w:sz w:val="22"/>
                            <w:lang w:val="en-GB"/>
                          </w:rPr>
                          <w:t>E</w:t>
                        </w:r>
                        <w:r>
                          <w:rPr>
                            <w:rFonts w:ascii="Arial" w:hAnsi="Arial"/>
                            <w:color w:val="000000" w:themeColor="text1"/>
                            <w:kern w:val="24"/>
                            <w:sz w:val="22"/>
                            <w:lang w:val="en-GB"/>
                          </w:rPr>
                          <w:t xml:space="preserve">conomic </w:t>
                        </w:r>
                        <w:r w:rsidRPr="00FB1F03">
                          <w:rPr>
                            <w:rFonts w:ascii="Arial" w:hAnsi="Arial"/>
                            <w:color w:val="000000" w:themeColor="text1"/>
                            <w:kern w:val="24"/>
                            <w:sz w:val="22"/>
                            <w:lang w:val="en-GB"/>
                          </w:rPr>
                          <w:t>management</w:t>
                        </w:r>
                      </w:p>
                    </w:txbxContent>
                  </v:textbox>
                </v:shape>
                <v:shape id="AutoShape 145" o:spid="_x0000_s1116" type="#_x0000_t5" style="position:absolute;left:5478;top:978;width:1441;height:3006;rotation:-771573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B5sMA&#10;AADbAAAADwAAAGRycy9kb3ducmV2LnhtbESPQWvCQBSE70L/w/IK3nRTLU2IrhIEwZOgben1sfua&#10;BLNv0+xqor/eLQgeh5n5hlmuB9uIC3W+dqzgbZqAINbO1Fwq+PrcTjIQPiAbbByTgit5WK9eRkvM&#10;jev5QJdjKEWEsM9RQRVCm0vpdUUW/dS1xNH7dZ3FEGVXStNhH+G2kbMk+ZAWa44LFba0qUifjmer&#10;IH3/KQ57be3fUNxuPaaZ/DZaqfHrUCxABBrCM/xo74yCeQr/X+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vB5sMAAADbAAAADwAAAAAAAAAAAAAAAACYAgAAZHJzL2Rv&#10;d25yZXYueG1sUEsFBgAAAAAEAAQA9QAAAIgDAAAAAA==&#10;" filled="f">
                  <v:textbox>
                    <w:txbxContent>
                      <w:p w14:paraId="4B697EE0" w14:textId="77777777" w:rsidR="00D56EAC" w:rsidRDefault="00D56EAC" w:rsidP="00A56EDD">
                        <w:pPr>
                          <w:rPr>
                            <w:rFonts w:eastAsia="Times New Roman"/>
                          </w:rPr>
                        </w:pPr>
                      </w:p>
                    </w:txbxContent>
                  </v:textbox>
                </v:shape>
                <v:shape id="AutoShape 144" o:spid="_x0000_s1117" type="#_x0000_t5" style="position:absolute;left:1393;top:364;width:1352;height:3770;rotation:909714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yEd8AA&#10;AADbAAAADwAAAGRycy9kb3ducmV2LnhtbERPy4rCMBTdD/gP4QpuBpuqo0htFBEVl+Nj4fLSXNtq&#10;c1ObqPXvzWJglofzThetqcSTGldaVjCIYhDEmdUl5wpOx01/CsJ5ZI2VZVLwJgeLeecrxUTbF+/p&#10;efC5CCHsElRQeF8nUrqsIIMusjVx4C62MegDbHKpG3yFcFPJYRxPpMGSQ0OBNa0Kym6Hh1FwrU+l&#10;Xd8lf29/VtdxK3+303OuVK/bLmcgPLX+X/zn3mkFozA2fAk/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ryEd8AAAADbAAAADwAAAAAAAAAAAAAAAACYAgAAZHJzL2Rvd25y&#10;ZXYueG1sUEsFBgAAAAAEAAQA9QAAAIUDAAAAAA==&#10;" filled="f">
                  <v:textbox>
                    <w:txbxContent>
                      <w:p w14:paraId="777D2A5C" w14:textId="77777777" w:rsidR="00D56EAC" w:rsidRDefault="00D56EAC" w:rsidP="00A56EDD">
                        <w:pPr>
                          <w:rPr>
                            <w:rFonts w:eastAsia="Times New Roman"/>
                          </w:rPr>
                        </w:pPr>
                      </w:p>
                    </w:txbxContent>
                  </v:textbox>
                </v:shape>
                <v:shape id="Text Box 143" o:spid="_x0000_s1118" type="#_x0000_t202" style="position:absolute;left:470;top:1236;width:1564;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14:paraId="7965F441" w14:textId="77777777" w:rsidR="00D56EAC" w:rsidRDefault="00D56EAC" w:rsidP="00A56EDD">
                        <w:pPr>
                          <w:rPr>
                            <w:rFonts w:eastAsia="Times New Roman"/>
                          </w:rPr>
                        </w:pPr>
                      </w:p>
                    </w:txbxContent>
                  </v:textbox>
                </v:shape>
                <v:shape id="Text Box 142" o:spid="_x0000_s1119" type="#_x0000_t202" style="position:absolute;left:661;top:898;width:1502;height:1051;rotation:314540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oDgLsA&#10;AADbAAAADwAAAGRycy9kb3ducmV2LnhtbERPSwrCMBDdC94hjOBO00oRrUYRQRBc+QG3YzM2xWZS&#10;mqj19mYhuHy8/3Ld2Vq8qPWVYwXpOAFBXDhdcangct6NZiB8QNZYOyYFH/KwXvV7S8y1e/ORXqdQ&#10;ihjCPkcFJoQml9IXhiz6sWuII3d3rcUQYVtK3eI7httaTpJkKi1WHBsMNrQ1VDxOT6vAH9Lwmac3&#10;s9GUXr1Msv11lik1HHSbBYhAXfiLf+69VpDF9fFL/AFy9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BqA4C7AAAA2wAAAA8AAAAAAAAAAAAAAAAAmAIAAGRycy9kb3ducmV2Lnht&#10;bFBLBQYAAAAABAAEAPUAAACAAwAAAAA=&#10;" filled="f" stroked="f">
                  <v:textbox>
                    <w:txbxContent>
                      <w:p w14:paraId="720F9EE1" w14:textId="77777777" w:rsidR="00D56EAC" w:rsidRPr="00943813" w:rsidRDefault="00D56EAC" w:rsidP="00A56EDD">
                        <w:pPr>
                          <w:pStyle w:val="NormalWeb"/>
                          <w:spacing w:before="0" w:beforeAutospacing="0" w:after="0" w:afterAutospacing="0"/>
                          <w:textAlignment w:val="baseline"/>
                          <w:rPr>
                            <w:sz w:val="22"/>
                            <w:szCs w:val="22"/>
                          </w:rPr>
                        </w:pPr>
                        <w:r w:rsidRPr="00943813">
                          <w:rPr>
                            <w:rFonts w:ascii="Arial" w:hAnsi="Arial"/>
                            <w:color w:val="000000" w:themeColor="text1"/>
                            <w:kern w:val="24"/>
                            <w:sz w:val="22"/>
                            <w:szCs w:val="22"/>
                            <w:lang w:val="en-GB"/>
                          </w:rPr>
                          <w:t>Int’l engagement in peace settlement</w:t>
                        </w:r>
                      </w:p>
                    </w:txbxContent>
                  </v:textbox>
                </v:shape>
                <v:shape id="Text Box 141" o:spid="_x0000_s1120" type="#_x0000_t202" style="position:absolute;left:5792;top:5600;width:1565;height:960;rotation:80165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8FX8IA&#10;AADbAAAADwAAAGRycy9kb3ducmV2LnhtbESPQWsCMRSE7wX/Q3iCt5pVROxqFF2qFHpyK3h9bJ6b&#10;xc3LmqS6/vumUOhxmJlvmNWmt624kw+NYwWTcQaCuHK64VrB6Wv/ugARIrLG1jEpeFKAzXrwssJc&#10;uwcf6V7GWiQIhxwVmBi7XMpQGbIYxq4jTt7FeYsxSV9L7fGR4LaV0yybS4sNpwWDHRWGqmv5bRWU&#10;N/m5M4e34r2YL87HKT49ylKp0bDfLkFE6uN/+K/9oRXMJvD7Jf0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nwVfwgAAANsAAAAPAAAAAAAAAAAAAAAAAJgCAABkcnMvZG93&#10;bnJldi54bWxQSwUGAAAAAAQABAD1AAAAhwMAAAAA&#10;" filled="f" stroked="f">
                  <v:textbox>
                    <w:txbxContent>
                      <w:p w14:paraId="5EAD415E" w14:textId="77777777" w:rsidR="00D56EAC" w:rsidRPr="00943813" w:rsidRDefault="00D56EAC" w:rsidP="00A56EDD">
                        <w:pPr>
                          <w:pStyle w:val="NormalWeb"/>
                          <w:spacing w:before="0" w:beforeAutospacing="0" w:after="0" w:afterAutospacing="0"/>
                          <w:textAlignment w:val="baseline"/>
                          <w:rPr>
                            <w:sz w:val="22"/>
                          </w:rPr>
                        </w:pPr>
                        <w:r w:rsidRPr="00943813">
                          <w:rPr>
                            <w:rFonts w:ascii="Arial" w:hAnsi="Arial"/>
                            <w:color w:val="000000" w:themeColor="text1"/>
                            <w:kern w:val="24"/>
                            <w:sz w:val="22"/>
                            <w:lang w:val="en-GB"/>
                          </w:rPr>
                          <w:t>Humanitarian assistance</w:t>
                        </w:r>
                      </w:p>
                    </w:txbxContent>
                  </v:textbox>
                </v:shape>
                <v:shape id="Text Box 140" o:spid="_x0000_s1121" type="#_x0000_t202" style="position:absolute;left:4559;top:468;width:1503;height:1051;rotation:-406231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cwlMMA&#10;AADbAAAADwAAAGRycy9kb3ducmV2LnhtbESPQYvCMBSE7wv+h/AEb2vaIqJdo+iC6Emw6qG3t83b&#10;tmzzUpqs1n9vBMHjMDPfMItVbxpxpc7VlhXE4wgEcWF1zaWC82n7OQPhPLLGxjIpuJOD1XLwscBU&#10;2xsf6Zr5UgQIuxQVVN63qZSuqMigG9uWOHi/tjPog+xKqTu8BbhpZBJFU2mw5rBQYUvfFRV/2b9R&#10;kP8kdY7tJs76eDaPduZiDvlWqdGwX3+B8NT7d/jV3msFkwSeX8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cwlMMAAADbAAAADwAAAAAAAAAAAAAAAACYAgAAZHJzL2Rv&#10;d25yZXYueG1sUEsFBgAAAAAEAAQA9QAAAIgDAAAAAA==&#10;" filled="f" stroked="f">
                  <v:textbox>
                    <w:txbxContent>
                      <w:p w14:paraId="33CD9CD0" w14:textId="77777777" w:rsidR="00D56EAC" w:rsidRPr="00943813" w:rsidRDefault="00D56EAC" w:rsidP="00A56EDD">
                        <w:pPr>
                          <w:pStyle w:val="NormalWeb"/>
                          <w:spacing w:before="0" w:beforeAutospacing="0" w:after="0" w:afterAutospacing="0"/>
                          <w:textAlignment w:val="baseline"/>
                          <w:rPr>
                            <w:sz w:val="22"/>
                            <w:szCs w:val="22"/>
                          </w:rPr>
                        </w:pPr>
                        <w:r w:rsidRPr="00943813">
                          <w:rPr>
                            <w:rFonts w:ascii="Arial" w:hAnsi="Arial"/>
                            <w:color w:val="000000" w:themeColor="text1"/>
                            <w:kern w:val="24"/>
                            <w:sz w:val="22"/>
                            <w:szCs w:val="22"/>
                            <w:lang w:val="en-GB"/>
                          </w:rPr>
                          <w:t>Dev</w:t>
                        </w:r>
                        <w:r>
                          <w:rPr>
                            <w:rFonts w:ascii="Arial" w:hAnsi="Arial"/>
                            <w:color w:val="000000" w:themeColor="text1"/>
                            <w:kern w:val="24"/>
                            <w:sz w:val="22"/>
                            <w:szCs w:val="22"/>
                            <w:lang w:val="en-GB"/>
                          </w:rPr>
                          <w:t>elopment</w:t>
                        </w:r>
                        <w:r w:rsidRPr="00943813">
                          <w:rPr>
                            <w:rFonts w:ascii="Arial" w:hAnsi="Arial"/>
                            <w:color w:val="000000" w:themeColor="text1"/>
                            <w:kern w:val="24"/>
                            <w:sz w:val="22"/>
                            <w:szCs w:val="22"/>
                            <w:lang w:val="en-GB"/>
                          </w:rPr>
                          <w:t xml:space="preserve"> ass</w:t>
                        </w:r>
                        <w:r>
                          <w:rPr>
                            <w:rFonts w:ascii="Arial" w:hAnsi="Arial"/>
                            <w:color w:val="000000" w:themeColor="text1"/>
                            <w:kern w:val="24"/>
                            <w:sz w:val="22"/>
                            <w:szCs w:val="22"/>
                            <w:lang w:val="en-GB"/>
                          </w:rPr>
                          <w:t>istance for public sector</w:t>
                        </w:r>
                        <w:r w:rsidRPr="00943813">
                          <w:rPr>
                            <w:rFonts w:ascii="Arial" w:hAnsi="Arial"/>
                            <w:color w:val="000000" w:themeColor="text1"/>
                            <w:kern w:val="24"/>
                            <w:sz w:val="22"/>
                            <w:szCs w:val="22"/>
                            <w:lang w:val="en-GB"/>
                          </w:rPr>
                          <w:t xml:space="preserve"> governance</w:t>
                        </w:r>
                      </w:p>
                      <w:p w14:paraId="7205A7E2" w14:textId="77777777" w:rsidR="00D56EAC" w:rsidRDefault="00D56EAC" w:rsidP="00A56EDD"/>
                    </w:txbxContent>
                  </v:textbox>
                </v:shape>
                <v:shape id="Text Box 139" o:spid="_x0000_s1122" type="#_x0000_t202" style="position:absolute;left:6147;top:1620;width:1577;height:960;rotation:-18420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3LcYA&#10;AADbAAAADwAAAGRycy9kb3ducmV2LnhtbESPQWvCQBSE7wX/w/KEXqRurCIaXUULFQ8ialu8PrLP&#10;JJh9G7OrRn+9Kwg9DjPzDTOe1qYQF6pcbllBpx2BIE6szjlV8Pvz/TEA4TyyxsIyKbiRg+mk8TbG&#10;WNsrb+my86kIEHYxKsi8L2MpXZKRQde2JXHwDrYy6IOsUqkrvAa4KeRnFPWlwZzDQoYlfWWUHHdn&#10;oyBZL+6b9V+rtT/Nl5tVHg17i3qo1Huzno1AeKr9f/jVXmoFvS48v4Qf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A3LcYAAADbAAAADwAAAAAAAAAAAAAAAACYAgAAZHJz&#10;L2Rvd25yZXYueG1sUEsFBgAAAAAEAAQA9QAAAIsDAAAAAA==&#10;" filled="f" stroked="f">
                  <v:textbox>
                    <w:txbxContent>
                      <w:p w14:paraId="3A3059B5" w14:textId="77777777" w:rsidR="00D56EAC" w:rsidRPr="00943813" w:rsidRDefault="00D56EAC" w:rsidP="00A56EDD">
                        <w:pPr>
                          <w:pStyle w:val="NormalWeb"/>
                          <w:spacing w:before="0" w:beforeAutospacing="0" w:after="0" w:afterAutospacing="0"/>
                          <w:textAlignment w:val="baseline"/>
                          <w:rPr>
                            <w:sz w:val="22"/>
                            <w:szCs w:val="22"/>
                          </w:rPr>
                        </w:pPr>
                        <w:r w:rsidRPr="00943813">
                          <w:rPr>
                            <w:rFonts w:ascii="Arial" w:hAnsi="Arial"/>
                            <w:color w:val="000000" w:themeColor="text1"/>
                            <w:kern w:val="24"/>
                            <w:sz w:val="22"/>
                            <w:szCs w:val="22"/>
                            <w:lang w:val="en-GB"/>
                          </w:rPr>
                          <w:t>Development assistance for service delivery</w:t>
                        </w:r>
                      </w:p>
                    </w:txbxContent>
                  </v:textbox>
                </v:shape>
                <v:shape id="Text Box 138" o:spid="_x0000_s1123" type="#_x0000_t202" style="position:absolute;left:2818;top:6720;width:2035;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14:paraId="2E3626D1" w14:textId="77777777" w:rsidR="00D56EAC" w:rsidRDefault="00D56EAC" w:rsidP="00A56EDD">
                        <w:pPr>
                          <w:pStyle w:val="NormalWeb"/>
                          <w:spacing w:before="0" w:beforeAutospacing="0" w:after="0" w:afterAutospacing="0"/>
                          <w:textAlignment w:val="baseline"/>
                        </w:pPr>
                        <w:r>
                          <w:rPr>
                            <w:rFonts w:ascii="Arial" w:hAnsi="Arial"/>
                            <w:b/>
                            <w:bCs/>
                            <w:color w:val="000000" w:themeColor="text1"/>
                            <w:kern w:val="24"/>
                            <w:lang w:val="en-GB"/>
                          </w:rPr>
                          <w:t>Climate Change</w:t>
                        </w:r>
                      </w:p>
                    </w:txbxContent>
                  </v:textbox>
                </v:shape>
                <w10:wrap anchorx="margin"/>
              </v:group>
            </w:pict>
          </mc:Fallback>
        </mc:AlternateContent>
      </w:r>
    </w:p>
    <w:p w14:paraId="6E8BF76C" w14:textId="77777777" w:rsidR="00A56EDD" w:rsidRPr="00B513F4" w:rsidRDefault="00A56EDD" w:rsidP="00A56EDD"/>
    <w:p w14:paraId="0A9FE2B9" w14:textId="77777777" w:rsidR="00A56EDD" w:rsidRPr="00B513F4" w:rsidRDefault="00A56EDD" w:rsidP="00A56EDD"/>
    <w:p w14:paraId="32C989AE" w14:textId="77777777" w:rsidR="00A56EDD" w:rsidRPr="00B513F4" w:rsidRDefault="00A56EDD" w:rsidP="00A56EDD"/>
    <w:p w14:paraId="78B3B412" w14:textId="77777777" w:rsidR="00A56EDD" w:rsidRPr="00B513F4" w:rsidRDefault="00A56EDD" w:rsidP="00A56EDD"/>
    <w:p w14:paraId="21100AE8" w14:textId="77777777" w:rsidR="00A56EDD" w:rsidRPr="00B513F4" w:rsidRDefault="00A56EDD" w:rsidP="00A56EDD"/>
    <w:p w14:paraId="7F7F1D33" w14:textId="77777777" w:rsidR="00A56EDD" w:rsidRPr="00B513F4" w:rsidRDefault="00A56EDD" w:rsidP="00A56EDD"/>
    <w:p w14:paraId="4A903333" w14:textId="77777777" w:rsidR="00A56EDD" w:rsidRPr="00B513F4" w:rsidRDefault="00A56EDD" w:rsidP="00A56EDD"/>
    <w:p w14:paraId="1909072B" w14:textId="77777777" w:rsidR="00A56EDD" w:rsidRPr="00B513F4" w:rsidRDefault="00A56EDD" w:rsidP="00A56EDD"/>
    <w:p w14:paraId="0A64B5B8" w14:textId="77777777" w:rsidR="00A56EDD" w:rsidRPr="00B513F4" w:rsidRDefault="00A56EDD" w:rsidP="00A56EDD"/>
    <w:p w14:paraId="549C170E" w14:textId="77777777" w:rsidR="00A56EDD" w:rsidRPr="00B513F4" w:rsidRDefault="00A56EDD" w:rsidP="00A56EDD"/>
    <w:p w14:paraId="032D4B4E" w14:textId="77777777" w:rsidR="00A56EDD" w:rsidRPr="00B513F4" w:rsidRDefault="00A56EDD" w:rsidP="00A56EDD"/>
    <w:p w14:paraId="7BAEB34B" w14:textId="77777777" w:rsidR="00A56EDD" w:rsidRPr="00B513F4" w:rsidRDefault="00A56EDD" w:rsidP="00A56EDD"/>
    <w:p w14:paraId="78213AC8" w14:textId="77777777" w:rsidR="00A56EDD" w:rsidRPr="00B513F4" w:rsidRDefault="00A56EDD" w:rsidP="00A56EDD"/>
    <w:p w14:paraId="2DD90936" w14:textId="77777777" w:rsidR="00A56EDD" w:rsidRPr="00B513F4" w:rsidRDefault="00A56EDD" w:rsidP="00A56EDD"/>
    <w:p w14:paraId="7A432E83" w14:textId="77777777" w:rsidR="00A56EDD" w:rsidRPr="00B513F4" w:rsidRDefault="00A56EDD" w:rsidP="00A56EDD"/>
    <w:p w14:paraId="7E5C45E1" w14:textId="77777777" w:rsidR="00A56EDD" w:rsidRPr="00B513F4" w:rsidRDefault="00A56EDD" w:rsidP="00A56EDD">
      <w:pPr>
        <w:jc w:val="both"/>
        <w:rPr>
          <w:sz w:val="20"/>
        </w:rPr>
      </w:pPr>
    </w:p>
    <w:p w14:paraId="4F5771FF" w14:textId="77777777" w:rsidR="000A3D1D" w:rsidRDefault="000A3D1D" w:rsidP="00A56EDD">
      <w:pPr>
        <w:jc w:val="both"/>
        <w:rPr>
          <w:sz w:val="20"/>
        </w:rPr>
      </w:pPr>
    </w:p>
    <w:p w14:paraId="34F1D754" w14:textId="41952E36" w:rsidR="00A56EDD" w:rsidRPr="00B513F4" w:rsidRDefault="00A56EDD" w:rsidP="00A56EDD">
      <w:pPr>
        <w:jc w:val="both"/>
        <w:rPr>
          <w:sz w:val="20"/>
        </w:rPr>
      </w:pPr>
      <w:r w:rsidRPr="000A3D1D">
        <w:rPr>
          <w:i/>
          <w:sz w:val="20"/>
        </w:rPr>
        <w:t>Source:</w:t>
      </w:r>
      <w:r w:rsidRPr="00B513F4">
        <w:rPr>
          <w:sz w:val="20"/>
        </w:rPr>
        <w:t xml:space="preserve"> Fritz and Rocha Menocal (2007)</w:t>
      </w:r>
      <w:r w:rsidR="00AE53B5">
        <w:rPr>
          <w:sz w:val="20"/>
        </w:rPr>
        <w:t>.</w:t>
      </w:r>
    </w:p>
    <w:p w14:paraId="3CDE7E78" w14:textId="77777777" w:rsidR="00A56EDD" w:rsidRPr="00B513F4" w:rsidRDefault="00A56EDD" w:rsidP="00A56EDD">
      <w:pPr>
        <w:jc w:val="both"/>
        <w:rPr>
          <w:sz w:val="20"/>
        </w:rPr>
      </w:pPr>
    </w:p>
    <w:p w14:paraId="3EA689FA" w14:textId="77777777" w:rsidR="00A56EDD" w:rsidRPr="00B513F4" w:rsidRDefault="00A56EDD" w:rsidP="00A56EDD">
      <w:pPr>
        <w:pStyle w:val="Default"/>
        <w:spacing w:after="120"/>
        <w:jc w:val="both"/>
        <w:rPr>
          <w:b/>
          <w:bCs/>
          <w:sz w:val="20"/>
          <w:szCs w:val="20"/>
          <w:u w:val="single"/>
        </w:rPr>
        <w:sectPr w:rsidR="00A56EDD" w:rsidRPr="00B513F4">
          <w:pgSz w:w="12240" w:h="15840"/>
          <w:pgMar w:top="1440" w:right="1440" w:bottom="1440" w:left="1440" w:header="720" w:footer="720" w:gutter="0"/>
          <w:cols w:space="720"/>
          <w:docGrid w:linePitch="360"/>
        </w:sectPr>
      </w:pPr>
    </w:p>
    <w:p w14:paraId="4C202980" w14:textId="469E608A" w:rsidR="00A56EDD" w:rsidRPr="00B513F4" w:rsidRDefault="00A56EDD" w:rsidP="00A56EDD">
      <w:pPr>
        <w:pStyle w:val="Heading2"/>
      </w:pPr>
      <w:bookmarkStart w:id="50" w:name="_Toc447892410"/>
      <w:r w:rsidRPr="00B513F4">
        <w:lastRenderedPageBreak/>
        <w:t xml:space="preserve">Annex 3: Postconflict </w:t>
      </w:r>
      <w:r w:rsidR="00DD5E18">
        <w:t>T</w:t>
      </w:r>
      <w:r w:rsidRPr="00B513F4">
        <w:t>rajectories</w:t>
      </w:r>
      <w:bookmarkEnd w:id="50"/>
    </w:p>
    <w:p w14:paraId="08E4FD87" w14:textId="77777777" w:rsidR="00A56EDD" w:rsidRPr="00B513F4" w:rsidRDefault="00A56EDD" w:rsidP="00A56EDD">
      <w:pPr>
        <w:pStyle w:val="Default"/>
        <w:spacing w:after="120"/>
        <w:rPr>
          <w:b/>
          <w:bCs/>
          <w:sz w:val="20"/>
          <w:szCs w:val="20"/>
          <w:u w:val="single"/>
        </w:rPr>
      </w:pPr>
    </w:p>
    <w:p w14:paraId="3A1349FE" w14:textId="72D50E79" w:rsidR="00D80F40" w:rsidRDefault="00D80F40">
      <w:pPr>
        <w:pStyle w:val="Caption"/>
      </w:pPr>
      <w:bookmarkStart w:id="51" w:name="_Ref447533158"/>
      <w:r>
        <w:t xml:space="preserve">Figure </w:t>
      </w:r>
      <w:fldSimple w:instr=" SEQ Figure \* ARABIC ">
        <w:r w:rsidR="00807923">
          <w:rPr>
            <w:noProof/>
          </w:rPr>
          <w:t>18</w:t>
        </w:r>
      </w:fldSimple>
      <w:bookmarkEnd w:id="51"/>
      <w:r>
        <w:t>. 'Postconflict' Fatalities versus Size of Defense and Security</w:t>
      </w:r>
    </w:p>
    <w:p w14:paraId="53DED858" w14:textId="77777777" w:rsidR="00A56EDD" w:rsidRPr="00B513F4" w:rsidRDefault="00A56EDD" w:rsidP="00170FC4">
      <w:pPr>
        <w:jc w:val="center"/>
      </w:pPr>
      <w:r w:rsidRPr="00B513F4">
        <w:rPr>
          <w:noProof/>
        </w:rPr>
        <w:drawing>
          <wp:inline distT="0" distB="0" distL="0" distR="0" wp14:anchorId="268A0F02" wp14:editId="433D6B0F">
            <wp:extent cx="4258733" cy="2836333"/>
            <wp:effectExtent l="0" t="0" r="8890" b="2540"/>
            <wp:docPr id="7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572A8219" w14:textId="23843C51" w:rsidR="00A56EDD" w:rsidRPr="00B513F4" w:rsidRDefault="00A56EDD" w:rsidP="00F47856">
      <w:pPr>
        <w:jc w:val="both"/>
        <w:sectPr w:rsidR="00A56EDD" w:rsidRPr="00B513F4">
          <w:pgSz w:w="12240" w:h="15840"/>
          <w:pgMar w:top="1440" w:right="1440" w:bottom="1440" w:left="1440" w:header="720" w:footer="720" w:gutter="0"/>
          <w:cols w:space="720"/>
          <w:docGrid w:linePitch="360"/>
        </w:sectPr>
      </w:pPr>
      <w:r w:rsidRPr="00D80F40">
        <w:rPr>
          <w:i/>
          <w:sz w:val="18"/>
          <w:szCs w:val="18"/>
        </w:rPr>
        <w:t>Source:</w:t>
      </w:r>
      <w:r w:rsidRPr="00D80F40">
        <w:rPr>
          <w:sz w:val="18"/>
          <w:szCs w:val="18"/>
        </w:rPr>
        <w:t xml:space="preserve"> </w:t>
      </w:r>
      <w:r w:rsidRPr="00712DA9">
        <w:rPr>
          <w:sz w:val="20"/>
          <w:szCs w:val="20"/>
        </w:rPr>
        <w:t>Srivastava</w:t>
      </w:r>
      <w:r w:rsidR="00712DA9" w:rsidRPr="00712DA9">
        <w:rPr>
          <w:sz w:val="20"/>
          <w:szCs w:val="20"/>
        </w:rPr>
        <w:t>,</w:t>
      </w:r>
      <w:r w:rsidRPr="00712DA9">
        <w:rPr>
          <w:sz w:val="20"/>
          <w:szCs w:val="20"/>
        </w:rPr>
        <w:t xml:space="preserve"> </w:t>
      </w:r>
      <w:r w:rsidR="00712DA9" w:rsidRPr="00712DA9">
        <w:rPr>
          <w:sz w:val="20"/>
          <w:szCs w:val="20"/>
        </w:rPr>
        <w:t>Blum, and Ferreiro-Rodriguez</w:t>
      </w:r>
      <w:r w:rsidRPr="00712DA9">
        <w:rPr>
          <w:sz w:val="20"/>
          <w:szCs w:val="20"/>
        </w:rPr>
        <w:t xml:space="preserve"> (</w:t>
      </w:r>
      <w:r w:rsidR="00A30EA4" w:rsidRPr="00712DA9">
        <w:rPr>
          <w:sz w:val="20"/>
          <w:szCs w:val="20"/>
        </w:rPr>
        <w:t>forthcoming</w:t>
      </w:r>
      <w:r w:rsidRPr="00712DA9">
        <w:rPr>
          <w:sz w:val="20"/>
          <w:szCs w:val="20"/>
        </w:rPr>
        <w:t>)</w:t>
      </w:r>
      <w:r w:rsidR="00AE53B5" w:rsidRPr="00712DA9">
        <w:rPr>
          <w:sz w:val="20"/>
          <w:szCs w:val="20"/>
        </w:rPr>
        <w:t>.</w:t>
      </w:r>
    </w:p>
    <w:p w14:paraId="14CDCB6E" w14:textId="7A7CBD44" w:rsidR="00A56EDD" w:rsidRPr="00B513F4" w:rsidRDefault="00A56EDD" w:rsidP="00A56EDD">
      <w:pPr>
        <w:pStyle w:val="Heading2"/>
      </w:pPr>
      <w:bookmarkStart w:id="52" w:name="_Toc447892411"/>
      <w:r w:rsidRPr="00B513F4">
        <w:lastRenderedPageBreak/>
        <w:t xml:space="preserve">Annex 4: Summary of </w:t>
      </w:r>
      <w:r w:rsidR="00DD5E18">
        <w:t>R</w:t>
      </w:r>
      <w:r w:rsidRPr="00B513F4">
        <w:t>ecommendations from the 2004</w:t>
      </w:r>
      <w:r w:rsidR="00DD5E18">
        <w:t>–</w:t>
      </w:r>
      <w:r w:rsidRPr="00B513F4">
        <w:t xml:space="preserve">05 Joint Assessment Mission for </w:t>
      </w:r>
      <w:r w:rsidR="00DD5E18">
        <w:t>I</w:t>
      </w:r>
      <w:r w:rsidRPr="00B513F4">
        <w:t xml:space="preserve">nstitutional </w:t>
      </w:r>
      <w:r w:rsidR="00DD5E18">
        <w:t>D</w:t>
      </w:r>
      <w:r w:rsidRPr="00B513F4">
        <w:t>evelopment/</w:t>
      </w:r>
      <w:r w:rsidR="00DD5E18">
        <w:t>P</w:t>
      </w:r>
      <w:r w:rsidRPr="00B513F4">
        <w:t xml:space="preserve">ublic </w:t>
      </w:r>
      <w:r w:rsidR="00DD5E18">
        <w:t>S</w:t>
      </w:r>
      <w:r w:rsidRPr="00B513F4">
        <w:t xml:space="preserve">ervice and </w:t>
      </w:r>
      <w:r w:rsidR="00DD5E18">
        <w:t>G</w:t>
      </w:r>
      <w:r w:rsidRPr="00B513F4">
        <w:t>overnance</w:t>
      </w:r>
      <w:bookmarkEnd w:id="52"/>
    </w:p>
    <w:p w14:paraId="4115FD92" w14:textId="08CCB877" w:rsidR="00535DAC" w:rsidRDefault="00535DAC" w:rsidP="00A56EDD">
      <w:pPr>
        <w:pStyle w:val="Default"/>
        <w:spacing w:after="120"/>
        <w:jc w:val="both"/>
        <w:rPr>
          <w:b/>
          <w:bCs/>
          <w:sz w:val="20"/>
          <w:szCs w:val="20"/>
          <w:u w:val="single"/>
        </w:rPr>
      </w:pPr>
      <w:r>
        <w:rPr>
          <w:b/>
          <w:bCs/>
          <w:sz w:val="20"/>
          <w:szCs w:val="20"/>
          <w:u w:val="single"/>
        </w:rPr>
        <w:t xml:space="preserve">Note: this is the original text from 2004 to illustrate the level of ambition and expected time scales </w:t>
      </w:r>
    </w:p>
    <w:p w14:paraId="03ADAB4D" w14:textId="77777777" w:rsidR="00535DAC" w:rsidRDefault="00535DAC" w:rsidP="00A56EDD">
      <w:pPr>
        <w:pStyle w:val="Default"/>
        <w:spacing w:after="120"/>
        <w:jc w:val="both"/>
        <w:rPr>
          <w:b/>
          <w:bCs/>
          <w:sz w:val="20"/>
          <w:szCs w:val="20"/>
          <w:u w:val="single"/>
        </w:rPr>
      </w:pPr>
    </w:p>
    <w:p w14:paraId="06BA071C" w14:textId="4F6097C4" w:rsidR="00A56EDD" w:rsidRPr="00B513F4" w:rsidRDefault="00A56EDD" w:rsidP="00A56EDD">
      <w:pPr>
        <w:pStyle w:val="Default"/>
        <w:spacing w:after="120"/>
        <w:jc w:val="both"/>
        <w:rPr>
          <w:sz w:val="20"/>
          <w:szCs w:val="20"/>
        </w:rPr>
      </w:pPr>
      <w:r w:rsidRPr="00B513F4">
        <w:rPr>
          <w:b/>
          <w:bCs/>
          <w:sz w:val="20"/>
          <w:szCs w:val="20"/>
          <w:u w:val="single"/>
        </w:rPr>
        <w:t xml:space="preserve">Developing institutional infrastructure for better governance </w:t>
      </w:r>
    </w:p>
    <w:p w14:paraId="29AF65EF" w14:textId="47AB1132" w:rsidR="00A56EDD" w:rsidRPr="000C40A0" w:rsidRDefault="00A56EDD" w:rsidP="000C40A0">
      <w:pPr>
        <w:pStyle w:val="Default"/>
        <w:spacing w:after="200" w:line="276" w:lineRule="auto"/>
        <w:jc w:val="both"/>
        <w:rPr>
          <w:rFonts w:asciiTheme="minorHAnsi" w:hAnsiTheme="minorHAnsi"/>
          <w:sz w:val="22"/>
          <w:szCs w:val="20"/>
        </w:rPr>
      </w:pPr>
      <w:r w:rsidRPr="000C40A0">
        <w:rPr>
          <w:rFonts w:asciiTheme="minorHAnsi" w:hAnsiTheme="minorHAnsi"/>
          <w:b/>
          <w:bCs/>
          <w:sz w:val="22"/>
          <w:szCs w:val="20"/>
        </w:rPr>
        <w:t xml:space="preserve">Building efficient and decentralized governance structures to meet the needs of the people is a precondition to successful implementation of the GOSS strategic objectives to accelerate growth and expand service delivery. </w:t>
      </w:r>
      <w:r w:rsidRPr="000C40A0">
        <w:rPr>
          <w:rFonts w:asciiTheme="minorHAnsi" w:hAnsiTheme="minorHAnsi"/>
          <w:sz w:val="22"/>
          <w:szCs w:val="20"/>
        </w:rPr>
        <w:t xml:space="preserve">Key institutional priorities range from creation of a civil service and establishment of functioning and accountable local governments, to establishing effective systems for monitoring and evaluating GOSS progress in meeting its development objectives. </w:t>
      </w:r>
    </w:p>
    <w:p w14:paraId="474366D8" w14:textId="4C47235A" w:rsidR="00A56EDD" w:rsidRPr="000C40A0" w:rsidRDefault="00B01F12" w:rsidP="000C40A0">
      <w:pPr>
        <w:pStyle w:val="Default"/>
        <w:spacing w:after="200" w:line="276" w:lineRule="auto"/>
        <w:jc w:val="both"/>
        <w:rPr>
          <w:rFonts w:asciiTheme="minorHAnsi" w:hAnsiTheme="minorHAnsi"/>
          <w:sz w:val="22"/>
          <w:szCs w:val="20"/>
        </w:rPr>
      </w:pPr>
      <w:r>
        <w:rPr>
          <w:rFonts w:asciiTheme="minorHAnsi" w:hAnsiTheme="minorHAnsi"/>
          <w:b/>
          <w:bCs/>
          <w:sz w:val="22"/>
          <w:szCs w:val="20"/>
        </w:rPr>
        <w:t>T</w:t>
      </w:r>
      <w:r w:rsidR="00A56EDD" w:rsidRPr="000C40A0">
        <w:rPr>
          <w:rFonts w:asciiTheme="minorHAnsi" w:hAnsiTheme="minorHAnsi"/>
          <w:b/>
          <w:bCs/>
          <w:sz w:val="22"/>
          <w:szCs w:val="20"/>
        </w:rPr>
        <w:t>o be able to manage, deliver</w:t>
      </w:r>
      <w:r>
        <w:rPr>
          <w:rFonts w:asciiTheme="minorHAnsi" w:hAnsiTheme="minorHAnsi"/>
          <w:b/>
          <w:bCs/>
          <w:sz w:val="22"/>
          <w:szCs w:val="20"/>
        </w:rPr>
        <w:t>,</w:t>
      </w:r>
      <w:r w:rsidR="00A56EDD" w:rsidRPr="000C40A0">
        <w:rPr>
          <w:rFonts w:asciiTheme="minorHAnsi" w:hAnsiTheme="minorHAnsi"/>
          <w:b/>
          <w:bCs/>
          <w:sz w:val="22"/>
          <w:szCs w:val="20"/>
        </w:rPr>
        <w:t xml:space="preserve"> and account for the range of critical programs needed to accelerate development in </w:t>
      </w:r>
      <w:r>
        <w:rPr>
          <w:rFonts w:asciiTheme="minorHAnsi" w:hAnsiTheme="minorHAnsi"/>
          <w:b/>
          <w:bCs/>
          <w:sz w:val="22"/>
          <w:szCs w:val="20"/>
        </w:rPr>
        <w:t>s</w:t>
      </w:r>
      <w:r w:rsidR="00A56EDD" w:rsidRPr="000C40A0">
        <w:rPr>
          <w:rFonts w:asciiTheme="minorHAnsi" w:hAnsiTheme="minorHAnsi"/>
          <w:b/>
          <w:bCs/>
          <w:sz w:val="22"/>
          <w:szCs w:val="20"/>
        </w:rPr>
        <w:t>outhern Sudan, the entire public service, including personnel and systems, has to be built virtually from scratch</w:t>
      </w:r>
      <w:r w:rsidR="00A56EDD" w:rsidRPr="00D34D7B">
        <w:rPr>
          <w:rFonts w:asciiTheme="minorHAnsi" w:hAnsiTheme="minorHAnsi"/>
          <w:b/>
          <w:sz w:val="22"/>
          <w:szCs w:val="20"/>
        </w:rPr>
        <w:t>.</w:t>
      </w:r>
      <w:r w:rsidR="00A56EDD" w:rsidRPr="000C40A0">
        <w:rPr>
          <w:rFonts w:asciiTheme="minorHAnsi" w:hAnsiTheme="minorHAnsi"/>
          <w:sz w:val="22"/>
          <w:szCs w:val="20"/>
        </w:rPr>
        <w:t xml:space="preserve"> Systems, structures</w:t>
      </w:r>
      <w:r>
        <w:rPr>
          <w:rFonts w:asciiTheme="minorHAnsi" w:hAnsiTheme="minorHAnsi"/>
          <w:sz w:val="22"/>
          <w:szCs w:val="20"/>
        </w:rPr>
        <w:t>,</w:t>
      </w:r>
      <w:r w:rsidR="00A56EDD" w:rsidRPr="000C40A0">
        <w:rPr>
          <w:rFonts w:asciiTheme="minorHAnsi" w:hAnsiTheme="minorHAnsi"/>
          <w:sz w:val="22"/>
          <w:szCs w:val="20"/>
        </w:rPr>
        <w:t xml:space="preserve"> and capacities need to be built at the cent</w:t>
      </w:r>
      <w:r>
        <w:rPr>
          <w:rFonts w:asciiTheme="minorHAnsi" w:hAnsiTheme="minorHAnsi"/>
          <w:sz w:val="22"/>
          <w:szCs w:val="20"/>
        </w:rPr>
        <w:t>e</w:t>
      </w:r>
      <w:r w:rsidR="00A56EDD" w:rsidRPr="000C40A0">
        <w:rPr>
          <w:rFonts w:asciiTheme="minorHAnsi" w:hAnsiTheme="minorHAnsi"/>
          <w:sz w:val="22"/>
          <w:szCs w:val="20"/>
        </w:rPr>
        <w:t>r (GOSS) as well as in the state and local governments, central agency-type functions (</w:t>
      </w:r>
      <w:r w:rsidR="0093206E">
        <w:rPr>
          <w:rFonts w:asciiTheme="minorHAnsi" w:hAnsiTheme="minorHAnsi"/>
          <w:sz w:val="22"/>
          <w:szCs w:val="20"/>
        </w:rPr>
        <w:t>for example</w:t>
      </w:r>
      <w:r w:rsidR="00A56EDD" w:rsidRPr="000C40A0">
        <w:rPr>
          <w:rFonts w:asciiTheme="minorHAnsi" w:hAnsiTheme="minorHAnsi"/>
          <w:sz w:val="22"/>
          <w:szCs w:val="20"/>
        </w:rPr>
        <w:t>, public service commissions), a</w:t>
      </w:r>
      <w:r>
        <w:rPr>
          <w:rFonts w:asciiTheme="minorHAnsi" w:hAnsiTheme="minorHAnsi"/>
          <w:sz w:val="22"/>
          <w:szCs w:val="20"/>
        </w:rPr>
        <w:t>nd</w:t>
      </w:r>
      <w:r w:rsidR="00A56EDD" w:rsidRPr="000C40A0">
        <w:rPr>
          <w:rFonts w:asciiTheme="minorHAnsi" w:hAnsiTheme="minorHAnsi"/>
          <w:sz w:val="22"/>
          <w:szCs w:val="20"/>
        </w:rPr>
        <w:t xml:space="preserve"> line departments. The public institution-building challenges include establishing a salary structure that attracts qualified staff while keeping the wage bill sustainable; basic human resource systems for recruitment, promotion, performance management, classification</w:t>
      </w:r>
      <w:r>
        <w:rPr>
          <w:rFonts w:asciiTheme="minorHAnsi" w:hAnsiTheme="minorHAnsi"/>
          <w:sz w:val="22"/>
          <w:szCs w:val="20"/>
        </w:rPr>
        <w:t>,</w:t>
      </w:r>
      <w:r w:rsidR="00A56EDD" w:rsidRPr="000C40A0">
        <w:rPr>
          <w:rFonts w:asciiTheme="minorHAnsi" w:hAnsiTheme="minorHAnsi"/>
          <w:sz w:val="22"/>
          <w:szCs w:val="20"/>
        </w:rPr>
        <w:t xml:space="preserve"> and grading that promote professionalism and attract quality staff; and training. </w:t>
      </w:r>
    </w:p>
    <w:p w14:paraId="02C9C275" w14:textId="60240105" w:rsidR="00A56EDD" w:rsidRPr="000C40A0" w:rsidRDefault="00A56EDD" w:rsidP="000C40A0">
      <w:pPr>
        <w:pStyle w:val="Default"/>
        <w:spacing w:after="200" w:line="276" w:lineRule="auto"/>
        <w:jc w:val="both"/>
        <w:rPr>
          <w:rFonts w:asciiTheme="minorHAnsi" w:hAnsiTheme="minorHAnsi"/>
          <w:sz w:val="22"/>
          <w:szCs w:val="20"/>
        </w:rPr>
      </w:pPr>
      <w:r w:rsidRPr="000C40A0">
        <w:rPr>
          <w:rFonts w:asciiTheme="minorHAnsi" w:hAnsiTheme="minorHAnsi"/>
          <w:b/>
          <w:bCs/>
          <w:sz w:val="22"/>
          <w:szCs w:val="20"/>
        </w:rPr>
        <w:t>By 2011, the full range of policies, systems</w:t>
      </w:r>
      <w:r w:rsidR="00B01F12">
        <w:rPr>
          <w:rFonts w:asciiTheme="minorHAnsi" w:hAnsiTheme="minorHAnsi"/>
          <w:b/>
          <w:bCs/>
          <w:sz w:val="22"/>
          <w:szCs w:val="20"/>
        </w:rPr>
        <w:t>,</w:t>
      </w:r>
      <w:r w:rsidRPr="000C40A0">
        <w:rPr>
          <w:rFonts w:asciiTheme="minorHAnsi" w:hAnsiTheme="minorHAnsi"/>
          <w:b/>
          <w:bCs/>
          <w:sz w:val="22"/>
          <w:szCs w:val="20"/>
        </w:rPr>
        <w:t xml:space="preserve"> and institutional structures should be in place, in line with the decentralization framework. </w:t>
      </w:r>
      <w:r w:rsidRPr="000C40A0">
        <w:rPr>
          <w:rFonts w:asciiTheme="minorHAnsi" w:hAnsiTheme="minorHAnsi"/>
          <w:sz w:val="22"/>
          <w:szCs w:val="20"/>
        </w:rPr>
        <w:t>This will form the basis for a motivated, responsive, representative, ethical</w:t>
      </w:r>
      <w:r w:rsidR="00B01F12">
        <w:rPr>
          <w:rFonts w:asciiTheme="minorHAnsi" w:hAnsiTheme="minorHAnsi"/>
          <w:sz w:val="22"/>
          <w:szCs w:val="20"/>
        </w:rPr>
        <w:t>,</w:t>
      </w:r>
      <w:r w:rsidRPr="000C40A0">
        <w:rPr>
          <w:rFonts w:asciiTheme="minorHAnsi" w:hAnsiTheme="minorHAnsi"/>
          <w:sz w:val="22"/>
          <w:szCs w:val="20"/>
        </w:rPr>
        <w:t xml:space="preserve"> and professional public service, effective in advising the government on policy and program management and ensuring the delivery of services to the general population. Counties will conduct participatory and transparent planning processes in which local priorities are respected and vigilance against corruption is maintained. </w:t>
      </w:r>
    </w:p>
    <w:p w14:paraId="5722925F" w14:textId="43FB50D5" w:rsidR="00A56EDD" w:rsidRPr="000C40A0" w:rsidRDefault="00A56EDD" w:rsidP="000C40A0">
      <w:pPr>
        <w:pStyle w:val="Default"/>
        <w:spacing w:after="200" w:line="276" w:lineRule="auto"/>
        <w:jc w:val="both"/>
        <w:rPr>
          <w:rFonts w:asciiTheme="minorHAnsi" w:hAnsiTheme="minorHAnsi"/>
          <w:sz w:val="22"/>
          <w:szCs w:val="20"/>
        </w:rPr>
      </w:pPr>
      <w:r w:rsidRPr="000C40A0">
        <w:rPr>
          <w:rFonts w:asciiTheme="minorHAnsi" w:hAnsiTheme="minorHAnsi"/>
          <w:b/>
          <w:bCs/>
          <w:sz w:val="22"/>
          <w:szCs w:val="20"/>
        </w:rPr>
        <w:t>Early anticorruption measures will be needed in the immediate term, before capacity</w:t>
      </w:r>
      <w:r w:rsidR="00B01F12">
        <w:rPr>
          <w:rFonts w:asciiTheme="minorHAnsi" w:hAnsiTheme="minorHAnsi"/>
          <w:b/>
          <w:bCs/>
          <w:sz w:val="22"/>
          <w:szCs w:val="20"/>
        </w:rPr>
        <w:t>-</w:t>
      </w:r>
      <w:r w:rsidRPr="000C40A0">
        <w:rPr>
          <w:rFonts w:asciiTheme="minorHAnsi" w:hAnsiTheme="minorHAnsi"/>
          <w:b/>
          <w:bCs/>
          <w:sz w:val="22"/>
          <w:szCs w:val="20"/>
        </w:rPr>
        <w:t xml:space="preserve"> and institution</w:t>
      </w:r>
      <w:r w:rsidR="00B01F12">
        <w:rPr>
          <w:rFonts w:asciiTheme="minorHAnsi" w:hAnsiTheme="minorHAnsi"/>
          <w:b/>
          <w:bCs/>
          <w:sz w:val="22"/>
          <w:szCs w:val="20"/>
        </w:rPr>
        <w:t>-</w:t>
      </w:r>
      <w:r w:rsidRPr="000C40A0">
        <w:rPr>
          <w:rFonts w:asciiTheme="minorHAnsi" w:hAnsiTheme="minorHAnsi"/>
          <w:b/>
          <w:bCs/>
          <w:sz w:val="22"/>
          <w:szCs w:val="20"/>
        </w:rPr>
        <w:t>building efforts have begun to bear fruit</w:t>
      </w:r>
      <w:r w:rsidRPr="000C40A0">
        <w:rPr>
          <w:rFonts w:asciiTheme="minorHAnsi" w:hAnsiTheme="minorHAnsi"/>
          <w:sz w:val="22"/>
          <w:szCs w:val="20"/>
        </w:rPr>
        <w:t xml:space="preserve">—this includes the establishment of the envisioned Project Implementation Agency early in </w:t>
      </w:r>
      <w:r w:rsidR="00B01F12">
        <w:rPr>
          <w:rFonts w:asciiTheme="minorHAnsi" w:hAnsiTheme="minorHAnsi"/>
          <w:sz w:val="22"/>
          <w:szCs w:val="20"/>
        </w:rPr>
        <w:t>p</w:t>
      </w:r>
      <w:r w:rsidRPr="000C40A0">
        <w:rPr>
          <w:rFonts w:asciiTheme="minorHAnsi" w:hAnsiTheme="minorHAnsi"/>
          <w:sz w:val="22"/>
          <w:szCs w:val="20"/>
        </w:rPr>
        <w:t xml:space="preserve">hase I, which will hand over its management functions to line ministries by the end of </w:t>
      </w:r>
      <w:r w:rsidR="00B01F12">
        <w:rPr>
          <w:rFonts w:asciiTheme="minorHAnsi" w:hAnsiTheme="minorHAnsi"/>
          <w:sz w:val="22"/>
          <w:szCs w:val="20"/>
        </w:rPr>
        <w:t>p</w:t>
      </w:r>
      <w:r w:rsidRPr="000C40A0">
        <w:rPr>
          <w:rFonts w:asciiTheme="minorHAnsi" w:hAnsiTheme="minorHAnsi"/>
          <w:sz w:val="22"/>
          <w:szCs w:val="20"/>
        </w:rPr>
        <w:t>hase II. In the medium to long term, a preemptive approach to combating corruption requires the existence of a professional, upright</w:t>
      </w:r>
      <w:r w:rsidR="00B01F12">
        <w:rPr>
          <w:rFonts w:asciiTheme="minorHAnsi" w:hAnsiTheme="minorHAnsi"/>
          <w:sz w:val="22"/>
          <w:szCs w:val="20"/>
        </w:rPr>
        <w:t>,</w:t>
      </w:r>
      <w:r w:rsidRPr="000C40A0">
        <w:rPr>
          <w:rFonts w:asciiTheme="minorHAnsi" w:hAnsiTheme="minorHAnsi"/>
          <w:sz w:val="22"/>
          <w:szCs w:val="20"/>
        </w:rPr>
        <w:t xml:space="preserve"> and committed civil service with a minimum of discretionary authority; transparency in the functioning of government; good financial controls through improved public financial management, procurement</w:t>
      </w:r>
      <w:r w:rsidR="00B01F12">
        <w:rPr>
          <w:rFonts w:asciiTheme="minorHAnsi" w:hAnsiTheme="minorHAnsi"/>
          <w:sz w:val="22"/>
          <w:szCs w:val="20"/>
        </w:rPr>
        <w:t>,</w:t>
      </w:r>
      <w:r w:rsidRPr="000C40A0">
        <w:rPr>
          <w:rFonts w:asciiTheme="minorHAnsi" w:hAnsiTheme="minorHAnsi"/>
          <w:sz w:val="22"/>
          <w:szCs w:val="20"/>
        </w:rPr>
        <w:t xml:space="preserve"> and audit; economic deregulation, except where absolutely necessary so as to minimize the opportunities for rent seeking; and public oversight through media, civil society</w:t>
      </w:r>
      <w:r w:rsidR="00B01F12">
        <w:rPr>
          <w:rFonts w:asciiTheme="minorHAnsi" w:hAnsiTheme="minorHAnsi"/>
          <w:sz w:val="22"/>
          <w:szCs w:val="20"/>
        </w:rPr>
        <w:t>,</w:t>
      </w:r>
      <w:r w:rsidRPr="000C40A0">
        <w:rPr>
          <w:rFonts w:asciiTheme="minorHAnsi" w:hAnsiTheme="minorHAnsi"/>
          <w:sz w:val="22"/>
          <w:szCs w:val="20"/>
        </w:rPr>
        <w:t xml:space="preserve"> and parliamentary committees. During </w:t>
      </w:r>
      <w:r w:rsidR="00B01F12">
        <w:rPr>
          <w:rFonts w:asciiTheme="minorHAnsi" w:hAnsiTheme="minorHAnsi"/>
          <w:sz w:val="22"/>
          <w:szCs w:val="20"/>
        </w:rPr>
        <w:t>p</w:t>
      </w:r>
      <w:r w:rsidRPr="000C40A0">
        <w:rPr>
          <w:rFonts w:asciiTheme="minorHAnsi" w:hAnsiTheme="minorHAnsi"/>
          <w:sz w:val="22"/>
          <w:szCs w:val="20"/>
        </w:rPr>
        <w:t xml:space="preserve">hase I, Public Grievance and Restitution Boards and an Anti-Corruption Commission will be put in place. </w:t>
      </w:r>
    </w:p>
    <w:p w14:paraId="57B0C807" w14:textId="1B58C27D" w:rsidR="00A56EDD" w:rsidRPr="000C40A0" w:rsidRDefault="00A56EDD" w:rsidP="000C40A0">
      <w:pPr>
        <w:pStyle w:val="Default"/>
        <w:spacing w:after="200" w:line="276" w:lineRule="auto"/>
        <w:jc w:val="both"/>
        <w:rPr>
          <w:rFonts w:asciiTheme="minorHAnsi" w:hAnsiTheme="minorHAnsi"/>
          <w:sz w:val="22"/>
          <w:szCs w:val="20"/>
        </w:rPr>
      </w:pPr>
      <w:r w:rsidRPr="000C40A0">
        <w:rPr>
          <w:rFonts w:asciiTheme="minorHAnsi" w:hAnsiTheme="minorHAnsi"/>
          <w:b/>
          <w:bCs/>
          <w:sz w:val="22"/>
          <w:szCs w:val="20"/>
        </w:rPr>
        <w:t xml:space="preserve">There is a range of activities needed to create and strengthen public institutions, from construction to training and technical support. </w:t>
      </w:r>
      <w:r w:rsidRPr="000C40A0">
        <w:rPr>
          <w:rFonts w:asciiTheme="minorHAnsi" w:hAnsiTheme="minorHAnsi"/>
          <w:sz w:val="22"/>
          <w:szCs w:val="20"/>
        </w:rPr>
        <w:t xml:space="preserve">These include an assessment of current capacity; design of the pay and staffing structure, and size and composition of the public service; establishment of a payroll system linked </w:t>
      </w:r>
      <w:r w:rsidRPr="000C40A0">
        <w:rPr>
          <w:rFonts w:asciiTheme="minorHAnsi" w:hAnsiTheme="minorHAnsi"/>
          <w:sz w:val="22"/>
          <w:szCs w:val="20"/>
        </w:rPr>
        <w:lastRenderedPageBreak/>
        <w:t xml:space="preserve">to the financial management system; development of a policy and regulatory framework for recruitment and personnel management functions; establishment of the institutions identified in the protocols relevant to the operation of the GOSS; and training and capacity building of </w:t>
      </w:r>
      <w:r w:rsidR="009A7A23">
        <w:rPr>
          <w:rFonts w:asciiTheme="minorHAnsi" w:hAnsiTheme="minorHAnsi"/>
          <w:sz w:val="22"/>
          <w:szCs w:val="20"/>
        </w:rPr>
        <w:t xml:space="preserve">the </w:t>
      </w:r>
      <w:r w:rsidRPr="000C40A0">
        <w:rPr>
          <w:rFonts w:asciiTheme="minorHAnsi" w:hAnsiTheme="minorHAnsi"/>
          <w:sz w:val="22"/>
          <w:szCs w:val="20"/>
        </w:rPr>
        <w:t>GOSS, state</w:t>
      </w:r>
      <w:r w:rsidR="009A7A23">
        <w:rPr>
          <w:rFonts w:asciiTheme="minorHAnsi" w:hAnsiTheme="minorHAnsi"/>
          <w:sz w:val="22"/>
          <w:szCs w:val="20"/>
        </w:rPr>
        <w:t>,</w:t>
      </w:r>
      <w:r w:rsidRPr="000C40A0">
        <w:rPr>
          <w:rFonts w:asciiTheme="minorHAnsi" w:hAnsiTheme="minorHAnsi"/>
          <w:sz w:val="22"/>
          <w:szCs w:val="20"/>
        </w:rPr>
        <w:t xml:space="preserve"> and local government staff as they are recruited. </w:t>
      </w:r>
    </w:p>
    <w:p w14:paraId="18EB874C" w14:textId="3891B41A" w:rsidR="00A56EDD" w:rsidRPr="000C40A0" w:rsidRDefault="00A56EDD" w:rsidP="000C40A0">
      <w:pPr>
        <w:pStyle w:val="Default"/>
        <w:spacing w:after="200" w:line="276" w:lineRule="auto"/>
        <w:jc w:val="both"/>
        <w:rPr>
          <w:rFonts w:asciiTheme="minorHAnsi" w:hAnsiTheme="minorHAnsi"/>
          <w:sz w:val="22"/>
          <w:szCs w:val="20"/>
        </w:rPr>
      </w:pPr>
      <w:r w:rsidRPr="000C40A0">
        <w:rPr>
          <w:rFonts w:asciiTheme="minorHAnsi" w:hAnsiTheme="minorHAnsi"/>
          <w:b/>
          <w:bCs/>
          <w:sz w:val="22"/>
          <w:szCs w:val="20"/>
        </w:rPr>
        <w:t xml:space="preserve">The public financial management and procurement systems likewise urgently need to be built from the ground up. </w:t>
      </w:r>
      <w:r w:rsidRPr="000C40A0">
        <w:rPr>
          <w:rFonts w:asciiTheme="minorHAnsi" w:hAnsiTheme="minorHAnsi"/>
          <w:sz w:val="22"/>
          <w:szCs w:val="20"/>
        </w:rPr>
        <w:t>The Secretariat of Finance and Economic Planning has a rudimentary budgetary system, which covers only a small proportion of public finances. There is no procurement system per se—</w:t>
      </w:r>
      <w:r w:rsidR="0093206E">
        <w:rPr>
          <w:rFonts w:asciiTheme="minorHAnsi" w:hAnsiTheme="minorHAnsi"/>
          <w:sz w:val="22"/>
          <w:szCs w:val="20"/>
        </w:rPr>
        <w:t>that is</w:t>
      </w:r>
      <w:r w:rsidRPr="000C40A0">
        <w:rPr>
          <w:rFonts w:asciiTheme="minorHAnsi" w:hAnsiTheme="minorHAnsi"/>
          <w:sz w:val="22"/>
          <w:szCs w:val="20"/>
        </w:rPr>
        <w:t>, official regulations, procedures and institutional framework</w:t>
      </w:r>
      <w:r w:rsidR="009A7A23">
        <w:rPr>
          <w:rFonts w:asciiTheme="minorHAnsi" w:hAnsiTheme="minorHAnsi"/>
          <w:sz w:val="22"/>
          <w:szCs w:val="20"/>
        </w:rPr>
        <w:t>,</w:t>
      </w:r>
      <w:r w:rsidRPr="000C40A0">
        <w:rPr>
          <w:rFonts w:asciiTheme="minorHAnsi" w:hAnsiTheme="minorHAnsi"/>
          <w:sz w:val="22"/>
          <w:szCs w:val="20"/>
        </w:rPr>
        <w:t xml:space="preserve"> and capacity—currently supporting the SPLM-led administration. The SPLM recognizes the importance of procurement and has already initiated specific actions; for example, a mutually recognized financial firm has been recruited to implement the CBTF, which includes a component to build procurement and financial management capacity. Major compounding constraints for procurement and financial management include the severe lack of communications networks (including no postal system), of physical infrastructure, and of local suppliers in the private sector, with only a nascent supporting regulatory environment (</w:t>
      </w:r>
      <w:r w:rsidR="0093206E">
        <w:rPr>
          <w:rFonts w:asciiTheme="minorHAnsi" w:hAnsiTheme="minorHAnsi"/>
          <w:sz w:val="22"/>
          <w:szCs w:val="20"/>
        </w:rPr>
        <w:t>for example</w:t>
      </w:r>
      <w:r w:rsidRPr="000C40A0">
        <w:rPr>
          <w:rFonts w:asciiTheme="minorHAnsi" w:hAnsiTheme="minorHAnsi"/>
          <w:sz w:val="22"/>
          <w:szCs w:val="20"/>
        </w:rPr>
        <w:t xml:space="preserve">, for the banking sector). </w:t>
      </w:r>
    </w:p>
    <w:p w14:paraId="3398CEBE" w14:textId="328FB330" w:rsidR="00A56EDD" w:rsidRPr="000C40A0" w:rsidRDefault="00A56EDD" w:rsidP="000C40A0">
      <w:pPr>
        <w:pStyle w:val="Default"/>
        <w:spacing w:after="200" w:line="276" w:lineRule="auto"/>
        <w:jc w:val="both"/>
        <w:rPr>
          <w:rFonts w:asciiTheme="minorHAnsi" w:hAnsiTheme="minorHAnsi"/>
          <w:sz w:val="22"/>
          <w:szCs w:val="20"/>
        </w:rPr>
      </w:pPr>
      <w:r w:rsidRPr="000C40A0">
        <w:rPr>
          <w:rFonts w:asciiTheme="minorHAnsi" w:hAnsiTheme="minorHAnsi"/>
          <w:b/>
          <w:bCs/>
          <w:sz w:val="22"/>
          <w:szCs w:val="20"/>
        </w:rPr>
        <w:t xml:space="preserve">The JAM costing includes a substantial local transfer to counties and </w:t>
      </w:r>
      <w:r w:rsidRPr="00D34D7B">
        <w:rPr>
          <w:rFonts w:asciiTheme="minorHAnsi" w:hAnsiTheme="minorHAnsi"/>
          <w:b/>
          <w:bCs/>
          <w:i/>
          <w:sz w:val="22"/>
          <w:szCs w:val="20"/>
        </w:rPr>
        <w:t>payams</w:t>
      </w:r>
      <w:r w:rsidRPr="000C40A0">
        <w:rPr>
          <w:rFonts w:asciiTheme="minorHAnsi" w:hAnsiTheme="minorHAnsi"/>
          <w:b/>
          <w:bCs/>
          <w:sz w:val="22"/>
          <w:szCs w:val="20"/>
        </w:rPr>
        <w:t xml:space="preserve">, and at this crucial early stage emphasizes sound revenue management and prevention of corruption through measures that ensure accountability and transparency. </w:t>
      </w:r>
      <w:r w:rsidRPr="000C40A0">
        <w:rPr>
          <w:rFonts w:asciiTheme="minorHAnsi" w:hAnsiTheme="minorHAnsi"/>
          <w:sz w:val="22"/>
          <w:szCs w:val="20"/>
        </w:rPr>
        <w:t xml:space="preserve">Revenue transferred to subnational levels of administration should be spent according to local needs. In advance of setting up mechanisms for intergovernmental transfers and making the transfers, though, key decisions must be made about the size and number of counties and the role of the </w:t>
      </w:r>
      <w:r w:rsidRPr="00D34D7B">
        <w:rPr>
          <w:rFonts w:asciiTheme="minorHAnsi" w:hAnsiTheme="minorHAnsi"/>
          <w:i/>
          <w:sz w:val="22"/>
          <w:szCs w:val="20"/>
        </w:rPr>
        <w:t>payams</w:t>
      </w:r>
      <w:r w:rsidRPr="000C40A0">
        <w:rPr>
          <w:rFonts w:asciiTheme="minorHAnsi" w:hAnsiTheme="minorHAnsi"/>
          <w:sz w:val="22"/>
          <w:szCs w:val="20"/>
        </w:rPr>
        <w:t xml:space="preserve">. </w:t>
      </w:r>
    </w:p>
    <w:p w14:paraId="1DFCB406" w14:textId="5924B364" w:rsidR="00A56EDD" w:rsidRPr="000C40A0" w:rsidRDefault="00A56EDD" w:rsidP="000C40A0">
      <w:pPr>
        <w:rPr>
          <w:rFonts w:cs="Arial"/>
          <w:szCs w:val="20"/>
        </w:rPr>
      </w:pPr>
      <w:r w:rsidRPr="000C40A0">
        <w:rPr>
          <w:rFonts w:cs="Arial"/>
          <w:b/>
          <w:bCs/>
          <w:szCs w:val="20"/>
        </w:rPr>
        <w:t>The distinct capacity</w:t>
      </w:r>
      <w:r w:rsidR="009A7A23">
        <w:rPr>
          <w:rFonts w:cs="Arial"/>
          <w:b/>
          <w:bCs/>
          <w:szCs w:val="20"/>
        </w:rPr>
        <w:t>-</w:t>
      </w:r>
      <w:r w:rsidRPr="000C40A0">
        <w:rPr>
          <w:rFonts w:cs="Arial"/>
          <w:b/>
          <w:bCs/>
          <w:szCs w:val="20"/>
        </w:rPr>
        <w:t xml:space="preserve">building needs for economic policymaking include increased analytical and management capacity in the Secretariat of Finance and Economic Planning and the creation of aid management arrangements. </w:t>
      </w:r>
      <w:r w:rsidRPr="000C40A0">
        <w:rPr>
          <w:rFonts w:cs="Arial"/>
          <w:szCs w:val="20"/>
        </w:rPr>
        <w:t xml:space="preserve">There also needs to be a unit responsible for working on the Poverty Eradication Strategy, jointly with the </w:t>
      </w:r>
      <w:r w:rsidR="00772075">
        <w:rPr>
          <w:rFonts w:cs="Arial"/>
          <w:szCs w:val="20"/>
        </w:rPr>
        <w:t>national government</w:t>
      </w:r>
      <w:r w:rsidRPr="000C40A0">
        <w:rPr>
          <w:rFonts w:cs="Arial"/>
          <w:szCs w:val="20"/>
        </w:rPr>
        <w:t>, other institutions of the GOSS, civil society</w:t>
      </w:r>
      <w:r w:rsidR="00277B0A">
        <w:rPr>
          <w:rFonts w:cs="Arial"/>
          <w:szCs w:val="20"/>
        </w:rPr>
        <w:t>,</w:t>
      </w:r>
      <w:r w:rsidRPr="000C40A0">
        <w:rPr>
          <w:rFonts w:cs="Arial"/>
          <w:szCs w:val="20"/>
        </w:rPr>
        <w:t xml:space="preserve"> and development partners.</w:t>
      </w:r>
    </w:p>
    <w:p w14:paraId="02930920" w14:textId="6D6B6AC5" w:rsidR="00A56EDD" w:rsidRPr="000C40A0" w:rsidRDefault="00A56EDD" w:rsidP="000C40A0">
      <w:pPr>
        <w:pStyle w:val="Default"/>
        <w:spacing w:after="200" w:line="276" w:lineRule="auto"/>
        <w:jc w:val="both"/>
        <w:rPr>
          <w:rFonts w:asciiTheme="minorHAnsi" w:hAnsiTheme="minorHAnsi"/>
          <w:sz w:val="22"/>
          <w:szCs w:val="20"/>
        </w:rPr>
      </w:pPr>
      <w:r w:rsidRPr="000C40A0">
        <w:rPr>
          <w:rFonts w:asciiTheme="minorHAnsi" w:hAnsiTheme="minorHAnsi"/>
          <w:b/>
          <w:bCs/>
          <w:sz w:val="22"/>
          <w:szCs w:val="20"/>
        </w:rPr>
        <w:t xml:space="preserve">Improving the rule of law will be a critical part of consolidating peace, particularly in those parts of the </w:t>
      </w:r>
      <w:r w:rsidR="00277B0A">
        <w:rPr>
          <w:rFonts w:asciiTheme="minorHAnsi" w:hAnsiTheme="minorHAnsi"/>
          <w:b/>
          <w:bCs/>
          <w:sz w:val="22"/>
          <w:szCs w:val="20"/>
        </w:rPr>
        <w:t>s</w:t>
      </w:r>
      <w:r w:rsidRPr="000C40A0">
        <w:rPr>
          <w:rFonts w:asciiTheme="minorHAnsi" w:hAnsiTheme="minorHAnsi"/>
          <w:b/>
          <w:bCs/>
          <w:sz w:val="22"/>
          <w:szCs w:val="20"/>
        </w:rPr>
        <w:t xml:space="preserve">outh where there has been a weakening of traditional peacemaking systems and support to the emerging electoral processes. </w:t>
      </w:r>
      <w:r w:rsidRPr="000C40A0">
        <w:rPr>
          <w:rFonts w:asciiTheme="minorHAnsi" w:hAnsiTheme="minorHAnsi"/>
          <w:sz w:val="22"/>
          <w:szCs w:val="20"/>
        </w:rPr>
        <w:t>The overall objective is to empower national stakeholders to actively engage in eliminating violations of international standards, restoring confidence in informal and formal law</w:t>
      </w:r>
      <w:r w:rsidR="00277B0A">
        <w:rPr>
          <w:rFonts w:asciiTheme="minorHAnsi" w:hAnsiTheme="minorHAnsi"/>
          <w:sz w:val="22"/>
          <w:szCs w:val="20"/>
        </w:rPr>
        <w:t xml:space="preserve"> </w:t>
      </w:r>
      <w:r w:rsidRPr="000C40A0">
        <w:rPr>
          <w:rFonts w:asciiTheme="minorHAnsi" w:hAnsiTheme="minorHAnsi"/>
          <w:sz w:val="22"/>
          <w:szCs w:val="20"/>
        </w:rPr>
        <w:t>enforcement, judiciary</w:t>
      </w:r>
      <w:r w:rsidR="00277B0A">
        <w:rPr>
          <w:rFonts w:asciiTheme="minorHAnsi" w:hAnsiTheme="minorHAnsi"/>
          <w:sz w:val="22"/>
          <w:szCs w:val="20"/>
        </w:rPr>
        <w:t>,</w:t>
      </w:r>
      <w:r w:rsidRPr="000C40A0">
        <w:rPr>
          <w:rFonts w:asciiTheme="minorHAnsi" w:hAnsiTheme="minorHAnsi"/>
          <w:sz w:val="22"/>
          <w:szCs w:val="20"/>
        </w:rPr>
        <w:t xml:space="preserve"> and civil administration institutions, and gradually building a culture of justice and peace. Protecting human rights will be the cent</w:t>
      </w:r>
      <w:r w:rsidR="00277B0A">
        <w:rPr>
          <w:rFonts w:asciiTheme="minorHAnsi" w:hAnsiTheme="minorHAnsi"/>
          <w:sz w:val="22"/>
          <w:szCs w:val="20"/>
        </w:rPr>
        <w:t>e</w:t>
      </w:r>
      <w:r w:rsidRPr="000C40A0">
        <w:rPr>
          <w:rFonts w:asciiTheme="minorHAnsi" w:hAnsiTheme="minorHAnsi"/>
          <w:sz w:val="22"/>
          <w:szCs w:val="20"/>
        </w:rPr>
        <w:t xml:space="preserve">rpiece of bolstering the rule of law. Traditional conflict resolution mechanisms and customary law should be linked to the judicial system, with delineation of the jurisdictions of customary versus formal court systems and a clear follow-up by the local authorities on the work carried out in grassroots peace initiatives. With respect to the electoral system, key priorities include establishment of laws on civil and political freedoms, compliance monitoring, and creating a political and security environment that is conducive to free and fair elections. </w:t>
      </w:r>
    </w:p>
    <w:p w14:paraId="50F0070E" w14:textId="43E07A20" w:rsidR="00A56EDD" w:rsidRPr="000C40A0" w:rsidRDefault="00A56EDD" w:rsidP="000C40A0">
      <w:pPr>
        <w:jc w:val="both"/>
        <w:rPr>
          <w:rFonts w:cs="Arial"/>
          <w:szCs w:val="20"/>
        </w:rPr>
      </w:pPr>
      <w:r w:rsidRPr="000C40A0">
        <w:rPr>
          <w:rFonts w:cs="Arial"/>
          <w:b/>
          <w:bCs/>
          <w:szCs w:val="20"/>
        </w:rPr>
        <w:lastRenderedPageBreak/>
        <w:t xml:space="preserve">Strategic objectives for the near term include boosting the capacity of a competent and representative judiciary and law enforcement sector to address these challenges and expanding confidence and reconciliation in the </w:t>
      </w:r>
      <w:r w:rsidR="00277B0A">
        <w:rPr>
          <w:rFonts w:cs="Arial"/>
          <w:b/>
          <w:bCs/>
          <w:szCs w:val="20"/>
        </w:rPr>
        <w:t>s</w:t>
      </w:r>
      <w:r w:rsidRPr="000C40A0">
        <w:rPr>
          <w:rFonts w:cs="Arial"/>
          <w:b/>
          <w:bCs/>
          <w:szCs w:val="20"/>
        </w:rPr>
        <w:t xml:space="preserve">outh. </w:t>
      </w:r>
      <w:r w:rsidRPr="000C40A0">
        <w:rPr>
          <w:rFonts w:cs="Arial"/>
          <w:szCs w:val="20"/>
        </w:rPr>
        <w:t>As the SPLM completes its transition from a military organi</w:t>
      </w:r>
      <w:r w:rsidR="00277B0A">
        <w:rPr>
          <w:rFonts w:cs="Arial"/>
          <w:szCs w:val="20"/>
        </w:rPr>
        <w:t>z</w:t>
      </w:r>
      <w:r w:rsidRPr="000C40A0">
        <w:rPr>
          <w:rFonts w:cs="Arial"/>
          <w:szCs w:val="20"/>
        </w:rPr>
        <w:t>ation to a functioning government, it will face such challenges as retraining the police force—which consists mostly of those with a military background—to serve in law enforcement capacities and finding qualified persons to perform judicial and legal functions, which are currently being managed by a handful of staff. Human rights activities will include legislative reform, human rights education (especially for armed forces, police and wildlife forces)</w:t>
      </w:r>
      <w:r w:rsidR="00277B0A">
        <w:rPr>
          <w:rFonts w:cs="Arial"/>
          <w:szCs w:val="20"/>
        </w:rPr>
        <w:t>,</w:t>
      </w:r>
      <w:r w:rsidRPr="000C40A0">
        <w:rPr>
          <w:rFonts w:cs="Arial"/>
          <w:szCs w:val="20"/>
        </w:rPr>
        <w:t xml:space="preserve"> and capacity building of governmental and nongovernmental institutions.</w:t>
      </w:r>
    </w:p>
    <w:p w14:paraId="234B75E9" w14:textId="227ECB10" w:rsidR="00A56EDD" w:rsidRPr="000C40A0" w:rsidRDefault="00A56EDD" w:rsidP="000C40A0">
      <w:pPr>
        <w:pStyle w:val="Default"/>
        <w:spacing w:after="200" w:line="276" w:lineRule="auto"/>
        <w:jc w:val="both"/>
        <w:rPr>
          <w:rFonts w:asciiTheme="minorHAnsi" w:hAnsiTheme="minorHAnsi"/>
          <w:sz w:val="22"/>
          <w:szCs w:val="20"/>
        </w:rPr>
      </w:pPr>
      <w:r w:rsidRPr="000C40A0">
        <w:rPr>
          <w:rFonts w:asciiTheme="minorHAnsi" w:hAnsiTheme="minorHAnsi"/>
          <w:b/>
          <w:bCs/>
          <w:sz w:val="22"/>
          <w:szCs w:val="20"/>
        </w:rPr>
        <w:t>Creating the enabling policies and infrastructure for an independent media with a broad reach is an integral part of educating the population about the CPA</w:t>
      </w:r>
      <w:r w:rsidRPr="000C40A0">
        <w:rPr>
          <w:rFonts w:asciiTheme="minorHAnsi" w:hAnsiTheme="minorHAnsi"/>
          <w:sz w:val="22"/>
          <w:szCs w:val="20"/>
        </w:rPr>
        <w:t xml:space="preserve"> </w:t>
      </w:r>
      <w:r w:rsidRPr="000C40A0">
        <w:rPr>
          <w:rFonts w:asciiTheme="minorHAnsi" w:hAnsiTheme="minorHAnsi"/>
          <w:b/>
          <w:bCs/>
          <w:sz w:val="22"/>
          <w:szCs w:val="20"/>
        </w:rPr>
        <w:t xml:space="preserve">and in building a culture of accountability and transparency in </w:t>
      </w:r>
      <w:r w:rsidR="00277B0A">
        <w:rPr>
          <w:rFonts w:asciiTheme="minorHAnsi" w:hAnsiTheme="minorHAnsi"/>
          <w:b/>
          <w:bCs/>
          <w:sz w:val="22"/>
          <w:szCs w:val="20"/>
        </w:rPr>
        <w:t xml:space="preserve">the </w:t>
      </w:r>
      <w:r w:rsidRPr="000C40A0">
        <w:rPr>
          <w:rFonts w:asciiTheme="minorHAnsi" w:hAnsiTheme="minorHAnsi"/>
          <w:b/>
          <w:bCs/>
          <w:sz w:val="22"/>
          <w:szCs w:val="20"/>
        </w:rPr>
        <w:t xml:space="preserve">government in the long </w:t>
      </w:r>
      <w:r w:rsidR="00277B0A">
        <w:rPr>
          <w:rFonts w:asciiTheme="minorHAnsi" w:hAnsiTheme="minorHAnsi"/>
          <w:b/>
          <w:bCs/>
          <w:sz w:val="22"/>
          <w:szCs w:val="20"/>
        </w:rPr>
        <w:t>term</w:t>
      </w:r>
      <w:r w:rsidRPr="000C40A0">
        <w:rPr>
          <w:rFonts w:asciiTheme="minorHAnsi" w:hAnsiTheme="minorHAnsi"/>
          <w:b/>
          <w:bCs/>
          <w:sz w:val="22"/>
          <w:szCs w:val="20"/>
        </w:rPr>
        <w:t xml:space="preserve">. </w:t>
      </w:r>
      <w:r w:rsidRPr="000C40A0">
        <w:rPr>
          <w:rFonts w:asciiTheme="minorHAnsi" w:hAnsiTheme="minorHAnsi"/>
          <w:sz w:val="22"/>
          <w:szCs w:val="20"/>
        </w:rPr>
        <w:t>Access to media will help bolster governance and consensus</w:t>
      </w:r>
      <w:r w:rsidR="00277B0A">
        <w:rPr>
          <w:rFonts w:asciiTheme="minorHAnsi" w:hAnsiTheme="minorHAnsi"/>
          <w:sz w:val="22"/>
          <w:szCs w:val="20"/>
        </w:rPr>
        <w:t xml:space="preserve"> </w:t>
      </w:r>
      <w:r w:rsidRPr="000C40A0">
        <w:rPr>
          <w:rFonts w:asciiTheme="minorHAnsi" w:hAnsiTheme="minorHAnsi"/>
          <w:sz w:val="22"/>
          <w:szCs w:val="20"/>
        </w:rPr>
        <w:t xml:space="preserve">building in the </w:t>
      </w:r>
      <w:r w:rsidR="00277B0A">
        <w:rPr>
          <w:rFonts w:asciiTheme="minorHAnsi" w:hAnsiTheme="minorHAnsi"/>
          <w:sz w:val="22"/>
          <w:szCs w:val="20"/>
        </w:rPr>
        <w:t>s</w:t>
      </w:r>
      <w:r w:rsidRPr="000C40A0">
        <w:rPr>
          <w:rFonts w:asciiTheme="minorHAnsi" w:hAnsiTheme="minorHAnsi"/>
          <w:sz w:val="22"/>
          <w:szCs w:val="20"/>
        </w:rPr>
        <w:t xml:space="preserve">outh, which has been largely without media outlets and has relied on word-of-mouth for the transit of information. There is significant unmet demand for radio broadcasts with relevant programming in local languages (all of which have been recognized as national languages), while newspaper circulation and television ownership are quite low. Priorities include building a legal and regulatory framework that ensures radio and TV transmissions are independent. It is also important to facilitate the emergence of diverse media that meet the needs of the population </w:t>
      </w:r>
      <w:r w:rsidR="00277B0A">
        <w:rPr>
          <w:rFonts w:asciiTheme="minorHAnsi" w:hAnsiTheme="minorHAnsi"/>
          <w:sz w:val="22"/>
          <w:szCs w:val="20"/>
        </w:rPr>
        <w:t>with regard to</w:t>
      </w:r>
      <w:r w:rsidRPr="000C40A0">
        <w:rPr>
          <w:rFonts w:asciiTheme="minorHAnsi" w:hAnsiTheme="minorHAnsi"/>
          <w:sz w:val="22"/>
          <w:szCs w:val="20"/>
        </w:rPr>
        <w:t xml:space="preserve"> access to information, peace building, language, development, education, culture, and livelihood support. The costs of physical investments in independent public media outlets, as well as capacity building in skills, have been estimated. </w:t>
      </w:r>
    </w:p>
    <w:p w14:paraId="20F72C9C" w14:textId="5779553B" w:rsidR="00A56EDD" w:rsidRPr="000C40A0" w:rsidRDefault="00A56EDD" w:rsidP="000C40A0">
      <w:pPr>
        <w:pStyle w:val="Default"/>
        <w:spacing w:after="200" w:line="276" w:lineRule="auto"/>
        <w:jc w:val="both"/>
        <w:rPr>
          <w:rFonts w:asciiTheme="minorHAnsi" w:hAnsiTheme="minorHAnsi"/>
          <w:sz w:val="22"/>
          <w:szCs w:val="20"/>
        </w:rPr>
      </w:pPr>
      <w:r w:rsidRPr="000C40A0">
        <w:rPr>
          <w:rFonts w:asciiTheme="minorHAnsi" w:hAnsiTheme="minorHAnsi"/>
          <w:b/>
          <w:bCs/>
          <w:sz w:val="22"/>
          <w:szCs w:val="20"/>
        </w:rPr>
        <w:t>Since women’s disempowerment is a major issue, attention to gender equity is needed not only as part of larger programs (</w:t>
      </w:r>
      <w:r w:rsidR="0093206E">
        <w:rPr>
          <w:rFonts w:asciiTheme="minorHAnsi" w:hAnsiTheme="minorHAnsi"/>
          <w:b/>
          <w:bCs/>
          <w:sz w:val="22"/>
          <w:szCs w:val="20"/>
        </w:rPr>
        <w:t>that is,</w:t>
      </w:r>
      <w:r w:rsidRPr="000C40A0">
        <w:rPr>
          <w:rFonts w:asciiTheme="minorHAnsi" w:hAnsiTheme="minorHAnsi"/>
          <w:b/>
          <w:bCs/>
          <w:sz w:val="22"/>
          <w:szCs w:val="20"/>
        </w:rPr>
        <w:t xml:space="preserve"> in health, education, and infrastructure, as noted above), but also for programming in its own right. </w:t>
      </w:r>
      <w:r w:rsidRPr="000C40A0">
        <w:rPr>
          <w:rFonts w:asciiTheme="minorHAnsi" w:hAnsiTheme="minorHAnsi"/>
          <w:sz w:val="22"/>
          <w:szCs w:val="20"/>
        </w:rPr>
        <w:t>Based on technical work and consultations under the JAM, the emerging priorities include putting a policy in place to guide gender mainstreaming, implementing targeted activities in leadership and management, and creating a database to monitor progress. Protection against gender-based and domestic violence will also be a key component of the demilitarization of society. A legal system must be developed that can deal effectively with the current system of customary laws and values, some of which can undermine human rights. Support to facilitate dialogue with traditional elders on various negative traditional practices, values</w:t>
      </w:r>
      <w:r w:rsidR="00277B0A">
        <w:rPr>
          <w:rFonts w:asciiTheme="minorHAnsi" w:hAnsiTheme="minorHAnsi"/>
          <w:sz w:val="22"/>
          <w:szCs w:val="20"/>
        </w:rPr>
        <w:t>,</w:t>
      </w:r>
      <w:r w:rsidRPr="000C40A0">
        <w:rPr>
          <w:rFonts w:asciiTheme="minorHAnsi" w:hAnsiTheme="minorHAnsi"/>
          <w:sz w:val="22"/>
          <w:szCs w:val="20"/>
        </w:rPr>
        <w:t xml:space="preserve"> and norms is proposed, and there should be laws to punish perpetrators of rape and sexual harassment. </w:t>
      </w:r>
    </w:p>
    <w:p w14:paraId="06795389" w14:textId="64C7926C" w:rsidR="00A56EDD" w:rsidRPr="000C40A0" w:rsidRDefault="00A56EDD" w:rsidP="000C40A0">
      <w:pPr>
        <w:pStyle w:val="Default"/>
        <w:spacing w:after="200" w:line="276" w:lineRule="auto"/>
        <w:jc w:val="both"/>
        <w:rPr>
          <w:rFonts w:asciiTheme="minorHAnsi" w:hAnsiTheme="minorHAnsi"/>
          <w:sz w:val="22"/>
          <w:szCs w:val="20"/>
        </w:rPr>
      </w:pPr>
      <w:r w:rsidRPr="000C40A0">
        <w:rPr>
          <w:rFonts w:asciiTheme="minorHAnsi" w:hAnsiTheme="minorHAnsi"/>
          <w:b/>
          <w:bCs/>
          <w:sz w:val="22"/>
          <w:szCs w:val="20"/>
        </w:rPr>
        <w:t xml:space="preserve">Greater female participation in public life will enable women to influence the future of Sudan, and improve their own position. </w:t>
      </w:r>
      <w:r w:rsidRPr="000C40A0">
        <w:rPr>
          <w:rFonts w:asciiTheme="minorHAnsi" w:hAnsiTheme="minorHAnsi"/>
          <w:sz w:val="22"/>
          <w:szCs w:val="20"/>
        </w:rPr>
        <w:t xml:space="preserve">Institutional arrangements are needed to ensure female participation in the implementation of the CPA and postconflict reconstruction and in the civil service, and to ensure a gender balance in the composition of all institutions of </w:t>
      </w:r>
      <w:r w:rsidR="00277B0A">
        <w:rPr>
          <w:rFonts w:asciiTheme="minorHAnsi" w:hAnsiTheme="minorHAnsi"/>
          <w:sz w:val="22"/>
          <w:szCs w:val="20"/>
        </w:rPr>
        <w:t xml:space="preserve">the </w:t>
      </w:r>
      <w:r w:rsidRPr="000C40A0">
        <w:rPr>
          <w:rFonts w:asciiTheme="minorHAnsi" w:hAnsiTheme="minorHAnsi"/>
          <w:sz w:val="22"/>
          <w:szCs w:val="20"/>
        </w:rPr>
        <w:t xml:space="preserve">GOSS. Monitoring and development of gender equity issues need to be strengthened. Promoting girls’ education and women’s literacy will be critical to progress on this front. </w:t>
      </w:r>
    </w:p>
    <w:p w14:paraId="7C119E6C" w14:textId="59B87E30" w:rsidR="00A56EDD" w:rsidRPr="000C40A0" w:rsidRDefault="00A56EDD" w:rsidP="000C40A0">
      <w:pPr>
        <w:jc w:val="both"/>
        <w:rPr>
          <w:rFonts w:cs="Arial"/>
          <w:szCs w:val="20"/>
        </w:rPr>
      </w:pPr>
      <w:r w:rsidRPr="000C40A0">
        <w:rPr>
          <w:rFonts w:cs="Arial"/>
          <w:b/>
          <w:bCs/>
          <w:szCs w:val="20"/>
        </w:rPr>
        <w:t>Finally, but not least, substantial investments in information are required to support decision</w:t>
      </w:r>
      <w:r w:rsidR="00277B0A">
        <w:rPr>
          <w:rFonts w:cs="Arial"/>
          <w:b/>
          <w:bCs/>
          <w:szCs w:val="20"/>
        </w:rPr>
        <w:t xml:space="preserve"> </w:t>
      </w:r>
      <w:r w:rsidRPr="000C40A0">
        <w:rPr>
          <w:rFonts w:cs="Arial"/>
          <w:b/>
          <w:bCs/>
          <w:szCs w:val="20"/>
        </w:rPr>
        <w:t xml:space="preserve">making and enable program and policy monitoring. </w:t>
      </w:r>
      <w:r w:rsidRPr="000C40A0">
        <w:rPr>
          <w:rFonts w:cs="Arial"/>
          <w:szCs w:val="20"/>
        </w:rPr>
        <w:t xml:space="preserve">In light of the growing and urgent needs for basic data, the SPLM has already taken steps to establish an independent statistical network by founding the New Sudan </w:t>
      </w:r>
      <w:r w:rsidRPr="000C40A0">
        <w:rPr>
          <w:rFonts w:cs="Arial"/>
          <w:szCs w:val="20"/>
        </w:rPr>
        <w:lastRenderedPageBreak/>
        <w:t>Centre for Statistics and Evaluation (NSCSE) in 2003 as an autonomous bureau responsible for collecting, coordinating</w:t>
      </w:r>
      <w:r w:rsidR="00EB7C99">
        <w:rPr>
          <w:rFonts w:cs="Arial"/>
          <w:szCs w:val="20"/>
        </w:rPr>
        <w:t>,</w:t>
      </w:r>
      <w:r w:rsidRPr="000C40A0">
        <w:rPr>
          <w:rFonts w:cs="Arial"/>
          <w:szCs w:val="20"/>
        </w:rPr>
        <w:t xml:space="preserve"> and disseminating all statistics related to </w:t>
      </w:r>
      <w:r w:rsidR="006737B3">
        <w:rPr>
          <w:rFonts w:cs="Arial"/>
          <w:szCs w:val="20"/>
        </w:rPr>
        <w:t>s</w:t>
      </w:r>
      <w:r w:rsidRPr="000C40A0">
        <w:rPr>
          <w:rFonts w:cs="Arial"/>
          <w:szCs w:val="20"/>
        </w:rPr>
        <w:t xml:space="preserve">outhern Sudan. However, the number of professional staff is limited and data and information management are weak. Funding and technical expertise for conducting socioeconomic and demographic surveys are limited. One of the most urgent tasks is therefore the upgrading of skills and the creation of improved capacity in the NSCSE, including working with the Central Bureau of Statistics </w:t>
      </w:r>
      <w:r w:rsidR="00014149">
        <w:rPr>
          <w:rFonts w:cs="Arial"/>
          <w:szCs w:val="20"/>
        </w:rPr>
        <w:t xml:space="preserve">(CBS) </w:t>
      </w:r>
      <w:r w:rsidRPr="000C40A0">
        <w:rPr>
          <w:rFonts w:cs="Arial"/>
          <w:szCs w:val="20"/>
        </w:rPr>
        <w:t>to successfully implement the next population census in advance of the general election. Data collection and analysis have a focus on poverty and disadvantaged groups, and information will be disaggregated by region, age</w:t>
      </w:r>
      <w:r w:rsidR="006737B3">
        <w:rPr>
          <w:rFonts w:cs="Arial"/>
          <w:szCs w:val="20"/>
        </w:rPr>
        <w:t>,</w:t>
      </w:r>
      <w:r w:rsidRPr="000C40A0">
        <w:rPr>
          <w:rFonts w:cs="Arial"/>
          <w:szCs w:val="20"/>
        </w:rPr>
        <w:t xml:space="preserve"> and gender.</w:t>
      </w:r>
    </w:p>
    <w:p w14:paraId="0C9F2BDF" w14:textId="2BEA53B3" w:rsidR="00A56EDD" w:rsidRPr="0079401D" w:rsidRDefault="00A56EDD" w:rsidP="0079401D">
      <w:pPr>
        <w:jc w:val="both"/>
        <w:rPr>
          <w:rFonts w:ascii="Arial" w:hAnsi="Arial" w:cs="Arial"/>
          <w:sz w:val="20"/>
          <w:szCs w:val="20"/>
        </w:rPr>
      </w:pPr>
      <w:r w:rsidRPr="000C40A0">
        <w:rPr>
          <w:rFonts w:cs="Arial"/>
          <w:b/>
          <w:bCs/>
          <w:szCs w:val="20"/>
        </w:rPr>
        <w:t xml:space="preserve">A package of programs has been designed to meet the information needs for development planning and monitoring in </w:t>
      </w:r>
      <w:r w:rsidR="006737B3">
        <w:rPr>
          <w:rFonts w:cs="Arial"/>
          <w:b/>
          <w:bCs/>
          <w:szCs w:val="20"/>
        </w:rPr>
        <w:t>s</w:t>
      </w:r>
      <w:r w:rsidRPr="000C40A0">
        <w:rPr>
          <w:rFonts w:cs="Arial"/>
          <w:b/>
          <w:bCs/>
          <w:szCs w:val="20"/>
        </w:rPr>
        <w:t>outhern Sudan, including data collection and storage, data analysis linked to user and policy needs, dissemination</w:t>
      </w:r>
      <w:r w:rsidR="006737B3">
        <w:rPr>
          <w:rFonts w:cs="Arial"/>
          <w:b/>
          <w:bCs/>
          <w:szCs w:val="20"/>
        </w:rPr>
        <w:t>,</w:t>
      </w:r>
      <w:r w:rsidRPr="000C40A0">
        <w:rPr>
          <w:rFonts w:cs="Arial"/>
          <w:b/>
          <w:bCs/>
          <w:szCs w:val="20"/>
        </w:rPr>
        <w:t xml:space="preserve"> and capacity building. </w:t>
      </w:r>
      <w:r w:rsidRPr="000C40A0">
        <w:rPr>
          <w:rFonts w:cs="Arial"/>
          <w:szCs w:val="20"/>
        </w:rPr>
        <w:t>A key related dimension is building analytical capacity and ensuring strong linkages to users. This will be coordinated with, and complement, programs developed at the sectoral level (</w:t>
      </w:r>
      <w:r w:rsidR="0093206E">
        <w:rPr>
          <w:rFonts w:cs="Arial"/>
          <w:szCs w:val="20"/>
        </w:rPr>
        <w:t>for example,</w:t>
      </w:r>
      <w:r w:rsidRPr="000C40A0">
        <w:rPr>
          <w:rFonts w:cs="Arial"/>
          <w:szCs w:val="20"/>
        </w:rPr>
        <w:t xml:space="preserve"> the Education Management Information System), that have been costed separately. As the CBS and the NSCSE have been mandated by the CPA to conduct the population census, the costs associated with the census in South Sudan will be the responsibility of the NSCSE in collaboration with the CBS through the agreed arrangements.</w:t>
      </w:r>
    </w:p>
    <w:p w14:paraId="5162CC9F" w14:textId="77777777" w:rsidR="00A56EDD" w:rsidRPr="00B513F4" w:rsidRDefault="00A56EDD" w:rsidP="00A56EDD">
      <w:pPr>
        <w:pStyle w:val="Heading2"/>
      </w:pPr>
      <w:r w:rsidRPr="00B513F4">
        <w:br w:type="page"/>
      </w:r>
      <w:bookmarkStart w:id="53" w:name="_Toc447892412"/>
      <w:r w:rsidRPr="00B513F4">
        <w:lastRenderedPageBreak/>
        <w:t>References</w:t>
      </w:r>
      <w:bookmarkEnd w:id="53"/>
    </w:p>
    <w:p w14:paraId="5650DBF5" w14:textId="0484C670" w:rsidR="00A56EDD" w:rsidRPr="00B513F4" w:rsidRDefault="00587A52" w:rsidP="00EB77B1">
      <w:pPr>
        <w:shd w:val="clear" w:color="auto" w:fill="FFFFFF"/>
        <w:spacing w:line="240" w:lineRule="auto"/>
        <w:ind w:left="720" w:hanging="720"/>
      </w:pPr>
      <w:r>
        <w:t>ASI (</w:t>
      </w:r>
      <w:r w:rsidR="00A56EDD" w:rsidRPr="00B513F4">
        <w:t>Adam Smith International</w:t>
      </w:r>
      <w:r>
        <w:t>)</w:t>
      </w:r>
      <w:r w:rsidR="00976F0E">
        <w:t>.</w:t>
      </w:r>
      <w:r w:rsidR="00A56EDD" w:rsidRPr="00B513F4">
        <w:t xml:space="preserve"> 2008</w:t>
      </w:r>
      <w:r w:rsidR="00976F0E">
        <w:t>.</w:t>
      </w:r>
      <w:r w:rsidR="00A56EDD" w:rsidRPr="00B513F4">
        <w:t xml:space="preserve"> </w:t>
      </w:r>
      <w:r w:rsidR="00A56EDD" w:rsidRPr="00D34D7B">
        <w:rPr>
          <w:i/>
        </w:rPr>
        <w:t>Public Service State Review</w:t>
      </w:r>
      <w:r w:rsidR="00A56EDD" w:rsidRPr="00B513F4">
        <w:t xml:space="preserve">. </w:t>
      </w:r>
    </w:p>
    <w:p w14:paraId="77132AEE" w14:textId="5B69AB5C" w:rsidR="00A56EDD" w:rsidRPr="00B513F4" w:rsidRDefault="003733B5" w:rsidP="00EB77B1">
      <w:pPr>
        <w:shd w:val="clear" w:color="auto" w:fill="FFFFFF"/>
        <w:spacing w:line="240" w:lineRule="auto"/>
        <w:ind w:left="720" w:hanging="720"/>
      </w:pPr>
      <w:r>
        <w:t>AfDB (</w:t>
      </w:r>
      <w:r w:rsidR="00A56EDD" w:rsidRPr="00B513F4">
        <w:t>African Development Bank</w:t>
      </w:r>
      <w:r>
        <w:t>)</w:t>
      </w:r>
      <w:r w:rsidR="000B311F">
        <w:t>.</w:t>
      </w:r>
      <w:r w:rsidR="00A56EDD" w:rsidRPr="00B513F4">
        <w:t xml:space="preserve"> 2011</w:t>
      </w:r>
      <w:r w:rsidR="000B311F">
        <w:t>.</w:t>
      </w:r>
      <w:r w:rsidR="00A56EDD" w:rsidRPr="00B513F4">
        <w:t xml:space="preserve"> </w:t>
      </w:r>
      <w:r w:rsidR="00A56EDD" w:rsidRPr="00B513F4">
        <w:rPr>
          <w:i/>
        </w:rPr>
        <w:t>The Political Economy of South Sudan</w:t>
      </w:r>
      <w:r w:rsidR="00A56EDD" w:rsidRPr="00B513F4">
        <w:t xml:space="preserve">. A Scoping Analytical Study. </w:t>
      </w:r>
      <w:hyperlink r:id="rId38" w:history="1">
        <w:r w:rsidR="00A56EDD" w:rsidRPr="00B513F4">
          <w:rPr>
            <w:rStyle w:val="Hyperlink"/>
          </w:rPr>
          <w:t>http://www.afdb.org/fileadmin/uploads/afdb/Documents/Project-and-Operations/2011%20Political_Economy_South_Sudan_-_24_October_20111.pdf</w:t>
        </w:r>
      </w:hyperlink>
      <w:r w:rsidR="00A56EDD" w:rsidRPr="00B513F4">
        <w:t xml:space="preserve">. </w:t>
      </w:r>
    </w:p>
    <w:p w14:paraId="3562E000" w14:textId="043D0680" w:rsidR="00A56EDD" w:rsidRPr="00B513F4" w:rsidRDefault="00A56EDD" w:rsidP="00EB77B1">
      <w:pPr>
        <w:shd w:val="clear" w:color="auto" w:fill="FFFFFF"/>
        <w:spacing w:line="240" w:lineRule="auto"/>
        <w:ind w:left="720" w:hanging="720"/>
      </w:pPr>
      <w:r w:rsidRPr="00B513F4">
        <w:t>Baas, Saskia</w:t>
      </w:r>
      <w:r w:rsidR="000B311F">
        <w:t>.</w:t>
      </w:r>
      <w:r w:rsidRPr="00B513F4">
        <w:t xml:space="preserve"> 2012</w:t>
      </w:r>
      <w:r w:rsidR="000B311F">
        <w:t>.</w:t>
      </w:r>
      <w:r w:rsidRPr="00B513F4">
        <w:t xml:space="preserve"> </w:t>
      </w:r>
      <w:r w:rsidRPr="00B513F4">
        <w:rPr>
          <w:i/>
        </w:rPr>
        <w:t>From Civilians to Soldiers and from Soldiers to Civilians</w:t>
      </w:r>
      <w:r w:rsidRPr="00B513F4">
        <w:t>. Amsterdam: Amsterdam University Press.</w:t>
      </w:r>
    </w:p>
    <w:p w14:paraId="2D383D70" w14:textId="487EC97C" w:rsidR="00A56EDD" w:rsidRDefault="00A56EDD" w:rsidP="00EB77B1">
      <w:pPr>
        <w:shd w:val="clear" w:color="auto" w:fill="FFFFFF"/>
        <w:spacing w:line="240" w:lineRule="auto"/>
        <w:ind w:left="720" w:hanging="720"/>
      </w:pPr>
      <w:r w:rsidRPr="00B513F4">
        <w:t>Booz and Company</w:t>
      </w:r>
      <w:r w:rsidR="000B311F">
        <w:t>.</w:t>
      </w:r>
      <w:r w:rsidRPr="00B513F4">
        <w:t xml:space="preserve"> 2010</w:t>
      </w:r>
      <w:r w:rsidR="000B311F">
        <w:t>.</w:t>
      </w:r>
      <w:r w:rsidRPr="00B513F4">
        <w:t xml:space="preserve"> </w:t>
      </w:r>
      <w:r w:rsidRPr="00D34D7B">
        <w:rPr>
          <w:i/>
        </w:rPr>
        <w:t xml:space="preserve">Lessons </w:t>
      </w:r>
      <w:r w:rsidR="000B311F" w:rsidRPr="00D34D7B">
        <w:rPr>
          <w:i/>
        </w:rPr>
        <w:t>L</w:t>
      </w:r>
      <w:r w:rsidRPr="00D34D7B">
        <w:rPr>
          <w:i/>
        </w:rPr>
        <w:t xml:space="preserve">earned </w:t>
      </w:r>
      <w:r w:rsidR="000B311F" w:rsidRPr="00D34D7B">
        <w:rPr>
          <w:i/>
        </w:rPr>
        <w:t>E</w:t>
      </w:r>
      <w:r w:rsidRPr="00D34D7B">
        <w:rPr>
          <w:i/>
        </w:rPr>
        <w:t xml:space="preserve">xercise on </w:t>
      </w:r>
      <w:r w:rsidR="000B311F" w:rsidRPr="00D34D7B">
        <w:rPr>
          <w:i/>
        </w:rPr>
        <w:t>D</w:t>
      </w:r>
      <w:r w:rsidRPr="00D34D7B">
        <w:rPr>
          <w:i/>
        </w:rPr>
        <w:t xml:space="preserve">ata </w:t>
      </w:r>
      <w:r w:rsidR="000B311F" w:rsidRPr="00D34D7B">
        <w:rPr>
          <w:i/>
        </w:rPr>
        <w:t>G</w:t>
      </w:r>
      <w:r w:rsidRPr="00D34D7B">
        <w:rPr>
          <w:i/>
        </w:rPr>
        <w:t xml:space="preserve">athering and </w:t>
      </w:r>
      <w:r w:rsidR="000B311F" w:rsidRPr="00D34D7B">
        <w:rPr>
          <w:i/>
        </w:rPr>
        <w:t>P</w:t>
      </w:r>
      <w:r w:rsidRPr="00D34D7B">
        <w:rPr>
          <w:i/>
        </w:rPr>
        <w:t xml:space="preserve">ayroll </w:t>
      </w:r>
      <w:r w:rsidR="000B311F" w:rsidRPr="00D34D7B">
        <w:rPr>
          <w:i/>
        </w:rPr>
        <w:t>I</w:t>
      </w:r>
      <w:r w:rsidRPr="00D34D7B">
        <w:rPr>
          <w:i/>
        </w:rPr>
        <w:t>mplementation</w:t>
      </w:r>
      <w:r w:rsidR="00314AC9">
        <w:t>.</w:t>
      </w:r>
      <w:r w:rsidRPr="00B513F4">
        <w:t xml:space="preserve"> </w:t>
      </w:r>
      <w:r w:rsidR="00314AC9">
        <w:t>R</w:t>
      </w:r>
      <w:r w:rsidRPr="00B513F4">
        <w:t>evised draft</w:t>
      </w:r>
      <w:r w:rsidR="00314AC9">
        <w:t>.</w:t>
      </w:r>
    </w:p>
    <w:p w14:paraId="457E722B" w14:textId="2845B6FC" w:rsidR="00021767" w:rsidRPr="007D7F1F" w:rsidRDefault="00122F31" w:rsidP="007D7F1F">
      <w:pPr>
        <w:spacing w:line="240" w:lineRule="auto"/>
        <w:ind w:left="720" w:hanging="720"/>
        <w:rPr>
          <w:rFonts w:eastAsia="Times New Roman" w:cs="Arial"/>
          <w:color w:val="222222"/>
          <w:lang w:val="en"/>
        </w:rPr>
      </w:pPr>
      <w:r w:rsidRPr="007D7F1F">
        <w:t>Brautigam, D.</w:t>
      </w:r>
      <w:r w:rsidR="007D7F1F">
        <w:t>,</w:t>
      </w:r>
      <w:r w:rsidRPr="007D7F1F">
        <w:t xml:space="preserve"> and S. Knack. 2004. </w:t>
      </w:r>
      <w:r w:rsidR="007D7F1F">
        <w:t>“</w:t>
      </w:r>
      <w:r w:rsidRPr="007D7F1F">
        <w:t>Foreign Aid, Institutions, and Governance in Sub‐Saharan Africa.</w:t>
      </w:r>
      <w:r w:rsidR="007D7F1F">
        <w:t>”</w:t>
      </w:r>
      <w:r w:rsidRPr="007D7F1F">
        <w:t xml:space="preserve"> </w:t>
      </w:r>
      <w:r w:rsidRPr="007D7F1F">
        <w:rPr>
          <w:rFonts w:eastAsia="Times New Roman" w:cs="Arial"/>
          <w:i/>
          <w:iCs/>
          <w:color w:val="222222"/>
          <w:lang w:val="en"/>
        </w:rPr>
        <w:t>Economic Development and Cultural Change</w:t>
      </w:r>
      <w:r w:rsidRPr="007D7F1F">
        <w:rPr>
          <w:rFonts w:eastAsia="Times New Roman" w:cs="Arial"/>
          <w:color w:val="222222"/>
          <w:lang w:val="en"/>
        </w:rPr>
        <w:t xml:space="preserve"> 52 (2)</w:t>
      </w:r>
      <w:r w:rsidR="007D7F1F">
        <w:rPr>
          <w:rFonts w:eastAsia="Times New Roman" w:cs="Arial"/>
          <w:color w:val="222222"/>
          <w:lang w:val="en"/>
        </w:rPr>
        <w:t>:</w:t>
      </w:r>
      <w:r w:rsidRPr="007D7F1F">
        <w:rPr>
          <w:rFonts w:eastAsia="Times New Roman" w:cs="Arial"/>
          <w:color w:val="222222"/>
          <w:lang w:val="en"/>
        </w:rPr>
        <w:t xml:space="preserve"> 255</w:t>
      </w:r>
      <w:r w:rsidR="007D7F1F">
        <w:rPr>
          <w:rFonts w:eastAsia="Times New Roman" w:cs="Arial"/>
          <w:color w:val="222222"/>
          <w:lang w:val="en"/>
        </w:rPr>
        <w:t>–</w:t>
      </w:r>
      <w:r w:rsidRPr="007D7F1F">
        <w:rPr>
          <w:rFonts w:eastAsia="Times New Roman" w:cs="Arial"/>
          <w:color w:val="222222"/>
          <w:lang w:val="en"/>
        </w:rPr>
        <w:t>285</w:t>
      </w:r>
      <w:r w:rsidR="00021767" w:rsidRPr="007D7F1F">
        <w:rPr>
          <w:rFonts w:eastAsia="Times New Roman" w:cs="Arial"/>
          <w:color w:val="222222"/>
          <w:lang w:val="en"/>
        </w:rPr>
        <w:t>.</w:t>
      </w:r>
    </w:p>
    <w:p w14:paraId="55A89683" w14:textId="1B0FC008" w:rsidR="00122F31" w:rsidRPr="00021767" w:rsidRDefault="00021767" w:rsidP="00EB77B1">
      <w:pPr>
        <w:spacing w:line="240" w:lineRule="auto"/>
        <w:ind w:left="720" w:hanging="720"/>
      </w:pPr>
      <w:r w:rsidRPr="00021767">
        <w:t>Bunse, S.</w:t>
      </w:r>
      <w:r w:rsidR="00211F00">
        <w:t>,</w:t>
      </w:r>
      <w:r w:rsidRPr="00021767">
        <w:t xml:space="preserve"> and V. Fritz. 2012</w:t>
      </w:r>
      <w:r w:rsidRPr="00021767">
        <w:rPr>
          <w:i/>
        </w:rPr>
        <w:t xml:space="preserve">. </w:t>
      </w:r>
      <w:r w:rsidR="00211F00">
        <w:t>“</w:t>
      </w:r>
      <w:r w:rsidRPr="00AE326F">
        <w:t>Making Public Sector Reforms Work</w:t>
      </w:r>
      <w:r w:rsidRPr="00021767">
        <w:t>.</w:t>
      </w:r>
      <w:r w:rsidR="00211F00">
        <w:t>”</w:t>
      </w:r>
      <w:r w:rsidRPr="00021767">
        <w:t xml:space="preserve"> Policy Research Working Paper 6174</w:t>
      </w:r>
      <w:r w:rsidR="00211F00">
        <w:t>,</w:t>
      </w:r>
      <w:r w:rsidRPr="00021767">
        <w:t xml:space="preserve"> </w:t>
      </w:r>
      <w:r w:rsidR="00211F00">
        <w:t xml:space="preserve">World Bank, </w:t>
      </w:r>
      <w:r w:rsidRPr="00021767">
        <w:t>Washington</w:t>
      </w:r>
      <w:r w:rsidR="00211F00">
        <w:t>,</w:t>
      </w:r>
      <w:r w:rsidRPr="00021767">
        <w:t xml:space="preserve"> DC. </w:t>
      </w:r>
    </w:p>
    <w:p w14:paraId="6199B891" w14:textId="1114F368" w:rsidR="00A56EDD" w:rsidRPr="00B513F4" w:rsidRDefault="00A56EDD" w:rsidP="00EB77B1">
      <w:pPr>
        <w:shd w:val="clear" w:color="auto" w:fill="FFFFFF"/>
        <w:spacing w:line="240" w:lineRule="auto"/>
        <w:ind w:left="720" w:hanging="720"/>
      </w:pPr>
      <w:r w:rsidRPr="00B513F4">
        <w:t>Burns, J. 2007</w:t>
      </w:r>
      <w:r w:rsidR="00314AC9">
        <w:t>.</w:t>
      </w:r>
      <w:r w:rsidRPr="00B513F4">
        <w:t xml:space="preserve"> </w:t>
      </w:r>
      <w:r w:rsidR="00314AC9">
        <w:t>“</w:t>
      </w:r>
      <w:r w:rsidRPr="00B513F4">
        <w:t>Civil Service Reform in China.</w:t>
      </w:r>
      <w:r w:rsidR="00314AC9">
        <w:t>”</w:t>
      </w:r>
      <w:r w:rsidRPr="00B513F4">
        <w:t xml:space="preserve"> </w:t>
      </w:r>
      <w:r w:rsidRPr="00B513F4">
        <w:rPr>
          <w:i/>
        </w:rPr>
        <w:t>OECD Journal on Budgeting</w:t>
      </w:r>
      <w:r w:rsidRPr="00B513F4">
        <w:t xml:space="preserve"> 7 (1). </w:t>
      </w:r>
    </w:p>
    <w:p w14:paraId="614A8C6F" w14:textId="553DE373" w:rsidR="00A56EDD" w:rsidRDefault="00A56EDD" w:rsidP="00EB77B1">
      <w:pPr>
        <w:shd w:val="clear" w:color="auto" w:fill="FFFFFF"/>
        <w:spacing w:line="240" w:lineRule="auto"/>
        <w:ind w:left="720" w:hanging="720"/>
      </w:pPr>
      <w:r w:rsidRPr="00B513F4">
        <w:t>Cederman, L. E., K. Gleditsch</w:t>
      </w:r>
      <w:r w:rsidR="00314AC9">
        <w:t>,</w:t>
      </w:r>
      <w:r w:rsidRPr="00B513F4">
        <w:t xml:space="preserve"> and A. Buhaug</w:t>
      </w:r>
      <w:r w:rsidR="00314AC9">
        <w:t>.</w:t>
      </w:r>
      <w:r w:rsidRPr="00B513F4">
        <w:t xml:space="preserve"> 2013</w:t>
      </w:r>
      <w:r w:rsidR="00314AC9">
        <w:t>.</w:t>
      </w:r>
      <w:r w:rsidRPr="00B513F4">
        <w:t xml:space="preserve"> </w:t>
      </w:r>
      <w:r w:rsidRPr="00B513F4">
        <w:rPr>
          <w:i/>
        </w:rPr>
        <w:t>Inequality, Grievances, and Civil War</w:t>
      </w:r>
      <w:r w:rsidRPr="00B513F4">
        <w:t xml:space="preserve">. Cambridge: Cambridge University Press. </w:t>
      </w:r>
    </w:p>
    <w:p w14:paraId="4608EA9F" w14:textId="4646BAD6" w:rsidR="009F6CAC" w:rsidRPr="00B513F4" w:rsidRDefault="009F6CAC" w:rsidP="00A4245A">
      <w:pPr>
        <w:autoSpaceDE w:val="0"/>
        <w:autoSpaceDN w:val="0"/>
        <w:adjustRightInd w:val="0"/>
        <w:spacing w:line="240" w:lineRule="auto"/>
        <w:ind w:left="720" w:hanging="720"/>
      </w:pPr>
      <w:r>
        <w:t>CGD</w:t>
      </w:r>
      <w:r w:rsidR="00955964">
        <w:t xml:space="preserve"> (Center for Global Development)</w:t>
      </w:r>
      <w:r>
        <w:t xml:space="preserve">. 2009. </w:t>
      </w:r>
      <w:r w:rsidRPr="009F6CAC">
        <w:rPr>
          <w:i/>
        </w:rPr>
        <w:t>Partnerships with the Private Sector in Health. What the International Community</w:t>
      </w:r>
      <w:r w:rsidR="00955964">
        <w:rPr>
          <w:i/>
        </w:rPr>
        <w:t xml:space="preserve"> </w:t>
      </w:r>
      <w:r w:rsidRPr="009F6CAC">
        <w:rPr>
          <w:i/>
        </w:rPr>
        <w:t>Can Do to Strengthen Health Systems in Developing Countries</w:t>
      </w:r>
      <w:r>
        <w:t xml:space="preserve">. </w:t>
      </w:r>
      <w:hyperlink r:id="rId39" w:history="1">
        <w:r w:rsidRPr="00440849">
          <w:rPr>
            <w:rStyle w:val="Hyperlink"/>
          </w:rPr>
          <w:t>http://www.cgdev.org/files/1423350_file_CGD_PSAF_Report_web.pdf</w:t>
        </w:r>
      </w:hyperlink>
      <w:r>
        <w:t xml:space="preserve">. </w:t>
      </w:r>
    </w:p>
    <w:p w14:paraId="03FA5E89" w14:textId="2B831F6C" w:rsidR="00A56EDD" w:rsidRPr="00B513F4" w:rsidRDefault="00A56EDD" w:rsidP="00EB77B1">
      <w:pPr>
        <w:shd w:val="clear" w:color="auto" w:fill="FFFFFF"/>
        <w:spacing w:line="240" w:lineRule="auto"/>
        <w:ind w:left="720" w:hanging="720"/>
      </w:pPr>
      <w:r w:rsidRPr="00B513F4">
        <w:t xml:space="preserve">Clements, B., S. Gupta, I. Karpowicz, </w:t>
      </w:r>
      <w:r w:rsidR="004E718F">
        <w:t xml:space="preserve">and </w:t>
      </w:r>
      <w:r w:rsidRPr="00B513F4">
        <w:t>S. Tareq</w:t>
      </w:r>
      <w:r w:rsidR="00B44633">
        <w:t>.</w:t>
      </w:r>
      <w:r w:rsidRPr="00B513F4">
        <w:t xml:space="preserve"> 2010</w:t>
      </w:r>
      <w:r w:rsidR="00B44633">
        <w:t>.</w:t>
      </w:r>
      <w:r w:rsidRPr="00B513F4">
        <w:t xml:space="preserve"> </w:t>
      </w:r>
      <w:r w:rsidRPr="00B513F4">
        <w:rPr>
          <w:i/>
        </w:rPr>
        <w:t>Evaluating Government Employment and Compensation</w:t>
      </w:r>
      <w:r w:rsidR="00B44633">
        <w:t>.</w:t>
      </w:r>
      <w:r w:rsidRPr="00B44633">
        <w:t xml:space="preserve"> </w:t>
      </w:r>
      <w:r w:rsidRPr="00B513F4">
        <w:t>Washington</w:t>
      </w:r>
      <w:r w:rsidR="00B44633">
        <w:t>,</w:t>
      </w:r>
      <w:r w:rsidRPr="00B513F4">
        <w:t xml:space="preserve"> DC: I</w:t>
      </w:r>
      <w:r w:rsidR="004E718F">
        <w:t xml:space="preserve">nternational </w:t>
      </w:r>
      <w:r w:rsidRPr="00B513F4">
        <w:t>M</w:t>
      </w:r>
      <w:r w:rsidR="004E718F">
        <w:t xml:space="preserve">onetary </w:t>
      </w:r>
      <w:r w:rsidRPr="00B513F4">
        <w:t>F</w:t>
      </w:r>
      <w:r w:rsidR="004E718F">
        <w:t>und</w:t>
      </w:r>
      <w:r w:rsidR="00B44633">
        <w:t>.</w:t>
      </w:r>
      <w:r w:rsidRPr="00B513F4">
        <w:t xml:space="preserve"> </w:t>
      </w:r>
      <w:hyperlink r:id="rId40" w:history="1">
        <w:r w:rsidRPr="00B513F4">
          <w:rPr>
            <w:rStyle w:val="Hyperlink"/>
          </w:rPr>
          <w:t>https://www.imf.org/external/pubs/ft/tnm/2010/tnm1015.pdf</w:t>
        </w:r>
      </w:hyperlink>
      <w:r w:rsidRPr="00B513F4">
        <w:t>.</w:t>
      </w:r>
    </w:p>
    <w:p w14:paraId="370969F0" w14:textId="27076B3B" w:rsidR="00A56EDD" w:rsidRPr="00B513F4" w:rsidRDefault="00A56EDD" w:rsidP="00EB77B1">
      <w:pPr>
        <w:shd w:val="clear" w:color="auto" w:fill="FFFFFF"/>
        <w:spacing w:line="240" w:lineRule="auto"/>
        <w:ind w:left="720" w:hanging="720"/>
        <w:rPr>
          <w:rFonts w:ascii="Times-Bold" w:hAnsi="Times-Bold" w:cs="Times-Bold"/>
          <w:bCs/>
        </w:rPr>
      </w:pPr>
      <w:r w:rsidRPr="00B513F4">
        <w:t>Cook, T.</w:t>
      </w:r>
      <w:r w:rsidR="004E718F">
        <w:t>,</w:t>
      </w:r>
      <w:r w:rsidRPr="00B513F4">
        <w:t xml:space="preserve"> and L. Moro</w:t>
      </w:r>
      <w:r w:rsidR="004E718F">
        <w:t>.</w:t>
      </w:r>
      <w:r w:rsidRPr="00B513F4">
        <w:t xml:space="preserve"> 2012</w:t>
      </w:r>
      <w:r w:rsidR="004E718F">
        <w:t>.</w:t>
      </w:r>
      <w:r w:rsidRPr="00B513F4">
        <w:t xml:space="preserve"> </w:t>
      </w:r>
      <w:r w:rsidRPr="00B513F4">
        <w:rPr>
          <w:i/>
        </w:rPr>
        <w:t xml:space="preserve">Governing South Sudan </w:t>
      </w:r>
      <w:r w:rsidR="004E718F">
        <w:rPr>
          <w:i/>
        </w:rPr>
        <w:t>-</w:t>
      </w:r>
      <w:r w:rsidRPr="00B513F4">
        <w:rPr>
          <w:i/>
        </w:rPr>
        <w:t xml:space="preserve"> Opinions of South Sudanese on a Government That Can Meet Citizen Expectations</w:t>
      </w:r>
      <w:r w:rsidRPr="00B513F4">
        <w:t>. Washington</w:t>
      </w:r>
      <w:r w:rsidR="00955964">
        <w:t>,</w:t>
      </w:r>
      <w:r w:rsidRPr="00B513F4">
        <w:t xml:space="preserve"> DC: National Democratic Institute for International Affairs</w:t>
      </w:r>
      <w:r w:rsidR="004E718F">
        <w:t>.</w:t>
      </w:r>
      <w:r w:rsidRPr="00B513F4">
        <w:t xml:space="preserve"> </w:t>
      </w:r>
    </w:p>
    <w:p w14:paraId="39E665A8" w14:textId="299BAED7" w:rsidR="00A56EDD" w:rsidRPr="00B513F4" w:rsidRDefault="00A56EDD" w:rsidP="00EB77B1">
      <w:pPr>
        <w:shd w:val="clear" w:color="auto" w:fill="FFFFFF"/>
        <w:spacing w:line="240" w:lineRule="auto"/>
        <w:ind w:left="720" w:hanging="720"/>
      </w:pPr>
      <w:r w:rsidRPr="00B513F4">
        <w:t>Deng, L</w:t>
      </w:r>
      <w:r w:rsidR="007851B1">
        <w:t>.</w:t>
      </w:r>
      <w:r w:rsidRPr="00B513F4">
        <w:t xml:space="preserve"> 2013</w:t>
      </w:r>
      <w:r w:rsidR="007851B1">
        <w:t>.</w:t>
      </w:r>
      <w:r w:rsidRPr="00B513F4">
        <w:t xml:space="preserve"> </w:t>
      </w:r>
      <w:r w:rsidRPr="00D34D7B">
        <w:rPr>
          <w:i/>
        </w:rPr>
        <w:t>Its The Leadership Stupid: The Challenges of Post-conflict Economic Governance</w:t>
      </w:r>
      <w:r w:rsidRPr="00B513F4">
        <w:t>. http://www.academia.edu/4566398/Its_The_Leadership_Stupid</w:t>
      </w:r>
      <w:r w:rsidR="007851B1">
        <w:t>.</w:t>
      </w:r>
    </w:p>
    <w:p w14:paraId="56D6B16D" w14:textId="13D40E1D" w:rsidR="00A56EDD" w:rsidRPr="00B513F4" w:rsidRDefault="00A56EDD" w:rsidP="00EB77B1">
      <w:pPr>
        <w:shd w:val="clear" w:color="auto" w:fill="FFFFFF"/>
        <w:spacing w:line="240" w:lineRule="auto"/>
        <w:ind w:left="720" w:hanging="720"/>
        <w:rPr>
          <w:rFonts w:cs="TimesNewRoman"/>
        </w:rPr>
      </w:pPr>
      <w:r w:rsidRPr="00B513F4">
        <w:rPr>
          <w:rFonts w:cs="TimesNewRoman"/>
        </w:rPr>
        <w:t>Dom, C. 2013</w:t>
      </w:r>
      <w:r w:rsidR="007851B1">
        <w:rPr>
          <w:rFonts w:cs="TimesNewRoman"/>
        </w:rPr>
        <w:t>.</w:t>
      </w:r>
      <w:r w:rsidRPr="00B513F4">
        <w:rPr>
          <w:rFonts w:cs="TimesNewRoman"/>
        </w:rPr>
        <w:t xml:space="preserve"> </w:t>
      </w:r>
      <w:r w:rsidR="007851B1">
        <w:rPr>
          <w:rFonts w:cs="TimesNewRoman"/>
        </w:rPr>
        <w:t>“</w:t>
      </w:r>
      <w:r w:rsidRPr="00B513F4">
        <w:rPr>
          <w:rFonts w:cs="TimesNewRoman"/>
        </w:rPr>
        <w:t>Grading Teachers.</w:t>
      </w:r>
      <w:r w:rsidR="007851B1">
        <w:rPr>
          <w:rFonts w:cs="TimesNewRoman"/>
        </w:rPr>
        <w:t>”</w:t>
      </w:r>
      <w:r w:rsidRPr="00B513F4">
        <w:rPr>
          <w:rFonts w:cs="TimesNewRoman"/>
        </w:rPr>
        <w:t xml:space="preserve"> Presentation for </w:t>
      </w:r>
      <w:r w:rsidRPr="004E718F">
        <w:t>MoFCIEP</w:t>
      </w:r>
      <w:r w:rsidRPr="00B513F4">
        <w:rPr>
          <w:rFonts w:cs="TimesNewRoman"/>
        </w:rPr>
        <w:t xml:space="preserve">. </w:t>
      </w:r>
    </w:p>
    <w:p w14:paraId="08E3FB5F" w14:textId="59584761" w:rsidR="00A56EDD" w:rsidRPr="00B513F4" w:rsidRDefault="00A56EDD" w:rsidP="00EB77B1">
      <w:pPr>
        <w:shd w:val="clear" w:color="auto" w:fill="FFFFFF"/>
        <w:spacing w:line="240" w:lineRule="auto"/>
        <w:ind w:left="720" w:hanging="720"/>
      </w:pPr>
      <w:r w:rsidRPr="00B513F4">
        <w:t>Downie, R. 2012</w:t>
      </w:r>
      <w:r w:rsidR="0014740C">
        <w:t>.</w:t>
      </w:r>
      <w:r w:rsidRPr="00B513F4">
        <w:t xml:space="preserve"> </w:t>
      </w:r>
      <w:r w:rsidRPr="00B513F4">
        <w:rPr>
          <w:i/>
        </w:rPr>
        <w:t xml:space="preserve">The State of Public Health in South Sudan </w:t>
      </w:r>
      <w:r w:rsidR="0014740C">
        <w:rPr>
          <w:i/>
        </w:rPr>
        <w:t>-</w:t>
      </w:r>
      <w:r w:rsidRPr="00B513F4">
        <w:rPr>
          <w:i/>
        </w:rPr>
        <w:t xml:space="preserve"> Critical Condition</w:t>
      </w:r>
      <w:r w:rsidRPr="00B513F4">
        <w:t>. Washington</w:t>
      </w:r>
      <w:r w:rsidR="0014740C">
        <w:t>,</w:t>
      </w:r>
      <w:r w:rsidRPr="00B513F4">
        <w:t xml:space="preserve"> DC: C</w:t>
      </w:r>
      <w:r w:rsidR="0014740C">
        <w:t xml:space="preserve">enter for </w:t>
      </w:r>
      <w:r w:rsidRPr="00B513F4">
        <w:t>S</w:t>
      </w:r>
      <w:r w:rsidR="0014740C">
        <w:t xml:space="preserve">trategic and </w:t>
      </w:r>
      <w:r w:rsidRPr="00B513F4">
        <w:t>I</w:t>
      </w:r>
      <w:r w:rsidR="0014740C">
        <w:t xml:space="preserve">nternational </w:t>
      </w:r>
      <w:r w:rsidRPr="00B513F4">
        <w:t>S</w:t>
      </w:r>
      <w:r w:rsidR="0014740C">
        <w:t>tudies</w:t>
      </w:r>
      <w:r w:rsidRPr="00B513F4">
        <w:t xml:space="preserve">. </w:t>
      </w:r>
    </w:p>
    <w:p w14:paraId="02F2CB07" w14:textId="2B78FE7F" w:rsidR="00A56EDD" w:rsidRPr="00B513F4" w:rsidRDefault="00A56EDD" w:rsidP="00EB77B1">
      <w:pPr>
        <w:shd w:val="clear" w:color="auto" w:fill="FFFFFF"/>
        <w:spacing w:line="240" w:lineRule="auto"/>
        <w:ind w:left="720" w:hanging="720"/>
      </w:pPr>
      <w:r w:rsidRPr="00B513F4">
        <w:t>Esman, Milton</w:t>
      </w:r>
      <w:r w:rsidR="003D5AA8">
        <w:t>.</w:t>
      </w:r>
      <w:r w:rsidRPr="00B513F4">
        <w:t xml:space="preserve"> 1999</w:t>
      </w:r>
      <w:r w:rsidR="003D5AA8">
        <w:t>.</w:t>
      </w:r>
      <w:r w:rsidRPr="00B513F4">
        <w:t xml:space="preserve"> </w:t>
      </w:r>
      <w:r w:rsidR="003D5AA8">
        <w:t>“</w:t>
      </w:r>
      <w:r w:rsidRPr="00B513F4">
        <w:t xml:space="preserve">Public Administration and Conflict Management in Plural Societies: </w:t>
      </w:r>
      <w:r w:rsidR="003D5AA8">
        <w:t>T</w:t>
      </w:r>
      <w:r w:rsidRPr="00B513F4">
        <w:t>he Case for Representative Bureaucracy.</w:t>
      </w:r>
      <w:r w:rsidR="003D5AA8">
        <w:t>”</w:t>
      </w:r>
      <w:r w:rsidRPr="00B513F4">
        <w:t xml:space="preserve"> </w:t>
      </w:r>
      <w:r w:rsidRPr="00D34D7B">
        <w:rPr>
          <w:i/>
        </w:rPr>
        <w:t>Public Administration and Development</w:t>
      </w:r>
      <w:r w:rsidRPr="00B513F4">
        <w:t xml:space="preserve"> 19: 353</w:t>
      </w:r>
      <w:r w:rsidR="003D5AA8">
        <w:t>–</w:t>
      </w:r>
      <w:r w:rsidRPr="00B513F4">
        <w:t>366.</w:t>
      </w:r>
    </w:p>
    <w:p w14:paraId="37637880" w14:textId="7FFCA098" w:rsidR="00A56EDD" w:rsidRPr="00B513F4" w:rsidRDefault="00A56EDD" w:rsidP="00EB77B1">
      <w:pPr>
        <w:shd w:val="clear" w:color="auto" w:fill="FFFFFF"/>
        <w:spacing w:line="240" w:lineRule="auto"/>
        <w:ind w:left="720" w:hanging="720"/>
      </w:pPr>
      <w:r w:rsidRPr="00B513F4">
        <w:t>Fritz, V.</w:t>
      </w:r>
      <w:r w:rsidR="003D5AA8">
        <w:t>,</w:t>
      </w:r>
      <w:r w:rsidRPr="00B513F4">
        <w:t xml:space="preserve"> and A. Rocha Menocal</w:t>
      </w:r>
      <w:r w:rsidR="003D5AA8">
        <w:t>.</w:t>
      </w:r>
      <w:r w:rsidRPr="00B513F4">
        <w:t xml:space="preserve"> 2007</w:t>
      </w:r>
      <w:r w:rsidR="003D5AA8">
        <w:t>.</w:t>
      </w:r>
      <w:r w:rsidRPr="00B513F4">
        <w:t xml:space="preserve"> </w:t>
      </w:r>
      <w:r w:rsidRPr="00D34D7B">
        <w:rPr>
          <w:i/>
        </w:rPr>
        <w:t xml:space="preserve">Understanding State-Building from a Political Economy Perspective. An Analytical and Conceptual Paper on Processes, Embedded Tensions and Lessons </w:t>
      </w:r>
      <w:r w:rsidRPr="00D34D7B">
        <w:rPr>
          <w:i/>
        </w:rPr>
        <w:lastRenderedPageBreak/>
        <w:t>for International Engagement</w:t>
      </w:r>
      <w:r w:rsidRPr="00B513F4">
        <w:t xml:space="preserve">. London: Overseas Development Institute. </w:t>
      </w:r>
      <w:hyperlink r:id="rId41" w:history="1">
        <w:r w:rsidRPr="00B513F4">
          <w:rPr>
            <w:rStyle w:val="Hyperlink"/>
          </w:rPr>
          <w:t>http://www.odi.org.uk/sites/odi.org.uk/files/odi-assets/publications-opinion-files/1979.pdf/</w:t>
        </w:r>
      </w:hyperlink>
      <w:r w:rsidRPr="00B513F4">
        <w:t xml:space="preserve">. </w:t>
      </w:r>
    </w:p>
    <w:p w14:paraId="2B871351" w14:textId="1BA687FD" w:rsidR="00A56EDD" w:rsidRPr="00B513F4" w:rsidRDefault="00A56EDD" w:rsidP="00EB77B1">
      <w:pPr>
        <w:autoSpaceDE w:val="0"/>
        <w:autoSpaceDN w:val="0"/>
        <w:adjustRightInd w:val="0"/>
        <w:spacing w:line="240" w:lineRule="auto"/>
        <w:ind w:left="720" w:hanging="720"/>
      </w:pPr>
      <w:r w:rsidRPr="00B513F4">
        <w:t xml:space="preserve">Ghani, A., C. Lockhart, </w:t>
      </w:r>
      <w:r w:rsidR="0019607E">
        <w:t xml:space="preserve">and </w:t>
      </w:r>
      <w:r w:rsidRPr="00B513F4">
        <w:t>M. Carnahan</w:t>
      </w:r>
      <w:r w:rsidR="0019607E">
        <w:t>.</w:t>
      </w:r>
      <w:r w:rsidRPr="00B513F4">
        <w:t xml:space="preserve"> </w:t>
      </w:r>
      <w:r w:rsidR="0019607E">
        <w:t xml:space="preserve">2005. </w:t>
      </w:r>
      <w:r w:rsidR="00773480">
        <w:t>“</w:t>
      </w:r>
      <w:r w:rsidRPr="00B513F4">
        <w:t xml:space="preserve">Closing the Sovereignty Gap: </w:t>
      </w:r>
      <w:r w:rsidR="001828FD">
        <w:t>A</w:t>
      </w:r>
      <w:r w:rsidRPr="00B513F4">
        <w:t>n Approach to</w:t>
      </w:r>
      <w:r w:rsidR="00EB77B1">
        <w:t xml:space="preserve"> </w:t>
      </w:r>
      <w:r w:rsidRPr="00B513F4">
        <w:t>State-Building.</w:t>
      </w:r>
      <w:r w:rsidR="00773480">
        <w:t>”</w:t>
      </w:r>
      <w:r w:rsidRPr="00B513F4">
        <w:t xml:space="preserve"> ODI Working Paper 253, Overseas Development Institute</w:t>
      </w:r>
      <w:r w:rsidR="0082672E">
        <w:t>, London</w:t>
      </w:r>
      <w:r w:rsidRPr="00B513F4">
        <w:t xml:space="preserve">. </w:t>
      </w:r>
      <w:hyperlink r:id="rId42" w:history="1">
        <w:r w:rsidR="00EB77B1" w:rsidRPr="00AD22CF">
          <w:rPr>
            <w:rStyle w:val="Hyperlink"/>
          </w:rPr>
          <w:t>http://www.odi.org.uk/sites/odi.org.uk/files/odi-assets/publications-opinion-files/2482.pdf</w:t>
        </w:r>
      </w:hyperlink>
      <w:r w:rsidRPr="00B513F4">
        <w:t xml:space="preserve">. </w:t>
      </w:r>
    </w:p>
    <w:p w14:paraId="3994AFFB" w14:textId="5A142645" w:rsidR="00A56EDD" w:rsidRPr="00B513F4" w:rsidRDefault="00A56EDD" w:rsidP="00EB77B1">
      <w:pPr>
        <w:shd w:val="clear" w:color="auto" w:fill="FFFFFF"/>
        <w:spacing w:line="240" w:lineRule="auto"/>
        <w:ind w:left="720" w:hanging="720"/>
      </w:pPr>
      <w:r w:rsidRPr="00B513F4">
        <w:t>GOSS</w:t>
      </w:r>
      <w:r w:rsidR="001974AC">
        <w:t xml:space="preserve"> (Government of South Sudan)</w:t>
      </w:r>
      <w:r w:rsidR="009677E7">
        <w:t>.</w:t>
      </w:r>
      <w:r w:rsidRPr="00B513F4">
        <w:t xml:space="preserve"> 200</w:t>
      </w:r>
      <w:r w:rsidR="00C162EA">
        <w:t>6</w:t>
      </w:r>
      <w:r w:rsidR="002E381F">
        <w:t>.</w:t>
      </w:r>
      <w:r w:rsidRPr="00B513F4">
        <w:t xml:space="preserve"> </w:t>
      </w:r>
      <w:r w:rsidRPr="00D34D7B">
        <w:rPr>
          <w:i/>
        </w:rPr>
        <w:t>Report on the Survey of Serving Public Service Personnel in Southern Sudan</w:t>
      </w:r>
      <w:r w:rsidRPr="00B513F4">
        <w:t>. Juba</w:t>
      </w:r>
      <w:r w:rsidR="009677E7">
        <w:t>.</w:t>
      </w:r>
    </w:p>
    <w:p w14:paraId="3FBB7327" w14:textId="64A6D874" w:rsidR="00A56EDD" w:rsidRPr="00B513F4" w:rsidRDefault="00A56EDD" w:rsidP="00EB77B1">
      <w:pPr>
        <w:ind w:left="720" w:hanging="720"/>
      </w:pPr>
      <w:r w:rsidRPr="00B513F4">
        <w:t>GSDRC</w:t>
      </w:r>
      <w:r w:rsidR="001550A7">
        <w:t xml:space="preserve"> (Governance and Social Development Resource Centre)</w:t>
      </w:r>
      <w:r w:rsidR="00826486">
        <w:t>.</w:t>
      </w:r>
      <w:r w:rsidRPr="00B513F4">
        <w:t xml:space="preserve"> 2009</w:t>
      </w:r>
      <w:r w:rsidR="00826486">
        <w:t>.</w:t>
      </w:r>
      <w:r w:rsidRPr="00B513F4">
        <w:t xml:space="preserve"> </w:t>
      </w:r>
      <w:r w:rsidRPr="00D34D7B">
        <w:rPr>
          <w:i/>
        </w:rPr>
        <w:t>Helpdesk Research Report: Civil Service Reform in Rwanda</w:t>
      </w:r>
      <w:r w:rsidRPr="00B513F4">
        <w:t xml:space="preserve">. </w:t>
      </w:r>
      <w:hyperlink r:id="rId43" w:history="1">
        <w:r w:rsidRPr="00B513F4">
          <w:rPr>
            <w:rStyle w:val="Hyperlink"/>
          </w:rPr>
          <w:t>http://www.gsdrc.org/docs/open/HD643.pdf</w:t>
        </w:r>
      </w:hyperlink>
      <w:r w:rsidRPr="00B513F4">
        <w:t xml:space="preserve">. </w:t>
      </w:r>
    </w:p>
    <w:p w14:paraId="153D787C" w14:textId="69D89D38" w:rsidR="00A56EDD" w:rsidRPr="00B513F4" w:rsidRDefault="00A56EDD" w:rsidP="00EB77B1">
      <w:pPr>
        <w:ind w:left="720" w:hanging="720"/>
      </w:pPr>
      <w:r w:rsidRPr="00B513F4">
        <w:t>Hausman, D. 2011</w:t>
      </w:r>
      <w:r w:rsidR="00164D12">
        <w:t>.</w:t>
      </w:r>
      <w:r w:rsidRPr="00B513F4">
        <w:t xml:space="preserve"> </w:t>
      </w:r>
      <w:r w:rsidRPr="00B513F4">
        <w:rPr>
          <w:i/>
        </w:rPr>
        <w:t xml:space="preserve">Rebuilding the Civil Service After War: Rwanda </w:t>
      </w:r>
      <w:r w:rsidR="00D70A71">
        <w:rPr>
          <w:i/>
        </w:rPr>
        <w:t>A</w:t>
      </w:r>
      <w:r w:rsidRPr="00B513F4">
        <w:rPr>
          <w:i/>
        </w:rPr>
        <w:t>fter the Genocide 1998</w:t>
      </w:r>
      <w:r w:rsidR="00164D12">
        <w:rPr>
          <w:i/>
        </w:rPr>
        <w:t>–</w:t>
      </w:r>
      <w:r w:rsidRPr="00B513F4">
        <w:rPr>
          <w:i/>
        </w:rPr>
        <w:t>2009</w:t>
      </w:r>
      <w:r w:rsidRPr="00B513F4">
        <w:t xml:space="preserve">. </w:t>
      </w:r>
      <w:r w:rsidR="00D70A71">
        <w:t xml:space="preserve">New Jersey: </w:t>
      </w:r>
      <w:r w:rsidR="00D70A71" w:rsidRPr="00B513F4">
        <w:t>Innovations for Successful Societies</w:t>
      </w:r>
      <w:r w:rsidR="00D70A71">
        <w:t>,</w:t>
      </w:r>
      <w:r w:rsidR="00D70A71" w:rsidRPr="00B513F4">
        <w:t xml:space="preserve"> </w:t>
      </w:r>
      <w:r w:rsidRPr="00B513F4">
        <w:t xml:space="preserve">Princeton University. </w:t>
      </w:r>
    </w:p>
    <w:p w14:paraId="7243F44D" w14:textId="0F36D1A4" w:rsidR="00A56EDD" w:rsidRPr="00B513F4" w:rsidRDefault="00A56EDD" w:rsidP="00EB77B1">
      <w:pPr>
        <w:ind w:left="720" w:hanging="720"/>
      </w:pPr>
      <w:r w:rsidRPr="00B513F4">
        <w:t>Horvath, Balasz</w:t>
      </w:r>
      <w:r w:rsidR="008070BC">
        <w:t>.</w:t>
      </w:r>
      <w:r w:rsidRPr="00B513F4">
        <w:t xml:space="preserve"> 2012</w:t>
      </w:r>
      <w:r w:rsidR="008070BC">
        <w:t>.</w:t>
      </w:r>
      <w:r w:rsidRPr="00B513F4">
        <w:t xml:space="preserve"> </w:t>
      </w:r>
      <w:r w:rsidR="004F3B63">
        <w:t>“</w:t>
      </w:r>
      <w:r w:rsidRPr="00D34D7B">
        <w:t>Budgets, Wages and Prices</w:t>
      </w:r>
      <w:r w:rsidR="008070BC" w:rsidRPr="00D34D7B">
        <w:t>:</w:t>
      </w:r>
      <w:r w:rsidRPr="00D34D7B">
        <w:t xml:space="preserve"> Preliminary Assessment – State Information</w:t>
      </w:r>
      <w:r w:rsidR="004F3B63">
        <w:t xml:space="preserve">.” </w:t>
      </w:r>
      <w:r w:rsidRPr="00B513F4">
        <w:t>PPT presentation</w:t>
      </w:r>
      <w:r w:rsidR="004F3B63">
        <w:t>.</w:t>
      </w:r>
      <w:r w:rsidR="00EB77B1">
        <w:t xml:space="preserve"> </w:t>
      </w:r>
      <w:hyperlink r:id="rId44" w:history="1">
        <w:r w:rsidRPr="00B513F4">
          <w:rPr>
            <w:rStyle w:val="Hyperlink"/>
          </w:rPr>
          <w:t>http://www.undp.org/content/dam/southsudan/library/Reports/southsudanotherdocuments/Budget%20and%20Wages%20PPT%20for%20Balazs%20Sept%2021%202012.pdf</w:t>
        </w:r>
      </w:hyperlink>
      <w:r w:rsidR="004F3B63">
        <w:t>.</w:t>
      </w:r>
    </w:p>
    <w:p w14:paraId="34002436" w14:textId="4C8D6EA5" w:rsidR="00A56EDD" w:rsidRPr="00B513F4" w:rsidRDefault="005D195A" w:rsidP="00EB77B1">
      <w:pPr>
        <w:ind w:left="720" w:hanging="720"/>
      </w:pPr>
      <w:r>
        <w:t>Huntington, S</w:t>
      </w:r>
      <w:r w:rsidR="00861BD9">
        <w:t>.</w:t>
      </w:r>
      <w:r w:rsidR="00A56EDD" w:rsidRPr="00B513F4">
        <w:t xml:space="preserve"> 1957</w:t>
      </w:r>
      <w:r w:rsidR="00861BD9">
        <w:t xml:space="preserve">. </w:t>
      </w:r>
      <w:r w:rsidRPr="005D195A">
        <w:rPr>
          <w:i/>
        </w:rPr>
        <w:t>The Soldier and the State</w:t>
      </w:r>
      <w:r>
        <w:t xml:space="preserve">. Harvard University Press. </w:t>
      </w:r>
    </w:p>
    <w:p w14:paraId="0479F760" w14:textId="778A1D45" w:rsidR="00A56EDD" w:rsidRPr="00B513F4" w:rsidRDefault="00A56EDD" w:rsidP="00EB77B1">
      <w:pPr>
        <w:ind w:left="720" w:hanging="720"/>
      </w:pPr>
      <w:r w:rsidRPr="00B513F4">
        <w:t>Institute for State Effectiveness</w:t>
      </w:r>
      <w:r w:rsidR="00861BD9">
        <w:t>.</w:t>
      </w:r>
      <w:r w:rsidRPr="00B513F4">
        <w:t xml:space="preserve"> 2014</w:t>
      </w:r>
      <w:r w:rsidR="00861BD9">
        <w:t>.</w:t>
      </w:r>
      <w:r w:rsidRPr="00B513F4">
        <w:t xml:space="preserve"> </w:t>
      </w:r>
      <w:r w:rsidRPr="00B513F4">
        <w:rPr>
          <w:i/>
        </w:rPr>
        <w:t>Making States</w:t>
      </w:r>
      <w:r w:rsidRPr="00B513F4">
        <w:t xml:space="preserve">. </w:t>
      </w:r>
      <w:hyperlink r:id="rId45" w:history="1">
        <w:r w:rsidRPr="00B513F4">
          <w:rPr>
            <w:rStyle w:val="Hyperlink"/>
          </w:rPr>
          <w:t>http://isecenter.org/publication-category/state-effectiveness-initiative-publications/</w:t>
        </w:r>
      </w:hyperlink>
      <w:r w:rsidRPr="00B513F4">
        <w:t xml:space="preserve">. </w:t>
      </w:r>
    </w:p>
    <w:p w14:paraId="5613C37D" w14:textId="57E5ED2E" w:rsidR="00A56EDD" w:rsidRPr="00B513F4" w:rsidRDefault="00CC4BA3" w:rsidP="00EB77B1">
      <w:pPr>
        <w:ind w:left="720" w:hanging="720"/>
      </w:pPr>
      <w:r>
        <w:t>JAM (</w:t>
      </w:r>
      <w:r w:rsidR="00A56EDD" w:rsidRPr="00B513F4">
        <w:t>Joint Assessment Mission</w:t>
      </w:r>
      <w:r>
        <w:t>)</w:t>
      </w:r>
      <w:r w:rsidR="00861BD9">
        <w:t>.</w:t>
      </w:r>
      <w:r w:rsidR="00A56EDD" w:rsidRPr="00B513F4">
        <w:t xml:space="preserve"> 2005</w:t>
      </w:r>
      <w:r w:rsidR="00861BD9">
        <w:t>.</w:t>
      </w:r>
      <w:r w:rsidR="00A56EDD" w:rsidRPr="00B513F4">
        <w:t xml:space="preserve"> </w:t>
      </w:r>
      <w:r w:rsidR="00A56EDD" w:rsidRPr="00D34D7B">
        <w:rPr>
          <w:i/>
        </w:rPr>
        <w:t xml:space="preserve">Synthesis </w:t>
      </w:r>
      <w:r w:rsidR="00861BD9" w:rsidRPr="00D34D7B">
        <w:rPr>
          <w:i/>
        </w:rPr>
        <w:t>-</w:t>
      </w:r>
      <w:r w:rsidR="00A56EDD" w:rsidRPr="00D34D7B">
        <w:rPr>
          <w:i/>
        </w:rPr>
        <w:t xml:space="preserve"> Framework for Sustained Peace, Development and Poverty Eradication</w:t>
      </w:r>
      <w:r w:rsidR="00A56EDD" w:rsidRPr="00B513F4">
        <w:t>. Volumes 1</w:t>
      </w:r>
      <w:r w:rsidR="00861BD9">
        <w:t>–</w:t>
      </w:r>
      <w:r w:rsidR="00A56EDD" w:rsidRPr="00B513F4">
        <w:t xml:space="preserve">3. </w:t>
      </w:r>
    </w:p>
    <w:p w14:paraId="4F3F734B" w14:textId="6F5B1223" w:rsidR="00A56EDD" w:rsidRPr="00B513F4" w:rsidRDefault="00A56EDD" w:rsidP="00EB77B1">
      <w:pPr>
        <w:ind w:left="720" w:hanging="720"/>
        <w:rPr>
          <w:rFonts w:cs="HelveticaNeue"/>
        </w:rPr>
      </w:pPr>
      <w:r w:rsidRPr="00B513F4">
        <w:rPr>
          <w:rFonts w:cs="HelveticaNeue"/>
        </w:rPr>
        <w:t>Jok, M. 2011</w:t>
      </w:r>
      <w:r w:rsidR="00861BD9">
        <w:rPr>
          <w:rFonts w:cs="HelveticaNeue"/>
        </w:rPr>
        <w:t>.</w:t>
      </w:r>
      <w:r w:rsidRPr="00B513F4">
        <w:rPr>
          <w:rFonts w:cs="HelveticaNeue"/>
        </w:rPr>
        <w:t xml:space="preserve"> </w:t>
      </w:r>
      <w:r w:rsidRPr="00D34D7B">
        <w:rPr>
          <w:rFonts w:cs="HelveticaNeue"/>
          <w:i/>
        </w:rPr>
        <w:t>Diversity, Unity and Nation-Building in South Sudan</w:t>
      </w:r>
      <w:r w:rsidRPr="00B513F4">
        <w:rPr>
          <w:rFonts w:cs="HelveticaNeue"/>
        </w:rPr>
        <w:t>. U</w:t>
      </w:r>
      <w:r w:rsidR="00861BD9">
        <w:rPr>
          <w:rFonts w:cs="HelveticaNeue"/>
        </w:rPr>
        <w:t xml:space="preserve">nited </w:t>
      </w:r>
      <w:r w:rsidRPr="00B513F4">
        <w:rPr>
          <w:rFonts w:cs="HelveticaNeue"/>
        </w:rPr>
        <w:t>S</w:t>
      </w:r>
      <w:r w:rsidR="00861BD9">
        <w:rPr>
          <w:rFonts w:cs="HelveticaNeue"/>
        </w:rPr>
        <w:t xml:space="preserve">tates </w:t>
      </w:r>
      <w:r w:rsidRPr="00B513F4">
        <w:rPr>
          <w:rFonts w:cs="HelveticaNeue"/>
        </w:rPr>
        <w:t>I</w:t>
      </w:r>
      <w:r w:rsidR="00861BD9">
        <w:rPr>
          <w:rFonts w:cs="HelveticaNeue"/>
        </w:rPr>
        <w:t xml:space="preserve">nstitute of </w:t>
      </w:r>
      <w:r w:rsidRPr="00B513F4">
        <w:rPr>
          <w:rFonts w:cs="HelveticaNeue"/>
        </w:rPr>
        <w:t>P</w:t>
      </w:r>
      <w:r w:rsidR="00861BD9">
        <w:rPr>
          <w:rFonts w:cs="HelveticaNeue"/>
        </w:rPr>
        <w:t>eace</w:t>
      </w:r>
      <w:r w:rsidRPr="00B513F4">
        <w:rPr>
          <w:rFonts w:cs="HelveticaNeue"/>
        </w:rPr>
        <w:t xml:space="preserve"> Special Report</w:t>
      </w:r>
      <w:r w:rsidR="00861BD9">
        <w:rPr>
          <w:rFonts w:cs="HelveticaNeue"/>
        </w:rPr>
        <w:t>.</w:t>
      </w:r>
      <w:r w:rsidRPr="00B513F4">
        <w:rPr>
          <w:rFonts w:cs="HelveticaNeue"/>
        </w:rPr>
        <w:t xml:space="preserve"> </w:t>
      </w:r>
      <w:hyperlink r:id="rId46" w:history="1">
        <w:r w:rsidR="00861BD9" w:rsidRPr="00861BD9">
          <w:rPr>
            <w:rStyle w:val="Hyperlink"/>
            <w:rFonts w:cs="HelveticaNeue"/>
          </w:rPr>
          <w:t>http://www.usip.org/sites/default/files/Diversity,%20Unity,%20and%20Nation%20Building%20in%20South%20Sudan%20(Jok).pdf</w:t>
        </w:r>
      </w:hyperlink>
      <w:r w:rsidRPr="00B513F4">
        <w:rPr>
          <w:rFonts w:cs="HelveticaNeue"/>
        </w:rPr>
        <w:t xml:space="preserve">. </w:t>
      </w:r>
    </w:p>
    <w:p w14:paraId="5036D8C4" w14:textId="3CBEA9EA" w:rsidR="00A56EDD" w:rsidRPr="00B513F4" w:rsidRDefault="00861BD9" w:rsidP="00EB77B1">
      <w:pPr>
        <w:ind w:left="720" w:hanging="720"/>
        <w:rPr>
          <w:rFonts w:cs="Times-Bold"/>
          <w:bCs/>
        </w:rPr>
      </w:pPr>
      <w:r>
        <w:rPr>
          <w:rFonts w:cs="Times-Bold"/>
          <w:bCs/>
        </w:rPr>
        <w:t>———.</w:t>
      </w:r>
      <w:r w:rsidRPr="00B513F4">
        <w:rPr>
          <w:rFonts w:cs="Times-Bold"/>
          <w:bCs/>
        </w:rPr>
        <w:t xml:space="preserve"> </w:t>
      </w:r>
      <w:r w:rsidR="00A56EDD" w:rsidRPr="00B513F4">
        <w:rPr>
          <w:rFonts w:cs="Times-Bold"/>
          <w:bCs/>
        </w:rPr>
        <w:t>2014</w:t>
      </w:r>
      <w:r>
        <w:rPr>
          <w:rFonts w:cs="Times-Bold"/>
          <w:bCs/>
        </w:rPr>
        <w:t>.</w:t>
      </w:r>
      <w:r w:rsidR="00A56EDD" w:rsidRPr="00B513F4">
        <w:rPr>
          <w:rFonts w:cs="Times-Bold"/>
          <w:bCs/>
        </w:rPr>
        <w:t xml:space="preserve"> </w:t>
      </w:r>
      <w:r w:rsidR="00A56EDD" w:rsidRPr="00D34D7B">
        <w:rPr>
          <w:rFonts w:cs="Times-Bold"/>
          <w:bCs/>
          <w:i/>
        </w:rPr>
        <w:t>South Sudan and the Prospects for Peace Amidst Violent Political Wrangling</w:t>
      </w:r>
      <w:r w:rsidR="00A56EDD" w:rsidRPr="00B513F4">
        <w:rPr>
          <w:rFonts w:cs="Times-Bold"/>
          <w:bCs/>
        </w:rPr>
        <w:t xml:space="preserve">. Sudd Institute Policy </w:t>
      </w:r>
      <w:r w:rsidR="00A56EDD" w:rsidRPr="001A7298">
        <w:t>Brief</w:t>
      </w:r>
      <w:r w:rsidR="00A56EDD" w:rsidRPr="00B513F4">
        <w:rPr>
          <w:rFonts w:cs="Times-Bold"/>
          <w:bCs/>
        </w:rPr>
        <w:t xml:space="preserve">. </w:t>
      </w:r>
    </w:p>
    <w:p w14:paraId="7FA80315" w14:textId="77777777" w:rsidR="005D195A" w:rsidRDefault="005D195A" w:rsidP="00EB77B1">
      <w:pPr>
        <w:autoSpaceDE w:val="0"/>
        <w:autoSpaceDN w:val="0"/>
        <w:adjustRightInd w:val="0"/>
        <w:spacing w:after="0" w:line="480" w:lineRule="auto"/>
        <w:ind w:left="720" w:hanging="720"/>
        <w:jc w:val="both"/>
      </w:pPr>
      <w:r>
        <w:t xml:space="preserve">Kingdon, J. 1995. </w:t>
      </w:r>
      <w:r w:rsidRPr="00627A10">
        <w:rPr>
          <w:i/>
        </w:rPr>
        <w:t>Agendas, Alternatives, and Public Policies</w:t>
      </w:r>
      <w:r>
        <w:t xml:space="preserve">. New York: Longman. </w:t>
      </w:r>
    </w:p>
    <w:p w14:paraId="5DC1CBE9" w14:textId="7FF722CC" w:rsidR="00A56EDD" w:rsidRPr="00B513F4" w:rsidRDefault="00A56EDD" w:rsidP="00EB77B1">
      <w:pPr>
        <w:ind w:left="720" w:hanging="720"/>
        <w:rPr>
          <w:rFonts w:cs="Times-Bold"/>
          <w:bCs/>
        </w:rPr>
      </w:pPr>
      <w:r w:rsidRPr="00B513F4">
        <w:rPr>
          <w:rFonts w:cs="Times-Bold"/>
          <w:bCs/>
        </w:rPr>
        <w:t>Larson, G., P. Ajak, L. Pritchett</w:t>
      </w:r>
      <w:r w:rsidR="00861BD9">
        <w:rPr>
          <w:rFonts w:cs="Times-Bold"/>
          <w:bCs/>
        </w:rPr>
        <w:t>.</w:t>
      </w:r>
      <w:r w:rsidRPr="00B513F4">
        <w:rPr>
          <w:rFonts w:cs="Times-Bold"/>
          <w:bCs/>
        </w:rPr>
        <w:t xml:space="preserve"> 2013</w:t>
      </w:r>
      <w:r w:rsidR="00861BD9">
        <w:rPr>
          <w:rFonts w:cs="Times-Bold"/>
          <w:bCs/>
        </w:rPr>
        <w:t>.</w:t>
      </w:r>
      <w:r w:rsidRPr="00B513F4">
        <w:rPr>
          <w:rFonts w:cs="Times-Bold"/>
          <w:bCs/>
        </w:rPr>
        <w:t xml:space="preserve"> </w:t>
      </w:r>
      <w:r w:rsidR="00861BD9">
        <w:rPr>
          <w:rFonts w:cs="Times-Bold"/>
          <w:bCs/>
        </w:rPr>
        <w:t>“</w:t>
      </w:r>
      <w:r w:rsidRPr="00D34D7B">
        <w:rPr>
          <w:rFonts w:cs="Times-Bold"/>
          <w:bCs/>
        </w:rPr>
        <w:t>South Sudan’s Capability Trap: Building a State with Disruptive Innovation</w:t>
      </w:r>
      <w:r w:rsidRPr="00B513F4">
        <w:rPr>
          <w:rFonts w:cs="Times-Bold"/>
          <w:bCs/>
        </w:rPr>
        <w:t>.</w:t>
      </w:r>
      <w:r w:rsidR="00861BD9">
        <w:rPr>
          <w:rFonts w:cs="Times-Bold"/>
          <w:bCs/>
        </w:rPr>
        <w:t>”</w:t>
      </w:r>
      <w:r w:rsidRPr="00B513F4">
        <w:rPr>
          <w:rFonts w:cs="Times-Bold"/>
          <w:bCs/>
        </w:rPr>
        <w:t xml:space="preserve"> Research Working Paper 13-041</w:t>
      </w:r>
      <w:r w:rsidR="00861BD9">
        <w:rPr>
          <w:rFonts w:cs="Times-Bold"/>
          <w:bCs/>
        </w:rPr>
        <w:t xml:space="preserve">, </w:t>
      </w:r>
      <w:r w:rsidR="00861BD9" w:rsidRPr="00B513F4">
        <w:rPr>
          <w:rFonts w:cs="Times-Bold"/>
          <w:bCs/>
        </w:rPr>
        <w:t xml:space="preserve">Harvard Kennedy </w:t>
      </w:r>
      <w:r w:rsidR="00861BD9" w:rsidRPr="001A7298">
        <w:t>School</w:t>
      </w:r>
      <w:r w:rsidRPr="00B513F4">
        <w:rPr>
          <w:rFonts w:cs="Times-Bold"/>
          <w:bCs/>
        </w:rPr>
        <w:t xml:space="preserve">. </w:t>
      </w:r>
    </w:p>
    <w:p w14:paraId="379EBD76" w14:textId="58B3B43C" w:rsidR="00A56EDD" w:rsidRPr="00B513F4" w:rsidRDefault="00A56EDD" w:rsidP="00EB77B1">
      <w:pPr>
        <w:ind w:left="720" w:hanging="720"/>
        <w:rPr>
          <w:rFonts w:cs="Times-Bold"/>
          <w:bCs/>
        </w:rPr>
      </w:pPr>
      <w:r w:rsidRPr="00B513F4">
        <w:rPr>
          <w:rFonts w:cs="Times-Bold"/>
          <w:bCs/>
        </w:rPr>
        <w:t>Longfield, D.</w:t>
      </w:r>
      <w:r w:rsidR="00AA3E3D">
        <w:rPr>
          <w:rFonts w:cs="Times-Bold"/>
          <w:bCs/>
        </w:rPr>
        <w:t>,</w:t>
      </w:r>
      <w:r w:rsidRPr="00B513F4">
        <w:rPr>
          <w:rFonts w:cs="Times-Bold"/>
          <w:bCs/>
        </w:rPr>
        <w:t xml:space="preserve"> and J. Tooley</w:t>
      </w:r>
      <w:r w:rsidR="00AA3E3D">
        <w:rPr>
          <w:rFonts w:cs="Times-Bold"/>
          <w:bCs/>
        </w:rPr>
        <w:t>.</w:t>
      </w:r>
      <w:r w:rsidRPr="00B513F4">
        <w:rPr>
          <w:rFonts w:cs="Times-Bold"/>
          <w:bCs/>
        </w:rPr>
        <w:t xml:space="preserve"> 2013</w:t>
      </w:r>
      <w:r w:rsidR="00AA3E3D">
        <w:rPr>
          <w:rFonts w:cs="Times-Bold"/>
          <w:bCs/>
        </w:rPr>
        <w:t>.</w:t>
      </w:r>
      <w:r w:rsidRPr="00B513F4">
        <w:rPr>
          <w:rFonts w:cs="Times-Bold"/>
          <w:bCs/>
        </w:rPr>
        <w:t xml:space="preserve"> </w:t>
      </w:r>
      <w:r w:rsidRPr="00B513F4">
        <w:rPr>
          <w:rFonts w:cs="Times-Bold"/>
          <w:bCs/>
          <w:i/>
        </w:rPr>
        <w:t xml:space="preserve">A </w:t>
      </w:r>
      <w:r w:rsidR="001828FD">
        <w:rPr>
          <w:rFonts w:cs="Times-Bold"/>
          <w:bCs/>
          <w:i/>
        </w:rPr>
        <w:t>Survey</w:t>
      </w:r>
      <w:r w:rsidRPr="00B513F4">
        <w:rPr>
          <w:rFonts w:cs="Times-Bold"/>
          <w:bCs/>
          <w:i/>
        </w:rPr>
        <w:t xml:space="preserve"> of Schools in Juba</w:t>
      </w:r>
      <w:r w:rsidRPr="00B513F4">
        <w:rPr>
          <w:rFonts w:cs="Times-Bold"/>
          <w:bCs/>
        </w:rPr>
        <w:t>. EG West Center, Newcastle University</w:t>
      </w:r>
      <w:r w:rsidR="001828FD">
        <w:rPr>
          <w:rFonts w:cs="Times-Bold"/>
          <w:bCs/>
        </w:rPr>
        <w:t>,</w:t>
      </w:r>
      <w:r w:rsidRPr="00B513F4">
        <w:rPr>
          <w:rFonts w:cs="Times-Bold"/>
          <w:bCs/>
        </w:rPr>
        <w:t xml:space="preserve"> and Nile </w:t>
      </w:r>
      <w:r w:rsidRPr="001A7298">
        <w:t>Institute</w:t>
      </w:r>
      <w:r w:rsidRPr="00B513F4">
        <w:rPr>
          <w:rFonts w:cs="Times-Bold"/>
          <w:bCs/>
        </w:rPr>
        <w:t xml:space="preserve">. </w:t>
      </w:r>
      <w:hyperlink r:id="rId47" w:history="1">
        <w:r w:rsidRPr="00B513F4">
          <w:rPr>
            <w:rStyle w:val="Hyperlink"/>
            <w:rFonts w:cs="Times-Bold"/>
          </w:rPr>
          <w:t>http://egwestcentre.files.wordpress.com/2014/07/00-report-south-sudan-2013-11-30.pdf</w:t>
        </w:r>
      </w:hyperlink>
      <w:r w:rsidRPr="00B513F4">
        <w:rPr>
          <w:rFonts w:cs="Times-Bold"/>
          <w:bCs/>
        </w:rPr>
        <w:t xml:space="preserve">. </w:t>
      </w:r>
    </w:p>
    <w:p w14:paraId="5C4D4D6D" w14:textId="16EE32C3" w:rsidR="00A56EDD" w:rsidRDefault="00A56EDD" w:rsidP="00EB77B1">
      <w:pPr>
        <w:ind w:left="720" w:hanging="720"/>
        <w:rPr>
          <w:rFonts w:cs="Times-Bold"/>
          <w:bCs/>
        </w:rPr>
      </w:pPr>
      <w:r w:rsidRPr="00B513F4">
        <w:rPr>
          <w:rFonts w:cs="Times-Bold"/>
          <w:bCs/>
        </w:rPr>
        <w:lastRenderedPageBreak/>
        <w:t>Mampilly, Z. 2011</w:t>
      </w:r>
      <w:r w:rsidR="001A7298">
        <w:rPr>
          <w:rFonts w:cs="Times-Bold"/>
          <w:bCs/>
        </w:rPr>
        <w:t>.</w:t>
      </w:r>
      <w:r w:rsidRPr="00B513F4">
        <w:rPr>
          <w:rFonts w:cs="Times-Bold"/>
          <w:bCs/>
        </w:rPr>
        <w:t xml:space="preserve"> </w:t>
      </w:r>
      <w:r w:rsidRPr="00B513F4">
        <w:rPr>
          <w:rFonts w:cs="Times-Bold"/>
          <w:bCs/>
          <w:i/>
        </w:rPr>
        <w:t>Rebel Rulers</w:t>
      </w:r>
      <w:r w:rsidR="00895DE8">
        <w:rPr>
          <w:rFonts w:cs="Times-Bold"/>
          <w:bCs/>
        </w:rPr>
        <w:t xml:space="preserve"> </w:t>
      </w:r>
      <w:r w:rsidR="00B042C3">
        <w:rPr>
          <w:rFonts w:cs="Times-Bold"/>
          <w:bCs/>
        </w:rPr>
        <w:t>-</w:t>
      </w:r>
      <w:r w:rsidR="00895DE8">
        <w:rPr>
          <w:rFonts w:cs="Times-Bold"/>
          <w:bCs/>
        </w:rPr>
        <w:t xml:space="preserve"> </w:t>
      </w:r>
      <w:r w:rsidR="00895DE8" w:rsidRPr="00895DE8">
        <w:rPr>
          <w:rFonts w:cs="Times-Bold"/>
          <w:bCs/>
          <w:i/>
        </w:rPr>
        <w:t xml:space="preserve">Insurgent Governance and Civilian Life </w:t>
      </w:r>
      <w:r w:rsidR="00B042C3">
        <w:rPr>
          <w:rFonts w:cs="Times-Bold"/>
          <w:bCs/>
          <w:i/>
        </w:rPr>
        <w:t>D</w:t>
      </w:r>
      <w:r w:rsidR="00895DE8" w:rsidRPr="00895DE8">
        <w:rPr>
          <w:rFonts w:cs="Times-Bold"/>
          <w:bCs/>
          <w:i/>
        </w:rPr>
        <w:t>uring War</w:t>
      </w:r>
      <w:r w:rsidR="00895DE8">
        <w:rPr>
          <w:rFonts w:cs="Times-Bold"/>
          <w:bCs/>
        </w:rPr>
        <w:t xml:space="preserve">. </w:t>
      </w:r>
      <w:r w:rsidRPr="001A7298">
        <w:t>Cornell</w:t>
      </w:r>
      <w:r w:rsidR="00895DE8">
        <w:rPr>
          <w:rFonts w:cs="Times-Bold"/>
          <w:bCs/>
        </w:rPr>
        <w:t xml:space="preserve"> University Press. </w:t>
      </w:r>
    </w:p>
    <w:p w14:paraId="3B2F5D27" w14:textId="43E1F047" w:rsidR="00895DE8" w:rsidRDefault="00B042C3" w:rsidP="00EB77B1">
      <w:pPr>
        <w:autoSpaceDE w:val="0"/>
        <w:autoSpaceDN w:val="0"/>
        <w:adjustRightInd w:val="0"/>
        <w:spacing w:line="240" w:lineRule="auto"/>
        <w:ind w:left="720" w:hanging="720"/>
        <w:rPr>
          <w:rFonts w:cs="Times-Bold"/>
          <w:bCs/>
        </w:rPr>
      </w:pPr>
      <w:r>
        <w:rPr>
          <w:rFonts w:cs="Times-Bold"/>
          <w:bCs/>
        </w:rPr>
        <w:t>———</w:t>
      </w:r>
      <w:r w:rsidR="00895DE8">
        <w:rPr>
          <w:rFonts w:cs="Times-Bold"/>
          <w:bCs/>
        </w:rPr>
        <w:t xml:space="preserve">. 2012. </w:t>
      </w:r>
      <w:r w:rsidR="00895DE8" w:rsidRPr="00460897">
        <w:rPr>
          <w:rFonts w:cs="Times-Bold"/>
          <w:bCs/>
          <w:i/>
        </w:rPr>
        <w:t>Decision-making and Governance Performance in the Republic of South Sudan: A Political Economy Analysis of Institutions and Incentives</w:t>
      </w:r>
      <w:r w:rsidR="00895DE8">
        <w:rPr>
          <w:rFonts w:cs="Times-Bold"/>
          <w:bCs/>
        </w:rPr>
        <w:t xml:space="preserve">. </w:t>
      </w:r>
      <w:hyperlink r:id="rId48" w:history="1">
        <w:r w:rsidR="00895DE8" w:rsidRPr="00440849">
          <w:rPr>
            <w:rStyle w:val="Hyperlink"/>
            <w:rFonts w:cs="Times-Bold"/>
            <w:bCs/>
          </w:rPr>
          <w:t>http://pages.vassar.edu/mampilly/files/2013/11/ROSS-Decisionmaking-Final.pdf</w:t>
        </w:r>
      </w:hyperlink>
      <w:r w:rsidR="00895DE8">
        <w:rPr>
          <w:rFonts w:cs="Times-Bold"/>
          <w:bCs/>
        </w:rPr>
        <w:t xml:space="preserve">. </w:t>
      </w:r>
    </w:p>
    <w:p w14:paraId="5C688A34" w14:textId="059A27CB" w:rsidR="00945E37" w:rsidRDefault="00B042C3" w:rsidP="00EB77B1">
      <w:pPr>
        <w:autoSpaceDE w:val="0"/>
        <w:autoSpaceDN w:val="0"/>
        <w:adjustRightInd w:val="0"/>
        <w:spacing w:line="240" w:lineRule="auto"/>
        <w:ind w:left="720" w:hanging="720"/>
        <w:rPr>
          <w:rFonts w:cs="Times-Bold"/>
          <w:bCs/>
        </w:rPr>
      </w:pPr>
      <w:r>
        <w:rPr>
          <w:rFonts w:cs="Times-Bold"/>
          <w:bCs/>
        </w:rPr>
        <w:t>MOH (</w:t>
      </w:r>
      <w:r w:rsidR="00945E37">
        <w:rPr>
          <w:rFonts w:cs="Times-Bold"/>
          <w:bCs/>
        </w:rPr>
        <w:t>Ministry of Health</w:t>
      </w:r>
      <w:r>
        <w:rPr>
          <w:rFonts w:cs="Times-Bold"/>
          <w:bCs/>
        </w:rPr>
        <w:t>)</w:t>
      </w:r>
      <w:r w:rsidR="00945E37">
        <w:rPr>
          <w:rFonts w:cs="Times-Bold"/>
          <w:bCs/>
        </w:rPr>
        <w:t xml:space="preserve">. 2012. </w:t>
      </w:r>
      <w:r w:rsidR="00945E37" w:rsidRPr="00945E37">
        <w:rPr>
          <w:i/>
        </w:rPr>
        <w:t>Health Sector Development Plan 2012–2016</w:t>
      </w:r>
      <w:r w:rsidR="00945E37">
        <w:t>.</w:t>
      </w:r>
    </w:p>
    <w:p w14:paraId="49D1449D" w14:textId="01C35E29" w:rsidR="00A56EDD" w:rsidRPr="00B513F4" w:rsidRDefault="00B042C3" w:rsidP="00EB77B1">
      <w:pPr>
        <w:ind w:left="720" w:hanging="720"/>
        <w:rPr>
          <w:rFonts w:cs="Times-Bold"/>
          <w:bCs/>
        </w:rPr>
      </w:pPr>
      <w:r>
        <w:rPr>
          <w:rFonts w:cs="Times-Bold"/>
          <w:bCs/>
        </w:rPr>
        <w:t>MoLPSHRD (</w:t>
      </w:r>
      <w:r w:rsidR="00A56EDD" w:rsidRPr="00B513F4">
        <w:rPr>
          <w:rFonts w:cs="Times-Bold"/>
          <w:bCs/>
        </w:rPr>
        <w:t>Ministry of Labor, Public Service and Human Resource Development</w:t>
      </w:r>
      <w:r>
        <w:rPr>
          <w:rFonts w:cs="Times-Bold"/>
          <w:bCs/>
        </w:rPr>
        <w:t>)</w:t>
      </w:r>
      <w:r w:rsidR="001A7298">
        <w:rPr>
          <w:rFonts w:cs="Times-Bold"/>
          <w:bCs/>
        </w:rPr>
        <w:t>.</w:t>
      </w:r>
      <w:r w:rsidR="00A56EDD" w:rsidRPr="00B513F4">
        <w:rPr>
          <w:rFonts w:cs="Times-Bold"/>
          <w:bCs/>
        </w:rPr>
        <w:t xml:space="preserve"> 2011</w:t>
      </w:r>
      <w:r w:rsidR="001A7298">
        <w:rPr>
          <w:rFonts w:cs="Times-Bold"/>
          <w:bCs/>
        </w:rPr>
        <w:t>.</w:t>
      </w:r>
      <w:r w:rsidR="00A56EDD" w:rsidRPr="00B513F4">
        <w:rPr>
          <w:rFonts w:cs="Times-Bold"/>
          <w:bCs/>
        </w:rPr>
        <w:t xml:space="preserve"> </w:t>
      </w:r>
      <w:r w:rsidR="00A56EDD" w:rsidRPr="00D34D7B">
        <w:rPr>
          <w:rFonts w:cs="Times-Bold"/>
          <w:bCs/>
          <w:i/>
        </w:rPr>
        <w:t xml:space="preserve">Pension Policy </w:t>
      </w:r>
      <w:r w:rsidR="00A56EDD" w:rsidRPr="005D195A">
        <w:rPr>
          <w:rFonts w:cs="Times-Bold"/>
          <w:bCs/>
          <w:i/>
        </w:rPr>
        <w:t xml:space="preserve">and Design </w:t>
      </w:r>
      <w:r w:rsidR="00A56EDD" w:rsidRPr="00D34D7B">
        <w:rPr>
          <w:rFonts w:cs="Times-Bold"/>
          <w:bCs/>
          <w:i/>
        </w:rPr>
        <w:t>Report</w:t>
      </w:r>
      <w:r w:rsidR="001C7BFA" w:rsidRPr="00D34D7B">
        <w:rPr>
          <w:rFonts w:cs="Times-Bold"/>
          <w:bCs/>
          <w:i/>
        </w:rPr>
        <w:t>:</w:t>
      </w:r>
      <w:r w:rsidR="00A56EDD" w:rsidRPr="00D34D7B">
        <w:rPr>
          <w:rFonts w:cs="Times-Bold"/>
          <w:bCs/>
          <w:i/>
        </w:rPr>
        <w:t xml:space="preserve"> South Sudan Public Servants Pensions Scheme</w:t>
      </w:r>
      <w:r w:rsidR="00A56EDD" w:rsidRPr="00B513F4">
        <w:rPr>
          <w:rFonts w:cs="Times-Bold"/>
          <w:bCs/>
        </w:rPr>
        <w:t xml:space="preserve">. </w:t>
      </w:r>
    </w:p>
    <w:p w14:paraId="0FC5946D" w14:textId="52955393" w:rsidR="00A56EDD" w:rsidRPr="00B513F4" w:rsidRDefault="00A56EDD" w:rsidP="00EB77B1">
      <w:pPr>
        <w:ind w:left="720" w:hanging="720"/>
        <w:rPr>
          <w:rFonts w:cs="Times-Bold"/>
          <w:bCs/>
        </w:rPr>
      </w:pPr>
      <w:r w:rsidRPr="00B513F4">
        <w:rPr>
          <w:rFonts w:cs="Times-Bold"/>
          <w:bCs/>
        </w:rPr>
        <w:t>Mulkeen, A. 2010</w:t>
      </w:r>
      <w:r w:rsidR="001C7BFA">
        <w:rPr>
          <w:rFonts w:cs="Times-Bold"/>
          <w:bCs/>
        </w:rPr>
        <w:t>.</w:t>
      </w:r>
      <w:r w:rsidRPr="00B513F4">
        <w:rPr>
          <w:rFonts w:cs="Times-Bold"/>
          <w:bCs/>
        </w:rPr>
        <w:t xml:space="preserve"> </w:t>
      </w:r>
      <w:r w:rsidRPr="00B513F4">
        <w:rPr>
          <w:rFonts w:cs="Times-Bold"/>
          <w:bCs/>
          <w:i/>
        </w:rPr>
        <w:t>Teachers in Anglophone Africa</w:t>
      </w:r>
      <w:r w:rsidR="001C7BFA">
        <w:rPr>
          <w:rFonts w:cs="Times-Bold"/>
          <w:bCs/>
          <w:i/>
        </w:rPr>
        <w:t>:</w:t>
      </w:r>
      <w:r w:rsidRPr="00B513F4">
        <w:rPr>
          <w:rFonts w:cs="Times-Bold"/>
          <w:bCs/>
          <w:i/>
        </w:rPr>
        <w:t xml:space="preserve"> Issues in Teacher Supply, Management, and Training</w:t>
      </w:r>
      <w:r w:rsidRPr="00B513F4">
        <w:rPr>
          <w:rFonts w:cs="Times-Bold"/>
          <w:bCs/>
        </w:rPr>
        <w:t>. Washington</w:t>
      </w:r>
      <w:r w:rsidR="001C7BFA">
        <w:rPr>
          <w:rFonts w:cs="Times-Bold"/>
          <w:bCs/>
        </w:rPr>
        <w:t>,</w:t>
      </w:r>
      <w:r w:rsidRPr="00B513F4">
        <w:rPr>
          <w:rFonts w:cs="Times-Bold"/>
          <w:bCs/>
        </w:rPr>
        <w:t xml:space="preserve"> DC: World </w:t>
      </w:r>
      <w:r w:rsidRPr="001A7298">
        <w:t>Bank</w:t>
      </w:r>
      <w:r w:rsidRPr="00B513F4">
        <w:rPr>
          <w:rFonts w:cs="Times-Bold"/>
          <w:bCs/>
        </w:rPr>
        <w:t xml:space="preserve">. </w:t>
      </w:r>
    </w:p>
    <w:p w14:paraId="735980E9" w14:textId="2D0120EA" w:rsidR="00A56EDD" w:rsidRPr="00B513F4" w:rsidRDefault="00A56EDD" w:rsidP="00EB77B1">
      <w:pPr>
        <w:ind w:left="720" w:hanging="720"/>
        <w:rPr>
          <w:rFonts w:cs="Times-Bold"/>
          <w:bCs/>
        </w:rPr>
      </w:pPr>
      <w:r w:rsidRPr="00B513F4">
        <w:rPr>
          <w:rFonts w:cs="Times-Bold"/>
          <w:bCs/>
        </w:rPr>
        <w:t>Norad</w:t>
      </w:r>
      <w:r w:rsidR="001C7BFA">
        <w:rPr>
          <w:rFonts w:cs="Times-Bold"/>
          <w:bCs/>
        </w:rPr>
        <w:t>.</w:t>
      </w:r>
      <w:r w:rsidRPr="00B513F4">
        <w:rPr>
          <w:rFonts w:cs="Times-Bold"/>
          <w:bCs/>
        </w:rPr>
        <w:t xml:space="preserve"> 2010</w:t>
      </w:r>
      <w:r w:rsidR="001C7BFA">
        <w:rPr>
          <w:rFonts w:cs="Times-Bold"/>
          <w:bCs/>
        </w:rPr>
        <w:t>.</w:t>
      </w:r>
      <w:r w:rsidRPr="00B513F4">
        <w:rPr>
          <w:rFonts w:cs="Times-Bold"/>
          <w:bCs/>
        </w:rPr>
        <w:t xml:space="preserve"> </w:t>
      </w:r>
      <w:r w:rsidRPr="00D34D7B">
        <w:rPr>
          <w:rFonts w:cs="Times-Bold"/>
          <w:bCs/>
          <w:i/>
        </w:rPr>
        <w:t xml:space="preserve">Multi-donor </w:t>
      </w:r>
      <w:r w:rsidR="001C7BFA" w:rsidRPr="00D34D7B">
        <w:rPr>
          <w:rFonts w:cs="Times-Bold"/>
          <w:bCs/>
          <w:i/>
        </w:rPr>
        <w:t>E</w:t>
      </w:r>
      <w:r w:rsidRPr="00D34D7B">
        <w:rPr>
          <w:rFonts w:cs="Times-Bold"/>
          <w:bCs/>
          <w:i/>
        </w:rPr>
        <w:t xml:space="preserve">valuation of </w:t>
      </w:r>
      <w:r w:rsidR="001C7BFA" w:rsidRPr="00D34D7B">
        <w:rPr>
          <w:rFonts w:cs="Times-Bold"/>
          <w:bCs/>
          <w:i/>
        </w:rPr>
        <w:t>S</w:t>
      </w:r>
      <w:r w:rsidRPr="00D34D7B">
        <w:rPr>
          <w:rFonts w:cs="Times-Bold"/>
          <w:bCs/>
          <w:i/>
        </w:rPr>
        <w:t xml:space="preserve">upport to </w:t>
      </w:r>
      <w:r w:rsidR="001C7BFA" w:rsidRPr="00D34D7B">
        <w:rPr>
          <w:rFonts w:cs="Times-Bold"/>
          <w:bCs/>
          <w:i/>
        </w:rPr>
        <w:t>C</w:t>
      </w:r>
      <w:r w:rsidRPr="00D34D7B">
        <w:rPr>
          <w:rFonts w:cs="Times-Bold"/>
          <w:bCs/>
          <w:i/>
        </w:rPr>
        <w:t xml:space="preserve">onflict </w:t>
      </w:r>
      <w:r w:rsidR="001C7BFA" w:rsidRPr="00D34D7B">
        <w:rPr>
          <w:rFonts w:cs="Times-Bold"/>
          <w:bCs/>
          <w:i/>
        </w:rPr>
        <w:t>P</w:t>
      </w:r>
      <w:r w:rsidRPr="00D34D7B">
        <w:rPr>
          <w:rFonts w:cs="Times-Bold"/>
          <w:bCs/>
          <w:i/>
        </w:rPr>
        <w:t xml:space="preserve">revention and </w:t>
      </w:r>
      <w:r w:rsidR="001C7BFA" w:rsidRPr="00D34D7B">
        <w:rPr>
          <w:rFonts w:cs="Times-Bold"/>
          <w:bCs/>
          <w:i/>
        </w:rPr>
        <w:t>P</w:t>
      </w:r>
      <w:r w:rsidRPr="00D34D7B">
        <w:rPr>
          <w:rFonts w:cs="Times-Bold"/>
          <w:bCs/>
          <w:i/>
        </w:rPr>
        <w:t xml:space="preserve">eacebuilding </w:t>
      </w:r>
      <w:r w:rsidR="001C7BFA" w:rsidRPr="00D34D7B">
        <w:rPr>
          <w:rFonts w:cs="Times-Bold"/>
          <w:bCs/>
          <w:i/>
        </w:rPr>
        <w:t>A</w:t>
      </w:r>
      <w:r w:rsidRPr="00D34D7B">
        <w:rPr>
          <w:rFonts w:cs="Times-Bold"/>
          <w:bCs/>
          <w:i/>
        </w:rPr>
        <w:t xml:space="preserve">ctivity in Southern Sudan </w:t>
      </w:r>
      <w:r w:rsidR="001C7BFA" w:rsidRPr="00D34D7B">
        <w:rPr>
          <w:rFonts w:cs="Times-Bold"/>
          <w:bCs/>
          <w:i/>
        </w:rPr>
        <w:t>S</w:t>
      </w:r>
      <w:r w:rsidRPr="00D34D7B">
        <w:rPr>
          <w:rFonts w:cs="Times-Bold"/>
          <w:bCs/>
          <w:i/>
        </w:rPr>
        <w:t>ince 2005</w:t>
      </w:r>
      <w:r w:rsidR="00D34D7B">
        <w:rPr>
          <w:rFonts w:cs="Times-Bold"/>
          <w:bCs/>
          <w:i/>
        </w:rPr>
        <w:t>.</w:t>
      </w:r>
    </w:p>
    <w:p w14:paraId="3E3C0B63" w14:textId="1B2182E0" w:rsidR="00A56EDD" w:rsidRPr="00B513F4" w:rsidRDefault="00A56EDD" w:rsidP="00EB77B1">
      <w:pPr>
        <w:ind w:left="720" w:hanging="720"/>
        <w:rPr>
          <w:rFonts w:cs="Times-Bold"/>
          <w:bCs/>
        </w:rPr>
      </w:pPr>
      <w:r w:rsidRPr="00B513F4">
        <w:rPr>
          <w:rFonts w:cs="Times-Bold"/>
          <w:bCs/>
        </w:rPr>
        <w:t xml:space="preserve">North, Wallis, </w:t>
      </w:r>
      <w:r w:rsidR="00E853F2">
        <w:rPr>
          <w:rFonts w:cs="Times-Bold"/>
          <w:bCs/>
        </w:rPr>
        <w:t xml:space="preserve">Webb, </w:t>
      </w:r>
      <w:r w:rsidRPr="00B513F4">
        <w:rPr>
          <w:rFonts w:cs="Times-Bold"/>
          <w:bCs/>
        </w:rPr>
        <w:t xml:space="preserve">and </w:t>
      </w:r>
      <w:r w:rsidRPr="001A7298">
        <w:t>Weingast</w:t>
      </w:r>
      <w:r w:rsidR="0062607C">
        <w:t>.</w:t>
      </w:r>
      <w:r w:rsidRPr="00B513F4">
        <w:rPr>
          <w:rFonts w:cs="Times-Bold"/>
          <w:bCs/>
        </w:rPr>
        <w:t xml:space="preserve"> 2013</w:t>
      </w:r>
      <w:r w:rsidR="0062607C">
        <w:rPr>
          <w:rFonts w:cs="Times-Bold"/>
          <w:bCs/>
        </w:rPr>
        <w:t>.</w:t>
      </w:r>
      <w:r w:rsidRPr="00B513F4">
        <w:rPr>
          <w:rFonts w:cs="Times-Bold"/>
          <w:bCs/>
        </w:rPr>
        <w:t xml:space="preserve"> </w:t>
      </w:r>
      <w:r w:rsidRPr="00B513F4">
        <w:rPr>
          <w:rFonts w:cs="Times-Bold"/>
          <w:bCs/>
          <w:i/>
        </w:rPr>
        <w:t>In the Shadow of Violence</w:t>
      </w:r>
      <w:r w:rsidRPr="00B513F4">
        <w:rPr>
          <w:rFonts w:cs="Times-Bold"/>
          <w:bCs/>
        </w:rPr>
        <w:t xml:space="preserve">. </w:t>
      </w:r>
      <w:r w:rsidR="00E853F2" w:rsidRPr="00E853F2">
        <w:rPr>
          <w:rFonts w:cs="Times-Bold"/>
          <w:bCs/>
          <w:i/>
        </w:rPr>
        <w:t>Politics, Economics, and the Problems of Development.</w:t>
      </w:r>
      <w:r w:rsidR="00E853F2">
        <w:rPr>
          <w:rFonts w:cs="Times-Bold"/>
          <w:bCs/>
        </w:rPr>
        <w:t xml:space="preserve"> Cambridge University Press. </w:t>
      </w:r>
    </w:p>
    <w:p w14:paraId="77B13868" w14:textId="0C2F65AD" w:rsidR="00A56EDD" w:rsidRPr="00B513F4" w:rsidRDefault="00A56EDD" w:rsidP="00EB77B1">
      <w:pPr>
        <w:ind w:left="720" w:hanging="720"/>
        <w:rPr>
          <w:rFonts w:cs="Times-Bold"/>
          <w:bCs/>
        </w:rPr>
      </w:pPr>
      <w:r w:rsidRPr="00B513F4">
        <w:rPr>
          <w:rFonts w:cs="Times-Bold"/>
          <w:bCs/>
        </w:rPr>
        <w:t>Nunberg</w:t>
      </w:r>
      <w:r w:rsidR="006B041F">
        <w:rPr>
          <w:rFonts w:cs="Times-Bold"/>
          <w:bCs/>
        </w:rPr>
        <w:t>,</w:t>
      </w:r>
      <w:r w:rsidRPr="00B513F4">
        <w:rPr>
          <w:rFonts w:cs="Times-Bold"/>
          <w:bCs/>
        </w:rPr>
        <w:t xml:space="preserve"> B.</w:t>
      </w:r>
      <w:r w:rsidR="006B041F">
        <w:rPr>
          <w:rFonts w:cs="Times-Bold"/>
          <w:bCs/>
        </w:rPr>
        <w:t>,</w:t>
      </w:r>
      <w:r w:rsidRPr="00B513F4">
        <w:rPr>
          <w:rFonts w:cs="Times-Bold"/>
          <w:bCs/>
        </w:rPr>
        <w:t xml:space="preserve"> and R. Tal</w:t>
      </w:r>
      <w:r w:rsidR="006B041F">
        <w:rPr>
          <w:rFonts w:cs="Times-Bold"/>
          <w:bCs/>
        </w:rPr>
        <w:t>i</w:t>
      </w:r>
      <w:r w:rsidRPr="00B513F4">
        <w:rPr>
          <w:rFonts w:cs="Times-Bold"/>
          <w:bCs/>
        </w:rPr>
        <w:t>ercio</w:t>
      </w:r>
      <w:r w:rsidR="006B041F">
        <w:rPr>
          <w:rFonts w:cs="Times-Bold"/>
          <w:bCs/>
        </w:rPr>
        <w:t>.</w:t>
      </w:r>
      <w:r w:rsidRPr="00B513F4">
        <w:rPr>
          <w:rFonts w:cs="Times-Bold"/>
          <w:bCs/>
        </w:rPr>
        <w:t xml:space="preserve"> 2012</w:t>
      </w:r>
      <w:r w:rsidR="006B041F">
        <w:rPr>
          <w:rFonts w:cs="Times-Bold"/>
          <w:bCs/>
        </w:rPr>
        <w:t>.</w:t>
      </w:r>
      <w:r w:rsidRPr="00B513F4">
        <w:rPr>
          <w:rFonts w:cs="Times-Bold"/>
          <w:bCs/>
        </w:rPr>
        <w:t xml:space="preserve"> </w:t>
      </w:r>
      <w:r w:rsidR="006B041F">
        <w:rPr>
          <w:rFonts w:cs="Times-Bold"/>
          <w:bCs/>
        </w:rPr>
        <w:t>“</w:t>
      </w:r>
      <w:r w:rsidRPr="00B513F4">
        <w:rPr>
          <w:rFonts w:cs="Times-Bold"/>
          <w:bCs/>
        </w:rPr>
        <w:t>Sabotaging Civil Service Reform in in Aid-Dependent Countries: Are Donors to Blame?</w:t>
      </w:r>
      <w:r w:rsidR="006B041F">
        <w:rPr>
          <w:rFonts w:cs="Times-Bold"/>
          <w:bCs/>
        </w:rPr>
        <w:t>”</w:t>
      </w:r>
      <w:r w:rsidRPr="00B513F4">
        <w:rPr>
          <w:rFonts w:cs="Times-Bold"/>
          <w:bCs/>
        </w:rPr>
        <w:t xml:space="preserve"> </w:t>
      </w:r>
      <w:r w:rsidRPr="00D34D7B">
        <w:rPr>
          <w:rFonts w:cs="Times-Bold"/>
          <w:bCs/>
          <w:i/>
        </w:rPr>
        <w:t xml:space="preserve">World </w:t>
      </w:r>
      <w:r w:rsidRPr="00D34D7B">
        <w:rPr>
          <w:i/>
        </w:rPr>
        <w:t>Development</w:t>
      </w:r>
      <w:r w:rsidRPr="00B513F4">
        <w:rPr>
          <w:rFonts w:cs="Times-Bold"/>
          <w:bCs/>
        </w:rPr>
        <w:t xml:space="preserve"> 40 (10): 1970</w:t>
      </w:r>
      <w:r w:rsidR="006B041F">
        <w:rPr>
          <w:rFonts w:cs="Times-Bold"/>
          <w:bCs/>
        </w:rPr>
        <w:t>–</w:t>
      </w:r>
      <w:r w:rsidRPr="00B513F4">
        <w:rPr>
          <w:rFonts w:cs="Times-Bold"/>
          <w:bCs/>
        </w:rPr>
        <w:t xml:space="preserve">1981. </w:t>
      </w:r>
    </w:p>
    <w:p w14:paraId="4B1E2D2B" w14:textId="71EEFBDA" w:rsidR="00AE326F" w:rsidRDefault="00A56EDD" w:rsidP="00EB77B1">
      <w:pPr>
        <w:ind w:left="720" w:hanging="720"/>
        <w:rPr>
          <w:rFonts w:cs="HelveticaNeue"/>
        </w:rPr>
      </w:pPr>
      <w:r w:rsidRPr="00B513F4">
        <w:rPr>
          <w:rFonts w:cs="HelveticaNeue"/>
        </w:rPr>
        <w:t xml:space="preserve">OECD </w:t>
      </w:r>
      <w:r w:rsidR="002A7897">
        <w:rPr>
          <w:rFonts w:cs="HelveticaNeue"/>
        </w:rPr>
        <w:t xml:space="preserve">(Organisation for Economic Co-operation and Development). </w:t>
      </w:r>
      <w:r w:rsidR="00AE326F">
        <w:rPr>
          <w:rFonts w:cs="HelveticaNeue"/>
        </w:rPr>
        <w:t xml:space="preserve">2010. </w:t>
      </w:r>
      <w:r w:rsidR="00AE326F" w:rsidRPr="00AE326F">
        <w:rPr>
          <w:rFonts w:cs="HelveticaNeue"/>
          <w:i/>
        </w:rPr>
        <w:t>Do No Harm. International Support for Statebuilding</w:t>
      </w:r>
      <w:r w:rsidR="00AE326F">
        <w:rPr>
          <w:rFonts w:cs="HelveticaNeue"/>
        </w:rPr>
        <w:t xml:space="preserve">. Paris: OECD. </w:t>
      </w:r>
    </w:p>
    <w:p w14:paraId="189659D8" w14:textId="7E7DD074" w:rsidR="00A56EDD" w:rsidRPr="00B513F4" w:rsidRDefault="00AE326F" w:rsidP="00EB77B1">
      <w:pPr>
        <w:ind w:left="720" w:hanging="720"/>
        <w:rPr>
          <w:rFonts w:cs="HelveticaNeue"/>
        </w:rPr>
      </w:pPr>
      <w:r>
        <w:rPr>
          <w:rFonts w:cs="Times-Bold"/>
          <w:bCs/>
        </w:rPr>
        <w:t>———.</w:t>
      </w:r>
      <w:r w:rsidR="00A56EDD" w:rsidRPr="00B513F4">
        <w:rPr>
          <w:rFonts w:cs="HelveticaNeue"/>
        </w:rPr>
        <w:t>2011</w:t>
      </w:r>
      <w:r w:rsidR="002A7897">
        <w:rPr>
          <w:rFonts w:cs="HelveticaNeue"/>
        </w:rPr>
        <w:t>.</w:t>
      </w:r>
      <w:r w:rsidR="00A56EDD" w:rsidRPr="00B513F4">
        <w:rPr>
          <w:rFonts w:cs="HelveticaNeue"/>
        </w:rPr>
        <w:t xml:space="preserve"> “Contracting Out Government Functions and </w:t>
      </w:r>
      <w:r w:rsidR="00A56EDD" w:rsidRPr="001A7298">
        <w:t>Services</w:t>
      </w:r>
      <w:r w:rsidR="00A56EDD" w:rsidRPr="00B513F4">
        <w:rPr>
          <w:rFonts w:cs="HelveticaNeue"/>
        </w:rPr>
        <w:t xml:space="preserve"> in Post-Conflict and</w:t>
      </w:r>
      <w:r w:rsidR="001A7298">
        <w:rPr>
          <w:rFonts w:cs="HelveticaNeue"/>
        </w:rPr>
        <w:t xml:space="preserve"> </w:t>
      </w:r>
      <w:r w:rsidR="00A56EDD" w:rsidRPr="00B513F4">
        <w:rPr>
          <w:rFonts w:cs="HelveticaNeue"/>
        </w:rPr>
        <w:t xml:space="preserve">Fragile States: Examples from the Health Sector in Latin </w:t>
      </w:r>
      <w:r w:rsidR="00A56EDD" w:rsidRPr="001A7298">
        <w:t>America</w:t>
      </w:r>
      <w:r w:rsidR="00A56EDD" w:rsidRPr="00B513F4">
        <w:rPr>
          <w:rFonts w:cs="HelveticaNeue"/>
        </w:rPr>
        <w:t xml:space="preserve"> and the Caribbean</w:t>
      </w:r>
      <w:r w:rsidR="002A7897">
        <w:rPr>
          <w:rFonts w:cs="HelveticaNeue"/>
        </w:rPr>
        <w:t>.</w:t>
      </w:r>
      <w:r w:rsidR="00A56EDD" w:rsidRPr="00B513F4">
        <w:rPr>
          <w:rFonts w:cs="HelveticaNeue"/>
        </w:rPr>
        <w:t>”</w:t>
      </w:r>
      <w:r w:rsidR="002A7897">
        <w:rPr>
          <w:rFonts w:cs="HelveticaNeue"/>
        </w:rPr>
        <w:t xml:space="preserve"> Paper presented at the OECD workshop,</w:t>
      </w:r>
      <w:r w:rsidR="00A56EDD" w:rsidRPr="00B513F4">
        <w:rPr>
          <w:rFonts w:cs="HelveticaNeue-Italic"/>
          <w:i/>
          <w:iCs/>
        </w:rPr>
        <w:t xml:space="preserve"> </w:t>
      </w:r>
      <w:r w:rsidR="002A7897" w:rsidRPr="00D34D7B">
        <w:rPr>
          <w:rFonts w:cs="HelveticaNeue-Italic"/>
          <w:iCs/>
        </w:rPr>
        <w:t>“</w:t>
      </w:r>
      <w:r w:rsidR="00A56EDD" w:rsidRPr="00D34D7B">
        <w:rPr>
          <w:rFonts w:cs="HelveticaNeue-Italic"/>
          <w:iCs/>
        </w:rPr>
        <w:t>Partnership</w:t>
      </w:r>
      <w:r w:rsidR="00A56EDD" w:rsidRPr="002A7897">
        <w:rPr>
          <w:rFonts w:cs="HelveticaNeue"/>
        </w:rPr>
        <w:t xml:space="preserve"> </w:t>
      </w:r>
      <w:r w:rsidR="00A56EDD" w:rsidRPr="00D34D7B">
        <w:rPr>
          <w:rFonts w:cs="HelveticaNeue-Italic"/>
          <w:iCs/>
        </w:rPr>
        <w:t>for Democratic Governance</w:t>
      </w:r>
      <w:r w:rsidR="002A7897">
        <w:rPr>
          <w:rFonts w:cs="HelveticaNeue"/>
        </w:rPr>
        <w:t>.”</w:t>
      </w:r>
    </w:p>
    <w:p w14:paraId="5F24EB9A" w14:textId="5DD55ECA" w:rsidR="00A56EDD" w:rsidRPr="00B513F4" w:rsidRDefault="00A56EDD" w:rsidP="00EB77B1">
      <w:pPr>
        <w:ind w:left="720" w:hanging="720"/>
      </w:pPr>
      <w:r w:rsidRPr="00B513F4">
        <w:t>Orac, Jana</w:t>
      </w:r>
      <w:r w:rsidR="00CB36BB">
        <w:t>.</w:t>
      </w:r>
      <w:r w:rsidRPr="00B513F4">
        <w:t xml:space="preserve"> 2013</w:t>
      </w:r>
      <w:r w:rsidR="00CB36BB">
        <w:t>.</w:t>
      </w:r>
      <w:r w:rsidRPr="00B513F4">
        <w:t xml:space="preserve"> </w:t>
      </w:r>
      <w:r w:rsidRPr="00B513F4">
        <w:rPr>
          <w:i/>
        </w:rPr>
        <w:t>Reshaping Civil Service Employment: International Experience and Emerging Insights from Fragile and Conflict-Affected Situations</w:t>
      </w:r>
      <w:r w:rsidRPr="00B513F4">
        <w:t xml:space="preserve">. Knowledge Review. </w:t>
      </w:r>
    </w:p>
    <w:p w14:paraId="266F65AA" w14:textId="6676ADBC" w:rsidR="00A56EDD" w:rsidRPr="00B513F4" w:rsidRDefault="00A56EDD" w:rsidP="00EB77B1">
      <w:pPr>
        <w:ind w:left="720" w:hanging="720"/>
      </w:pPr>
      <w:r w:rsidRPr="00B513F4">
        <w:t>PALAMA</w:t>
      </w:r>
      <w:r w:rsidR="005D195A">
        <w:t xml:space="preserve"> (Public Administration Leadership and Management Academy)</w:t>
      </w:r>
      <w:r w:rsidR="00692F15">
        <w:t>.</w:t>
      </w:r>
      <w:r w:rsidRPr="00B513F4">
        <w:t xml:space="preserve"> 2013</w:t>
      </w:r>
      <w:r w:rsidR="00692F15">
        <w:t>.</w:t>
      </w:r>
      <w:r>
        <w:t xml:space="preserve"> </w:t>
      </w:r>
      <w:r w:rsidRPr="00D34D7B">
        <w:rPr>
          <w:i/>
        </w:rPr>
        <w:t>Pilot Training Needs Assessment Report in the Three States of Jonglei, Northern Bahr el Ghazal and Western Equatoria, South Sudan</w:t>
      </w:r>
      <w:r>
        <w:t xml:space="preserve">. CIDA/PALAMA. </w:t>
      </w:r>
    </w:p>
    <w:p w14:paraId="1A9BE1C2" w14:textId="3CA6BABC" w:rsidR="00A56EDD" w:rsidRPr="00B513F4" w:rsidRDefault="00A56EDD" w:rsidP="00EB77B1">
      <w:pPr>
        <w:ind w:left="720" w:hanging="720"/>
        <w:rPr>
          <w:rFonts w:cs="TimesNewRoman"/>
        </w:rPr>
      </w:pPr>
      <w:r w:rsidRPr="00B513F4">
        <w:t>Pritchett, L.</w:t>
      </w:r>
      <w:r w:rsidR="0049742F">
        <w:t>,</w:t>
      </w:r>
      <w:r w:rsidRPr="00B513F4">
        <w:t xml:space="preserve"> and F. de Weijer</w:t>
      </w:r>
      <w:r w:rsidR="0049742F">
        <w:t>.</w:t>
      </w:r>
      <w:r w:rsidRPr="00B513F4">
        <w:t xml:space="preserve"> 2010</w:t>
      </w:r>
      <w:r w:rsidR="0049742F">
        <w:t>.</w:t>
      </w:r>
      <w:r w:rsidRPr="00B513F4">
        <w:t xml:space="preserve"> </w:t>
      </w:r>
      <w:r w:rsidR="005049D8">
        <w:t>“</w:t>
      </w:r>
      <w:r w:rsidRPr="00B513F4">
        <w:t>Fragile States: Stuck in a Capability Trap?</w:t>
      </w:r>
      <w:r w:rsidR="005049D8">
        <w:t>”</w:t>
      </w:r>
      <w:r w:rsidRPr="00B513F4">
        <w:t xml:space="preserve"> WDR 2011 </w:t>
      </w:r>
      <w:r w:rsidR="005049D8">
        <w:t>b</w:t>
      </w:r>
      <w:r w:rsidRPr="00B513F4">
        <w:t xml:space="preserve">ackground </w:t>
      </w:r>
      <w:r w:rsidR="005049D8">
        <w:t>p</w:t>
      </w:r>
      <w:r w:rsidRPr="00B513F4">
        <w:t xml:space="preserve">aper. </w:t>
      </w:r>
      <w:hyperlink r:id="rId49" w:history="1">
        <w:r w:rsidRPr="00B513F4">
          <w:rPr>
            <w:rStyle w:val="Hyperlink"/>
          </w:rPr>
          <w:t>http://siteresources.worldbank.org/EXTWDR2011/Resources/6406082-1283882418764/WDR_Background_Paper_Pritchett.pdf</w:t>
        </w:r>
      </w:hyperlink>
      <w:r w:rsidR="003D42C6">
        <w:rPr>
          <w:rStyle w:val="Hyperlink"/>
        </w:rPr>
        <w:t>.</w:t>
      </w:r>
    </w:p>
    <w:p w14:paraId="06F9C6D9" w14:textId="4A46D12B" w:rsidR="00A56EDD" w:rsidRPr="00B513F4" w:rsidRDefault="00A56EDD" w:rsidP="00EB77B1">
      <w:pPr>
        <w:ind w:left="720" w:hanging="720"/>
        <w:rPr>
          <w:rFonts w:cs="TimesNewRoman"/>
        </w:rPr>
      </w:pPr>
      <w:r w:rsidRPr="00B513F4">
        <w:rPr>
          <w:rFonts w:cs="TimesNewRoman"/>
        </w:rPr>
        <w:t>Protsyk, O</w:t>
      </w:r>
      <w:r w:rsidR="00AF53AF">
        <w:rPr>
          <w:rFonts w:cs="TimesNewRoman"/>
        </w:rPr>
        <w:t>.,</w:t>
      </w:r>
      <w:r w:rsidRPr="00B513F4">
        <w:rPr>
          <w:rFonts w:cs="TimesNewRoman"/>
        </w:rPr>
        <w:t xml:space="preserve"> and K. Sachariew</w:t>
      </w:r>
      <w:r w:rsidR="00AF53AF">
        <w:rPr>
          <w:rFonts w:cs="TimesNewRoman"/>
        </w:rPr>
        <w:t>.</w:t>
      </w:r>
      <w:r w:rsidRPr="00B513F4">
        <w:rPr>
          <w:rFonts w:cs="TimesNewRoman"/>
        </w:rPr>
        <w:t xml:space="preserve"> 2008</w:t>
      </w:r>
      <w:r w:rsidR="00AF53AF">
        <w:rPr>
          <w:rFonts w:cs="TimesNewRoman"/>
        </w:rPr>
        <w:t>.</w:t>
      </w:r>
      <w:r w:rsidRPr="00B513F4">
        <w:rPr>
          <w:rFonts w:cs="TimesNewRoman"/>
        </w:rPr>
        <w:t xml:space="preserve"> </w:t>
      </w:r>
      <w:r w:rsidRPr="00D34D7B">
        <w:rPr>
          <w:rFonts w:cs="TimesNewRoman"/>
          <w:i/>
        </w:rPr>
        <w:t xml:space="preserve">Ethnic Data Collection: The </w:t>
      </w:r>
      <w:r w:rsidRPr="00D34D7B">
        <w:rPr>
          <w:i/>
        </w:rPr>
        <w:t>Case</w:t>
      </w:r>
      <w:r w:rsidRPr="00D34D7B">
        <w:rPr>
          <w:rFonts w:cs="TimesNewRoman"/>
          <w:i/>
        </w:rPr>
        <w:t xml:space="preserve"> of the Civil Service in Eastern Europe</w:t>
      </w:r>
      <w:r w:rsidRPr="00B513F4">
        <w:rPr>
          <w:rFonts w:cs="TimesNewRoman"/>
        </w:rPr>
        <w:t xml:space="preserve">. ECMI </w:t>
      </w:r>
      <w:r w:rsidRPr="006E5AD2">
        <w:rPr>
          <w:rFonts w:cs="TimesNewRoman"/>
        </w:rPr>
        <w:t>Issue Brief</w:t>
      </w:r>
      <w:r w:rsidRPr="00B513F4">
        <w:rPr>
          <w:rFonts w:cs="TimesNewRoman"/>
        </w:rPr>
        <w:t xml:space="preserve"> 17. </w:t>
      </w:r>
      <w:hyperlink r:id="rId50" w:history="1">
        <w:r w:rsidRPr="00B513F4">
          <w:rPr>
            <w:rStyle w:val="Hyperlink"/>
            <w:rFonts w:cs="TimesNewRoman"/>
          </w:rPr>
          <w:t>http://www.ecmi.de/uploads/tx_lfpubdb/brief_17.pdf</w:t>
        </w:r>
      </w:hyperlink>
      <w:r w:rsidRPr="00B513F4">
        <w:rPr>
          <w:rFonts w:cs="TimesNewRoman"/>
        </w:rPr>
        <w:t xml:space="preserve">. </w:t>
      </w:r>
    </w:p>
    <w:p w14:paraId="55CB8096" w14:textId="18CC085C" w:rsidR="00FF13D2" w:rsidRDefault="00FF13D2" w:rsidP="00EB77B1">
      <w:pPr>
        <w:ind w:left="720" w:hanging="720"/>
        <w:rPr>
          <w:rFonts w:cs="Palatino-Roman"/>
        </w:rPr>
      </w:pPr>
      <w:r w:rsidRPr="00B513F4">
        <w:t>Rands, R. 2010</w:t>
      </w:r>
      <w:r>
        <w:t>.</w:t>
      </w:r>
      <w:r w:rsidRPr="00B513F4">
        <w:t xml:space="preserve"> </w:t>
      </w:r>
      <w:r w:rsidRPr="00D34D7B">
        <w:rPr>
          <w:i/>
        </w:rPr>
        <w:t>In Need of Review: SPLA Transformation in 2006–10 and Beyond</w:t>
      </w:r>
      <w:r w:rsidRPr="00B513F4">
        <w:t xml:space="preserve">. Geneva: Small Arms Survey, Graduate Institute of International and Development Studies. </w:t>
      </w:r>
      <w:hyperlink r:id="rId51" w:history="1">
        <w:r w:rsidRPr="002E368D">
          <w:rPr>
            <w:rStyle w:val="Hyperlink"/>
            <w:rFonts w:cs="Palatino-Roman"/>
          </w:rPr>
          <w:t>http://www.smallarmssurveysudan.org/fileadmin/docs/working-papers/HSBA-WP-23-SPLA-Transformation-2006-10-and-Beyond.pdf</w:t>
        </w:r>
      </w:hyperlink>
      <w:r w:rsidRPr="002E368D">
        <w:rPr>
          <w:rFonts w:cs="Palatino-Roman"/>
        </w:rPr>
        <w:t>.</w:t>
      </w:r>
    </w:p>
    <w:p w14:paraId="1315946F" w14:textId="6D01B9D2" w:rsidR="00FF13D2" w:rsidRDefault="00FF13D2" w:rsidP="00EB77B1">
      <w:pPr>
        <w:ind w:left="720" w:hanging="720"/>
        <w:rPr>
          <w:lang w:val="en"/>
        </w:rPr>
      </w:pPr>
      <w:r w:rsidRPr="00B513F4">
        <w:rPr>
          <w:lang w:val="en"/>
        </w:rPr>
        <w:t>Schnabel, A.</w:t>
      </w:r>
      <w:r>
        <w:rPr>
          <w:lang w:val="en"/>
        </w:rPr>
        <w:t>,</w:t>
      </w:r>
      <w:r w:rsidRPr="00B513F4">
        <w:rPr>
          <w:lang w:val="en"/>
        </w:rPr>
        <w:t xml:space="preserve"> and H.</w:t>
      </w:r>
      <w:r>
        <w:rPr>
          <w:lang w:val="en"/>
        </w:rPr>
        <w:t xml:space="preserve"> </w:t>
      </w:r>
      <w:r w:rsidRPr="00B513F4">
        <w:rPr>
          <w:lang w:val="en"/>
        </w:rPr>
        <w:t>G. Ehrhart</w:t>
      </w:r>
      <w:r>
        <w:rPr>
          <w:lang w:val="en"/>
        </w:rPr>
        <w:t>.</w:t>
      </w:r>
      <w:r w:rsidRPr="00B513F4">
        <w:rPr>
          <w:lang w:val="en"/>
        </w:rPr>
        <w:t xml:space="preserve"> 2005</w:t>
      </w:r>
      <w:r>
        <w:rPr>
          <w:lang w:val="en"/>
        </w:rPr>
        <w:t>.</w:t>
      </w:r>
      <w:r w:rsidRPr="00B513F4">
        <w:rPr>
          <w:lang w:val="en"/>
        </w:rPr>
        <w:t xml:space="preserve"> </w:t>
      </w:r>
      <w:r w:rsidRPr="00D34D7B">
        <w:rPr>
          <w:i/>
        </w:rPr>
        <w:t>Security</w:t>
      </w:r>
      <w:r w:rsidRPr="00D43AA6">
        <w:rPr>
          <w:i/>
          <w:lang w:val="en"/>
        </w:rPr>
        <w:t xml:space="preserve"> </w:t>
      </w:r>
      <w:r w:rsidRPr="00B513F4">
        <w:rPr>
          <w:i/>
          <w:lang w:val="en"/>
        </w:rPr>
        <w:t>Sector Reform and Post-Conflict Peacebuilding</w:t>
      </w:r>
      <w:r w:rsidRPr="00B513F4">
        <w:rPr>
          <w:lang w:val="en"/>
        </w:rPr>
        <w:t xml:space="preserve">. Tokyo and New York: United Nations University Press. </w:t>
      </w:r>
    </w:p>
    <w:p w14:paraId="4D066C06" w14:textId="4440357C" w:rsidR="00A56EDD" w:rsidRPr="00B513F4" w:rsidRDefault="00A56EDD" w:rsidP="00EB77B1">
      <w:pPr>
        <w:ind w:left="720" w:hanging="720"/>
        <w:rPr>
          <w:rFonts w:cs="Times-Bold"/>
          <w:bCs/>
        </w:rPr>
      </w:pPr>
      <w:r w:rsidRPr="00B513F4">
        <w:rPr>
          <w:rFonts w:cs="Times-Bold"/>
          <w:bCs/>
        </w:rPr>
        <w:t xml:space="preserve">Small Arms </w:t>
      </w:r>
      <w:r w:rsidRPr="001A7298">
        <w:t>Survey</w:t>
      </w:r>
      <w:r w:rsidR="00AF53AF">
        <w:t>.</w:t>
      </w:r>
      <w:r w:rsidRPr="00B513F4">
        <w:rPr>
          <w:rFonts w:cs="Times-Bold"/>
          <w:bCs/>
        </w:rPr>
        <w:t xml:space="preserve"> 2011</w:t>
      </w:r>
      <w:r w:rsidR="00AF53AF">
        <w:rPr>
          <w:rFonts w:cs="Times-Bold"/>
          <w:bCs/>
        </w:rPr>
        <w:t>.</w:t>
      </w:r>
      <w:r w:rsidRPr="00B513F4">
        <w:rPr>
          <w:rFonts w:cs="Times-Bold"/>
          <w:bCs/>
        </w:rPr>
        <w:t xml:space="preserve"> </w:t>
      </w:r>
      <w:r w:rsidRPr="00B513F4">
        <w:rPr>
          <w:rFonts w:cs="Times-Bold"/>
          <w:bCs/>
          <w:i/>
        </w:rPr>
        <w:t xml:space="preserve">Failures and Opportunities </w:t>
      </w:r>
      <w:r w:rsidR="00AF53AF">
        <w:rPr>
          <w:rFonts w:cs="Times-Bold"/>
          <w:bCs/>
          <w:i/>
        </w:rPr>
        <w:t>-</w:t>
      </w:r>
      <w:r w:rsidRPr="00B513F4">
        <w:rPr>
          <w:rFonts w:cs="Times-Bold"/>
          <w:bCs/>
          <w:i/>
        </w:rPr>
        <w:t xml:space="preserve"> Rethinking DDR in South Sudan</w:t>
      </w:r>
      <w:r w:rsidRPr="00B513F4">
        <w:rPr>
          <w:rFonts w:cs="Times-Bold"/>
          <w:bCs/>
        </w:rPr>
        <w:t>. Sudan Issue Brief 17</w:t>
      </w:r>
      <w:r w:rsidR="00AF53AF">
        <w:rPr>
          <w:rFonts w:cs="Times-Bold"/>
          <w:bCs/>
        </w:rPr>
        <w:t>.</w:t>
      </w:r>
      <w:r w:rsidRPr="00B513F4">
        <w:rPr>
          <w:rFonts w:cs="Times-Bold"/>
          <w:bCs/>
        </w:rPr>
        <w:t xml:space="preserve"> </w:t>
      </w:r>
      <w:hyperlink r:id="rId52" w:history="1">
        <w:r w:rsidRPr="00B513F4">
          <w:rPr>
            <w:rStyle w:val="Hyperlink"/>
            <w:rFonts w:cs="Times-Bold"/>
          </w:rPr>
          <w:t>http://www.smallarmssurveysudan.org/fileadmin/docs/issue-briefs/HSBA-IB-17-Rethinking-DDR-in-South-Sudan.pdf</w:t>
        </w:r>
      </w:hyperlink>
      <w:r w:rsidRPr="00B513F4">
        <w:rPr>
          <w:rFonts w:cs="Times-Bold"/>
          <w:bCs/>
        </w:rPr>
        <w:t xml:space="preserve">. </w:t>
      </w:r>
    </w:p>
    <w:p w14:paraId="4491BCBC" w14:textId="264DA219" w:rsidR="00A56EDD" w:rsidRPr="00B513F4" w:rsidRDefault="00A56EDD" w:rsidP="00EB77B1">
      <w:pPr>
        <w:ind w:left="720" w:hanging="720"/>
        <w:rPr>
          <w:rFonts w:cs="Times-Bold"/>
          <w:bCs/>
        </w:rPr>
      </w:pPr>
      <w:r w:rsidRPr="00B513F4">
        <w:rPr>
          <w:rFonts w:cs="Times-Bold"/>
          <w:bCs/>
        </w:rPr>
        <w:t xml:space="preserve">Srivastava, Blum, </w:t>
      </w:r>
      <w:r w:rsidR="00990198">
        <w:rPr>
          <w:rFonts w:cs="Times-Bold"/>
          <w:bCs/>
        </w:rPr>
        <w:t xml:space="preserve">and </w:t>
      </w:r>
      <w:r w:rsidRPr="00B513F4">
        <w:rPr>
          <w:rFonts w:cs="Times-Bold"/>
          <w:bCs/>
        </w:rPr>
        <w:t>Ferreiro-</w:t>
      </w:r>
      <w:r w:rsidRPr="001A7298">
        <w:t>Rodriguez</w:t>
      </w:r>
      <w:r w:rsidR="00990198">
        <w:t>.</w:t>
      </w:r>
      <w:r w:rsidRPr="00B513F4">
        <w:rPr>
          <w:rFonts w:cs="Times-Bold"/>
          <w:bCs/>
        </w:rPr>
        <w:t xml:space="preserve"> </w:t>
      </w:r>
      <w:r w:rsidR="00990198">
        <w:rPr>
          <w:rFonts w:cs="Times-Bold"/>
          <w:bCs/>
        </w:rPr>
        <w:t>F</w:t>
      </w:r>
      <w:r w:rsidRPr="00B513F4">
        <w:rPr>
          <w:rFonts w:cs="Times-Bold"/>
          <w:bCs/>
        </w:rPr>
        <w:t>orthcoming</w:t>
      </w:r>
      <w:r w:rsidR="00990198">
        <w:rPr>
          <w:rFonts w:cs="Times-Bold"/>
          <w:bCs/>
        </w:rPr>
        <w:t>.</w:t>
      </w:r>
      <w:r w:rsidRPr="00B513F4">
        <w:rPr>
          <w:rFonts w:cs="Times-Bold"/>
          <w:bCs/>
        </w:rPr>
        <w:t xml:space="preserve"> </w:t>
      </w:r>
      <w:r w:rsidRPr="00B513F4">
        <w:rPr>
          <w:rFonts w:cs="Times-Bold"/>
          <w:bCs/>
          <w:i/>
        </w:rPr>
        <w:t>Rebuilding Public Services in Post-Conflict Countries</w:t>
      </w:r>
      <w:r w:rsidRPr="00B513F4">
        <w:rPr>
          <w:rFonts w:cs="Times-Bold"/>
          <w:bCs/>
        </w:rPr>
        <w:t xml:space="preserve">. </w:t>
      </w:r>
    </w:p>
    <w:p w14:paraId="425AD748" w14:textId="5CB75D6A" w:rsidR="00A56EDD" w:rsidRPr="00B513F4" w:rsidRDefault="00A56EDD" w:rsidP="00EB77B1">
      <w:pPr>
        <w:ind w:left="720" w:hanging="720"/>
        <w:rPr>
          <w:rFonts w:cs="Times-Bold"/>
          <w:bCs/>
        </w:rPr>
      </w:pPr>
      <w:r w:rsidRPr="00B513F4">
        <w:rPr>
          <w:rFonts w:cs="Times-Bold"/>
          <w:bCs/>
        </w:rPr>
        <w:t>Stevens, M. 2008</w:t>
      </w:r>
      <w:r w:rsidR="00E418E5">
        <w:rPr>
          <w:rFonts w:cs="Times-Bold"/>
          <w:bCs/>
        </w:rPr>
        <w:t>.</w:t>
      </w:r>
      <w:r w:rsidRPr="00B513F4">
        <w:rPr>
          <w:rFonts w:cs="Times-Bold"/>
          <w:bCs/>
        </w:rPr>
        <w:t xml:space="preserve"> </w:t>
      </w:r>
      <w:r w:rsidRPr="00D34D7B">
        <w:rPr>
          <w:rFonts w:cs="Times-Bold"/>
          <w:bCs/>
          <w:i/>
        </w:rPr>
        <w:t>Civil Service Reform in Southern Sudan</w:t>
      </w:r>
      <w:r w:rsidR="00E418E5" w:rsidRPr="00D34D7B">
        <w:rPr>
          <w:rFonts w:cs="Times-Bold"/>
          <w:bCs/>
          <w:i/>
        </w:rPr>
        <w:t>:</w:t>
      </w:r>
      <w:r w:rsidRPr="00D34D7B">
        <w:rPr>
          <w:rFonts w:cs="Times-Bold"/>
          <w:bCs/>
          <w:i/>
        </w:rPr>
        <w:t xml:space="preserve"> </w:t>
      </w:r>
      <w:r w:rsidR="00E418E5" w:rsidRPr="00D34D7B">
        <w:rPr>
          <w:rFonts w:cs="Times-Bold"/>
          <w:bCs/>
          <w:i/>
        </w:rPr>
        <w:t>N</w:t>
      </w:r>
      <w:r w:rsidRPr="00D34D7B">
        <w:rPr>
          <w:rFonts w:cs="Times-Bold"/>
          <w:bCs/>
          <w:i/>
        </w:rPr>
        <w:t>ote for the World Bank</w:t>
      </w:r>
      <w:r w:rsidRPr="00B513F4">
        <w:rPr>
          <w:rFonts w:cs="Times-Bold"/>
          <w:bCs/>
        </w:rPr>
        <w:t xml:space="preserve">. </w:t>
      </w:r>
    </w:p>
    <w:p w14:paraId="0A64B327" w14:textId="4AEA8CC6" w:rsidR="00A56EDD" w:rsidRPr="00B513F4" w:rsidRDefault="00A56EDD" w:rsidP="00EB77B1">
      <w:pPr>
        <w:ind w:left="720" w:hanging="720"/>
        <w:rPr>
          <w:rFonts w:cs="Times-Bold"/>
          <w:bCs/>
        </w:rPr>
      </w:pPr>
      <w:r w:rsidRPr="001A7298">
        <w:t>Stewart</w:t>
      </w:r>
      <w:r w:rsidRPr="00B513F4">
        <w:rPr>
          <w:rFonts w:cs="Times-Bold"/>
          <w:bCs/>
        </w:rPr>
        <w:t>, F. 2008</w:t>
      </w:r>
      <w:r w:rsidR="000E7D60">
        <w:rPr>
          <w:rFonts w:cs="Times-Bold"/>
          <w:bCs/>
        </w:rPr>
        <w:t>.</w:t>
      </w:r>
      <w:r w:rsidRPr="00B513F4">
        <w:rPr>
          <w:rFonts w:cs="Times-Bold"/>
          <w:bCs/>
        </w:rPr>
        <w:t xml:space="preserve"> </w:t>
      </w:r>
      <w:r w:rsidRPr="00B513F4">
        <w:rPr>
          <w:rFonts w:cs="Times-Bold"/>
          <w:bCs/>
          <w:i/>
        </w:rPr>
        <w:t>Horizontal Inequalities and Conflict: Understanding Group Violence in Multiethnic Societies</w:t>
      </w:r>
      <w:r w:rsidRPr="00B513F4">
        <w:rPr>
          <w:rFonts w:cs="Times-Bold"/>
          <w:bCs/>
        </w:rPr>
        <w:t xml:space="preserve">. Basingstoke: Palgrave. </w:t>
      </w:r>
    </w:p>
    <w:p w14:paraId="6571ED6E" w14:textId="52B54ABC" w:rsidR="00A56EDD" w:rsidRPr="00B513F4" w:rsidRDefault="00A56EDD" w:rsidP="00EB77B1">
      <w:pPr>
        <w:ind w:left="720" w:hanging="720"/>
      </w:pPr>
      <w:r w:rsidRPr="00B513F4">
        <w:t>Titeca, K.</w:t>
      </w:r>
      <w:r w:rsidR="00AB72BD">
        <w:t>,</w:t>
      </w:r>
      <w:r w:rsidRPr="00B513F4">
        <w:t xml:space="preserve"> and T. de Herdt</w:t>
      </w:r>
      <w:r w:rsidR="00AB72BD">
        <w:t>.</w:t>
      </w:r>
      <w:r w:rsidRPr="00B513F4">
        <w:t xml:space="preserve"> 2011</w:t>
      </w:r>
      <w:r w:rsidR="00AB72BD">
        <w:t>.</w:t>
      </w:r>
      <w:r w:rsidRPr="00B513F4">
        <w:t xml:space="preserve"> </w:t>
      </w:r>
      <w:r w:rsidR="00AB72BD">
        <w:t>“</w:t>
      </w:r>
      <w:r w:rsidRPr="00B513F4">
        <w:t xml:space="preserve">Real </w:t>
      </w:r>
      <w:r w:rsidR="00AB72BD">
        <w:t>G</w:t>
      </w:r>
      <w:r w:rsidRPr="00B513F4">
        <w:t xml:space="preserve">overnance </w:t>
      </w:r>
      <w:r w:rsidR="00AB72BD">
        <w:t>B</w:t>
      </w:r>
      <w:r w:rsidRPr="00B513F4">
        <w:t>eyond the ‘</w:t>
      </w:r>
      <w:r w:rsidR="00AB72BD">
        <w:t>F</w:t>
      </w:r>
      <w:r w:rsidRPr="00B513F4">
        <w:t xml:space="preserve">ailed </w:t>
      </w:r>
      <w:r w:rsidR="00AB72BD">
        <w:t>S</w:t>
      </w:r>
      <w:r w:rsidRPr="00B513F4">
        <w:t xml:space="preserve">tate’: Negotiating </w:t>
      </w:r>
      <w:r w:rsidR="00AB72BD">
        <w:t>E</w:t>
      </w:r>
      <w:r w:rsidRPr="00B513F4">
        <w:t>ducation in the Democratic Republic of the Congo</w:t>
      </w:r>
      <w:r w:rsidR="00AB72BD">
        <w:t>.”</w:t>
      </w:r>
      <w:r w:rsidRPr="00B513F4">
        <w:t xml:space="preserve"> </w:t>
      </w:r>
      <w:r w:rsidRPr="00B513F4">
        <w:rPr>
          <w:i/>
        </w:rPr>
        <w:t>African Affairs</w:t>
      </w:r>
      <w:r w:rsidRPr="00B513F4">
        <w:t xml:space="preserve"> 110 (439): 213</w:t>
      </w:r>
      <w:r w:rsidR="00AB72BD">
        <w:t>–</w:t>
      </w:r>
      <w:r w:rsidRPr="00B513F4">
        <w:t xml:space="preserve">231. </w:t>
      </w:r>
    </w:p>
    <w:p w14:paraId="7B49C3CB" w14:textId="4FC486CE" w:rsidR="00FF13D2" w:rsidRDefault="00FF13D2" w:rsidP="00EB77B1">
      <w:pPr>
        <w:ind w:left="720" w:hanging="720"/>
        <w:rPr>
          <w:rFonts w:cs="TimesNewRoman"/>
        </w:rPr>
      </w:pPr>
      <w:r w:rsidRPr="00B513F4">
        <w:rPr>
          <w:rFonts w:cs="Times-Bold"/>
          <w:bCs/>
        </w:rPr>
        <w:t>Tvedt, T. 1996</w:t>
      </w:r>
      <w:r>
        <w:rPr>
          <w:rFonts w:cs="Times-Bold"/>
          <w:bCs/>
        </w:rPr>
        <w:t>.</w:t>
      </w:r>
      <w:r w:rsidRPr="00B513F4">
        <w:rPr>
          <w:rFonts w:cs="Times-Bold"/>
          <w:bCs/>
        </w:rPr>
        <w:t xml:space="preserve"> </w:t>
      </w:r>
      <w:r w:rsidRPr="00D34D7B">
        <w:rPr>
          <w:rFonts w:cs="TimesNewRoman"/>
          <w:i/>
        </w:rPr>
        <w:t xml:space="preserve">The Collapse of the State in </w:t>
      </w:r>
      <w:r w:rsidRPr="00D34D7B">
        <w:rPr>
          <w:i/>
        </w:rPr>
        <w:t>Southern</w:t>
      </w:r>
      <w:r w:rsidRPr="00D34D7B">
        <w:rPr>
          <w:rFonts w:cs="TimesNewRoman"/>
          <w:i/>
        </w:rPr>
        <w:t xml:space="preserve"> Sudan After the Addis Ababa Agreement: A Study of Internal Causes and the Role of NGOs</w:t>
      </w:r>
      <w:r>
        <w:rPr>
          <w:rFonts w:cs="TimesNewRoman"/>
        </w:rPr>
        <w:t>.</w:t>
      </w:r>
      <w:r w:rsidRPr="00B513F4">
        <w:rPr>
          <w:rFonts w:cs="TimesNewRoman"/>
        </w:rPr>
        <w:t xml:space="preserve"> Terje Tvedt Nr. 7 1996</w:t>
      </w:r>
      <w:r>
        <w:rPr>
          <w:rFonts w:cs="TimesNewRoman"/>
        </w:rPr>
        <w:t>.</w:t>
      </w:r>
      <w:r w:rsidRPr="00B513F4">
        <w:rPr>
          <w:rFonts w:cs="TimesNewRoman"/>
        </w:rPr>
        <w:t xml:space="preserve"> </w:t>
      </w:r>
      <w:r>
        <w:rPr>
          <w:rFonts w:cs="TimesNewRoman"/>
        </w:rPr>
        <w:t xml:space="preserve">Bergen, Norway: </w:t>
      </w:r>
      <w:r w:rsidRPr="00B513F4">
        <w:rPr>
          <w:rFonts w:cs="TimesNewRoman"/>
        </w:rPr>
        <w:t>Centre for Development Studies.</w:t>
      </w:r>
    </w:p>
    <w:p w14:paraId="419954D0" w14:textId="33369305" w:rsidR="00880CB6" w:rsidRDefault="00880CB6" w:rsidP="00EB77B1">
      <w:pPr>
        <w:ind w:left="720" w:hanging="720"/>
        <w:rPr>
          <w:rFonts w:cs="TimesNewRoman"/>
        </w:rPr>
      </w:pPr>
      <w:r>
        <w:rPr>
          <w:rFonts w:cs="TimesNewRoman"/>
        </w:rPr>
        <w:t xml:space="preserve">U4. 2013. </w:t>
      </w:r>
      <w:r w:rsidR="003E3941">
        <w:rPr>
          <w:rFonts w:cs="TimesNewRoman"/>
        </w:rPr>
        <w:t>“</w:t>
      </w:r>
      <w:r w:rsidR="005C1F5B" w:rsidRPr="00AE326F">
        <w:rPr>
          <w:rFonts w:cs="TimesNewRoman"/>
        </w:rPr>
        <w:t>Overview of Corruption and A</w:t>
      </w:r>
      <w:r w:rsidRPr="00AE326F">
        <w:rPr>
          <w:rFonts w:cs="TimesNewRoman"/>
        </w:rPr>
        <w:t>nti-corruption in South Sudan</w:t>
      </w:r>
      <w:r>
        <w:rPr>
          <w:rFonts w:cs="TimesNewRoman"/>
        </w:rPr>
        <w:t>.</w:t>
      </w:r>
      <w:r w:rsidR="003E3941">
        <w:rPr>
          <w:rFonts w:cs="TimesNewRoman"/>
        </w:rPr>
        <w:t>”</w:t>
      </w:r>
      <w:r>
        <w:rPr>
          <w:rFonts w:cs="TimesNewRoman"/>
        </w:rPr>
        <w:t xml:space="preserve"> U4 Expert Answer 371. </w:t>
      </w:r>
    </w:p>
    <w:p w14:paraId="5A97FA43" w14:textId="2116C168" w:rsidR="00152DB2" w:rsidRPr="00B513F4" w:rsidRDefault="00152DB2" w:rsidP="00EB77B1">
      <w:pPr>
        <w:ind w:left="720" w:hanging="720"/>
      </w:pPr>
      <w:r w:rsidRPr="00B513F4">
        <w:t>UNDP</w:t>
      </w:r>
      <w:r>
        <w:t xml:space="preserve"> (United Nations Development Programme).</w:t>
      </w:r>
      <w:r w:rsidRPr="00B513F4">
        <w:t xml:space="preserve"> 2012</w:t>
      </w:r>
      <w:r>
        <w:t>.</w:t>
      </w:r>
      <w:r w:rsidRPr="00B513F4">
        <w:t xml:space="preserve"> </w:t>
      </w:r>
      <w:r w:rsidRPr="00D34D7B">
        <w:rPr>
          <w:i/>
        </w:rPr>
        <w:t>Supporting Capacity Development in Conflict and Fragile Contexts</w:t>
      </w:r>
      <w:r w:rsidRPr="00B513F4">
        <w:t xml:space="preserve">. New York: United Nations. </w:t>
      </w:r>
      <w:hyperlink r:id="rId53" w:history="1">
        <w:r w:rsidRPr="00B513F4">
          <w:rPr>
            <w:rStyle w:val="Hyperlink"/>
          </w:rPr>
          <w:t>http://www.undp.org/content/undp/en/home/librarypage/crisis-prevention-and-recovery/supporting-capacity-development-in-conflict-and-fragile-contexts/</w:t>
        </w:r>
      </w:hyperlink>
      <w:r w:rsidRPr="00B513F4">
        <w:t xml:space="preserve">. </w:t>
      </w:r>
    </w:p>
    <w:p w14:paraId="6761632C" w14:textId="0FEB534D" w:rsidR="00A56EDD" w:rsidRPr="00B513F4" w:rsidRDefault="00152DB2" w:rsidP="00EB77B1">
      <w:pPr>
        <w:ind w:left="720" w:hanging="720"/>
      </w:pPr>
      <w:r>
        <w:t>———.</w:t>
      </w:r>
      <w:r w:rsidRPr="00B513F4">
        <w:t xml:space="preserve"> </w:t>
      </w:r>
      <w:r w:rsidR="00A56EDD" w:rsidRPr="00B513F4">
        <w:t>2013</w:t>
      </w:r>
      <w:r w:rsidR="004B3C3E">
        <w:t>.</w:t>
      </w:r>
      <w:r w:rsidR="00A56EDD" w:rsidRPr="00B513F4">
        <w:t xml:space="preserve"> </w:t>
      </w:r>
      <w:r w:rsidR="00A56EDD" w:rsidRPr="00D34D7B">
        <w:rPr>
          <w:i/>
        </w:rPr>
        <w:t>Summary: Lessons Learned Review of UN Support to Core Public Administration Functions in the Immediate Aftermath of Conflict</w:t>
      </w:r>
      <w:r w:rsidR="00A56EDD" w:rsidRPr="00B513F4">
        <w:t xml:space="preserve">. New York: United Nations. </w:t>
      </w:r>
      <w:hyperlink r:id="rId54" w:history="1">
        <w:r w:rsidR="00A56EDD" w:rsidRPr="00B513F4">
          <w:rPr>
            <w:rStyle w:val="Hyperlink"/>
          </w:rPr>
          <w:t>http://www.undp.org/content/dam/undp/library/crisis%20prevention/crisisgovernanceexecutivesummary2013final.PDF</w:t>
        </w:r>
      </w:hyperlink>
      <w:r w:rsidR="00A56EDD" w:rsidRPr="00B513F4">
        <w:t xml:space="preserve">. </w:t>
      </w:r>
    </w:p>
    <w:p w14:paraId="602DB1B7" w14:textId="51E75AEF" w:rsidR="00A56EDD" w:rsidRPr="00B513F4" w:rsidRDefault="00A56EDD" w:rsidP="00EB77B1">
      <w:pPr>
        <w:ind w:left="720" w:hanging="720"/>
      </w:pPr>
      <w:r w:rsidRPr="00B513F4">
        <w:t>UNICEF</w:t>
      </w:r>
      <w:r w:rsidR="00152DB2">
        <w:t xml:space="preserve"> (United Nations Children’s Fund).</w:t>
      </w:r>
      <w:r w:rsidRPr="00B513F4">
        <w:t xml:space="preserve"> 2011</w:t>
      </w:r>
      <w:r w:rsidR="00152DB2">
        <w:t xml:space="preserve">. </w:t>
      </w:r>
      <w:r w:rsidR="00152DB2" w:rsidRPr="00D34D7B">
        <w:rPr>
          <w:i/>
        </w:rPr>
        <w:t>Children in South Sudan</w:t>
      </w:r>
      <w:r w:rsidR="00152DB2">
        <w:t>.</w:t>
      </w:r>
      <w:r w:rsidRPr="00B513F4">
        <w:t xml:space="preserve"> </w:t>
      </w:r>
      <w:hyperlink r:id="rId55" w:history="1">
        <w:r w:rsidRPr="00B513F4">
          <w:rPr>
            <w:rStyle w:val="Hyperlink"/>
          </w:rPr>
          <w:t>http://www.unicef.org/esaro/Children_in_Sudan_summary_sheet_final.pdf</w:t>
        </w:r>
      </w:hyperlink>
      <w:r w:rsidR="00BA7005">
        <w:rPr>
          <w:rStyle w:val="Hyperlink"/>
        </w:rPr>
        <w:t>.</w:t>
      </w:r>
    </w:p>
    <w:p w14:paraId="54079FD5" w14:textId="24CE5BB5" w:rsidR="00A56EDD" w:rsidRPr="00B513F4" w:rsidRDefault="00A56EDD" w:rsidP="00EB77B1">
      <w:pPr>
        <w:ind w:left="720" w:hanging="720"/>
      </w:pPr>
      <w:r w:rsidRPr="00B513F4">
        <w:t xml:space="preserve">USAID </w:t>
      </w:r>
      <w:r w:rsidR="00BA7005">
        <w:t xml:space="preserve">(U.S. Agency for International Development). </w:t>
      </w:r>
      <w:r w:rsidRPr="00B513F4">
        <w:t>2010</w:t>
      </w:r>
      <w:r w:rsidR="00BA7005">
        <w:t>.</w:t>
      </w:r>
      <w:r w:rsidRPr="00B513F4">
        <w:t xml:space="preserve"> </w:t>
      </w:r>
      <w:r w:rsidRPr="00D34D7B">
        <w:rPr>
          <w:i/>
        </w:rPr>
        <w:t xml:space="preserve">Government of Southern </w:t>
      </w:r>
      <w:r w:rsidRPr="007D1618">
        <w:rPr>
          <w:i/>
        </w:rPr>
        <w:t>Sudan</w:t>
      </w:r>
      <w:r w:rsidR="00BA7005" w:rsidRPr="007D1618">
        <w:rPr>
          <w:i/>
        </w:rPr>
        <w:t>:</w:t>
      </w:r>
      <w:r w:rsidRPr="007D1618">
        <w:rPr>
          <w:i/>
        </w:rPr>
        <w:t xml:space="preserve"> Strategic </w:t>
      </w:r>
      <w:r w:rsidRPr="00B00D4E">
        <w:rPr>
          <w:i/>
        </w:rPr>
        <w:t>Capacity Building Study</w:t>
      </w:r>
      <w:r w:rsidRPr="00B513F4">
        <w:t>.</w:t>
      </w:r>
      <w:r w:rsidR="00D34D7B">
        <w:t xml:space="preserve"> Washington</w:t>
      </w:r>
      <w:r w:rsidR="00221C2B">
        <w:t>,</w:t>
      </w:r>
      <w:r w:rsidR="00D34D7B">
        <w:t xml:space="preserve"> DC: M</w:t>
      </w:r>
      <w:r w:rsidR="00221C2B">
        <w:t xml:space="preserve">anagement </w:t>
      </w:r>
      <w:r w:rsidR="00D34D7B">
        <w:t>S</w:t>
      </w:r>
      <w:r w:rsidR="00221C2B">
        <w:t xml:space="preserve">ystems </w:t>
      </w:r>
      <w:r w:rsidR="00D34D7B">
        <w:t>I</w:t>
      </w:r>
      <w:r w:rsidR="00221C2B">
        <w:t>nternational</w:t>
      </w:r>
      <w:r w:rsidR="00D34D7B">
        <w:t xml:space="preserve"> for USAID. </w:t>
      </w:r>
      <w:r w:rsidRPr="00B513F4">
        <w:t xml:space="preserve"> </w:t>
      </w:r>
    </w:p>
    <w:p w14:paraId="74434BAB" w14:textId="020D1637" w:rsidR="007F58CB" w:rsidRDefault="007F58CB" w:rsidP="00EB77B1">
      <w:pPr>
        <w:ind w:left="720" w:hanging="720"/>
      </w:pPr>
      <w:r w:rsidRPr="00B513F4">
        <w:t>USAID</w:t>
      </w:r>
      <w:r>
        <w:t xml:space="preserve"> (U.S. Agency for International Development), </w:t>
      </w:r>
      <w:r w:rsidRPr="00B513F4">
        <w:t>IRI</w:t>
      </w:r>
      <w:r>
        <w:t xml:space="preserve"> (International Republican Institute), and Pechter Polls. 2011. </w:t>
      </w:r>
      <w:r w:rsidRPr="00AE326F">
        <w:rPr>
          <w:i/>
        </w:rPr>
        <w:t>Survey of South Sudan Public Opinion</w:t>
      </w:r>
      <w:r>
        <w:t xml:space="preserve">. </w:t>
      </w:r>
      <w:hyperlink r:id="rId56" w:history="1">
        <w:r w:rsidRPr="00440849">
          <w:rPr>
            <w:rStyle w:val="Hyperlink"/>
          </w:rPr>
          <w:t>http://www.iri.org/sites/default/files/2011%20December%205%20Survey%20of%20South%20Sudan%20Public%20Opinion,%20September%206-27,%202011.pdf</w:t>
        </w:r>
      </w:hyperlink>
      <w:r>
        <w:t xml:space="preserve">. </w:t>
      </w:r>
    </w:p>
    <w:p w14:paraId="438B8CDD" w14:textId="3575C6E7" w:rsidR="00A56EDD" w:rsidRPr="00B513F4" w:rsidRDefault="00A56EDD" w:rsidP="00EB77B1">
      <w:pPr>
        <w:ind w:left="720" w:hanging="720"/>
      </w:pPr>
      <w:r w:rsidRPr="00B513F4">
        <w:t>USAID</w:t>
      </w:r>
      <w:r w:rsidR="00BA7005">
        <w:t xml:space="preserve"> (U.S. Agency for International Development), </w:t>
      </w:r>
      <w:r w:rsidR="00A4245A">
        <w:t>ORB (</w:t>
      </w:r>
      <w:r w:rsidRPr="00B513F4">
        <w:t>O</w:t>
      </w:r>
      <w:r w:rsidR="00221C2B">
        <w:t xml:space="preserve">pinion </w:t>
      </w:r>
      <w:r w:rsidRPr="00B513F4">
        <w:t>R</w:t>
      </w:r>
      <w:r w:rsidR="00221C2B">
        <w:t xml:space="preserve">esearch </w:t>
      </w:r>
      <w:r w:rsidRPr="00B513F4">
        <w:t>B</w:t>
      </w:r>
      <w:r w:rsidR="00221C2B">
        <w:t>usiness</w:t>
      </w:r>
      <w:r w:rsidR="00A4245A">
        <w:t>)</w:t>
      </w:r>
      <w:r w:rsidR="00B00D4E">
        <w:t xml:space="preserve"> International</w:t>
      </w:r>
      <w:r w:rsidR="00BA7005">
        <w:t xml:space="preserve">, and </w:t>
      </w:r>
      <w:r w:rsidRPr="00B513F4">
        <w:t>IRI</w:t>
      </w:r>
      <w:r w:rsidR="00BA7005">
        <w:t xml:space="preserve"> (International Republican Institute).</w:t>
      </w:r>
      <w:r w:rsidRPr="00B513F4">
        <w:t xml:space="preserve"> 2013</w:t>
      </w:r>
      <w:r w:rsidR="00BA7005">
        <w:t>.</w:t>
      </w:r>
      <w:r w:rsidRPr="00B513F4">
        <w:t xml:space="preserve"> </w:t>
      </w:r>
      <w:r w:rsidRPr="00B00D4E">
        <w:rPr>
          <w:i/>
        </w:rPr>
        <w:t>Survey of South Sudan Public Opinion</w:t>
      </w:r>
      <w:r w:rsidRPr="00B513F4">
        <w:t xml:space="preserve">. </w:t>
      </w:r>
      <w:hyperlink r:id="rId57" w:history="1">
        <w:r w:rsidR="00B00D4E" w:rsidRPr="00440849">
          <w:rPr>
            <w:rStyle w:val="Hyperlink"/>
          </w:rPr>
          <w:t>http://www.iri.org/sites/default/files/2013%20July%2019%20Survey%20of%20South%20Sudan%20Public%20Opinion,%20April%2024-May%2022,%202013.pdf</w:t>
        </w:r>
      </w:hyperlink>
      <w:r w:rsidR="00B00D4E">
        <w:t xml:space="preserve">. </w:t>
      </w:r>
    </w:p>
    <w:p w14:paraId="5BA7D5FF" w14:textId="64F06ECE" w:rsidR="00A56EDD" w:rsidRPr="00B513F4" w:rsidRDefault="00A56EDD" w:rsidP="00EB77B1">
      <w:pPr>
        <w:ind w:left="720" w:hanging="720"/>
      </w:pPr>
      <w:r w:rsidRPr="00B513F4">
        <w:t>Vujicic, M., K</w:t>
      </w:r>
      <w:r w:rsidR="009D3233">
        <w:t>.</w:t>
      </w:r>
      <w:r w:rsidRPr="00B513F4">
        <w:t xml:space="preserve"> Ohiri, </w:t>
      </w:r>
      <w:r w:rsidR="009D3233">
        <w:t xml:space="preserve">and </w:t>
      </w:r>
      <w:r w:rsidRPr="00B513F4">
        <w:t>S</w:t>
      </w:r>
      <w:r w:rsidR="009D3233">
        <w:t>.</w:t>
      </w:r>
      <w:r w:rsidRPr="00B513F4">
        <w:t xml:space="preserve"> Sparkes</w:t>
      </w:r>
      <w:r w:rsidR="009D3233">
        <w:t>.</w:t>
      </w:r>
      <w:r w:rsidRPr="00B513F4">
        <w:t xml:space="preserve"> 2009</w:t>
      </w:r>
      <w:r w:rsidR="009D3233">
        <w:t>.</w:t>
      </w:r>
      <w:r w:rsidRPr="00B513F4">
        <w:t xml:space="preserve"> </w:t>
      </w:r>
      <w:r w:rsidRPr="00B513F4">
        <w:rPr>
          <w:i/>
        </w:rPr>
        <w:t>Working in Health</w:t>
      </w:r>
      <w:r w:rsidRPr="00B513F4">
        <w:t>. Washington</w:t>
      </w:r>
      <w:r w:rsidR="009D3233">
        <w:t>,</w:t>
      </w:r>
      <w:r w:rsidRPr="00B513F4">
        <w:t xml:space="preserve"> DC: World Bank.</w:t>
      </w:r>
    </w:p>
    <w:p w14:paraId="64A4BCA3" w14:textId="19C36D8D" w:rsidR="003C56AE" w:rsidRPr="003C56AE" w:rsidRDefault="003C56AE" w:rsidP="00EB77B1">
      <w:pPr>
        <w:ind w:left="720" w:hanging="720"/>
        <w:rPr>
          <w:sz w:val="24"/>
        </w:rPr>
      </w:pPr>
      <w:r w:rsidRPr="003C56AE">
        <w:rPr>
          <w:szCs w:val="20"/>
        </w:rPr>
        <w:t xml:space="preserve">World Bank. 2005. </w:t>
      </w:r>
      <w:r w:rsidRPr="003C56AE">
        <w:rPr>
          <w:i/>
          <w:szCs w:val="20"/>
        </w:rPr>
        <w:t>Implementing Affirmative Action in Public Services</w:t>
      </w:r>
      <w:r w:rsidRPr="003C56AE">
        <w:rPr>
          <w:szCs w:val="20"/>
        </w:rPr>
        <w:t>.</w:t>
      </w:r>
      <w:r w:rsidRPr="003C56AE">
        <w:t xml:space="preserve"> </w:t>
      </w:r>
      <w:r w:rsidRPr="00B513F4">
        <w:t>Washington</w:t>
      </w:r>
      <w:r>
        <w:t>,</w:t>
      </w:r>
      <w:r w:rsidRPr="00B513F4">
        <w:t xml:space="preserve"> DC: World Bank.</w:t>
      </w:r>
    </w:p>
    <w:p w14:paraId="50C97E10" w14:textId="4FB304ED" w:rsidR="00A56EDD" w:rsidRPr="00B513F4" w:rsidRDefault="004F1466" w:rsidP="00EB77B1">
      <w:pPr>
        <w:ind w:left="720" w:hanging="720"/>
      </w:pPr>
      <w:r>
        <w:t>———</w:t>
      </w:r>
      <w:r w:rsidR="009D3233">
        <w:t>.</w:t>
      </w:r>
      <w:r w:rsidR="00A56EDD" w:rsidRPr="00B513F4">
        <w:t xml:space="preserve"> 2010</w:t>
      </w:r>
      <w:r w:rsidR="009D3233">
        <w:t>.</w:t>
      </w:r>
      <w:r w:rsidR="00A56EDD" w:rsidRPr="00B513F4">
        <w:t xml:space="preserve"> </w:t>
      </w:r>
      <w:r w:rsidR="00A56EDD" w:rsidRPr="00B513F4">
        <w:rPr>
          <w:i/>
        </w:rPr>
        <w:t>Strengthening Good Governance for Development Outcomes in South Sudan</w:t>
      </w:r>
      <w:r w:rsidR="00A56EDD" w:rsidRPr="00B513F4">
        <w:t>. Washington</w:t>
      </w:r>
      <w:r w:rsidR="009D3233">
        <w:t>,</w:t>
      </w:r>
      <w:r w:rsidR="00A56EDD" w:rsidRPr="00B513F4">
        <w:t xml:space="preserve"> DC: World Bank.</w:t>
      </w:r>
    </w:p>
    <w:p w14:paraId="5CF61144" w14:textId="0A59C0A9" w:rsidR="00A56EDD" w:rsidRPr="00B513F4" w:rsidRDefault="009D3233" w:rsidP="00EB77B1">
      <w:pPr>
        <w:ind w:left="720" w:hanging="720"/>
      </w:pPr>
      <w:r>
        <w:t>———.</w:t>
      </w:r>
      <w:r w:rsidR="00A56EDD" w:rsidRPr="00B513F4">
        <w:t xml:space="preserve"> 2012a</w:t>
      </w:r>
      <w:r>
        <w:t>.</w:t>
      </w:r>
      <w:r w:rsidR="00A56EDD" w:rsidRPr="00B513F4">
        <w:t xml:space="preserve"> </w:t>
      </w:r>
      <w:r w:rsidR="00A56EDD" w:rsidRPr="00B513F4">
        <w:rPr>
          <w:i/>
        </w:rPr>
        <w:t>Public Sector Management Approach</w:t>
      </w:r>
      <w:r w:rsidR="00A56EDD" w:rsidRPr="00B513F4">
        <w:t>. Washington</w:t>
      </w:r>
      <w:r>
        <w:t>,</w:t>
      </w:r>
      <w:r w:rsidR="00A56EDD" w:rsidRPr="00B513F4">
        <w:t xml:space="preserve"> DC: World Bank.</w:t>
      </w:r>
    </w:p>
    <w:p w14:paraId="6701354B" w14:textId="65DAEAC1" w:rsidR="00A56EDD" w:rsidRPr="00B513F4" w:rsidRDefault="009F35A5" w:rsidP="00EB77B1">
      <w:pPr>
        <w:ind w:left="720" w:hanging="720"/>
      </w:pPr>
      <w:r>
        <w:t>———.</w:t>
      </w:r>
      <w:r w:rsidR="00A56EDD" w:rsidRPr="00B513F4">
        <w:t xml:space="preserve"> 2012b</w:t>
      </w:r>
      <w:r>
        <w:t>.</w:t>
      </w:r>
      <w:r w:rsidR="00A56EDD" w:rsidRPr="00B513F4">
        <w:t xml:space="preserve"> </w:t>
      </w:r>
      <w:r w:rsidR="00A56EDD" w:rsidRPr="004D4079">
        <w:rPr>
          <w:i/>
        </w:rPr>
        <w:t>Education in the Republic of South Sudan</w:t>
      </w:r>
      <w:r w:rsidRPr="004D4079">
        <w:rPr>
          <w:i/>
        </w:rPr>
        <w:t>:</w:t>
      </w:r>
      <w:r w:rsidR="00A56EDD" w:rsidRPr="004D4079">
        <w:rPr>
          <w:i/>
        </w:rPr>
        <w:t xml:space="preserve"> Status and Challenges for a New System</w:t>
      </w:r>
      <w:r w:rsidR="00A56EDD" w:rsidRPr="00B513F4">
        <w:t xml:space="preserve">. </w:t>
      </w:r>
      <w:hyperlink r:id="rId58" w:history="1">
        <w:r w:rsidR="00EB77B1" w:rsidRPr="00AD22CF">
          <w:rPr>
            <w:rStyle w:val="Hyperlink"/>
          </w:rPr>
          <w:t>http://www-wds.worldbank.org/external/default/WDSContentServer/IW3P/IB/2012/06/28/000333038_20120628035809/Rendered/PDF/705950PUB0EPI0067902B09780821388914.pdf</w:t>
        </w:r>
      </w:hyperlink>
      <w:r w:rsidR="002B5CE3">
        <w:t>.</w:t>
      </w:r>
    </w:p>
    <w:p w14:paraId="3466650C" w14:textId="0531A638" w:rsidR="00A56EDD" w:rsidRPr="00B513F4" w:rsidRDefault="009F35A5" w:rsidP="00EB77B1">
      <w:pPr>
        <w:ind w:left="720" w:hanging="720"/>
      </w:pPr>
      <w:r>
        <w:t>———.</w:t>
      </w:r>
      <w:r w:rsidR="00A56EDD" w:rsidRPr="00B513F4">
        <w:t xml:space="preserve"> 2012c</w:t>
      </w:r>
      <w:r>
        <w:t>.</w:t>
      </w:r>
      <w:r w:rsidR="00A56EDD" w:rsidRPr="00B513F4">
        <w:t xml:space="preserve"> </w:t>
      </w:r>
      <w:r w:rsidR="00A56EDD" w:rsidRPr="00B513F4">
        <w:rPr>
          <w:i/>
        </w:rPr>
        <w:t>Public Financial Management Reforms in Post-Conflict Countries: Synthesis Report</w:t>
      </w:r>
      <w:r w:rsidR="00A56EDD" w:rsidRPr="00B513F4">
        <w:t xml:space="preserve">. </w:t>
      </w:r>
    </w:p>
    <w:p w14:paraId="573F5F4A" w14:textId="41ABD70F" w:rsidR="00A56EDD" w:rsidRPr="00B513F4" w:rsidRDefault="009F35A5" w:rsidP="00EB77B1">
      <w:pPr>
        <w:ind w:left="720" w:hanging="720"/>
      </w:pPr>
      <w:r>
        <w:t>———.</w:t>
      </w:r>
      <w:r w:rsidR="00A56EDD" w:rsidRPr="00B513F4">
        <w:t xml:space="preserve"> 2013</w:t>
      </w:r>
      <w:r>
        <w:t>.</w:t>
      </w:r>
      <w:r w:rsidR="00A56EDD" w:rsidRPr="00B513F4">
        <w:t xml:space="preserve"> </w:t>
      </w:r>
      <w:r w:rsidR="00A56EDD" w:rsidRPr="000754F1">
        <w:rPr>
          <w:i/>
        </w:rPr>
        <w:t>Public Expenditures in South Sudan: Are they Delivering?</w:t>
      </w:r>
      <w:r w:rsidR="00A56EDD" w:rsidRPr="00B513F4">
        <w:t xml:space="preserve"> </w:t>
      </w:r>
      <w:r w:rsidR="00A56EDD" w:rsidRPr="006E5AD2">
        <w:t>South Sudan Economic Brief</w:t>
      </w:r>
      <w:r w:rsidR="00A56EDD" w:rsidRPr="00B513F4">
        <w:t xml:space="preserve">, Issue 2. </w:t>
      </w:r>
      <w:hyperlink r:id="rId59" w:history="1">
        <w:r w:rsidR="00725315" w:rsidRPr="00AD22CF">
          <w:rPr>
            <w:rStyle w:val="Hyperlink"/>
          </w:rPr>
          <w:t>http://www-wds.worldbank.org/external/default/WDSContentServer/WDSP/IB/2013/05/08/000442464_20130508115303/Rendered/PDF/774290BRI0Econ00Box377296B00PUBLIC0.pdf</w:t>
        </w:r>
      </w:hyperlink>
      <w:r>
        <w:rPr>
          <w:rStyle w:val="Hyperlink"/>
        </w:rPr>
        <w:t>.</w:t>
      </w:r>
      <w:r w:rsidR="00A56EDD" w:rsidRPr="00B513F4">
        <w:t xml:space="preserve"> </w:t>
      </w:r>
    </w:p>
    <w:p w14:paraId="3537833C" w14:textId="2577DEA9" w:rsidR="00A56EDD" w:rsidRDefault="009F35A5" w:rsidP="00EB77B1">
      <w:pPr>
        <w:ind w:left="720" w:hanging="720"/>
      </w:pPr>
      <w:r>
        <w:t>———.</w:t>
      </w:r>
      <w:r w:rsidR="00A56EDD" w:rsidRPr="00B513F4">
        <w:t xml:space="preserve"> 2014</w:t>
      </w:r>
      <w:r>
        <w:t>.</w:t>
      </w:r>
      <w:r w:rsidR="00A56EDD" w:rsidRPr="00B513F4">
        <w:t xml:space="preserve"> </w:t>
      </w:r>
      <w:r w:rsidR="00A56EDD" w:rsidRPr="00B513F4">
        <w:rPr>
          <w:i/>
        </w:rPr>
        <w:t>Jobs and Livelihoods Report</w:t>
      </w:r>
      <w:r w:rsidR="00A56EDD" w:rsidRPr="00B513F4">
        <w:t xml:space="preserve">. Draft for </w:t>
      </w:r>
      <w:r>
        <w:t>d</w:t>
      </w:r>
      <w:r w:rsidR="00A56EDD" w:rsidRPr="00B513F4">
        <w:t>iscussion.</w:t>
      </w:r>
    </w:p>
    <w:p w14:paraId="2DB2571C" w14:textId="0550662C" w:rsidR="00A56EDD" w:rsidRDefault="009F35A5" w:rsidP="00EB77B1">
      <w:pPr>
        <w:ind w:left="720" w:hanging="720"/>
      </w:pPr>
      <w:r>
        <w:t>———.</w:t>
      </w:r>
      <w:r w:rsidR="00A56EDD">
        <w:t xml:space="preserve"> 2015</w:t>
      </w:r>
      <w:r>
        <w:t>a.</w:t>
      </w:r>
      <w:r w:rsidR="00A56EDD">
        <w:t xml:space="preserve"> </w:t>
      </w:r>
      <w:r w:rsidR="00A56EDD" w:rsidRPr="00C228C5">
        <w:rPr>
          <w:i/>
        </w:rPr>
        <w:t>Intergovernmental Relations in South Sudan</w:t>
      </w:r>
      <w:r w:rsidR="00A56EDD">
        <w:t xml:space="preserve">. Draft for </w:t>
      </w:r>
      <w:r>
        <w:t>d</w:t>
      </w:r>
      <w:r w:rsidR="00A56EDD">
        <w:t xml:space="preserve">iscussion. </w:t>
      </w:r>
    </w:p>
    <w:p w14:paraId="2DC49D7F" w14:textId="078147AE" w:rsidR="00A56EDD" w:rsidRDefault="009F35A5" w:rsidP="00EB77B1">
      <w:pPr>
        <w:ind w:left="720" w:hanging="720"/>
        <w:rPr>
          <w:rFonts w:ascii="Calibri,Bold" w:hAnsi="Calibri,Bold" w:cs="Calibri,Bold"/>
          <w:b/>
          <w:bCs/>
        </w:rPr>
      </w:pPr>
      <w:r>
        <w:t>———.</w:t>
      </w:r>
      <w:r w:rsidR="00A56EDD">
        <w:t xml:space="preserve"> 2015b</w:t>
      </w:r>
      <w:r>
        <w:t>.</w:t>
      </w:r>
      <w:r w:rsidR="00A56EDD">
        <w:t xml:space="preserve"> </w:t>
      </w:r>
      <w:r w:rsidR="00A56EDD" w:rsidRPr="00460897">
        <w:rPr>
          <w:i/>
        </w:rPr>
        <w:t>The Fiscal Impact of Declining Oil Prices on South Sudan</w:t>
      </w:r>
      <w:r w:rsidR="00A56EDD">
        <w:t xml:space="preserve">. Draft </w:t>
      </w:r>
      <w:r>
        <w:t>b</w:t>
      </w:r>
      <w:r w:rsidR="00A56EDD">
        <w:t xml:space="preserve">riefing </w:t>
      </w:r>
      <w:r>
        <w:t>n</w:t>
      </w:r>
      <w:r w:rsidR="00A56EDD">
        <w:t xml:space="preserve">ote. </w:t>
      </w:r>
    </w:p>
    <w:p w14:paraId="6ADAE02F" w14:textId="5953FEF3" w:rsidR="00A56EDD" w:rsidRPr="001A7298" w:rsidRDefault="009F35A5" w:rsidP="00EB77B1">
      <w:pPr>
        <w:ind w:left="720" w:hanging="720"/>
      </w:pPr>
      <w:r>
        <w:t>———.</w:t>
      </w:r>
      <w:r w:rsidR="00A56EDD" w:rsidRPr="001A7298">
        <w:t xml:space="preserve"> 2015c</w:t>
      </w:r>
      <w:r>
        <w:t>.</w:t>
      </w:r>
      <w:r w:rsidR="00A56EDD" w:rsidRPr="001A7298">
        <w:t xml:space="preserve"> </w:t>
      </w:r>
      <w:r w:rsidR="00A56EDD" w:rsidRPr="00460897">
        <w:rPr>
          <w:i/>
        </w:rPr>
        <w:t>Public Financial Management Assessment of Select Counties</w:t>
      </w:r>
      <w:r w:rsidR="00A56EDD" w:rsidRPr="001A7298">
        <w:t xml:space="preserve">. Draft for </w:t>
      </w:r>
      <w:r>
        <w:t>r</w:t>
      </w:r>
      <w:r w:rsidR="00A56EDD" w:rsidRPr="001A7298">
        <w:t xml:space="preserve">eview. </w:t>
      </w:r>
    </w:p>
    <w:p w14:paraId="061C0D10" w14:textId="748FE6AB" w:rsidR="007857CB" w:rsidRDefault="00A56EDD" w:rsidP="00EB77B1">
      <w:pPr>
        <w:ind w:left="720" w:hanging="720"/>
      </w:pPr>
      <w:r w:rsidRPr="00B513F4">
        <w:t>Young, J. 2012</w:t>
      </w:r>
      <w:r w:rsidR="00ED35D5">
        <w:t>.</w:t>
      </w:r>
      <w:r w:rsidRPr="00B513F4">
        <w:t xml:space="preserve"> </w:t>
      </w:r>
      <w:r w:rsidRPr="00B513F4">
        <w:rPr>
          <w:i/>
        </w:rPr>
        <w:t>The Fate of Sudan, The Origins and Consequences of a Flawed Peace Process</w:t>
      </w:r>
      <w:r w:rsidRPr="00B513F4">
        <w:t>. London: Zed Books.</w:t>
      </w:r>
    </w:p>
    <w:sectPr w:rsidR="007857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786DC" w14:textId="77777777" w:rsidR="00D15979" w:rsidRDefault="00D15979" w:rsidP="00A56EDD">
      <w:pPr>
        <w:spacing w:after="0" w:line="240" w:lineRule="auto"/>
      </w:pPr>
      <w:r>
        <w:separator/>
      </w:r>
    </w:p>
  </w:endnote>
  <w:endnote w:type="continuationSeparator" w:id="0">
    <w:p w14:paraId="77EC72E2" w14:textId="77777777" w:rsidR="00D15979" w:rsidRDefault="00D15979" w:rsidP="00A56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Bold">
    <w:altName w:val="Times New Roman"/>
    <w:panose1 w:val="00000000000000000000"/>
    <w:charset w:val="00"/>
    <w:family w:val="swiss"/>
    <w:notTrueType/>
    <w:pitch w:val="default"/>
    <w:sig w:usb0="00000003" w:usb1="00000000" w:usb2="00000000" w:usb3="00000000" w:csb0="00000001" w:csb1="00000000"/>
  </w:font>
  <w:font w:name="TimesNewRoman">
    <w:altName w:val="Calibri"/>
    <w:panose1 w:val="00000000000000000000"/>
    <w:charset w:val="00"/>
    <w:family w:val="auto"/>
    <w:notTrueType/>
    <w:pitch w:val="default"/>
    <w:sig w:usb0="00000003" w:usb1="00000000" w:usb2="00000000" w:usb3="00000000" w:csb0="00000001" w:csb1="00000000"/>
  </w:font>
  <w:font w:name="HelveticaNeue">
    <w:panose1 w:val="00000000000000000000"/>
    <w:charset w:val="00"/>
    <w:family w:val="swiss"/>
    <w:notTrueType/>
    <w:pitch w:val="default"/>
    <w:sig w:usb0="00000003" w:usb1="00000000" w:usb2="00000000" w:usb3="00000000" w:csb0="00000001" w:csb1="00000000"/>
  </w:font>
  <w:font w:name="HelveticaNeue-Italic">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E7ED0" w14:textId="6AFB9F05" w:rsidR="00D56EAC" w:rsidRDefault="00D56EAC">
    <w:pPr>
      <w:pStyle w:val="Footer"/>
      <w:jc w:val="center"/>
    </w:pPr>
  </w:p>
  <w:p w14:paraId="5CD3ACD4" w14:textId="77777777" w:rsidR="00D56EAC" w:rsidRDefault="00D56E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001292"/>
      <w:docPartObj>
        <w:docPartGallery w:val="Page Numbers (Bottom of Page)"/>
        <w:docPartUnique/>
      </w:docPartObj>
    </w:sdtPr>
    <w:sdtEndPr>
      <w:rPr>
        <w:noProof/>
      </w:rPr>
    </w:sdtEndPr>
    <w:sdtContent>
      <w:p w14:paraId="34B17891" w14:textId="77777777" w:rsidR="00D56EAC" w:rsidRDefault="00D56EAC">
        <w:pPr>
          <w:pStyle w:val="Footer"/>
          <w:jc w:val="center"/>
        </w:pPr>
        <w:r>
          <w:fldChar w:fldCharType="begin"/>
        </w:r>
        <w:r>
          <w:instrText xml:space="preserve"> PAGE   \* MERGEFORMAT </w:instrText>
        </w:r>
        <w:r>
          <w:fldChar w:fldCharType="separate"/>
        </w:r>
        <w:r w:rsidR="009B55BE">
          <w:rPr>
            <w:noProof/>
          </w:rPr>
          <w:t>95</w:t>
        </w:r>
        <w:r>
          <w:rPr>
            <w:noProof/>
          </w:rPr>
          <w:fldChar w:fldCharType="end"/>
        </w:r>
      </w:p>
    </w:sdtContent>
  </w:sdt>
  <w:p w14:paraId="176B1F7B" w14:textId="77777777" w:rsidR="00D56EAC" w:rsidRDefault="00D56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AEB78" w14:textId="77777777" w:rsidR="00D15979" w:rsidRDefault="00D15979" w:rsidP="00A56EDD">
      <w:pPr>
        <w:spacing w:after="0" w:line="240" w:lineRule="auto"/>
      </w:pPr>
      <w:r>
        <w:separator/>
      </w:r>
    </w:p>
  </w:footnote>
  <w:footnote w:type="continuationSeparator" w:id="0">
    <w:p w14:paraId="7E5E7B48" w14:textId="77777777" w:rsidR="00D15979" w:rsidRDefault="00D15979" w:rsidP="00A56EDD">
      <w:pPr>
        <w:spacing w:after="0" w:line="240" w:lineRule="auto"/>
      </w:pPr>
      <w:r>
        <w:continuationSeparator/>
      </w:r>
    </w:p>
  </w:footnote>
  <w:footnote w:id="1">
    <w:p w14:paraId="557DD9E2" w14:textId="4B80332D" w:rsidR="00D56EAC" w:rsidRDefault="00D56EAC" w:rsidP="00A56EDD">
      <w:pPr>
        <w:pStyle w:val="FootnoteText"/>
      </w:pPr>
      <w:r>
        <w:rPr>
          <w:rStyle w:val="FootnoteReference"/>
        </w:rPr>
        <w:footnoteRef/>
      </w:r>
      <w:r>
        <w:t xml:space="preserve"> Recent conflict has eroded some but not all of the gains made between 2005 and 2013.</w:t>
      </w:r>
    </w:p>
  </w:footnote>
  <w:footnote w:id="2">
    <w:p w14:paraId="581C903C" w14:textId="36D983DF" w:rsidR="00D56EAC" w:rsidRPr="004E67F5" w:rsidRDefault="00D56EAC" w:rsidP="00A56EDD">
      <w:pPr>
        <w:pStyle w:val="FootnoteText"/>
      </w:pPr>
      <w:r w:rsidRPr="004E67F5">
        <w:rPr>
          <w:rStyle w:val="FootnoteReference"/>
        </w:rPr>
        <w:footnoteRef/>
      </w:r>
      <w:r w:rsidRPr="004E67F5">
        <w:t xml:space="preserve"> From a production </w:t>
      </w:r>
      <w:r w:rsidRPr="00BA38CB">
        <w:rPr>
          <w:i/>
        </w:rPr>
        <w:t>potential</w:t>
      </w:r>
      <w:r w:rsidRPr="0016365A">
        <w:t xml:space="preserve"> </w:t>
      </w:r>
      <w:r w:rsidRPr="004E67F5">
        <w:t>of 290,000 b</w:t>
      </w:r>
      <w:r>
        <w:t xml:space="preserve">arrels per </w:t>
      </w:r>
      <w:r w:rsidRPr="004E67F5">
        <w:t>d</w:t>
      </w:r>
      <w:r>
        <w:t>ay</w:t>
      </w:r>
      <w:r w:rsidRPr="004E67F5">
        <w:t xml:space="preserve"> as of 2014 to around 170,000 b</w:t>
      </w:r>
      <w:r>
        <w:t xml:space="preserve">arrels per </w:t>
      </w:r>
      <w:r w:rsidRPr="004E67F5">
        <w:t>d</w:t>
      </w:r>
      <w:r>
        <w:t>ay</w:t>
      </w:r>
      <w:r w:rsidRPr="004E67F5">
        <w:t xml:space="preserve"> by 2020, and then declining further unless new production potential is found and developed. </w:t>
      </w:r>
      <w:r w:rsidRPr="00BA38CB">
        <w:rPr>
          <w:i/>
        </w:rPr>
        <w:t>Actual</w:t>
      </w:r>
      <w:r w:rsidRPr="0016365A">
        <w:t xml:space="preserve"> </w:t>
      </w:r>
      <w:r w:rsidRPr="004E67F5">
        <w:t xml:space="preserve">production </w:t>
      </w:r>
      <w:r>
        <w:t>was</w:t>
      </w:r>
      <w:r w:rsidRPr="004E67F5">
        <w:t xml:space="preserve"> lower in 2014 due to the conflict; but in any case, the fiscal space will shrink significantly in less than a decade unless new production is developed. </w:t>
      </w:r>
    </w:p>
  </w:footnote>
  <w:footnote w:id="3">
    <w:p w14:paraId="5AD64588" w14:textId="77777777" w:rsidR="00D56EAC" w:rsidRDefault="00D56EAC" w:rsidP="00A56EDD">
      <w:pPr>
        <w:pStyle w:val="FootnoteText"/>
      </w:pPr>
      <w:r>
        <w:rPr>
          <w:rStyle w:val="FootnoteReference"/>
        </w:rPr>
        <w:footnoteRef/>
      </w:r>
      <w:r>
        <w:t xml:space="preserve"> The composition and resulting abbreviations for key ministries has changed several times since their initial creation in 2005. After merging several ministries during the cabinet reshuffle in 2013, ministries were separated again in 2014. </w:t>
      </w:r>
    </w:p>
  </w:footnote>
  <w:footnote w:id="4">
    <w:p w14:paraId="69365649" w14:textId="2FA97FCC" w:rsidR="00D56EAC" w:rsidRPr="004E55C8" w:rsidRDefault="00D56EAC" w:rsidP="00A56EDD">
      <w:pPr>
        <w:pStyle w:val="FootnoteText"/>
        <w:rPr>
          <w:color w:val="000000" w:themeColor="text1"/>
        </w:rPr>
      </w:pPr>
      <w:r w:rsidRPr="004E55C8">
        <w:rPr>
          <w:rStyle w:val="FootnoteReference"/>
          <w:color w:val="000000" w:themeColor="text1"/>
        </w:rPr>
        <w:footnoteRef/>
      </w:r>
      <w:r w:rsidRPr="004E55C8">
        <w:rPr>
          <w:color w:val="000000" w:themeColor="text1"/>
        </w:rPr>
        <w:t xml:space="preserve"> In many Anglophone African countries, teachers are considered permanent civil servants (see Mulkeen 2010, chapter 9); this differs from the U</w:t>
      </w:r>
      <w:r>
        <w:rPr>
          <w:color w:val="000000" w:themeColor="text1"/>
        </w:rPr>
        <w:t xml:space="preserve">nited </w:t>
      </w:r>
      <w:r w:rsidRPr="004E55C8">
        <w:rPr>
          <w:color w:val="000000" w:themeColor="text1"/>
        </w:rPr>
        <w:t>K</w:t>
      </w:r>
      <w:r>
        <w:rPr>
          <w:color w:val="000000" w:themeColor="text1"/>
        </w:rPr>
        <w:t>ingdom</w:t>
      </w:r>
      <w:r w:rsidRPr="004E55C8">
        <w:rPr>
          <w:color w:val="000000" w:themeColor="text1"/>
        </w:rPr>
        <w:t xml:space="preserve">’s system where they are public sector employees. Mulkeen also notes that the use of teachers on term contracts is more widespread in Francophone than in Anglophone Africa. </w:t>
      </w:r>
    </w:p>
  </w:footnote>
  <w:footnote w:id="5">
    <w:p w14:paraId="64990D3A" w14:textId="538FCB81" w:rsidR="00D56EAC" w:rsidRPr="0092737F" w:rsidRDefault="00D56EAC" w:rsidP="00A56EDD">
      <w:pPr>
        <w:autoSpaceDE w:val="0"/>
        <w:autoSpaceDN w:val="0"/>
        <w:adjustRightInd w:val="0"/>
        <w:spacing w:after="0" w:line="240" w:lineRule="auto"/>
        <w:rPr>
          <w:rFonts w:ascii="Times New Roman" w:hAnsi="Times New Roman" w:cs="Times New Roman"/>
          <w:sz w:val="24"/>
          <w:szCs w:val="24"/>
        </w:rPr>
      </w:pPr>
      <w:r>
        <w:rPr>
          <w:rStyle w:val="FootnoteReference"/>
        </w:rPr>
        <w:footnoteRef/>
      </w:r>
      <w:r>
        <w:t xml:space="preserve"> </w:t>
      </w:r>
      <w:r w:rsidRPr="0092737F">
        <w:rPr>
          <w:sz w:val="20"/>
          <w:szCs w:val="20"/>
        </w:rPr>
        <w:t>The 2011 Civil Service Act states in para 5</w:t>
      </w:r>
      <w:r>
        <w:rPr>
          <w:sz w:val="20"/>
          <w:szCs w:val="20"/>
        </w:rPr>
        <w:t>,</w:t>
      </w:r>
      <w:r w:rsidRPr="0092737F">
        <w:rPr>
          <w:sz w:val="20"/>
          <w:szCs w:val="20"/>
        </w:rPr>
        <w:t xml:space="preserve"> </w:t>
      </w:r>
      <w:r>
        <w:rPr>
          <w:sz w:val="20"/>
          <w:szCs w:val="20"/>
        </w:rPr>
        <w:t>“</w:t>
      </w:r>
      <w:r w:rsidRPr="0092737F">
        <w:rPr>
          <w:sz w:val="20"/>
          <w:szCs w:val="20"/>
        </w:rPr>
        <w:t>With the exception of the categories of Government, civil servants, officials and employees of the institutions listed under Section 6 below of this Act, all Government civil servants, officials and employees are subject to the application of the provisions of this Act.</w:t>
      </w:r>
      <w:r>
        <w:rPr>
          <w:sz w:val="20"/>
          <w:szCs w:val="20"/>
        </w:rPr>
        <w:t xml:space="preserve">” It then </w:t>
      </w:r>
      <w:r w:rsidRPr="0092737F">
        <w:rPr>
          <w:sz w:val="20"/>
          <w:szCs w:val="20"/>
        </w:rPr>
        <w:t xml:space="preserve">lists </w:t>
      </w:r>
      <w:r>
        <w:rPr>
          <w:sz w:val="20"/>
          <w:szCs w:val="20"/>
        </w:rPr>
        <w:t>five</w:t>
      </w:r>
      <w:r w:rsidRPr="0092737F">
        <w:rPr>
          <w:sz w:val="20"/>
          <w:szCs w:val="20"/>
        </w:rPr>
        <w:t xml:space="preserve"> explicit exemptions from the act: (a) Constitutional Post-holders and Southern Sudan Legislative Institutions</w:t>
      </w:r>
      <w:r>
        <w:rPr>
          <w:sz w:val="20"/>
          <w:szCs w:val="20"/>
        </w:rPr>
        <w:t>;</w:t>
      </w:r>
      <w:r w:rsidRPr="0092737F">
        <w:rPr>
          <w:sz w:val="20"/>
          <w:szCs w:val="20"/>
        </w:rPr>
        <w:t xml:space="preserve"> (b) the Judiciary</w:t>
      </w:r>
      <w:r>
        <w:rPr>
          <w:sz w:val="20"/>
          <w:szCs w:val="20"/>
        </w:rPr>
        <w:t>;</w:t>
      </w:r>
      <w:r w:rsidRPr="0092737F">
        <w:rPr>
          <w:sz w:val="20"/>
          <w:szCs w:val="20"/>
        </w:rPr>
        <w:t xml:space="preserve"> (c) all Legal Counsels</w:t>
      </w:r>
      <w:r>
        <w:rPr>
          <w:sz w:val="20"/>
          <w:szCs w:val="20"/>
        </w:rPr>
        <w:t>;</w:t>
      </w:r>
      <w:r w:rsidRPr="0092737F">
        <w:rPr>
          <w:sz w:val="20"/>
          <w:szCs w:val="20"/>
        </w:rPr>
        <w:t xml:space="preserve"> (d) the SPLA</w:t>
      </w:r>
      <w:r>
        <w:rPr>
          <w:sz w:val="20"/>
          <w:szCs w:val="20"/>
        </w:rPr>
        <w:t>;</w:t>
      </w:r>
      <w:r w:rsidRPr="0092737F">
        <w:rPr>
          <w:sz w:val="20"/>
          <w:szCs w:val="20"/>
        </w:rPr>
        <w:t xml:space="preserve"> and (e) Police, Prison, Fire, Civil Defense</w:t>
      </w:r>
      <w:r>
        <w:rPr>
          <w:sz w:val="20"/>
          <w:szCs w:val="20"/>
        </w:rPr>
        <w:t>,</w:t>
      </w:r>
      <w:r w:rsidRPr="0092737F">
        <w:rPr>
          <w:sz w:val="20"/>
          <w:szCs w:val="20"/>
        </w:rPr>
        <w:t xml:space="preserve"> and Wildlife Services.</w:t>
      </w:r>
      <w:r>
        <w:t xml:space="preserve"> </w:t>
      </w:r>
    </w:p>
  </w:footnote>
  <w:footnote w:id="6">
    <w:p w14:paraId="5E9D5AB0" w14:textId="77777777" w:rsidR="00D56EAC" w:rsidRDefault="00D56EAC" w:rsidP="00A56EDD">
      <w:pPr>
        <w:pStyle w:val="FootnoteText"/>
      </w:pPr>
      <w:r>
        <w:rPr>
          <w:rStyle w:val="FootnoteReference"/>
        </w:rPr>
        <w:footnoteRef/>
      </w:r>
      <w:r>
        <w:t xml:space="preserve"> Due to this fiscal volatility, debt continued to accumulate. </w:t>
      </w:r>
    </w:p>
  </w:footnote>
  <w:footnote w:id="7">
    <w:p w14:paraId="55ACEC00" w14:textId="0D3587E5" w:rsidR="00D56EAC" w:rsidRDefault="00D56EAC" w:rsidP="00A56EDD">
      <w:pPr>
        <w:pStyle w:val="FootnoteText"/>
      </w:pPr>
      <w:r>
        <w:rPr>
          <w:rStyle w:val="FootnoteReference"/>
        </w:rPr>
        <w:footnoteRef/>
      </w:r>
      <w:r>
        <w:t xml:space="preserve"> Some of the large ethnic groups are further divided internally, mainly between those subgroups residing in different areas of the country.</w:t>
      </w:r>
    </w:p>
  </w:footnote>
  <w:footnote w:id="8">
    <w:p w14:paraId="65E6A293" w14:textId="13429C43" w:rsidR="00D56EAC" w:rsidRDefault="00D56EAC" w:rsidP="00A56EDD">
      <w:pPr>
        <w:pStyle w:val="FootnoteText"/>
      </w:pPr>
      <w:r>
        <w:rPr>
          <w:rStyle w:val="FootnoteReference"/>
        </w:rPr>
        <w:footnoteRef/>
      </w:r>
      <w:r>
        <w:t xml:space="preserve"> The loss of traditional languages spoken by smaller groups is the downside of these processes. Currently, 17 languages in South Sudan are at risk of being no longer spoken or transferred to the next generation. </w:t>
      </w:r>
    </w:p>
  </w:footnote>
  <w:footnote w:id="9">
    <w:p w14:paraId="5BF7D4CA" w14:textId="7D7165EA" w:rsidR="00D56EAC" w:rsidRDefault="00D56EAC" w:rsidP="00A56EDD">
      <w:pPr>
        <w:pStyle w:val="FootnoteText"/>
      </w:pPr>
      <w:r>
        <w:rPr>
          <w:rStyle w:val="FootnoteReference"/>
        </w:rPr>
        <w:footnoteRef/>
      </w:r>
      <w:r>
        <w:t xml:space="preserve"> Cattle is the main store of wealth; and dozens of cattle have to be paid as a dowry or bride price. </w:t>
      </w:r>
    </w:p>
  </w:footnote>
  <w:footnote w:id="10">
    <w:p w14:paraId="4DAB3F18" w14:textId="77777777" w:rsidR="00D56EAC" w:rsidRDefault="00D56EAC" w:rsidP="00A56EDD">
      <w:pPr>
        <w:pStyle w:val="FootnoteText"/>
      </w:pPr>
      <w:r>
        <w:rPr>
          <w:rStyle w:val="FootnoteReference"/>
        </w:rPr>
        <w:footnoteRef/>
      </w:r>
      <w:r>
        <w:t xml:space="preserve"> A separate policy note being developed covers the evolutions and options for intergovernmental relations in greater detail. </w:t>
      </w:r>
    </w:p>
  </w:footnote>
  <w:footnote w:id="11">
    <w:p w14:paraId="3DA06345" w14:textId="04E4F38D" w:rsidR="00D56EAC" w:rsidRDefault="00D56EAC" w:rsidP="00A56EDD">
      <w:pPr>
        <w:pStyle w:val="FootnoteText"/>
      </w:pPr>
      <w:r>
        <w:rPr>
          <w:rStyle w:val="FootnoteReference"/>
        </w:rPr>
        <w:footnoteRef/>
      </w:r>
      <w:r>
        <w:t xml:space="preserve"> The postconflict starting year in Liberia is 2003; for Rwanda it is 1995, before the start of the Worldwide Governance Indicators. </w:t>
      </w:r>
    </w:p>
  </w:footnote>
  <w:footnote w:id="12">
    <w:p w14:paraId="4D0D28F4" w14:textId="4B1EEEA0" w:rsidR="00D56EAC" w:rsidRDefault="00D56EAC" w:rsidP="00A56EDD">
      <w:pPr>
        <w:pStyle w:val="FootnoteText"/>
      </w:pPr>
      <w:r>
        <w:rPr>
          <w:rStyle w:val="FootnoteReference"/>
        </w:rPr>
        <w:footnoteRef/>
      </w:r>
      <w:r>
        <w:t xml:space="preserve"> The official exchange rate between South Sudanese pound and the U.S. dollar has been 3:1 from 2011 until December 2015.  </w:t>
      </w:r>
    </w:p>
  </w:footnote>
  <w:footnote w:id="13">
    <w:p w14:paraId="0CE8FF25" w14:textId="76200DDF" w:rsidR="00D56EAC" w:rsidRDefault="00D56EAC" w:rsidP="00A56EDD">
      <w:pPr>
        <w:pStyle w:val="FootnoteText"/>
      </w:pPr>
      <w:r>
        <w:rPr>
          <w:rStyle w:val="FootnoteReference"/>
        </w:rPr>
        <w:footnoteRef/>
      </w:r>
      <w:r>
        <w:t xml:space="preserve"> However, it is important to note that other reports cite a much smaller, if still substantial, figure of US$34 million that was embezzled (U4 2013). </w:t>
      </w:r>
      <w:r w:rsidRPr="00B513F4">
        <w:t xml:space="preserve">In May 2012, </w:t>
      </w:r>
      <w:r>
        <w:t>P</w:t>
      </w:r>
      <w:r w:rsidRPr="00B513F4">
        <w:t xml:space="preserve">resident Kiir circulated a letter to </w:t>
      </w:r>
      <w:r>
        <w:t xml:space="preserve">75 </w:t>
      </w:r>
      <w:r w:rsidRPr="00B513F4">
        <w:t xml:space="preserve">current and </w:t>
      </w:r>
      <w:r>
        <w:t>former</w:t>
      </w:r>
      <w:r w:rsidRPr="00B513F4">
        <w:t xml:space="preserve"> government officials, asking them to return a total of </w:t>
      </w:r>
      <w:r>
        <w:t>US$</w:t>
      </w:r>
      <w:r w:rsidRPr="00B513F4">
        <w:t>4</w:t>
      </w:r>
      <w:r>
        <w:t xml:space="preserve"> </w:t>
      </w:r>
      <w:r w:rsidRPr="00B513F4">
        <w:t>b</w:t>
      </w:r>
      <w:r>
        <w:t>illio</w:t>
      </w:r>
      <w:r w:rsidRPr="00B513F4">
        <w:t>n</w:t>
      </w:r>
      <w:r>
        <w:t>—which is,</w:t>
      </w:r>
      <w:r w:rsidRPr="00B513F4">
        <w:t xml:space="preserve"> in total</w:t>
      </w:r>
      <w:r>
        <w:t>,</w:t>
      </w:r>
      <w:r w:rsidRPr="00B513F4">
        <w:t xml:space="preserve"> more than the annual budget of 2011/12.</w:t>
      </w:r>
    </w:p>
  </w:footnote>
  <w:footnote w:id="14">
    <w:p w14:paraId="1100A5F9" w14:textId="697C27A8" w:rsidR="00D56EAC" w:rsidRDefault="00D56EAC" w:rsidP="00A56EDD">
      <w:pPr>
        <w:pStyle w:val="FootnoteText"/>
      </w:pPr>
      <w:r>
        <w:rPr>
          <w:rStyle w:val="FootnoteReference"/>
        </w:rPr>
        <w:footnoteRef/>
      </w:r>
      <w:r>
        <w:t xml:space="preserve"> </w:t>
      </w:r>
      <w:hyperlink r:id="rId1" w:history="1">
        <w:r w:rsidRPr="007D2063">
          <w:rPr>
            <w:rStyle w:val="Hyperlink"/>
          </w:rPr>
          <w:t>http://www.iaaca.org/AntiCorruptionAuthorities/ByCountriesandRegions/S/Sudan/201202/t20120215_805325.shtml</w:t>
        </w:r>
      </w:hyperlink>
      <w:r>
        <w:t xml:space="preserve">. </w:t>
      </w:r>
    </w:p>
  </w:footnote>
  <w:footnote w:id="15">
    <w:p w14:paraId="60EC0245" w14:textId="278A5586" w:rsidR="00D56EAC" w:rsidRDefault="00D56EAC" w:rsidP="00A56EDD">
      <w:pPr>
        <w:pStyle w:val="FootnoteText"/>
      </w:pPr>
      <w:r>
        <w:rPr>
          <w:rStyle w:val="FootnoteReference"/>
        </w:rPr>
        <w:footnoteRef/>
      </w:r>
      <w:r>
        <w:t xml:space="preserve"> See 2014–15 First Quarter Macro-Fiscal Report. </w:t>
      </w:r>
    </w:p>
  </w:footnote>
  <w:footnote w:id="16">
    <w:p w14:paraId="591FEF7A" w14:textId="5178CA40" w:rsidR="00D56EAC" w:rsidRDefault="00D56EAC" w:rsidP="00A56EDD">
      <w:pPr>
        <w:pStyle w:val="FootnoteText"/>
      </w:pPr>
      <w:r>
        <w:rPr>
          <w:rStyle w:val="FootnoteReference"/>
        </w:rPr>
        <w:footnoteRef/>
      </w:r>
      <w:r>
        <w:t xml:space="preserve"> With regard to staff numbers, the figures in the national budget may slightly underestimate the actual numbers employed at the subnational level (such as volunteer teachers) and also within the military. For the military, staffing estimates before December 2013 varied between 204,000 according to the budget and 270,000. </w:t>
      </w:r>
    </w:p>
  </w:footnote>
  <w:footnote w:id="17">
    <w:p w14:paraId="3932F011" w14:textId="237FB950" w:rsidR="00D56EAC" w:rsidRDefault="00D56EAC" w:rsidP="00A56EDD">
      <w:pPr>
        <w:pStyle w:val="FootnoteText"/>
      </w:pPr>
      <w:r>
        <w:rPr>
          <w:rStyle w:val="FootnoteReference"/>
        </w:rPr>
        <w:footnoteRef/>
      </w:r>
      <w:r>
        <w:t xml:space="preserve"> There are some additional informal wage payments, probably mostly to civilian staff made at the subnational levels, for example, for ‘voluntary teachers’ (see also section 2.2); but these do not fundamentally alter the balance.</w:t>
      </w:r>
    </w:p>
  </w:footnote>
  <w:footnote w:id="18">
    <w:p w14:paraId="7230805C" w14:textId="105C8431" w:rsidR="00D56EAC" w:rsidRDefault="00D56EAC" w:rsidP="00A56EDD">
      <w:pPr>
        <w:pStyle w:val="FootnoteText"/>
      </w:pPr>
      <w:r>
        <w:rPr>
          <w:rStyle w:val="FootnoteReference"/>
        </w:rPr>
        <w:footnoteRef/>
      </w:r>
      <w:r>
        <w:t xml:space="preserve"> Indicators for 2015 will become available in the second half of 2016, and are likely to continue reflecting divergence.  </w:t>
      </w:r>
    </w:p>
  </w:footnote>
  <w:footnote w:id="19">
    <w:p w14:paraId="49B92E80" w14:textId="30BB26F1" w:rsidR="00D56EAC" w:rsidRDefault="00D56EAC" w:rsidP="00A56EDD">
      <w:pPr>
        <w:pStyle w:val="FootnoteText"/>
      </w:pPr>
      <w:r>
        <w:rPr>
          <w:rStyle w:val="FootnoteReference"/>
        </w:rPr>
        <w:footnoteRef/>
      </w:r>
      <w:r>
        <w:t xml:space="preserve"> World Bank/Adam Smith International (ASI) and CBTF. </w:t>
      </w:r>
    </w:p>
  </w:footnote>
  <w:footnote w:id="20">
    <w:p w14:paraId="6039BFB0" w14:textId="1DDD1118" w:rsidR="00D56EAC" w:rsidRDefault="00D56EAC" w:rsidP="00A56EDD">
      <w:pPr>
        <w:pStyle w:val="FootnoteText"/>
      </w:pPr>
      <w:r>
        <w:rPr>
          <w:rStyle w:val="FootnoteReference"/>
        </w:rPr>
        <w:footnoteRef/>
      </w:r>
      <w:r>
        <w:t xml:space="preserve"> Therefore, table 5 should be considered a ‘crude’ approximation to attempt some comparison. Clements et al. (2010) arrive at a lower ratio of public sector compensation to average GDP per capita: 1.3 for Africa (based on a sample of three countries) and of 1.9 for low-income countries. Wages in South Sudan would correspond to this range. </w:t>
      </w:r>
    </w:p>
  </w:footnote>
  <w:footnote w:id="21">
    <w:p w14:paraId="227B9EF4" w14:textId="351645EE" w:rsidR="00D56EAC" w:rsidRDefault="00D56EAC" w:rsidP="00A56EDD">
      <w:pPr>
        <w:pStyle w:val="FootnoteText"/>
      </w:pPr>
      <w:r>
        <w:rPr>
          <w:rStyle w:val="FootnoteReference"/>
        </w:rPr>
        <w:footnoteRef/>
      </w:r>
      <w:r>
        <w:t xml:space="preserve"> </w:t>
      </w:r>
      <w:r w:rsidRPr="00CC261B">
        <w:rPr>
          <w:sz w:val="18"/>
        </w:rPr>
        <w:t xml:space="preserve">At an </w:t>
      </w:r>
      <w:r>
        <w:rPr>
          <w:sz w:val="18"/>
        </w:rPr>
        <w:t xml:space="preserve">unofficial </w:t>
      </w:r>
      <w:r w:rsidRPr="00CC261B">
        <w:rPr>
          <w:sz w:val="18"/>
        </w:rPr>
        <w:t>exchange rate of SSP</w:t>
      </w:r>
      <w:r>
        <w:rPr>
          <w:sz w:val="18"/>
        </w:rPr>
        <w:t xml:space="preserve"> </w:t>
      </w:r>
      <w:r w:rsidRPr="00CC261B">
        <w:rPr>
          <w:sz w:val="18"/>
        </w:rPr>
        <w:t xml:space="preserve">3.48 to </w:t>
      </w:r>
      <w:r>
        <w:rPr>
          <w:sz w:val="18"/>
        </w:rPr>
        <w:t>US$</w:t>
      </w:r>
      <w:r w:rsidRPr="00CC261B">
        <w:rPr>
          <w:sz w:val="18"/>
        </w:rPr>
        <w:t xml:space="preserve">1. </w:t>
      </w:r>
      <w:r>
        <w:rPr>
          <w:sz w:val="18"/>
        </w:rPr>
        <w:t xml:space="preserve">Market rates were above SSP 4/US$1 for 2013. </w:t>
      </w:r>
    </w:p>
  </w:footnote>
  <w:footnote w:id="22">
    <w:p w14:paraId="7B8DAC36" w14:textId="474E68C1" w:rsidR="00D56EAC" w:rsidRDefault="00D56EAC" w:rsidP="00A56EDD">
      <w:pPr>
        <w:pStyle w:val="FootnoteText"/>
      </w:pPr>
      <w:r>
        <w:rPr>
          <w:rStyle w:val="FootnoteReference"/>
        </w:rPr>
        <w:footnoteRef/>
      </w:r>
      <w:r>
        <w:t xml:space="preserve"> Low pay for teachers may be justified for those with low or lacking qualifications and on the ground that there are few alternative income opportunities for many employed in the sector. However, rapid declines in purchasing power are likely to have a demotivating and distracting effect, given that staff then have to focus more on coping strategies. </w:t>
      </w:r>
    </w:p>
  </w:footnote>
  <w:footnote w:id="23">
    <w:p w14:paraId="05148EF4" w14:textId="77777777" w:rsidR="00D56EAC" w:rsidRDefault="00D56EAC" w:rsidP="00A56EDD">
      <w:pPr>
        <w:pStyle w:val="FootnoteText"/>
      </w:pPr>
      <w:r>
        <w:rPr>
          <w:rStyle w:val="FootnoteReference"/>
        </w:rPr>
        <w:footnoteRef/>
      </w:r>
      <w:r>
        <w:t xml:space="preserve"> Based on 2010 EMIS data. </w:t>
      </w:r>
    </w:p>
  </w:footnote>
  <w:footnote w:id="24">
    <w:p w14:paraId="00BCD985" w14:textId="548E01B7" w:rsidR="00D56EAC" w:rsidRDefault="00D56EAC" w:rsidP="00A56EDD">
      <w:pPr>
        <w:pStyle w:val="FootnoteText"/>
      </w:pPr>
      <w:r>
        <w:rPr>
          <w:rStyle w:val="FootnoteReference"/>
        </w:rPr>
        <w:footnoteRef/>
      </w:r>
      <w:r>
        <w:t xml:space="preserve"> In 2010, the share was about 11,000 government paid staff to an estimated 6,000 nongovernment paid staff in the health sector, with some overlap of staff working both in government and in nongovernment roles and some government staff receiving top-ups. </w:t>
      </w:r>
    </w:p>
  </w:footnote>
  <w:footnote w:id="25">
    <w:p w14:paraId="3752A54E" w14:textId="77777777" w:rsidR="00D56EAC" w:rsidRDefault="00D56EAC" w:rsidP="00A56EDD">
      <w:pPr>
        <w:pStyle w:val="FootnoteText"/>
      </w:pPr>
      <w:r>
        <w:rPr>
          <w:rStyle w:val="FootnoteReference"/>
        </w:rPr>
        <w:footnoteRef/>
      </w:r>
      <w:r>
        <w:t xml:space="preserve"> (ODI 2012 </w:t>
      </w:r>
      <w:hyperlink r:id="rId2" w:history="1">
        <w:r w:rsidRPr="00EA7934">
          <w:rPr>
            <w:rStyle w:val="Hyperlink"/>
          </w:rPr>
          <w:t>http://www.odi.org.uk/sites/odi.org.uk/files/odi-assets/publications-opinion-files/7716.pdf</w:t>
        </w:r>
      </w:hyperlink>
      <w:r>
        <w:t xml:space="preserve">) – any material with statistics from Ministry of Education?; IOM Village Assessment Survey 2013 -- </w:t>
      </w:r>
      <w:hyperlink r:id="rId3" w:history="1">
        <w:r w:rsidRPr="00EA7934">
          <w:rPr>
            <w:rStyle w:val="Hyperlink"/>
          </w:rPr>
          <w:t>http://southsudan.iom.int/wp-content/uploads/2013/06/IOM-Village-Assessment-Survey-Report-2013.pdf</w:t>
        </w:r>
      </w:hyperlink>
      <w:r>
        <w:t>).</w:t>
      </w:r>
    </w:p>
  </w:footnote>
  <w:footnote w:id="26">
    <w:p w14:paraId="789C7806" w14:textId="64D91768" w:rsidR="00D56EAC" w:rsidRDefault="00D56EAC" w:rsidP="00A56EDD">
      <w:pPr>
        <w:pStyle w:val="FootnoteText"/>
      </w:pPr>
      <w:r>
        <w:rPr>
          <w:rStyle w:val="FootnoteReference"/>
        </w:rPr>
        <w:footnoteRef/>
      </w:r>
      <w:r>
        <w:t xml:space="preserve"> A key reason for resistance to such screening is the fact that significant numbers of initially hired civil servants did not have the requisite formal qualifications for their positions; as well as other forms of mismanagement of staffing numbers and resistance from managers at various levels against greater central oversight. </w:t>
      </w:r>
    </w:p>
  </w:footnote>
  <w:footnote w:id="27">
    <w:p w14:paraId="25B58474" w14:textId="459B7645" w:rsidR="00D56EAC" w:rsidRDefault="00D56EAC" w:rsidP="00A56EDD">
      <w:pPr>
        <w:pStyle w:val="FootnoteText"/>
      </w:pPr>
      <w:r>
        <w:rPr>
          <w:rStyle w:val="FootnoteReference"/>
        </w:rPr>
        <w:footnoteRef/>
      </w:r>
      <w:r>
        <w:t xml:space="preserve"> There are a growing number of studies on specific aspects of service delivery in South Sudan, which section 4 draws on selectively. The intention here is to </w:t>
      </w:r>
      <w:r w:rsidRPr="006F6CBB">
        <w:t>hone</w:t>
      </w:r>
      <w:r>
        <w:t xml:space="preserve"> in on the link between the wage bill, the composition, and quality of the public sector, and current service delivery results. </w:t>
      </w:r>
    </w:p>
  </w:footnote>
  <w:footnote w:id="28">
    <w:p w14:paraId="3FA71CCC" w14:textId="4A6C033F" w:rsidR="00D56EAC" w:rsidRDefault="00D56EAC" w:rsidP="00A56EDD">
      <w:pPr>
        <w:pStyle w:val="FootnoteText"/>
      </w:pPr>
      <w:r>
        <w:rPr>
          <w:rStyle w:val="FootnoteReference"/>
        </w:rPr>
        <w:footnoteRef/>
      </w:r>
      <w:r>
        <w:t xml:space="preserve"> This is expected to guard against the risk of ‘reform for reform’s sake’ in the public sector and an overly strong emphasis on the adoption of specific systems, mechanisms, or procedures, with uncertain benefits for actual government performance. Furthermore, the trends in service delivery can also provide indications about trends in public sector performance—which can be difficult to discern when looking only at upstream aspects.</w:t>
      </w:r>
    </w:p>
  </w:footnote>
  <w:footnote w:id="29">
    <w:p w14:paraId="0908A2F7" w14:textId="4B033726" w:rsidR="00D56EAC" w:rsidRDefault="00D56EAC" w:rsidP="00A56EDD">
      <w:pPr>
        <w:pStyle w:val="FootnoteText"/>
      </w:pPr>
      <w:r>
        <w:rPr>
          <w:rStyle w:val="FootnoteReference"/>
        </w:rPr>
        <w:footnoteRef/>
      </w:r>
      <w:r>
        <w:t xml:space="preserve"> For example, on the education sector, statistics on enrolment figures, teachers, and classrooms are available on </w:t>
      </w:r>
      <w:hyperlink r:id="rId4" w:history="1">
        <w:r w:rsidRPr="00A01663">
          <w:rPr>
            <w:rStyle w:val="Hyperlink"/>
          </w:rPr>
          <w:t>http://www.southsudanemis.org/</w:t>
        </w:r>
      </w:hyperlink>
      <w:r>
        <w:t xml:space="preserve">. </w:t>
      </w:r>
    </w:p>
  </w:footnote>
  <w:footnote w:id="30">
    <w:p w14:paraId="2B60A3F1" w14:textId="37A9C4C6" w:rsidR="00D56EAC" w:rsidRDefault="00D56EAC" w:rsidP="00A56EDD">
      <w:pPr>
        <w:pStyle w:val="FootnoteText"/>
      </w:pPr>
      <w:r>
        <w:rPr>
          <w:rStyle w:val="FootnoteReference"/>
        </w:rPr>
        <w:footnoteRef/>
      </w:r>
      <w:r>
        <w:t xml:space="preserve"> World Bank (2012b, 3). </w:t>
      </w:r>
    </w:p>
  </w:footnote>
  <w:footnote w:id="31">
    <w:p w14:paraId="357E0F98" w14:textId="77777777" w:rsidR="00D56EAC" w:rsidRDefault="00D56EAC" w:rsidP="00A56EDD">
      <w:pPr>
        <w:pStyle w:val="FootnoteText"/>
      </w:pPr>
      <w:r>
        <w:rPr>
          <w:rStyle w:val="FootnoteReference"/>
        </w:rPr>
        <w:footnoteRef/>
      </w:r>
      <w:r>
        <w:t xml:space="preserve"> Dom (2013). </w:t>
      </w:r>
    </w:p>
  </w:footnote>
  <w:footnote w:id="32">
    <w:p w14:paraId="40291927" w14:textId="06EEBDBE" w:rsidR="00D56EAC" w:rsidRDefault="00D56EAC" w:rsidP="00A56EDD">
      <w:pPr>
        <w:pStyle w:val="FootnoteText"/>
      </w:pPr>
      <w:r>
        <w:rPr>
          <w:rStyle w:val="FootnoteReference"/>
        </w:rPr>
        <w:footnoteRef/>
      </w:r>
      <w:r>
        <w:t xml:space="preserve"> See </w:t>
      </w:r>
      <w:hyperlink r:id="rId5" w:history="1">
        <w:r w:rsidRPr="00A01663">
          <w:rPr>
            <w:rStyle w:val="Hyperlink"/>
          </w:rPr>
          <w:t>http://www.southsudanemis.org/</w:t>
        </w:r>
      </w:hyperlink>
      <w:r>
        <w:t xml:space="preserve">. </w:t>
      </w:r>
    </w:p>
  </w:footnote>
  <w:footnote w:id="33">
    <w:p w14:paraId="03B6CC55" w14:textId="2EB69E3E" w:rsidR="00D56EAC" w:rsidRDefault="00D56EAC" w:rsidP="00A56EDD">
      <w:pPr>
        <w:pStyle w:val="FootnoteText"/>
      </w:pPr>
      <w:r>
        <w:rPr>
          <w:rStyle w:val="FootnoteReference"/>
        </w:rPr>
        <w:footnoteRef/>
      </w:r>
      <w:r>
        <w:t xml:space="preserve"> Based on an assessment by the Joint Donor Team. The education sector report shows concentration of pay for primary school teachers at grades 13, 15, and 16. </w:t>
      </w:r>
    </w:p>
  </w:footnote>
  <w:footnote w:id="34">
    <w:p w14:paraId="4B48A5AE" w14:textId="044EB9A9" w:rsidR="00D56EAC" w:rsidRDefault="00D56EAC" w:rsidP="00A56EDD">
      <w:pPr>
        <w:pStyle w:val="FootnoteText"/>
      </w:pPr>
      <w:r>
        <w:rPr>
          <w:rStyle w:val="FootnoteReference"/>
        </w:rPr>
        <w:footnoteRef/>
      </w:r>
      <w:r>
        <w:t xml:space="preserve"> Given the types of situations of postconflict countries, figures may not be exactly accurate and are frequently subject to some degree of later revisions. However, the trends for most of the postconflict countries appear relatively stable; for South Sudan, the reported figure for 2012 is also 62 percent.</w:t>
      </w:r>
    </w:p>
  </w:footnote>
  <w:footnote w:id="35">
    <w:p w14:paraId="3D08ED09" w14:textId="513F7D36" w:rsidR="00D56EAC" w:rsidRDefault="00D56EAC" w:rsidP="00A56EDD">
      <w:pPr>
        <w:pStyle w:val="FootnoteText"/>
      </w:pPr>
      <w:r>
        <w:rPr>
          <w:rStyle w:val="FootnoteReference"/>
        </w:rPr>
        <w:footnoteRef/>
      </w:r>
      <w:r>
        <w:t xml:space="preserve"> See </w:t>
      </w:r>
      <w:hyperlink r:id="rId6" w:history="1">
        <w:r w:rsidRPr="00D05B80">
          <w:rPr>
            <w:rStyle w:val="Hyperlink"/>
          </w:rPr>
          <w:t>http://www-wds.worldbank.org/external/default/WDSContentServer/WDSP/IB/2011/11/21/000001843_20111122101822/Rendered/PDF/Project0Inform0cument0Concept0Stage.pdf</w:t>
        </w:r>
      </w:hyperlink>
      <w:r>
        <w:t xml:space="preserve">. </w:t>
      </w:r>
    </w:p>
  </w:footnote>
  <w:footnote w:id="36">
    <w:p w14:paraId="1A7A5088" w14:textId="0BB364A6" w:rsidR="00D56EAC" w:rsidRDefault="00D56EAC" w:rsidP="00A56EDD">
      <w:pPr>
        <w:pStyle w:val="FootnoteText"/>
      </w:pPr>
      <w:r>
        <w:rPr>
          <w:rStyle w:val="FootnoteReference"/>
        </w:rPr>
        <w:footnoteRef/>
      </w:r>
      <w:r>
        <w:t xml:space="preserve"> See </w:t>
      </w:r>
      <w:hyperlink r:id="rId7" w:history="1">
        <w:r w:rsidRPr="00B50170">
          <w:rPr>
            <w:rStyle w:val="Hyperlink"/>
          </w:rPr>
          <w:t>http://apps.who.int/gho/data/node.country.country-SSD</w:t>
        </w:r>
      </w:hyperlink>
      <w:r>
        <w:t xml:space="preserve">. </w:t>
      </w:r>
    </w:p>
  </w:footnote>
  <w:footnote w:id="37">
    <w:p w14:paraId="61703836" w14:textId="18DE471D" w:rsidR="00D56EAC" w:rsidRDefault="00D56EAC" w:rsidP="00A56EDD">
      <w:pPr>
        <w:pStyle w:val="FootnoteText"/>
      </w:pPr>
      <w:r>
        <w:rPr>
          <w:rStyle w:val="FootnoteReference"/>
        </w:rPr>
        <w:footnoteRef/>
      </w:r>
      <w:r>
        <w:t xml:space="preserve"> </w:t>
      </w:r>
      <w:r w:rsidRPr="00A316EE">
        <w:t>https://www.unodc.org/documents/commissions/CCPCJ/CCPCJ_Sessions/CCPCJ_19/A-CONF213-03/A-CONF213-3_E.pdf</w:t>
      </w:r>
      <w:r>
        <w:t xml:space="preserve">. </w:t>
      </w:r>
    </w:p>
  </w:footnote>
  <w:footnote w:id="38">
    <w:p w14:paraId="29296269" w14:textId="225AD07F" w:rsidR="00D56EAC" w:rsidRDefault="00D56EAC" w:rsidP="00A56EDD">
      <w:pPr>
        <w:pStyle w:val="FootnoteText"/>
      </w:pPr>
      <w:r>
        <w:rPr>
          <w:rStyle w:val="FootnoteReference"/>
        </w:rPr>
        <w:footnoteRef/>
      </w:r>
      <w:r>
        <w:t xml:space="preserve"> During the 2013–14 crisis, parts of the organized forces in the conflict-affected states were merged with the SPLA, while other parts defected to the rebel side. </w:t>
      </w:r>
    </w:p>
  </w:footnote>
  <w:footnote w:id="39">
    <w:p w14:paraId="2B5D5854" w14:textId="77777777" w:rsidR="00D56EAC" w:rsidRDefault="00D56EAC" w:rsidP="00A56EDD">
      <w:pPr>
        <w:pStyle w:val="FootnoteText"/>
      </w:pPr>
      <w:r>
        <w:rPr>
          <w:rStyle w:val="FootnoteReference"/>
        </w:rPr>
        <w:footnoteRef/>
      </w:r>
      <w:r>
        <w:t xml:space="preserve"> Private education facilities may require less oversight than public facilities, as the short route of accountability between parents and the service provider should be more effective.</w:t>
      </w:r>
    </w:p>
  </w:footnote>
  <w:footnote w:id="40">
    <w:p w14:paraId="7BDB491C" w14:textId="77777777" w:rsidR="00D56EAC" w:rsidRDefault="00D56EAC" w:rsidP="00F97AAF">
      <w:pPr>
        <w:pStyle w:val="FootnoteText"/>
      </w:pPr>
      <w:r>
        <w:rPr>
          <w:rStyle w:val="FootnoteReference"/>
        </w:rPr>
        <w:footnoteRef/>
      </w:r>
      <w:r>
        <w:t xml:space="preserve"> For the post-independence period, most available international indices rank the two countries fairly similar to each other on various dimensions of governance. </w:t>
      </w:r>
    </w:p>
  </w:footnote>
  <w:footnote w:id="41">
    <w:p w14:paraId="2690ABD6" w14:textId="77777777" w:rsidR="00D56EAC" w:rsidRDefault="00D56EAC" w:rsidP="00F97AAF">
      <w:pPr>
        <w:pStyle w:val="FootnoteText"/>
      </w:pPr>
      <w:r>
        <w:rPr>
          <w:rStyle w:val="FootnoteReference"/>
        </w:rPr>
        <w:footnoteRef/>
      </w:r>
      <w:r>
        <w:t xml:space="preserve"> Figures are taken from: </w:t>
      </w:r>
      <w:hyperlink r:id="rId8" w:history="1">
        <w:r w:rsidRPr="00535E9D">
          <w:rPr>
            <w:rStyle w:val="Hyperlink"/>
          </w:rPr>
          <w:t>http://www.google.com/imgres?imgurl=http://gulf2000.columbia.edu/images/maps/South_Sudan_Ethnic_lg.jpg&amp;imgrefurl=http://gulf2000.columbia.edu/maps.shtml&amp;h=2100&amp;w=3005&amp;sz=3378&amp;tbnid=yGm-TC_LHjxG0M:&amp;tbnh=95&amp;tbnw=136&amp;zoom=1&amp;usg=__YCVzkxAQhZKny401prizpyUgun0=&amp;docid=5YCjfhMj-iyu8M&amp;sa=X&amp;ei=3ER5UoCVO83IsASuh4HQBw&amp;ved=0CDEQ9QEwAw</w:t>
        </w:r>
      </w:hyperlink>
      <w:r>
        <w:t xml:space="preserve">. Note that total and specific population figures for South Sudan are as yet subject to considerable uncertainty. </w:t>
      </w:r>
    </w:p>
  </w:footnote>
  <w:footnote w:id="42">
    <w:p w14:paraId="171D038A" w14:textId="77777777" w:rsidR="00D56EAC" w:rsidRDefault="00D56EAC" w:rsidP="00F97AAF">
      <w:pPr>
        <w:pStyle w:val="FootnoteText"/>
      </w:pPr>
      <w:r w:rsidRPr="00CC261B">
        <w:rPr>
          <w:rStyle w:val="FootnoteReference"/>
        </w:rPr>
        <w:footnoteRef/>
      </w:r>
      <w:r w:rsidRPr="00CC261B">
        <w:t xml:space="preserve"> </w:t>
      </w:r>
      <w:r>
        <w:t xml:space="preserve">Annual revenue for 2011 was SSP 4.9 billion. </w:t>
      </w:r>
    </w:p>
  </w:footnote>
  <w:footnote w:id="43">
    <w:p w14:paraId="4F1D93F5" w14:textId="32FB22C4" w:rsidR="00D56EAC" w:rsidRDefault="00D56EAC" w:rsidP="00F97AAF">
      <w:pPr>
        <w:pStyle w:val="FootnoteText"/>
      </w:pPr>
      <w:r>
        <w:rPr>
          <w:rStyle w:val="FootnoteReference"/>
        </w:rPr>
        <w:footnoteRef/>
      </w:r>
      <w:r>
        <w:t xml:space="preserve"> Based on estimates set out in World Bank (2015b), assuming total oil production of 59 million barrels for FY2014–15. </w:t>
      </w:r>
    </w:p>
  </w:footnote>
  <w:footnote w:id="44">
    <w:p w14:paraId="3CC1FB24" w14:textId="0709ADE0" w:rsidR="00D56EAC" w:rsidRDefault="00D56EAC" w:rsidP="00F97AAF">
      <w:pPr>
        <w:pStyle w:val="FootnoteText"/>
      </w:pPr>
      <w:r>
        <w:rPr>
          <w:rStyle w:val="FootnoteReference"/>
        </w:rPr>
        <w:footnoteRef/>
      </w:r>
      <w:r>
        <w:t xml:space="preserve"> South Sudan is nonetheless much poorer in existing infrastructure than, for example, Kenya (for example, roads, school buildings, and so on.) which all will need to be constructed from government funds and external support over the coming decades. </w:t>
      </w:r>
    </w:p>
  </w:footnote>
  <w:footnote w:id="45">
    <w:p w14:paraId="78CC6572" w14:textId="6CB3BA60" w:rsidR="00D56EAC" w:rsidRDefault="00D56EAC" w:rsidP="00F97AAF">
      <w:pPr>
        <w:pStyle w:val="FootnoteText"/>
      </w:pPr>
      <w:r>
        <w:rPr>
          <w:rStyle w:val="FootnoteReference"/>
        </w:rPr>
        <w:footnoteRef/>
      </w:r>
      <w:r>
        <w:t xml:space="preserve"> As earlier noted by the World Bank (2010, 16–17), “probably as a result of the euphoria associated with the CPA and the rhetoric of GOSS being among the richest governments in Sub-Saharan Africa the magnitude of the challenge that faced this young government was underestimated […]. Experience has shown that the competing demands on the budget for various non-productive though arguably critical needs leaves very little space for investment and service delivery.”</w:t>
      </w:r>
    </w:p>
  </w:footnote>
  <w:footnote w:id="46">
    <w:p w14:paraId="545CD0A8" w14:textId="77777777" w:rsidR="00D56EAC" w:rsidRDefault="00D56EAC" w:rsidP="00F97AAF">
      <w:pPr>
        <w:pStyle w:val="FootnoteText"/>
      </w:pPr>
      <w:r>
        <w:rPr>
          <w:rStyle w:val="FootnoteReference"/>
        </w:rPr>
        <w:footnoteRef/>
      </w:r>
      <w:r>
        <w:t xml:space="preserve"> See also AFDB political economy study 2011: p. 16</w:t>
      </w:r>
    </w:p>
  </w:footnote>
  <w:footnote w:id="47">
    <w:p w14:paraId="07BD9BD2" w14:textId="607C1AD8" w:rsidR="00D56EAC" w:rsidRDefault="00D56EAC" w:rsidP="00F97AAF">
      <w:pPr>
        <w:pStyle w:val="FootnoteText"/>
      </w:pPr>
      <w:r>
        <w:rPr>
          <w:rStyle w:val="FootnoteReference"/>
        </w:rPr>
        <w:footnoteRef/>
      </w:r>
      <w:r>
        <w:t xml:space="preserve"> Earlier JAMs had been organized for Liberia and for Iraq. See </w:t>
      </w:r>
      <w:hyperlink r:id="rId9" w:history="1">
        <w:r w:rsidRPr="0071325F">
          <w:rPr>
            <w:rStyle w:val="Hyperlink"/>
          </w:rPr>
          <w:t>http://www.c-r.org/sites/c-r.org/files/Accord18_13Planningforreconstruction_2006_ENG.pdf</w:t>
        </w:r>
      </w:hyperlink>
      <w:r>
        <w:t xml:space="preserve">. </w:t>
      </w:r>
    </w:p>
  </w:footnote>
  <w:footnote w:id="48">
    <w:p w14:paraId="100F7227" w14:textId="60EB4E04" w:rsidR="00D56EAC" w:rsidRDefault="00D56EAC" w:rsidP="00F97AAF">
      <w:pPr>
        <w:pStyle w:val="FootnoteText"/>
      </w:pPr>
      <w:r>
        <w:rPr>
          <w:rStyle w:val="FootnoteReference"/>
        </w:rPr>
        <w:footnoteRef/>
      </w:r>
      <w:r>
        <w:t xml:space="preserve"> The core skills training, discussed in particular focused on addressing this divide and provided English language training for civil servants in five states—</w:t>
      </w:r>
      <w:r w:rsidRPr="00EF0A28">
        <w:rPr>
          <w:color w:val="000000"/>
          <w:szCs w:val="23"/>
        </w:rPr>
        <w:t>Eastern Equatoria, Jonglei, Western Bahr el Ghazal, Western Equatoria</w:t>
      </w:r>
      <w:r>
        <w:rPr>
          <w:color w:val="000000"/>
          <w:szCs w:val="23"/>
        </w:rPr>
        <w:t>,</w:t>
      </w:r>
      <w:r w:rsidRPr="00EF0A28">
        <w:rPr>
          <w:color w:val="000000"/>
          <w:szCs w:val="23"/>
        </w:rPr>
        <w:t xml:space="preserve"> and Warrap. </w:t>
      </w:r>
    </w:p>
  </w:footnote>
  <w:footnote w:id="49">
    <w:p w14:paraId="3B9AF1BF" w14:textId="77777777" w:rsidR="00D56EAC" w:rsidRDefault="00D56EAC" w:rsidP="00F97AAF">
      <w:pPr>
        <w:pStyle w:val="FootnoteText"/>
      </w:pPr>
      <w:r>
        <w:rPr>
          <w:rStyle w:val="FootnoteReference"/>
        </w:rPr>
        <w:footnoteRef/>
      </w:r>
      <w:r>
        <w:t xml:space="preserve"> However, this figure was contested and the SPLA itself had initially given an estimate of 300,000 various combatants in South Sudan.</w:t>
      </w:r>
    </w:p>
  </w:footnote>
  <w:footnote w:id="50">
    <w:p w14:paraId="42391357" w14:textId="6787E799" w:rsidR="00D56EAC" w:rsidRDefault="00D56EAC" w:rsidP="00F97AAF">
      <w:pPr>
        <w:pStyle w:val="FootnoteText"/>
      </w:pPr>
      <w:r>
        <w:rPr>
          <w:rStyle w:val="FootnoteReference"/>
        </w:rPr>
        <w:footnoteRef/>
      </w:r>
      <w:r>
        <w:t xml:space="preserve"> Based on information received from Lydia Stone, personal communication. </w:t>
      </w:r>
      <w:r>
        <w:rPr>
          <w:rFonts w:ascii="Calibri" w:hAnsi="Calibri" w:cs="Calibri"/>
        </w:rPr>
        <w:t xml:space="preserve">Small Arms Survey "Failures and Opportunities: Rethinking DDR in South Sudan" for the 40,000 figure; Small Arms Survey "SPLA Transformation 2006–2010" for the 140,000 figure. Some estimates have suggested as many as 270,000 staff in the army for 2013, that is, before the outbreak of the crisis and mass defections. </w:t>
      </w:r>
    </w:p>
  </w:footnote>
  <w:footnote w:id="51">
    <w:p w14:paraId="179BA548" w14:textId="77777777" w:rsidR="00D56EAC" w:rsidRDefault="00D56EAC" w:rsidP="00F97AAF">
      <w:pPr>
        <w:pStyle w:val="FootnoteText"/>
      </w:pPr>
      <w:r>
        <w:rPr>
          <w:rStyle w:val="FootnoteReference"/>
        </w:rPr>
        <w:footnoteRef/>
      </w:r>
      <w:r>
        <w:t xml:space="preserve"> </w:t>
      </w:r>
      <w:hyperlink r:id="rId10" w:history="1">
        <w:r w:rsidRPr="00CD15B0">
          <w:rPr>
            <w:rStyle w:val="Hyperlink"/>
          </w:rPr>
          <w:t>http://reliefweb.int/report/south-sudan-republic/south-sudan-integrates-former-rebels-regular-army</w:t>
        </w:r>
      </w:hyperlink>
      <w:r w:rsidRPr="00CD15B0">
        <w:rPr>
          <w:rStyle w:val="Hyperlink"/>
        </w:rPr>
        <w:t>.</w:t>
      </w:r>
      <w:r>
        <w:rPr>
          <w:rStyle w:val="Hyperlink"/>
          <w:rFonts w:ascii="Arial" w:eastAsia="Times New Roman" w:hAnsi="Arial" w:cs="Arial"/>
          <w:sz w:val="24"/>
          <w:szCs w:val="24"/>
        </w:rPr>
        <w:t xml:space="preserve"> </w:t>
      </w:r>
    </w:p>
  </w:footnote>
  <w:footnote w:id="52">
    <w:p w14:paraId="49207E38" w14:textId="77777777" w:rsidR="00D56EAC" w:rsidRDefault="00D56EAC" w:rsidP="00F97AAF">
      <w:pPr>
        <w:pStyle w:val="FootnoteText"/>
      </w:pPr>
      <w:r>
        <w:rPr>
          <w:rStyle w:val="FootnoteReference"/>
        </w:rPr>
        <w:footnoteRef/>
      </w:r>
      <w:r>
        <w:t xml:space="preserve"> Available at: </w:t>
      </w:r>
      <w:hyperlink r:id="rId11" w:history="1">
        <w:r w:rsidRPr="0052006B">
          <w:rPr>
            <w:rStyle w:val="Hyperlink"/>
          </w:rPr>
          <w:t>http://www.goss.org/</w:t>
        </w:r>
      </w:hyperlink>
      <w:r>
        <w:t xml:space="preserve">. </w:t>
      </w:r>
    </w:p>
  </w:footnote>
  <w:footnote w:id="53">
    <w:p w14:paraId="7E96F39F" w14:textId="3855FACE" w:rsidR="00D56EAC" w:rsidRDefault="00D56EAC" w:rsidP="00F97AAF">
      <w:pPr>
        <w:pStyle w:val="FootnoteText"/>
      </w:pPr>
      <w:r>
        <w:rPr>
          <w:rStyle w:val="FootnoteReference"/>
        </w:rPr>
        <w:footnoteRef/>
      </w:r>
      <w:r>
        <w:t xml:space="preserve"> </w:t>
      </w:r>
      <w:hyperlink r:id="rId12" w:history="1">
        <w:r w:rsidRPr="007B1F2F">
          <w:rPr>
            <w:rStyle w:val="Hyperlink"/>
          </w:rPr>
          <w:t>http://pachodo.org/latest-news-articles/pachodo-english-articles/561-south-sudan-targets-costly-qghostq-workers</w:t>
        </w:r>
      </w:hyperlink>
      <w:r>
        <w:rPr>
          <w:rStyle w:val="Hyperlink"/>
        </w:rPr>
        <w:t>.</w:t>
      </w:r>
    </w:p>
  </w:footnote>
  <w:footnote w:id="54">
    <w:p w14:paraId="000D0D55" w14:textId="77777777" w:rsidR="00D56EAC" w:rsidRDefault="00D56EAC" w:rsidP="00F97AAF">
      <w:pPr>
        <w:pStyle w:val="FootnoteText"/>
      </w:pPr>
      <w:r>
        <w:rPr>
          <w:rStyle w:val="FootnoteReference"/>
        </w:rPr>
        <w:footnoteRef/>
      </w:r>
      <w:r>
        <w:t xml:space="preserve"> </w:t>
      </w:r>
      <w:hyperlink r:id="rId13" w:history="1">
        <w:r w:rsidRPr="00FC47C7">
          <w:rPr>
            <w:rStyle w:val="Hyperlink"/>
          </w:rPr>
          <w:t>http://sudantribune.com/spip.php?article33958</w:t>
        </w:r>
      </w:hyperlink>
      <w:r>
        <w:t xml:space="preserve">. </w:t>
      </w:r>
    </w:p>
  </w:footnote>
  <w:footnote w:id="55">
    <w:p w14:paraId="1843AB95" w14:textId="558371CC" w:rsidR="00D56EAC" w:rsidRDefault="00D56EAC" w:rsidP="00F97AAF">
      <w:pPr>
        <w:pStyle w:val="FootnoteText"/>
      </w:pPr>
      <w:r>
        <w:rPr>
          <w:rStyle w:val="FootnoteReference"/>
        </w:rPr>
        <w:footnoteRef/>
      </w:r>
      <w:r>
        <w:t xml:space="preserve"> </w:t>
      </w:r>
      <w:hyperlink r:id="rId14" w:history="1">
        <w:r w:rsidRPr="007B1F2F">
          <w:rPr>
            <w:rStyle w:val="Hyperlink"/>
          </w:rPr>
          <w:t>http://allafrica.com/stories/201305061411.html</w:t>
        </w:r>
      </w:hyperlink>
      <w:r>
        <w:rPr>
          <w:rStyle w:val="Hyperlink"/>
        </w:rPr>
        <w:t>.</w:t>
      </w:r>
    </w:p>
  </w:footnote>
  <w:footnote w:id="56">
    <w:p w14:paraId="771A2D10" w14:textId="2EB18B75" w:rsidR="00D56EAC" w:rsidRDefault="00D56EAC" w:rsidP="00F97AAF">
      <w:pPr>
        <w:pStyle w:val="FootnoteText"/>
      </w:pPr>
      <w:r>
        <w:rPr>
          <w:rStyle w:val="FootnoteReference"/>
        </w:rPr>
        <w:footnoteRef/>
      </w:r>
      <w:r>
        <w:t xml:space="preserve"> </w:t>
      </w:r>
      <w:hyperlink r:id="rId15" w:history="1">
        <w:r w:rsidRPr="00FC47C7">
          <w:rPr>
            <w:rStyle w:val="Hyperlink"/>
          </w:rPr>
          <w:t>http://www.gurtong.net/ECM/Editorial/tabid/124/ctl/ArticleView/mid/519/articleId/12694/More-Than-10000-Ghost-Names-Unearthed-In-Police-Service.aspx</w:t>
        </w:r>
      </w:hyperlink>
      <w:r>
        <w:t>.</w:t>
      </w:r>
    </w:p>
  </w:footnote>
  <w:footnote w:id="57">
    <w:p w14:paraId="23BB78C7" w14:textId="7317FF33" w:rsidR="00D56EAC" w:rsidRDefault="00D56EAC" w:rsidP="00F97AAF">
      <w:pPr>
        <w:pStyle w:val="FootnoteText"/>
      </w:pPr>
      <w:r>
        <w:rPr>
          <w:rStyle w:val="FootnoteReference"/>
        </w:rPr>
        <w:footnoteRef/>
      </w:r>
      <w:r>
        <w:t xml:space="preserve"> </w:t>
      </w:r>
      <w:hyperlink r:id="rId16" w:history="1">
        <w:r w:rsidRPr="000B7123">
          <w:rPr>
            <w:rStyle w:val="Hyperlink"/>
          </w:rPr>
          <w:t>http://www.sudantribune.com/spip.php?iframe&amp;page=imprimable&amp;id_article=40340</w:t>
        </w:r>
      </w:hyperlink>
      <w:r>
        <w:t xml:space="preserve">. See also ASI </w:t>
      </w:r>
      <w:r w:rsidRPr="006D5E58">
        <w:t>(2008).</w:t>
      </w:r>
    </w:p>
  </w:footnote>
  <w:footnote w:id="58">
    <w:p w14:paraId="6A1521E3" w14:textId="52E1D117" w:rsidR="00D56EAC" w:rsidRDefault="00D56EAC" w:rsidP="00F97AAF">
      <w:pPr>
        <w:pStyle w:val="FootnoteText"/>
      </w:pPr>
      <w:r>
        <w:rPr>
          <w:rStyle w:val="FootnoteReference"/>
        </w:rPr>
        <w:footnoteRef/>
      </w:r>
      <w:r>
        <w:t xml:space="preserve"> See, for example, </w:t>
      </w:r>
      <w:hyperlink r:id="rId17" w:history="1">
        <w:r w:rsidRPr="00C037B8">
          <w:rPr>
            <w:rStyle w:val="Hyperlink"/>
          </w:rPr>
          <w:t>http://www.cnn.com/2011/10/30/world/africa/south-sudan-attack/</w:t>
        </w:r>
      </w:hyperlink>
      <w:r>
        <w:t xml:space="preserve">. </w:t>
      </w:r>
    </w:p>
  </w:footnote>
  <w:footnote w:id="59">
    <w:p w14:paraId="777F1D88" w14:textId="79C1FA9D" w:rsidR="00D56EAC" w:rsidRDefault="00D56EAC" w:rsidP="00F97AAF">
      <w:pPr>
        <w:pStyle w:val="FootnoteText"/>
      </w:pPr>
      <w:r>
        <w:rPr>
          <w:rStyle w:val="FootnoteReference"/>
        </w:rPr>
        <w:footnoteRef/>
      </w:r>
      <w:r>
        <w:t xml:space="preserve"> Currently, the system functioning in most MDAs and at the subnational levels is the so-called SSEPS I which is a basic, Excel-based system. The government is seeking to develop a more advanced system that will register further information and provide stronger controls (‘SSEPS II’). </w:t>
      </w:r>
    </w:p>
  </w:footnote>
  <w:footnote w:id="60">
    <w:p w14:paraId="3A3A24E6" w14:textId="14E2E16D" w:rsidR="00D56EAC" w:rsidRDefault="00D56EAC" w:rsidP="00F97AAF">
      <w:pPr>
        <w:pStyle w:val="FootnoteText"/>
      </w:pPr>
      <w:r>
        <w:rPr>
          <w:rStyle w:val="FootnoteReference"/>
        </w:rPr>
        <w:footnoteRef/>
      </w:r>
      <w:r>
        <w:t xml:space="preserve"> </w:t>
      </w:r>
      <w:hyperlink r:id="rId18" w:history="1">
        <w:r w:rsidRPr="00BA6A73">
          <w:rPr>
            <w:rStyle w:val="Hyperlink"/>
          </w:rPr>
          <w:t>http://www.acdi-cida.gc.ca/cidaweb%5Ccpo.nsf/projEn/A034576001</w:t>
        </w:r>
      </w:hyperlink>
      <w:r>
        <w:t xml:space="preserve">. </w:t>
      </w:r>
      <w:r w:rsidRPr="008B5467">
        <w:rPr>
          <w:rFonts w:ascii="Verdana" w:hAnsi="Verdana"/>
          <w:color w:val="000000"/>
          <w:sz w:val="16"/>
          <w:szCs w:val="19"/>
        </w:rPr>
        <w:t>On the execution side, the system was initially implemented by Booz and Company (April 2010</w:t>
      </w:r>
      <w:r>
        <w:rPr>
          <w:rFonts w:ascii="Verdana" w:hAnsi="Verdana"/>
          <w:color w:val="000000"/>
          <w:sz w:val="16"/>
          <w:szCs w:val="19"/>
        </w:rPr>
        <w:t>–</w:t>
      </w:r>
      <w:r w:rsidRPr="008B5467">
        <w:rPr>
          <w:rFonts w:ascii="Verdana" w:hAnsi="Verdana"/>
          <w:color w:val="000000"/>
          <w:sz w:val="16"/>
          <w:szCs w:val="19"/>
        </w:rPr>
        <w:t>August 2011), then Charlie Goldsmith (August 2011</w:t>
      </w:r>
      <w:r>
        <w:rPr>
          <w:rFonts w:ascii="Verdana" w:hAnsi="Verdana"/>
          <w:color w:val="000000"/>
          <w:sz w:val="16"/>
          <w:szCs w:val="19"/>
        </w:rPr>
        <w:t>–</w:t>
      </w:r>
      <w:r w:rsidRPr="008B5467">
        <w:rPr>
          <w:rFonts w:ascii="Verdana" w:hAnsi="Verdana"/>
          <w:color w:val="000000"/>
          <w:sz w:val="16"/>
          <w:szCs w:val="19"/>
        </w:rPr>
        <w:t>June 2012)</w:t>
      </w:r>
      <w:r>
        <w:rPr>
          <w:rFonts w:ascii="Verdana" w:hAnsi="Verdana"/>
          <w:color w:val="000000"/>
          <w:sz w:val="16"/>
          <w:szCs w:val="19"/>
        </w:rPr>
        <w:t>,</w:t>
      </w:r>
      <w:r w:rsidRPr="008B5467">
        <w:rPr>
          <w:rFonts w:ascii="Verdana" w:hAnsi="Verdana"/>
          <w:color w:val="000000"/>
          <w:sz w:val="16"/>
          <w:szCs w:val="19"/>
        </w:rPr>
        <w:t xml:space="preserve"> and subsequently by HTSPE (June 2012</w:t>
      </w:r>
      <w:r>
        <w:rPr>
          <w:rFonts w:ascii="Verdana" w:hAnsi="Verdana"/>
          <w:color w:val="000000"/>
          <w:sz w:val="16"/>
          <w:szCs w:val="19"/>
        </w:rPr>
        <w:t>–</w:t>
      </w:r>
      <w:r w:rsidRPr="008B5467">
        <w:rPr>
          <w:rFonts w:ascii="Verdana" w:hAnsi="Verdana"/>
          <w:color w:val="000000"/>
          <w:sz w:val="16"/>
          <w:szCs w:val="19"/>
        </w:rPr>
        <w:t>January 2014).</w:t>
      </w:r>
    </w:p>
  </w:footnote>
  <w:footnote w:id="61">
    <w:p w14:paraId="63A6701B" w14:textId="677385F3" w:rsidR="00D56EAC" w:rsidRPr="00FA44D3" w:rsidRDefault="00D56EAC" w:rsidP="00F97AAF">
      <w:pPr>
        <w:autoSpaceDE w:val="0"/>
        <w:autoSpaceDN w:val="0"/>
        <w:adjustRightInd w:val="0"/>
        <w:spacing w:after="0"/>
        <w:jc w:val="both"/>
        <w:rPr>
          <w:sz w:val="18"/>
        </w:rPr>
      </w:pPr>
      <w:r w:rsidRPr="00082778">
        <w:rPr>
          <w:rStyle w:val="FootnoteReference"/>
          <w:sz w:val="18"/>
        </w:rPr>
        <w:footnoteRef/>
      </w:r>
      <w:r w:rsidRPr="00082778">
        <w:rPr>
          <w:sz w:val="18"/>
        </w:rPr>
        <w:t xml:space="preserve"> The basic operation of SSEPS I continued, but the expected rollout of t</w:t>
      </w:r>
      <w:r>
        <w:rPr>
          <w:sz w:val="18"/>
        </w:rPr>
        <w:t>he upgraded SSEPS II stopped.</w:t>
      </w:r>
    </w:p>
  </w:footnote>
  <w:footnote w:id="62">
    <w:p w14:paraId="0327B2E0" w14:textId="55E6A8AC" w:rsidR="00D56EAC" w:rsidRDefault="00D56EAC" w:rsidP="00F97AAF">
      <w:pPr>
        <w:pStyle w:val="FootnoteText"/>
      </w:pPr>
      <w:r>
        <w:rPr>
          <w:rStyle w:val="FootnoteReference"/>
        </w:rPr>
        <w:footnoteRef/>
      </w:r>
      <w:r>
        <w:t xml:space="preserve"> See </w:t>
      </w:r>
      <w:hyperlink r:id="rId19" w:history="1">
        <w:r w:rsidRPr="00C037B8">
          <w:rPr>
            <w:rStyle w:val="Hyperlink"/>
          </w:rPr>
          <w:t>http://www.sudantribune.com/IMG/pdf/agreement_on_post_service_benefits_sudan_south_s0001-2.pdf</w:t>
        </w:r>
      </w:hyperlink>
      <w:r>
        <w:t xml:space="preserve">. </w:t>
      </w:r>
    </w:p>
  </w:footnote>
  <w:footnote w:id="63">
    <w:p w14:paraId="2505E08B" w14:textId="77777777" w:rsidR="00D56EAC" w:rsidRDefault="00D56EAC" w:rsidP="00F97AAF">
      <w:pPr>
        <w:pStyle w:val="FootnoteText"/>
      </w:pPr>
      <w:r>
        <w:rPr>
          <w:rStyle w:val="FootnoteReference"/>
        </w:rPr>
        <w:footnoteRef/>
      </w:r>
      <w:r>
        <w:t xml:space="preserve"> Now the Ministry of Public Service and Human Resource Development. </w:t>
      </w:r>
    </w:p>
  </w:footnote>
  <w:footnote w:id="64">
    <w:p w14:paraId="5515D780" w14:textId="43734E3C" w:rsidR="00D56EAC" w:rsidRDefault="00D56EAC" w:rsidP="00F97AAF">
      <w:pPr>
        <w:spacing w:after="0" w:line="240" w:lineRule="auto"/>
        <w:jc w:val="both"/>
      </w:pPr>
      <w:r>
        <w:rPr>
          <w:rStyle w:val="FootnoteReference"/>
        </w:rPr>
        <w:footnoteRef/>
      </w:r>
      <w:r>
        <w:t xml:space="preserve"> </w:t>
      </w:r>
      <w:r w:rsidRPr="001222F5">
        <w:rPr>
          <w:sz w:val="20"/>
          <w:szCs w:val="20"/>
        </w:rPr>
        <w:t xml:space="preserve">Data is not available for other years. </w:t>
      </w:r>
      <w:r w:rsidRPr="008B375F">
        <w:rPr>
          <w:sz w:val="20"/>
          <w:szCs w:val="20"/>
          <w:lang w:val="fr-FR"/>
        </w:rPr>
        <w:t xml:space="preserve">Source: </w:t>
      </w:r>
      <w:hyperlink r:id="rId20" w:history="1">
        <w:r w:rsidRPr="008B375F">
          <w:rPr>
            <w:rStyle w:val="Hyperlink"/>
            <w:sz w:val="20"/>
            <w:szCs w:val="20"/>
            <w:lang w:val="fr-FR"/>
          </w:rPr>
          <w:t>http://stats.oecd.org/</w:t>
        </w:r>
      </w:hyperlink>
      <w:r w:rsidRPr="008B375F">
        <w:rPr>
          <w:sz w:val="20"/>
          <w:szCs w:val="20"/>
          <w:lang w:val="fr-FR"/>
        </w:rPr>
        <w:t xml:space="preserve">. </w:t>
      </w:r>
      <w:r w:rsidRPr="001222F5">
        <w:rPr>
          <w:sz w:val="20"/>
          <w:szCs w:val="20"/>
        </w:rPr>
        <w:t>The G</w:t>
      </w:r>
      <w:r>
        <w:rPr>
          <w:sz w:val="20"/>
          <w:szCs w:val="20"/>
        </w:rPr>
        <w:t>O</w:t>
      </w:r>
      <w:r w:rsidRPr="001222F5">
        <w:rPr>
          <w:sz w:val="20"/>
          <w:szCs w:val="20"/>
        </w:rPr>
        <w:t xml:space="preserve">SS </w:t>
      </w:r>
      <w:r>
        <w:rPr>
          <w:sz w:val="20"/>
          <w:szCs w:val="20"/>
        </w:rPr>
        <w:t>d</w:t>
      </w:r>
      <w:r w:rsidRPr="001222F5">
        <w:rPr>
          <w:sz w:val="20"/>
          <w:szCs w:val="20"/>
        </w:rPr>
        <w:t xml:space="preserve">onor book: </w:t>
      </w:r>
      <w:r>
        <w:rPr>
          <w:sz w:val="20"/>
          <w:szCs w:val="20"/>
        </w:rPr>
        <w:t>US$</w:t>
      </w:r>
      <w:r w:rsidRPr="001222F5">
        <w:rPr>
          <w:sz w:val="20"/>
          <w:szCs w:val="20"/>
        </w:rPr>
        <w:t xml:space="preserve">68 </w:t>
      </w:r>
      <w:r>
        <w:rPr>
          <w:sz w:val="20"/>
          <w:szCs w:val="20"/>
        </w:rPr>
        <w:t xml:space="preserve">million </w:t>
      </w:r>
      <w:r w:rsidRPr="001222F5">
        <w:rPr>
          <w:sz w:val="20"/>
          <w:szCs w:val="20"/>
        </w:rPr>
        <w:t xml:space="preserve">and </w:t>
      </w:r>
      <w:r>
        <w:rPr>
          <w:sz w:val="20"/>
          <w:szCs w:val="20"/>
        </w:rPr>
        <w:t>US$</w:t>
      </w:r>
      <w:r w:rsidRPr="001222F5">
        <w:rPr>
          <w:sz w:val="20"/>
          <w:szCs w:val="20"/>
        </w:rPr>
        <w:t>69</w:t>
      </w:r>
      <w:r>
        <w:rPr>
          <w:sz w:val="20"/>
          <w:szCs w:val="20"/>
        </w:rPr>
        <w:t xml:space="preserve"> </w:t>
      </w:r>
      <w:r w:rsidRPr="001222F5">
        <w:rPr>
          <w:sz w:val="20"/>
          <w:szCs w:val="20"/>
        </w:rPr>
        <w:t>m</w:t>
      </w:r>
      <w:r>
        <w:rPr>
          <w:sz w:val="20"/>
          <w:szCs w:val="20"/>
        </w:rPr>
        <w:t>illion</w:t>
      </w:r>
      <w:r w:rsidRPr="001222F5">
        <w:rPr>
          <w:sz w:val="20"/>
          <w:szCs w:val="20"/>
        </w:rPr>
        <w:t xml:space="preserve"> for 2011 and 2012/13 as commitments, and </w:t>
      </w:r>
      <w:r>
        <w:rPr>
          <w:sz w:val="20"/>
          <w:szCs w:val="20"/>
        </w:rPr>
        <w:t>US$</w:t>
      </w:r>
      <w:r w:rsidRPr="001222F5">
        <w:rPr>
          <w:sz w:val="20"/>
          <w:szCs w:val="20"/>
        </w:rPr>
        <w:t xml:space="preserve">36 </w:t>
      </w:r>
      <w:r>
        <w:rPr>
          <w:sz w:val="20"/>
          <w:szCs w:val="20"/>
        </w:rPr>
        <w:t xml:space="preserve">million </w:t>
      </w:r>
      <w:r w:rsidRPr="001222F5">
        <w:rPr>
          <w:sz w:val="20"/>
          <w:szCs w:val="20"/>
        </w:rPr>
        <w:t xml:space="preserve">and </w:t>
      </w:r>
      <w:r>
        <w:rPr>
          <w:sz w:val="20"/>
          <w:szCs w:val="20"/>
        </w:rPr>
        <w:t>US$</w:t>
      </w:r>
      <w:r w:rsidRPr="001222F5">
        <w:rPr>
          <w:sz w:val="20"/>
          <w:szCs w:val="20"/>
        </w:rPr>
        <w:t>39</w:t>
      </w:r>
      <w:r>
        <w:rPr>
          <w:sz w:val="20"/>
          <w:szCs w:val="20"/>
        </w:rPr>
        <w:t xml:space="preserve"> </w:t>
      </w:r>
      <w:r w:rsidRPr="001222F5">
        <w:rPr>
          <w:sz w:val="20"/>
          <w:szCs w:val="20"/>
        </w:rPr>
        <w:t>m</w:t>
      </w:r>
      <w:r>
        <w:rPr>
          <w:sz w:val="20"/>
          <w:szCs w:val="20"/>
        </w:rPr>
        <w:t>illion</w:t>
      </w:r>
      <w:r w:rsidRPr="001222F5">
        <w:rPr>
          <w:sz w:val="20"/>
          <w:szCs w:val="20"/>
        </w:rPr>
        <w:t xml:space="preserve"> as disbursements for public administration; and additional funds spent on ‘accountability’ functions, economic functions, and rule of law. The 2004</w:t>
      </w:r>
      <w:r>
        <w:rPr>
          <w:sz w:val="20"/>
          <w:szCs w:val="20"/>
        </w:rPr>
        <w:t>–</w:t>
      </w:r>
      <w:r w:rsidRPr="001222F5">
        <w:rPr>
          <w:sz w:val="20"/>
          <w:szCs w:val="20"/>
        </w:rPr>
        <w:t>05 Joint Assessment Mission had estimated a financing need for capacity building and institutional development of US</w:t>
      </w:r>
      <w:r>
        <w:rPr>
          <w:sz w:val="20"/>
          <w:szCs w:val="20"/>
        </w:rPr>
        <w:t>$1.6 billion</w:t>
      </w:r>
      <w:r w:rsidRPr="001222F5">
        <w:rPr>
          <w:sz w:val="20"/>
          <w:szCs w:val="20"/>
        </w:rPr>
        <w:t xml:space="preserve"> in total for the period of 2005 to 2011; of this, US</w:t>
      </w:r>
      <w:r>
        <w:rPr>
          <w:sz w:val="20"/>
          <w:szCs w:val="20"/>
        </w:rPr>
        <w:t xml:space="preserve">$337 </w:t>
      </w:r>
      <w:r w:rsidRPr="001222F5">
        <w:rPr>
          <w:sz w:val="20"/>
          <w:szCs w:val="20"/>
        </w:rPr>
        <w:t>m</w:t>
      </w:r>
      <w:r>
        <w:rPr>
          <w:sz w:val="20"/>
          <w:szCs w:val="20"/>
        </w:rPr>
        <w:t>illion</w:t>
      </w:r>
      <w:r w:rsidRPr="001222F5">
        <w:rPr>
          <w:sz w:val="20"/>
          <w:szCs w:val="20"/>
        </w:rPr>
        <w:t xml:space="preserve"> were seen as needed for public service reforms (and US</w:t>
      </w:r>
      <w:r>
        <w:rPr>
          <w:sz w:val="20"/>
          <w:szCs w:val="20"/>
        </w:rPr>
        <w:t xml:space="preserve">$54 </w:t>
      </w:r>
      <w:r w:rsidRPr="001222F5">
        <w:rPr>
          <w:sz w:val="20"/>
          <w:szCs w:val="20"/>
        </w:rPr>
        <w:t>m</w:t>
      </w:r>
      <w:r>
        <w:rPr>
          <w:sz w:val="20"/>
          <w:szCs w:val="20"/>
        </w:rPr>
        <w:t>illion</w:t>
      </w:r>
      <w:r w:rsidRPr="001222F5">
        <w:rPr>
          <w:sz w:val="20"/>
          <w:szCs w:val="20"/>
        </w:rPr>
        <w:t xml:space="preserve"> for PFM reforms); </w:t>
      </w:r>
      <w:r>
        <w:rPr>
          <w:sz w:val="20"/>
          <w:szCs w:val="20"/>
        </w:rPr>
        <w:t>with the bulk of the funding for decentralization and local government (1.2 billion); out of a total envelope of 8.3 billion of anticipated needs.</w:t>
      </w:r>
    </w:p>
  </w:footnote>
  <w:footnote w:id="65">
    <w:p w14:paraId="41F93193" w14:textId="7A869C14" w:rsidR="00D56EAC" w:rsidRDefault="00D56EAC" w:rsidP="00F97AAF">
      <w:pPr>
        <w:pStyle w:val="FootnoteText"/>
      </w:pPr>
      <w:r>
        <w:rPr>
          <w:rStyle w:val="FootnoteReference"/>
        </w:rPr>
        <w:footnoteRef/>
      </w:r>
      <w:r>
        <w:t xml:space="preserve"> See USAID 2010, Annexes VI–VIII. </w:t>
      </w:r>
    </w:p>
  </w:footnote>
  <w:footnote w:id="66">
    <w:p w14:paraId="63B201FB" w14:textId="4C2A5134" w:rsidR="00D56EAC" w:rsidRDefault="00D56EAC" w:rsidP="00F97AAF">
      <w:pPr>
        <w:pStyle w:val="FootnoteText"/>
      </w:pPr>
      <w:r>
        <w:rPr>
          <w:rStyle w:val="FootnoteReference"/>
        </w:rPr>
        <w:footnoteRef/>
      </w:r>
      <w:r>
        <w:t xml:space="preserve"> See </w:t>
      </w:r>
      <w:hyperlink r:id="rId21" w:history="1">
        <w:r w:rsidRPr="006E3DD3">
          <w:rPr>
            <w:rStyle w:val="Hyperlink"/>
          </w:rPr>
          <w:t>http://devtracker.dfid.gov.uk/countries/SS/projects/</w:t>
        </w:r>
      </w:hyperlink>
      <w:r>
        <w:t xml:space="preserve">. </w:t>
      </w:r>
    </w:p>
  </w:footnote>
  <w:footnote w:id="67">
    <w:p w14:paraId="70077CBD" w14:textId="23EDD7EB" w:rsidR="00D56EAC" w:rsidRDefault="00D56EAC" w:rsidP="00F97AAF">
      <w:pPr>
        <w:pStyle w:val="FootnoteText"/>
      </w:pPr>
      <w:r>
        <w:rPr>
          <w:rStyle w:val="FootnoteReference"/>
        </w:rPr>
        <w:footnoteRef/>
      </w:r>
      <w:r>
        <w:t xml:space="preserve"> SKILLS was founded by South Sudanese refugees in Oxford, United Kingdom in 1995.</w:t>
      </w:r>
    </w:p>
  </w:footnote>
  <w:footnote w:id="68">
    <w:p w14:paraId="6A494E3A" w14:textId="53C66E15" w:rsidR="00D56EAC" w:rsidRDefault="00D56EAC" w:rsidP="00F97AAF">
      <w:pPr>
        <w:pStyle w:val="FootnoteText"/>
      </w:pPr>
      <w:r>
        <w:rPr>
          <w:rStyle w:val="FootnoteReference"/>
        </w:rPr>
        <w:footnoteRef/>
      </w:r>
      <w:r>
        <w:t xml:space="preserve"> See </w:t>
      </w:r>
      <w:hyperlink r:id="rId22" w:history="1">
        <w:r w:rsidRPr="006E3DD3">
          <w:rPr>
            <w:rStyle w:val="Hyperlink"/>
          </w:rPr>
          <w:t>http://subweb.diis.dk/graphics/Publications/Policybriefs%202011/PB-Civil-Servant-South-Sudan_web.pdf</w:t>
        </w:r>
      </w:hyperlink>
      <w:r>
        <w:t>.</w:t>
      </w:r>
    </w:p>
  </w:footnote>
  <w:footnote w:id="69">
    <w:p w14:paraId="6B4F3D89" w14:textId="77777777" w:rsidR="00D56EAC" w:rsidRDefault="00D56EAC" w:rsidP="00F97AAF">
      <w:pPr>
        <w:pStyle w:val="FootnoteText"/>
      </w:pPr>
      <w:r>
        <w:rPr>
          <w:rStyle w:val="FootnoteReference"/>
        </w:rPr>
        <w:footnoteRef/>
      </w:r>
      <w:r>
        <w:t xml:space="preserve"> </w:t>
      </w:r>
      <w:r w:rsidRPr="00672D2A">
        <w:t>http://www.acdi-cida.gc.ca/cidaweb%5Ccpo.nsf/projEn/A034995001</w:t>
      </w:r>
      <w:r>
        <w:t>.</w:t>
      </w:r>
    </w:p>
  </w:footnote>
  <w:footnote w:id="70">
    <w:p w14:paraId="59F89ACB" w14:textId="5F0C42DF" w:rsidR="00D56EAC" w:rsidRDefault="00D56EAC" w:rsidP="00F97AAF">
      <w:pPr>
        <w:pStyle w:val="FootnoteText"/>
      </w:pPr>
      <w:r>
        <w:rPr>
          <w:rStyle w:val="FootnoteReference"/>
        </w:rPr>
        <w:footnoteRef/>
      </w:r>
      <w:r>
        <w:t xml:space="preserve"> See </w:t>
      </w:r>
      <w:hyperlink r:id="rId23" w:history="1">
        <w:r w:rsidRPr="00422DAF">
          <w:rPr>
            <w:rStyle w:val="Hyperlink"/>
          </w:rPr>
          <w:t>http://www.un.org/en/ecosoc/julyhls/pdf12/south_sudan_au_brochure.pdf</w:t>
        </w:r>
      </w:hyperlink>
      <w:r>
        <w:t xml:space="preserve">. </w:t>
      </w:r>
    </w:p>
  </w:footnote>
  <w:footnote w:id="71">
    <w:p w14:paraId="3157387C" w14:textId="4DDDCBD5" w:rsidR="00D56EAC" w:rsidRDefault="00D56EAC" w:rsidP="00F97AAF">
      <w:pPr>
        <w:pStyle w:val="FootnoteText"/>
      </w:pPr>
      <w:r>
        <w:rPr>
          <w:rStyle w:val="FootnoteReference"/>
        </w:rPr>
        <w:footnoteRef/>
      </w:r>
      <w:r>
        <w:t xml:space="preserve"> The study roughly covers the period 2005–2010. </w:t>
      </w:r>
    </w:p>
  </w:footnote>
  <w:footnote w:id="72">
    <w:p w14:paraId="7A1EC59C" w14:textId="0311E252" w:rsidR="00D56EAC" w:rsidRDefault="00D56EAC" w:rsidP="00F97AAF">
      <w:pPr>
        <w:pStyle w:val="FootnoteText"/>
      </w:pPr>
      <w:r>
        <w:rPr>
          <w:rStyle w:val="FootnoteReference"/>
        </w:rPr>
        <w:footnoteRef/>
      </w:r>
      <w:r>
        <w:t xml:space="preserve"> Led by Priscilla Nyangyang Kuch, minister without portfolio. See </w:t>
      </w:r>
      <w:hyperlink r:id="rId24" w:history="1">
        <w:r w:rsidRPr="00422DAF">
          <w:rPr>
            <w:rStyle w:val="Hyperlink"/>
          </w:rPr>
          <w:t>http://www.newsudanvision.com/sudan/2368-south-sudans-minister-without-portfolio-committed-to-lean-and-effective-government</w:t>
        </w:r>
      </w:hyperlink>
      <w:r>
        <w:t xml:space="preserve">. </w:t>
      </w:r>
    </w:p>
  </w:footnote>
  <w:footnote w:id="73">
    <w:p w14:paraId="098FE657" w14:textId="7F6D6D06" w:rsidR="00D56EAC" w:rsidRDefault="00D56EAC" w:rsidP="00F97AAF">
      <w:pPr>
        <w:pStyle w:val="FootnoteText"/>
      </w:pPr>
      <w:r>
        <w:rPr>
          <w:rStyle w:val="FootnoteReference"/>
        </w:rPr>
        <w:footnoteRef/>
      </w:r>
      <w:r>
        <w:t xml:space="preserve"> The hiring freeze was not uniformly observed or enforced; for example, additional militia were brought into the army and other armed forces in 2012 and 2013, as noted in section 5.3. However, national ministries and others put hiring on hold.</w:t>
      </w:r>
    </w:p>
  </w:footnote>
  <w:footnote w:id="74">
    <w:p w14:paraId="707FD84A" w14:textId="4AC2A5E5" w:rsidR="00D56EAC" w:rsidRDefault="00D56EAC" w:rsidP="00A56EDD">
      <w:pPr>
        <w:pStyle w:val="FootnoteText"/>
      </w:pPr>
      <w:r>
        <w:rPr>
          <w:rStyle w:val="FootnoteReference"/>
        </w:rPr>
        <w:footnoteRef/>
      </w:r>
      <w:r>
        <w:t xml:space="preserve"> Assumed population sizes for 2012 are 4.19 million in Liberia, 29.82 million in Afghanistan, and 10.84 million in South Sudan; Bank data. </w:t>
      </w:r>
    </w:p>
  </w:footnote>
  <w:footnote w:id="75">
    <w:p w14:paraId="7399826B" w14:textId="2863210D" w:rsidR="00D56EAC" w:rsidRDefault="00D56EAC" w:rsidP="00A56EDD">
      <w:pPr>
        <w:pStyle w:val="FootnoteText"/>
      </w:pPr>
      <w:r>
        <w:rPr>
          <w:rStyle w:val="FootnoteReference"/>
        </w:rPr>
        <w:footnoteRef/>
      </w:r>
      <w:r>
        <w:t xml:space="preserve"> Using 2011 GDP figures. In South Sudan, measured GDP contracted by nearly 50 percent between 2011 and 2012 due to the shutdown in oil production. </w:t>
      </w:r>
    </w:p>
  </w:footnote>
  <w:footnote w:id="76">
    <w:p w14:paraId="5AFCFB71" w14:textId="6B5CCBB4" w:rsidR="00D56EAC" w:rsidRPr="005636F5" w:rsidRDefault="00D56EAC" w:rsidP="005636F5">
      <w:pPr>
        <w:pStyle w:val="Default"/>
        <w:rPr>
          <w:rFonts w:ascii="Calibri" w:hAnsi="Calibri" w:cs="Calibri"/>
        </w:rPr>
      </w:pPr>
      <w:r w:rsidRPr="00673C01">
        <w:rPr>
          <w:rStyle w:val="FootnoteReference"/>
          <w:rFonts w:asciiTheme="minorHAnsi" w:hAnsiTheme="minorHAnsi" w:cstheme="minorBidi"/>
          <w:color w:val="auto"/>
          <w:sz w:val="20"/>
          <w:szCs w:val="20"/>
        </w:rPr>
        <w:footnoteRef/>
      </w:r>
      <w:r>
        <w:t xml:space="preserve"> </w:t>
      </w:r>
      <w:r w:rsidRPr="00673C01">
        <w:rPr>
          <w:rFonts w:asciiTheme="minorHAnsi" w:hAnsiTheme="minorHAnsi" w:cstheme="minorBidi"/>
          <w:color w:val="auto"/>
          <w:sz w:val="20"/>
          <w:szCs w:val="20"/>
        </w:rPr>
        <w:t>For the survey, a total of 2</w:t>
      </w:r>
      <w:r>
        <w:rPr>
          <w:rFonts w:asciiTheme="minorHAnsi" w:hAnsiTheme="minorHAnsi" w:cstheme="minorBidi"/>
          <w:color w:val="auto"/>
          <w:sz w:val="20"/>
          <w:szCs w:val="20"/>
        </w:rPr>
        <w:t>,</w:t>
      </w:r>
      <w:r w:rsidRPr="00673C01">
        <w:rPr>
          <w:rFonts w:asciiTheme="minorHAnsi" w:hAnsiTheme="minorHAnsi" w:cstheme="minorBidi"/>
          <w:color w:val="auto"/>
          <w:sz w:val="20"/>
          <w:szCs w:val="20"/>
        </w:rPr>
        <w:t>533 responses were collected from all 10 states, employing a probability proportional to size sampling methodology.</w:t>
      </w:r>
    </w:p>
  </w:footnote>
  <w:footnote w:id="77">
    <w:p w14:paraId="3646F86A" w14:textId="31359409" w:rsidR="00D56EAC" w:rsidRDefault="00D56EAC" w:rsidP="00A56EDD">
      <w:pPr>
        <w:pStyle w:val="FootnoteText"/>
      </w:pPr>
      <w:r w:rsidRPr="005F25F3">
        <w:rPr>
          <w:rStyle w:val="FootnoteReference"/>
          <w:color w:val="000000" w:themeColor="text1"/>
        </w:rPr>
        <w:footnoteRef/>
      </w:r>
      <w:r w:rsidRPr="005F25F3">
        <w:rPr>
          <w:color w:val="000000" w:themeColor="text1"/>
        </w:rPr>
        <w:t xml:space="preserve"> Production remained below full potential in 2012</w:t>
      </w:r>
      <w:r>
        <w:rPr>
          <w:color w:val="000000" w:themeColor="text1"/>
        </w:rPr>
        <w:t>–</w:t>
      </w:r>
      <w:r w:rsidRPr="005F25F3">
        <w:rPr>
          <w:color w:val="000000" w:themeColor="text1"/>
        </w:rPr>
        <w:t xml:space="preserve">2014 due to the oil shutdown and the conflict; but borrowing increased, which will be directly or indirectly repaid through future production. Fundamentally, fiscal revenue from the oil sector will shrink significantly in less than a decade unless new production is developed. </w:t>
      </w:r>
    </w:p>
  </w:footnote>
  <w:footnote w:id="78">
    <w:p w14:paraId="5BB4D698" w14:textId="12E67873" w:rsidR="00D56EAC" w:rsidRDefault="00D56EAC" w:rsidP="00A56EDD">
      <w:pPr>
        <w:pStyle w:val="FootnoteText"/>
      </w:pPr>
      <w:r>
        <w:rPr>
          <w:rStyle w:val="FootnoteReference"/>
        </w:rPr>
        <w:footnoteRef/>
      </w:r>
      <w:r>
        <w:t xml:space="preserve"> For the time being, the problem is ‘suspended’ as a large volume of the security staff have joined the rebel forces and hence are no longer being paid by government. But based on past practices, many would be expected to be reintegrated as part of a renewed settlement. </w:t>
      </w:r>
    </w:p>
  </w:footnote>
  <w:footnote w:id="79">
    <w:p w14:paraId="43996820" w14:textId="40448001" w:rsidR="00D56EAC" w:rsidRDefault="00D56EAC" w:rsidP="00A56EDD">
      <w:pPr>
        <w:pStyle w:val="FootnoteText"/>
      </w:pPr>
      <w:r>
        <w:rPr>
          <w:rStyle w:val="FootnoteReference"/>
        </w:rPr>
        <w:footnoteRef/>
      </w:r>
      <w:r>
        <w:t xml:space="preserve"> Cash transfers could be provided only to demobilize SPLA members—but such targeting would be relatively unfair to other citizens. In contrast, if cash transfers are targeted to all families below a chosen poverty line, the fiscal cost will be very large.</w:t>
      </w:r>
    </w:p>
  </w:footnote>
  <w:footnote w:id="80">
    <w:p w14:paraId="6F3C6478" w14:textId="749467C3" w:rsidR="00D56EAC" w:rsidRDefault="00D56EAC" w:rsidP="00A56EDD">
      <w:pPr>
        <w:pStyle w:val="FootnoteText"/>
      </w:pPr>
      <w:r>
        <w:rPr>
          <w:rStyle w:val="FootnoteReference"/>
        </w:rPr>
        <w:footnoteRef/>
      </w:r>
      <w:r>
        <w:t xml:space="preserve"> For example, Sierra Leone created a quota of 30 percent of all government employees to be women. See </w:t>
      </w:r>
      <w:hyperlink r:id="rId25" w:history="1">
        <w:r w:rsidRPr="003634CD">
          <w:rPr>
            <w:rStyle w:val="Hyperlink"/>
          </w:rPr>
          <w:t>http://www.statehouse.gov.sl/index.php/component/content/article/34-news-articles/561-sierra-leone-government-presidential-address-delivered-by-his-excellency-the-president-dr-ernest-bai-koroma-gcrsl-president-of-the-republic-and-commander-in-chief-of-the-republic-of-sierra-leone-armed-forces-on-the-occasion-of-the-end-of-the-fi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A7179F"/>
    <w:multiLevelType w:val="hybridMultilevel"/>
    <w:tmpl w:val="E4820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14795D"/>
    <w:multiLevelType w:val="hybridMultilevel"/>
    <w:tmpl w:val="87AC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F589F"/>
    <w:multiLevelType w:val="hybridMultilevel"/>
    <w:tmpl w:val="CE8A1130"/>
    <w:lvl w:ilvl="0" w:tplc="99003CFE">
      <w:start w:val="1"/>
      <w:numFmt w:val="bullet"/>
      <w:pStyle w:val="LB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B407E"/>
    <w:multiLevelType w:val="hybridMultilevel"/>
    <w:tmpl w:val="993285DC"/>
    <w:lvl w:ilvl="0" w:tplc="0CE6436C">
      <w:start w:val="1"/>
      <w:numFmt w:val="lowerLetter"/>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B35FB"/>
    <w:multiLevelType w:val="hybridMultilevel"/>
    <w:tmpl w:val="14A2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245B6D"/>
    <w:multiLevelType w:val="hybridMultilevel"/>
    <w:tmpl w:val="14CA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D148F7"/>
    <w:multiLevelType w:val="hybridMultilevel"/>
    <w:tmpl w:val="679AE730"/>
    <w:lvl w:ilvl="0" w:tplc="5EA43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C26633"/>
    <w:multiLevelType w:val="hybridMultilevel"/>
    <w:tmpl w:val="17DCD81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2AC57F6E"/>
    <w:multiLevelType w:val="hybridMultilevel"/>
    <w:tmpl w:val="C718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034C2"/>
    <w:multiLevelType w:val="hybridMultilevel"/>
    <w:tmpl w:val="7F520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A24BF8"/>
    <w:multiLevelType w:val="hybridMultilevel"/>
    <w:tmpl w:val="4F9EF3D4"/>
    <w:lvl w:ilvl="0" w:tplc="271A78A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C35425"/>
    <w:multiLevelType w:val="hybridMultilevel"/>
    <w:tmpl w:val="D44E66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E0570D"/>
    <w:multiLevelType w:val="hybridMultilevel"/>
    <w:tmpl w:val="01A0B302"/>
    <w:lvl w:ilvl="0" w:tplc="271A78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A610E"/>
    <w:multiLevelType w:val="hybridMultilevel"/>
    <w:tmpl w:val="47D89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151D98"/>
    <w:multiLevelType w:val="hybridMultilevel"/>
    <w:tmpl w:val="334A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683FD3"/>
    <w:multiLevelType w:val="hybridMultilevel"/>
    <w:tmpl w:val="8CF4D860"/>
    <w:lvl w:ilvl="0" w:tplc="271A78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571833"/>
    <w:multiLevelType w:val="hybridMultilevel"/>
    <w:tmpl w:val="D15C726C"/>
    <w:lvl w:ilvl="0" w:tplc="564C313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FE7E44"/>
    <w:multiLevelType w:val="hybridMultilevel"/>
    <w:tmpl w:val="723A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9F32C1"/>
    <w:multiLevelType w:val="hybridMultilevel"/>
    <w:tmpl w:val="B92093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C41B1A"/>
    <w:multiLevelType w:val="hybridMultilevel"/>
    <w:tmpl w:val="C83C1A60"/>
    <w:lvl w:ilvl="0" w:tplc="620AA1BC">
      <w:start w:val="1"/>
      <w:numFmt w:val="bullet"/>
      <w:lvlText w:val=""/>
      <w:lvlJc w:val="left"/>
      <w:pPr>
        <w:ind w:left="720" w:hanging="360"/>
      </w:pPr>
      <w:rPr>
        <w:rFonts w:ascii="Symbol" w:hAnsi="Symbol" w:hint="default"/>
      </w:rPr>
    </w:lvl>
    <w:lvl w:ilvl="1" w:tplc="40708288" w:tentative="1">
      <w:start w:val="1"/>
      <w:numFmt w:val="bullet"/>
      <w:lvlText w:val="o"/>
      <w:lvlJc w:val="left"/>
      <w:pPr>
        <w:ind w:left="1440" w:hanging="360"/>
      </w:pPr>
      <w:rPr>
        <w:rFonts w:ascii="Courier New" w:hAnsi="Courier New" w:hint="default"/>
      </w:rPr>
    </w:lvl>
    <w:lvl w:ilvl="2" w:tplc="018A752A" w:tentative="1">
      <w:start w:val="1"/>
      <w:numFmt w:val="bullet"/>
      <w:lvlText w:val=""/>
      <w:lvlJc w:val="left"/>
      <w:pPr>
        <w:ind w:left="2160" w:hanging="360"/>
      </w:pPr>
      <w:rPr>
        <w:rFonts w:ascii="Wingdings" w:hAnsi="Wingdings" w:hint="default"/>
      </w:rPr>
    </w:lvl>
    <w:lvl w:ilvl="3" w:tplc="4770E604" w:tentative="1">
      <w:start w:val="1"/>
      <w:numFmt w:val="bullet"/>
      <w:lvlText w:val=""/>
      <w:lvlJc w:val="left"/>
      <w:pPr>
        <w:ind w:left="2880" w:hanging="360"/>
      </w:pPr>
      <w:rPr>
        <w:rFonts w:ascii="Symbol" w:hAnsi="Symbol" w:hint="default"/>
      </w:rPr>
    </w:lvl>
    <w:lvl w:ilvl="4" w:tplc="C8BAFB7C" w:tentative="1">
      <w:start w:val="1"/>
      <w:numFmt w:val="bullet"/>
      <w:lvlText w:val="o"/>
      <w:lvlJc w:val="left"/>
      <w:pPr>
        <w:ind w:left="3600" w:hanging="360"/>
      </w:pPr>
      <w:rPr>
        <w:rFonts w:ascii="Courier New" w:hAnsi="Courier New" w:hint="default"/>
      </w:rPr>
    </w:lvl>
    <w:lvl w:ilvl="5" w:tplc="81D8A9FA" w:tentative="1">
      <w:start w:val="1"/>
      <w:numFmt w:val="bullet"/>
      <w:lvlText w:val=""/>
      <w:lvlJc w:val="left"/>
      <w:pPr>
        <w:ind w:left="4320" w:hanging="360"/>
      </w:pPr>
      <w:rPr>
        <w:rFonts w:ascii="Wingdings" w:hAnsi="Wingdings" w:hint="default"/>
      </w:rPr>
    </w:lvl>
    <w:lvl w:ilvl="6" w:tplc="7DCEA446" w:tentative="1">
      <w:start w:val="1"/>
      <w:numFmt w:val="bullet"/>
      <w:lvlText w:val=""/>
      <w:lvlJc w:val="left"/>
      <w:pPr>
        <w:ind w:left="5040" w:hanging="360"/>
      </w:pPr>
      <w:rPr>
        <w:rFonts w:ascii="Symbol" w:hAnsi="Symbol" w:hint="default"/>
      </w:rPr>
    </w:lvl>
    <w:lvl w:ilvl="7" w:tplc="9C62DE08" w:tentative="1">
      <w:start w:val="1"/>
      <w:numFmt w:val="bullet"/>
      <w:lvlText w:val="o"/>
      <w:lvlJc w:val="left"/>
      <w:pPr>
        <w:ind w:left="5760" w:hanging="360"/>
      </w:pPr>
      <w:rPr>
        <w:rFonts w:ascii="Courier New" w:hAnsi="Courier New" w:hint="default"/>
      </w:rPr>
    </w:lvl>
    <w:lvl w:ilvl="8" w:tplc="6DCCAE66" w:tentative="1">
      <w:start w:val="1"/>
      <w:numFmt w:val="bullet"/>
      <w:lvlText w:val=""/>
      <w:lvlJc w:val="left"/>
      <w:pPr>
        <w:ind w:left="6480" w:hanging="360"/>
      </w:pPr>
      <w:rPr>
        <w:rFonts w:ascii="Wingdings" w:hAnsi="Wingdings" w:hint="default"/>
      </w:rPr>
    </w:lvl>
  </w:abstractNum>
  <w:abstractNum w:abstractNumId="25" w15:restartNumberingAfterBreak="0">
    <w:nsid w:val="4AEB5C40"/>
    <w:multiLevelType w:val="hybridMultilevel"/>
    <w:tmpl w:val="1C4001F0"/>
    <w:lvl w:ilvl="0" w:tplc="9342C166">
      <w:start w:val="200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024434"/>
    <w:multiLevelType w:val="hybridMultilevel"/>
    <w:tmpl w:val="6602B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DC4576"/>
    <w:multiLevelType w:val="hybridMultilevel"/>
    <w:tmpl w:val="8F3EE9F2"/>
    <w:lvl w:ilvl="0" w:tplc="271A78A6">
      <w:start w:val="1"/>
      <w:numFmt w:val="lowerLetter"/>
      <w:lvlText w:val="(%1)"/>
      <w:lvlJc w:val="left"/>
      <w:pPr>
        <w:ind w:left="1080" w:hanging="720"/>
      </w:pPr>
      <w:rPr>
        <w:rFonts w:hint="default"/>
      </w:rPr>
    </w:lvl>
    <w:lvl w:ilvl="1" w:tplc="5EA43116">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8505D1"/>
    <w:multiLevelType w:val="hybridMultilevel"/>
    <w:tmpl w:val="CB88C9DC"/>
    <w:lvl w:ilvl="0" w:tplc="992812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820DCE"/>
    <w:multiLevelType w:val="hybridMultilevel"/>
    <w:tmpl w:val="8ACE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AC20A2"/>
    <w:multiLevelType w:val="hybridMultilevel"/>
    <w:tmpl w:val="49280FBC"/>
    <w:lvl w:ilvl="0" w:tplc="CE229CF8">
      <w:start w:val="1"/>
      <w:numFmt w:val="bullet"/>
      <w:lvlText w:val=""/>
      <w:lvlJc w:val="left"/>
      <w:pPr>
        <w:ind w:left="450" w:hanging="360"/>
      </w:pPr>
      <w:rPr>
        <w:rFonts w:ascii="Symbol" w:hAnsi="Symbol" w:hint="default"/>
      </w:rPr>
    </w:lvl>
    <w:lvl w:ilvl="1" w:tplc="4ABA27CE" w:tentative="1">
      <w:start w:val="1"/>
      <w:numFmt w:val="bullet"/>
      <w:lvlText w:val="o"/>
      <w:lvlJc w:val="left"/>
      <w:pPr>
        <w:ind w:left="1440" w:hanging="360"/>
      </w:pPr>
      <w:rPr>
        <w:rFonts w:ascii="Courier New" w:hAnsi="Courier New" w:hint="default"/>
      </w:rPr>
    </w:lvl>
    <w:lvl w:ilvl="2" w:tplc="5FAA52D8" w:tentative="1">
      <w:start w:val="1"/>
      <w:numFmt w:val="bullet"/>
      <w:lvlText w:val=""/>
      <w:lvlJc w:val="left"/>
      <w:pPr>
        <w:ind w:left="2160" w:hanging="360"/>
      </w:pPr>
      <w:rPr>
        <w:rFonts w:ascii="Wingdings" w:hAnsi="Wingdings" w:hint="default"/>
      </w:rPr>
    </w:lvl>
    <w:lvl w:ilvl="3" w:tplc="B4F83C98" w:tentative="1">
      <w:start w:val="1"/>
      <w:numFmt w:val="bullet"/>
      <w:lvlText w:val=""/>
      <w:lvlJc w:val="left"/>
      <w:pPr>
        <w:ind w:left="2880" w:hanging="360"/>
      </w:pPr>
      <w:rPr>
        <w:rFonts w:ascii="Symbol" w:hAnsi="Symbol" w:hint="default"/>
      </w:rPr>
    </w:lvl>
    <w:lvl w:ilvl="4" w:tplc="E5DE2144" w:tentative="1">
      <w:start w:val="1"/>
      <w:numFmt w:val="bullet"/>
      <w:lvlText w:val="o"/>
      <w:lvlJc w:val="left"/>
      <w:pPr>
        <w:ind w:left="3600" w:hanging="360"/>
      </w:pPr>
      <w:rPr>
        <w:rFonts w:ascii="Courier New" w:hAnsi="Courier New" w:hint="default"/>
      </w:rPr>
    </w:lvl>
    <w:lvl w:ilvl="5" w:tplc="71CCFBBA" w:tentative="1">
      <w:start w:val="1"/>
      <w:numFmt w:val="bullet"/>
      <w:lvlText w:val=""/>
      <w:lvlJc w:val="left"/>
      <w:pPr>
        <w:ind w:left="4320" w:hanging="360"/>
      </w:pPr>
      <w:rPr>
        <w:rFonts w:ascii="Wingdings" w:hAnsi="Wingdings" w:hint="default"/>
      </w:rPr>
    </w:lvl>
    <w:lvl w:ilvl="6" w:tplc="9086DDDE" w:tentative="1">
      <w:start w:val="1"/>
      <w:numFmt w:val="bullet"/>
      <w:lvlText w:val=""/>
      <w:lvlJc w:val="left"/>
      <w:pPr>
        <w:ind w:left="5040" w:hanging="360"/>
      </w:pPr>
      <w:rPr>
        <w:rFonts w:ascii="Symbol" w:hAnsi="Symbol" w:hint="default"/>
      </w:rPr>
    </w:lvl>
    <w:lvl w:ilvl="7" w:tplc="43847132" w:tentative="1">
      <w:start w:val="1"/>
      <w:numFmt w:val="bullet"/>
      <w:lvlText w:val="o"/>
      <w:lvlJc w:val="left"/>
      <w:pPr>
        <w:ind w:left="5760" w:hanging="360"/>
      </w:pPr>
      <w:rPr>
        <w:rFonts w:ascii="Courier New" w:hAnsi="Courier New" w:hint="default"/>
      </w:rPr>
    </w:lvl>
    <w:lvl w:ilvl="8" w:tplc="2EC47A70" w:tentative="1">
      <w:start w:val="1"/>
      <w:numFmt w:val="bullet"/>
      <w:lvlText w:val=""/>
      <w:lvlJc w:val="left"/>
      <w:pPr>
        <w:ind w:left="6480" w:hanging="360"/>
      </w:pPr>
      <w:rPr>
        <w:rFonts w:ascii="Wingdings" w:hAnsi="Wingdings" w:hint="default"/>
      </w:rPr>
    </w:lvl>
  </w:abstractNum>
  <w:abstractNum w:abstractNumId="31" w15:restartNumberingAfterBreak="0">
    <w:nsid w:val="5BBB614E"/>
    <w:multiLevelType w:val="hybridMultilevel"/>
    <w:tmpl w:val="92101246"/>
    <w:lvl w:ilvl="0" w:tplc="271A78A6">
      <w:start w:val="1"/>
      <w:numFmt w:val="lowerLetter"/>
      <w:lvlText w:val="(%1)"/>
      <w:lvlJc w:val="left"/>
      <w:pPr>
        <w:ind w:left="1080" w:hanging="720"/>
      </w:pPr>
      <w:rPr>
        <w:rFonts w:hint="default"/>
      </w:rPr>
    </w:lvl>
    <w:lvl w:ilvl="1" w:tplc="5EA43116">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7B5085"/>
    <w:multiLevelType w:val="hybridMultilevel"/>
    <w:tmpl w:val="E1D8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AF1852"/>
    <w:multiLevelType w:val="hybridMultilevel"/>
    <w:tmpl w:val="D4C8A342"/>
    <w:lvl w:ilvl="0" w:tplc="3EB40F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6BE6251"/>
    <w:multiLevelType w:val="hybridMultilevel"/>
    <w:tmpl w:val="0E3ECA0A"/>
    <w:lvl w:ilvl="0" w:tplc="04090001">
      <w:start w:val="1"/>
      <w:numFmt w:val="bullet"/>
      <w:lvlText w:val=""/>
      <w:lvlJc w:val="left"/>
      <w:pPr>
        <w:ind w:left="1080" w:hanging="72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624CC9"/>
    <w:multiLevelType w:val="hybridMultilevel"/>
    <w:tmpl w:val="61D6D09A"/>
    <w:lvl w:ilvl="0" w:tplc="271A78A6">
      <w:start w:val="1"/>
      <w:numFmt w:val="low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575765"/>
    <w:multiLevelType w:val="hybridMultilevel"/>
    <w:tmpl w:val="F56CCF62"/>
    <w:lvl w:ilvl="0" w:tplc="015C75AC">
      <w:start w:val="1"/>
      <w:numFmt w:val="bullet"/>
      <w:lvlText w:val=""/>
      <w:lvlJc w:val="left"/>
      <w:pPr>
        <w:ind w:left="1080" w:hanging="360"/>
      </w:pPr>
      <w:rPr>
        <w:rFonts w:ascii="Symbol" w:hAnsi="Symbol" w:hint="default"/>
      </w:rPr>
    </w:lvl>
    <w:lvl w:ilvl="1" w:tplc="EB48C250" w:tentative="1">
      <w:start w:val="1"/>
      <w:numFmt w:val="bullet"/>
      <w:lvlText w:val="o"/>
      <w:lvlJc w:val="left"/>
      <w:pPr>
        <w:ind w:left="1800" w:hanging="360"/>
      </w:pPr>
      <w:rPr>
        <w:rFonts w:ascii="Courier New" w:hAnsi="Courier New" w:hint="default"/>
      </w:rPr>
    </w:lvl>
    <w:lvl w:ilvl="2" w:tplc="F8440748" w:tentative="1">
      <w:start w:val="1"/>
      <w:numFmt w:val="bullet"/>
      <w:lvlText w:val=""/>
      <w:lvlJc w:val="left"/>
      <w:pPr>
        <w:ind w:left="2520" w:hanging="360"/>
      </w:pPr>
      <w:rPr>
        <w:rFonts w:ascii="Wingdings" w:hAnsi="Wingdings" w:hint="default"/>
      </w:rPr>
    </w:lvl>
    <w:lvl w:ilvl="3" w:tplc="C89A7420" w:tentative="1">
      <w:start w:val="1"/>
      <w:numFmt w:val="bullet"/>
      <w:lvlText w:val=""/>
      <w:lvlJc w:val="left"/>
      <w:pPr>
        <w:ind w:left="3240" w:hanging="360"/>
      </w:pPr>
      <w:rPr>
        <w:rFonts w:ascii="Symbol" w:hAnsi="Symbol" w:hint="default"/>
      </w:rPr>
    </w:lvl>
    <w:lvl w:ilvl="4" w:tplc="7F963E90" w:tentative="1">
      <w:start w:val="1"/>
      <w:numFmt w:val="bullet"/>
      <w:lvlText w:val="o"/>
      <w:lvlJc w:val="left"/>
      <w:pPr>
        <w:ind w:left="3960" w:hanging="360"/>
      </w:pPr>
      <w:rPr>
        <w:rFonts w:ascii="Courier New" w:hAnsi="Courier New" w:hint="default"/>
      </w:rPr>
    </w:lvl>
    <w:lvl w:ilvl="5" w:tplc="7B40B1C4" w:tentative="1">
      <w:start w:val="1"/>
      <w:numFmt w:val="bullet"/>
      <w:lvlText w:val=""/>
      <w:lvlJc w:val="left"/>
      <w:pPr>
        <w:ind w:left="4680" w:hanging="360"/>
      </w:pPr>
      <w:rPr>
        <w:rFonts w:ascii="Wingdings" w:hAnsi="Wingdings" w:hint="default"/>
      </w:rPr>
    </w:lvl>
    <w:lvl w:ilvl="6" w:tplc="446A11B8" w:tentative="1">
      <w:start w:val="1"/>
      <w:numFmt w:val="bullet"/>
      <w:lvlText w:val=""/>
      <w:lvlJc w:val="left"/>
      <w:pPr>
        <w:ind w:left="5400" w:hanging="360"/>
      </w:pPr>
      <w:rPr>
        <w:rFonts w:ascii="Symbol" w:hAnsi="Symbol" w:hint="default"/>
      </w:rPr>
    </w:lvl>
    <w:lvl w:ilvl="7" w:tplc="09D0EAA6" w:tentative="1">
      <w:start w:val="1"/>
      <w:numFmt w:val="bullet"/>
      <w:lvlText w:val="o"/>
      <w:lvlJc w:val="left"/>
      <w:pPr>
        <w:ind w:left="6120" w:hanging="360"/>
      </w:pPr>
      <w:rPr>
        <w:rFonts w:ascii="Courier New" w:hAnsi="Courier New" w:hint="default"/>
      </w:rPr>
    </w:lvl>
    <w:lvl w:ilvl="8" w:tplc="A86CD7BA" w:tentative="1">
      <w:start w:val="1"/>
      <w:numFmt w:val="bullet"/>
      <w:lvlText w:val=""/>
      <w:lvlJc w:val="left"/>
      <w:pPr>
        <w:ind w:left="6840" w:hanging="360"/>
      </w:pPr>
      <w:rPr>
        <w:rFonts w:ascii="Wingdings" w:hAnsi="Wingdings" w:hint="default"/>
      </w:rPr>
    </w:lvl>
  </w:abstractNum>
  <w:abstractNum w:abstractNumId="37" w15:restartNumberingAfterBreak="0">
    <w:nsid w:val="7784456E"/>
    <w:multiLevelType w:val="hybridMultilevel"/>
    <w:tmpl w:val="84B6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66CD9"/>
    <w:multiLevelType w:val="hybridMultilevel"/>
    <w:tmpl w:val="7AEE5CDA"/>
    <w:lvl w:ilvl="0" w:tplc="271A78A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213EA6"/>
    <w:multiLevelType w:val="hybridMultilevel"/>
    <w:tmpl w:val="4ACE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18"/>
  </w:num>
  <w:num w:numId="4">
    <w:abstractNumId w:val="16"/>
  </w:num>
  <w:num w:numId="5">
    <w:abstractNumId w:val="38"/>
  </w:num>
  <w:num w:numId="6">
    <w:abstractNumId w:val="11"/>
  </w:num>
  <w:num w:numId="7">
    <w:abstractNumId w:val="23"/>
  </w:num>
  <w:num w:numId="8">
    <w:abstractNumId w:val="8"/>
  </w:num>
  <w:num w:numId="9">
    <w:abstractNumId w:val="27"/>
  </w:num>
  <w:num w:numId="10">
    <w:abstractNumId w:val="35"/>
  </w:num>
  <w:num w:numId="11">
    <w:abstractNumId w:val="17"/>
  </w:num>
  <w:num w:numId="12">
    <w:abstractNumId w:val="21"/>
  </w:num>
  <w:num w:numId="13">
    <w:abstractNumId w:val="22"/>
  </w:num>
  <w:num w:numId="14">
    <w:abstractNumId w:val="36"/>
  </w:num>
  <w:num w:numId="15">
    <w:abstractNumId w:val="29"/>
  </w:num>
  <w:num w:numId="16">
    <w:abstractNumId w:val="13"/>
  </w:num>
  <w:num w:numId="17">
    <w:abstractNumId w:val="5"/>
  </w:num>
  <w:num w:numId="18">
    <w:abstractNumId w:val="0"/>
  </w:num>
  <w:num w:numId="19">
    <w:abstractNumId w:val="1"/>
  </w:num>
  <w:num w:numId="20">
    <w:abstractNumId w:val="2"/>
  </w:num>
  <w:num w:numId="21">
    <w:abstractNumId w:val="3"/>
  </w:num>
  <w:num w:numId="22">
    <w:abstractNumId w:val="4"/>
  </w:num>
  <w:num w:numId="23">
    <w:abstractNumId w:val="19"/>
  </w:num>
  <w:num w:numId="24">
    <w:abstractNumId w:val="26"/>
  </w:num>
  <w:num w:numId="25">
    <w:abstractNumId w:val="9"/>
  </w:num>
  <w:num w:numId="26">
    <w:abstractNumId w:val="24"/>
  </w:num>
  <w:num w:numId="27">
    <w:abstractNumId w:val="32"/>
  </w:num>
  <w:num w:numId="28">
    <w:abstractNumId w:val="12"/>
  </w:num>
  <w:num w:numId="29">
    <w:abstractNumId w:val="30"/>
  </w:num>
  <w:num w:numId="30">
    <w:abstractNumId w:val="37"/>
  </w:num>
  <w:num w:numId="31">
    <w:abstractNumId w:val="6"/>
  </w:num>
  <w:num w:numId="32">
    <w:abstractNumId w:val="39"/>
  </w:num>
  <w:num w:numId="33">
    <w:abstractNumId w:val="14"/>
  </w:num>
  <w:num w:numId="34">
    <w:abstractNumId w:val="10"/>
  </w:num>
  <w:num w:numId="35">
    <w:abstractNumId w:val="28"/>
  </w:num>
  <w:num w:numId="36">
    <w:abstractNumId w:val="20"/>
  </w:num>
  <w:num w:numId="37">
    <w:abstractNumId w:val="33"/>
  </w:num>
  <w:num w:numId="38">
    <w:abstractNumId w:val="15"/>
  </w:num>
  <w:num w:numId="39">
    <w:abstractNumId w:val="31"/>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DD"/>
    <w:rsid w:val="00001F04"/>
    <w:rsid w:val="00011267"/>
    <w:rsid w:val="0001165C"/>
    <w:rsid w:val="00014149"/>
    <w:rsid w:val="00014A39"/>
    <w:rsid w:val="00017E3F"/>
    <w:rsid w:val="00020271"/>
    <w:rsid w:val="00021767"/>
    <w:rsid w:val="0002315F"/>
    <w:rsid w:val="00023EDF"/>
    <w:rsid w:val="00024D5E"/>
    <w:rsid w:val="00026CBE"/>
    <w:rsid w:val="000277D5"/>
    <w:rsid w:val="00034B88"/>
    <w:rsid w:val="00035393"/>
    <w:rsid w:val="000355A9"/>
    <w:rsid w:val="00040B64"/>
    <w:rsid w:val="0004113D"/>
    <w:rsid w:val="00045CA3"/>
    <w:rsid w:val="00046B9E"/>
    <w:rsid w:val="00046F2C"/>
    <w:rsid w:val="0005441F"/>
    <w:rsid w:val="000561A9"/>
    <w:rsid w:val="00057DC8"/>
    <w:rsid w:val="00057FB6"/>
    <w:rsid w:val="00063202"/>
    <w:rsid w:val="00063DFA"/>
    <w:rsid w:val="00072690"/>
    <w:rsid w:val="000754F1"/>
    <w:rsid w:val="00080F11"/>
    <w:rsid w:val="000815C0"/>
    <w:rsid w:val="00084467"/>
    <w:rsid w:val="00085143"/>
    <w:rsid w:val="000852C5"/>
    <w:rsid w:val="00090264"/>
    <w:rsid w:val="00091B17"/>
    <w:rsid w:val="00092012"/>
    <w:rsid w:val="00092156"/>
    <w:rsid w:val="00092303"/>
    <w:rsid w:val="000960F7"/>
    <w:rsid w:val="000A2A71"/>
    <w:rsid w:val="000A3791"/>
    <w:rsid w:val="000A3D1D"/>
    <w:rsid w:val="000A4B41"/>
    <w:rsid w:val="000A4B8F"/>
    <w:rsid w:val="000A7CE6"/>
    <w:rsid w:val="000A7DD5"/>
    <w:rsid w:val="000A7DEC"/>
    <w:rsid w:val="000B1863"/>
    <w:rsid w:val="000B2720"/>
    <w:rsid w:val="000B2B6A"/>
    <w:rsid w:val="000B311F"/>
    <w:rsid w:val="000B41E3"/>
    <w:rsid w:val="000B4929"/>
    <w:rsid w:val="000B75DB"/>
    <w:rsid w:val="000C40A0"/>
    <w:rsid w:val="000C418F"/>
    <w:rsid w:val="000C55B4"/>
    <w:rsid w:val="000C61DC"/>
    <w:rsid w:val="000C633A"/>
    <w:rsid w:val="000D00DE"/>
    <w:rsid w:val="000D0CF4"/>
    <w:rsid w:val="000D2E5F"/>
    <w:rsid w:val="000D4C15"/>
    <w:rsid w:val="000D69BB"/>
    <w:rsid w:val="000D6F1A"/>
    <w:rsid w:val="000E0382"/>
    <w:rsid w:val="000E282F"/>
    <w:rsid w:val="000E2832"/>
    <w:rsid w:val="000E4EDB"/>
    <w:rsid w:val="000E7D60"/>
    <w:rsid w:val="000F5A6E"/>
    <w:rsid w:val="00101288"/>
    <w:rsid w:val="00103049"/>
    <w:rsid w:val="00105261"/>
    <w:rsid w:val="00105B0F"/>
    <w:rsid w:val="00106969"/>
    <w:rsid w:val="00107BFB"/>
    <w:rsid w:val="001172D9"/>
    <w:rsid w:val="001200BC"/>
    <w:rsid w:val="001217FD"/>
    <w:rsid w:val="00122738"/>
    <w:rsid w:val="00122F31"/>
    <w:rsid w:val="00123D8B"/>
    <w:rsid w:val="00125640"/>
    <w:rsid w:val="00125664"/>
    <w:rsid w:val="001272A0"/>
    <w:rsid w:val="00134552"/>
    <w:rsid w:val="001353C1"/>
    <w:rsid w:val="00141136"/>
    <w:rsid w:val="001448C2"/>
    <w:rsid w:val="001457B4"/>
    <w:rsid w:val="00146AC6"/>
    <w:rsid w:val="0014740C"/>
    <w:rsid w:val="0015078F"/>
    <w:rsid w:val="00150E56"/>
    <w:rsid w:val="00151187"/>
    <w:rsid w:val="00151FF4"/>
    <w:rsid w:val="00152DB2"/>
    <w:rsid w:val="00152F41"/>
    <w:rsid w:val="001550A7"/>
    <w:rsid w:val="00156A92"/>
    <w:rsid w:val="001617D6"/>
    <w:rsid w:val="001628D0"/>
    <w:rsid w:val="0016365A"/>
    <w:rsid w:val="00163B28"/>
    <w:rsid w:val="00164D12"/>
    <w:rsid w:val="0016596B"/>
    <w:rsid w:val="00167606"/>
    <w:rsid w:val="00170FC4"/>
    <w:rsid w:val="001713EC"/>
    <w:rsid w:val="00172ECF"/>
    <w:rsid w:val="001734CE"/>
    <w:rsid w:val="00173B0A"/>
    <w:rsid w:val="00180B21"/>
    <w:rsid w:val="00181385"/>
    <w:rsid w:val="00181604"/>
    <w:rsid w:val="001828FD"/>
    <w:rsid w:val="00182A5A"/>
    <w:rsid w:val="00182E4E"/>
    <w:rsid w:val="0019062F"/>
    <w:rsid w:val="001906E2"/>
    <w:rsid w:val="001909C5"/>
    <w:rsid w:val="00190EB1"/>
    <w:rsid w:val="00194677"/>
    <w:rsid w:val="001951B7"/>
    <w:rsid w:val="0019607E"/>
    <w:rsid w:val="001974AC"/>
    <w:rsid w:val="001A19F4"/>
    <w:rsid w:val="001A28C4"/>
    <w:rsid w:val="001A6941"/>
    <w:rsid w:val="001A6BC2"/>
    <w:rsid w:val="001A6E6F"/>
    <w:rsid w:val="001A7298"/>
    <w:rsid w:val="001A7300"/>
    <w:rsid w:val="001A7CE7"/>
    <w:rsid w:val="001B0DAF"/>
    <w:rsid w:val="001B2767"/>
    <w:rsid w:val="001B2BCF"/>
    <w:rsid w:val="001B3831"/>
    <w:rsid w:val="001B3BFC"/>
    <w:rsid w:val="001B4061"/>
    <w:rsid w:val="001B60F3"/>
    <w:rsid w:val="001B7E61"/>
    <w:rsid w:val="001C4199"/>
    <w:rsid w:val="001C45CA"/>
    <w:rsid w:val="001C551A"/>
    <w:rsid w:val="001C7BFA"/>
    <w:rsid w:val="001D0A64"/>
    <w:rsid w:val="001D250C"/>
    <w:rsid w:val="001D25F9"/>
    <w:rsid w:val="001D36E9"/>
    <w:rsid w:val="001E0591"/>
    <w:rsid w:val="001E138A"/>
    <w:rsid w:val="001E1720"/>
    <w:rsid w:val="001E1B72"/>
    <w:rsid w:val="001E3121"/>
    <w:rsid w:val="001E3A6E"/>
    <w:rsid w:val="001E64AA"/>
    <w:rsid w:val="001F5635"/>
    <w:rsid w:val="001F759E"/>
    <w:rsid w:val="001F7908"/>
    <w:rsid w:val="002027FD"/>
    <w:rsid w:val="00206B7B"/>
    <w:rsid w:val="00211F00"/>
    <w:rsid w:val="00221C2B"/>
    <w:rsid w:val="002253BF"/>
    <w:rsid w:val="002256BD"/>
    <w:rsid w:val="00226885"/>
    <w:rsid w:val="00231A65"/>
    <w:rsid w:val="00232F38"/>
    <w:rsid w:val="00233277"/>
    <w:rsid w:val="00233E44"/>
    <w:rsid w:val="00234584"/>
    <w:rsid w:val="00235628"/>
    <w:rsid w:val="00236A76"/>
    <w:rsid w:val="002370E4"/>
    <w:rsid w:val="0023786E"/>
    <w:rsid w:val="0024258A"/>
    <w:rsid w:val="00243772"/>
    <w:rsid w:val="00243B89"/>
    <w:rsid w:val="002456F0"/>
    <w:rsid w:val="002457B3"/>
    <w:rsid w:val="00246074"/>
    <w:rsid w:val="00247E4E"/>
    <w:rsid w:val="00251591"/>
    <w:rsid w:val="00253842"/>
    <w:rsid w:val="00254670"/>
    <w:rsid w:val="002561FC"/>
    <w:rsid w:val="00261047"/>
    <w:rsid w:val="002626D2"/>
    <w:rsid w:val="00272F7D"/>
    <w:rsid w:val="0027381C"/>
    <w:rsid w:val="00274259"/>
    <w:rsid w:val="00277261"/>
    <w:rsid w:val="00277B0A"/>
    <w:rsid w:val="00277B5A"/>
    <w:rsid w:val="00277F0D"/>
    <w:rsid w:val="0028008F"/>
    <w:rsid w:val="002825F8"/>
    <w:rsid w:val="002875BD"/>
    <w:rsid w:val="0029026D"/>
    <w:rsid w:val="00290F02"/>
    <w:rsid w:val="002915D8"/>
    <w:rsid w:val="00292DE9"/>
    <w:rsid w:val="00294F76"/>
    <w:rsid w:val="00295B69"/>
    <w:rsid w:val="00296455"/>
    <w:rsid w:val="002A03B4"/>
    <w:rsid w:val="002A1586"/>
    <w:rsid w:val="002A2F3C"/>
    <w:rsid w:val="002A51BE"/>
    <w:rsid w:val="002A58F1"/>
    <w:rsid w:val="002A7897"/>
    <w:rsid w:val="002B11F4"/>
    <w:rsid w:val="002B155C"/>
    <w:rsid w:val="002B1D11"/>
    <w:rsid w:val="002B2A8C"/>
    <w:rsid w:val="002B4532"/>
    <w:rsid w:val="002B5BBD"/>
    <w:rsid w:val="002B5CE3"/>
    <w:rsid w:val="002B7552"/>
    <w:rsid w:val="002C0699"/>
    <w:rsid w:val="002C285C"/>
    <w:rsid w:val="002C58D3"/>
    <w:rsid w:val="002C5C18"/>
    <w:rsid w:val="002C6D5C"/>
    <w:rsid w:val="002C6FBB"/>
    <w:rsid w:val="002C7844"/>
    <w:rsid w:val="002D00B0"/>
    <w:rsid w:val="002D0B51"/>
    <w:rsid w:val="002D557C"/>
    <w:rsid w:val="002D5620"/>
    <w:rsid w:val="002D5FF4"/>
    <w:rsid w:val="002E03A3"/>
    <w:rsid w:val="002E063D"/>
    <w:rsid w:val="002E0D68"/>
    <w:rsid w:val="002E368D"/>
    <w:rsid w:val="002E381F"/>
    <w:rsid w:val="002E5188"/>
    <w:rsid w:val="002E593A"/>
    <w:rsid w:val="002E5940"/>
    <w:rsid w:val="002E5B40"/>
    <w:rsid w:val="002E689A"/>
    <w:rsid w:val="002F22FB"/>
    <w:rsid w:val="00301AD8"/>
    <w:rsid w:val="00304AE3"/>
    <w:rsid w:val="00304C5B"/>
    <w:rsid w:val="003143C7"/>
    <w:rsid w:val="003149AD"/>
    <w:rsid w:val="00314AC9"/>
    <w:rsid w:val="00323F94"/>
    <w:rsid w:val="003267FB"/>
    <w:rsid w:val="003328FA"/>
    <w:rsid w:val="003346EA"/>
    <w:rsid w:val="00334F67"/>
    <w:rsid w:val="0033520B"/>
    <w:rsid w:val="003352B7"/>
    <w:rsid w:val="00336E5E"/>
    <w:rsid w:val="0033711B"/>
    <w:rsid w:val="00341AAD"/>
    <w:rsid w:val="00342642"/>
    <w:rsid w:val="00345EA7"/>
    <w:rsid w:val="00352E59"/>
    <w:rsid w:val="00354D31"/>
    <w:rsid w:val="0035698B"/>
    <w:rsid w:val="003636A9"/>
    <w:rsid w:val="0036436C"/>
    <w:rsid w:val="003652CD"/>
    <w:rsid w:val="00367950"/>
    <w:rsid w:val="003704C5"/>
    <w:rsid w:val="0037224A"/>
    <w:rsid w:val="003733B5"/>
    <w:rsid w:val="00374899"/>
    <w:rsid w:val="00375EED"/>
    <w:rsid w:val="00376D3F"/>
    <w:rsid w:val="0037773F"/>
    <w:rsid w:val="003802E2"/>
    <w:rsid w:val="00380777"/>
    <w:rsid w:val="003809D4"/>
    <w:rsid w:val="00380C6F"/>
    <w:rsid w:val="00382273"/>
    <w:rsid w:val="00384220"/>
    <w:rsid w:val="003842AF"/>
    <w:rsid w:val="003859AF"/>
    <w:rsid w:val="00390FAA"/>
    <w:rsid w:val="00391579"/>
    <w:rsid w:val="00391DA4"/>
    <w:rsid w:val="00392539"/>
    <w:rsid w:val="00394392"/>
    <w:rsid w:val="00396296"/>
    <w:rsid w:val="003A1315"/>
    <w:rsid w:val="003A3E56"/>
    <w:rsid w:val="003B015E"/>
    <w:rsid w:val="003B040A"/>
    <w:rsid w:val="003B05CD"/>
    <w:rsid w:val="003C0C60"/>
    <w:rsid w:val="003C56AE"/>
    <w:rsid w:val="003D027F"/>
    <w:rsid w:val="003D1EBF"/>
    <w:rsid w:val="003D225A"/>
    <w:rsid w:val="003D2D57"/>
    <w:rsid w:val="003D34EB"/>
    <w:rsid w:val="003D42C6"/>
    <w:rsid w:val="003D5AA8"/>
    <w:rsid w:val="003D7B66"/>
    <w:rsid w:val="003E0E00"/>
    <w:rsid w:val="003E2012"/>
    <w:rsid w:val="003E20C2"/>
    <w:rsid w:val="003E3941"/>
    <w:rsid w:val="003F05F0"/>
    <w:rsid w:val="003F31DB"/>
    <w:rsid w:val="003F3BAF"/>
    <w:rsid w:val="003F5A61"/>
    <w:rsid w:val="003F5B19"/>
    <w:rsid w:val="0040046F"/>
    <w:rsid w:val="004007EB"/>
    <w:rsid w:val="00400B2C"/>
    <w:rsid w:val="00403219"/>
    <w:rsid w:val="0040349B"/>
    <w:rsid w:val="00404F57"/>
    <w:rsid w:val="00406185"/>
    <w:rsid w:val="0040738A"/>
    <w:rsid w:val="00407521"/>
    <w:rsid w:val="004079E6"/>
    <w:rsid w:val="004104AF"/>
    <w:rsid w:val="004113F4"/>
    <w:rsid w:val="00422699"/>
    <w:rsid w:val="00422F14"/>
    <w:rsid w:val="004251BE"/>
    <w:rsid w:val="0042529A"/>
    <w:rsid w:val="00425C1A"/>
    <w:rsid w:val="00430D96"/>
    <w:rsid w:val="00431DAB"/>
    <w:rsid w:val="00437728"/>
    <w:rsid w:val="00440AB6"/>
    <w:rsid w:val="00441744"/>
    <w:rsid w:val="00445CEF"/>
    <w:rsid w:val="00452C7A"/>
    <w:rsid w:val="00454726"/>
    <w:rsid w:val="00456249"/>
    <w:rsid w:val="00457B3F"/>
    <w:rsid w:val="00460897"/>
    <w:rsid w:val="004608CE"/>
    <w:rsid w:val="00460B13"/>
    <w:rsid w:val="00461E1D"/>
    <w:rsid w:val="00463CC4"/>
    <w:rsid w:val="00464F23"/>
    <w:rsid w:val="004653F5"/>
    <w:rsid w:val="00471C1F"/>
    <w:rsid w:val="004723BC"/>
    <w:rsid w:val="004735E3"/>
    <w:rsid w:val="00474A0D"/>
    <w:rsid w:val="00474F44"/>
    <w:rsid w:val="00475352"/>
    <w:rsid w:val="004776EF"/>
    <w:rsid w:val="00480851"/>
    <w:rsid w:val="00481412"/>
    <w:rsid w:val="00482E60"/>
    <w:rsid w:val="004840F5"/>
    <w:rsid w:val="00484A7F"/>
    <w:rsid w:val="00485192"/>
    <w:rsid w:val="00493E72"/>
    <w:rsid w:val="0049742F"/>
    <w:rsid w:val="004A0EC1"/>
    <w:rsid w:val="004A20BC"/>
    <w:rsid w:val="004A25D8"/>
    <w:rsid w:val="004B1526"/>
    <w:rsid w:val="004B270B"/>
    <w:rsid w:val="004B3453"/>
    <w:rsid w:val="004B3C3E"/>
    <w:rsid w:val="004B5106"/>
    <w:rsid w:val="004B61E9"/>
    <w:rsid w:val="004B6FA2"/>
    <w:rsid w:val="004C02F6"/>
    <w:rsid w:val="004C440B"/>
    <w:rsid w:val="004C4621"/>
    <w:rsid w:val="004C591C"/>
    <w:rsid w:val="004C5B57"/>
    <w:rsid w:val="004C67D2"/>
    <w:rsid w:val="004D1426"/>
    <w:rsid w:val="004D2691"/>
    <w:rsid w:val="004D4079"/>
    <w:rsid w:val="004D4E5E"/>
    <w:rsid w:val="004D6694"/>
    <w:rsid w:val="004D72DE"/>
    <w:rsid w:val="004E21C5"/>
    <w:rsid w:val="004E2456"/>
    <w:rsid w:val="004E45D1"/>
    <w:rsid w:val="004E5B22"/>
    <w:rsid w:val="004E6543"/>
    <w:rsid w:val="004E6B1C"/>
    <w:rsid w:val="004E718F"/>
    <w:rsid w:val="004F1466"/>
    <w:rsid w:val="004F305E"/>
    <w:rsid w:val="004F3B63"/>
    <w:rsid w:val="004F4EC7"/>
    <w:rsid w:val="005011A0"/>
    <w:rsid w:val="00501BA0"/>
    <w:rsid w:val="005049D8"/>
    <w:rsid w:val="00504DA8"/>
    <w:rsid w:val="005054B7"/>
    <w:rsid w:val="00507398"/>
    <w:rsid w:val="00510699"/>
    <w:rsid w:val="00510904"/>
    <w:rsid w:val="0051294A"/>
    <w:rsid w:val="005130F6"/>
    <w:rsid w:val="00513EF5"/>
    <w:rsid w:val="005153B9"/>
    <w:rsid w:val="00517A34"/>
    <w:rsid w:val="005204FD"/>
    <w:rsid w:val="00520CDD"/>
    <w:rsid w:val="00520DDC"/>
    <w:rsid w:val="00523FBE"/>
    <w:rsid w:val="005244AA"/>
    <w:rsid w:val="005249BF"/>
    <w:rsid w:val="00531C55"/>
    <w:rsid w:val="005359D1"/>
    <w:rsid w:val="00535DAC"/>
    <w:rsid w:val="00544E01"/>
    <w:rsid w:val="00544E56"/>
    <w:rsid w:val="00550D0A"/>
    <w:rsid w:val="00552211"/>
    <w:rsid w:val="0056085D"/>
    <w:rsid w:val="0056178F"/>
    <w:rsid w:val="005636F5"/>
    <w:rsid w:val="0056570C"/>
    <w:rsid w:val="00565797"/>
    <w:rsid w:val="005668BA"/>
    <w:rsid w:val="00570E98"/>
    <w:rsid w:val="005712FD"/>
    <w:rsid w:val="00571EF3"/>
    <w:rsid w:val="00573781"/>
    <w:rsid w:val="00574066"/>
    <w:rsid w:val="00574217"/>
    <w:rsid w:val="005747EB"/>
    <w:rsid w:val="00584290"/>
    <w:rsid w:val="00587A52"/>
    <w:rsid w:val="00587B11"/>
    <w:rsid w:val="00591FB0"/>
    <w:rsid w:val="00592311"/>
    <w:rsid w:val="005959E0"/>
    <w:rsid w:val="00596941"/>
    <w:rsid w:val="005A215A"/>
    <w:rsid w:val="005A2D43"/>
    <w:rsid w:val="005A2E03"/>
    <w:rsid w:val="005A3E74"/>
    <w:rsid w:val="005A3F06"/>
    <w:rsid w:val="005A4B2C"/>
    <w:rsid w:val="005A4EE9"/>
    <w:rsid w:val="005B7A26"/>
    <w:rsid w:val="005C0EA6"/>
    <w:rsid w:val="005C19AA"/>
    <w:rsid w:val="005C1F5B"/>
    <w:rsid w:val="005C353E"/>
    <w:rsid w:val="005C4210"/>
    <w:rsid w:val="005C48F0"/>
    <w:rsid w:val="005D019F"/>
    <w:rsid w:val="005D195A"/>
    <w:rsid w:val="005D2348"/>
    <w:rsid w:val="005D33CE"/>
    <w:rsid w:val="005E017F"/>
    <w:rsid w:val="005E2E78"/>
    <w:rsid w:val="005E413B"/>
    <w:rsid w:val="005E642F"/>
    <w:rsid w:val="005E6E43"/>
    <w:rsid w:val="005F0B1F"/>
    <w:rsid w:val="005F34FA"/>
    <w:rsid w:val="005F365C"/>
    <w:rsid w:val="005F60F2"/>
    <w:rsid w:val="005F702B"/>
    <w:rsid w:val="005F73E1"/>
    <w:rsid w:val="005F7B70"/>
    <w:rsid w:val="00607D61"/>
    <w:rsid w:val="00607FBE"/>
    <w:rsid w:val="006119CE"/>
    <w:rsid w:val="00617171"/>
    <w:rsid w:val="006226AA"/>
    <w:rsid w:val="0062335C"/>
    <w:rsid w:val="00623FC4"/>
    <w:rsid w:val="00624FDE"/>
    <w:rsid w:val="0062607C"/>
    <w:rsid w:val="006301F8"/>
    <w:rsid w:val="006309B1"/>
    <w:rsid w:val="00631D87"/>
    <w:rsid w:val="00633A06"/>
    <w:rsid w:val="006354EC"/>
    <w:rsid w:val="00636E49"/>
    <w:rsid w:val="006418C8"/>
    <w:rsid w:val="00642B81"/>
    <w:rsid w:val="00642E59"/>
    <w:rsid w:val="006432A2"/>
    <w:rsid w:val="00644DBD"/>
    <w:rsid w:val="006458FF"/>
    <w:rsid w:val="00650BF8"/>
    <w:rsid w:val="00652312"/>
    <w:rsid w:val="006549F6"/>
    <w:rsid w:val="00655518"/>
    <w:rsid w:val="006658AC"/>
    <w:rsid w:val="00665FEC"/>
    <w:rsid w:val="00670C08"/>
    <w:rsid w:val="00672432"/>
    <w:rsid w:val="006737B3"/>
    <w:rsid w:val="006744BA"/>
    <w:rsid w:val="00674550"/>
    <w:rsid w:val="00674ED5"/>
    <w:rsid w:val="00677DF6"/>
    <w:rsid w:val="00681A5D"/>
    <w:rsid w:val="0068356C"/>
    <w:rsid w:val="00684E88"/>
    <w:rsid w:val="00687E58"/>
    <w:rsid w:val="00687EFD"/>
    <w:rsid w:val="0069114B"/>
    <w:rsid w:val="00692F15"/>
    <w:rsid w:val="006938E0"/>
    <w:rsid w:val="006942C2"/>
    <w:rsid w:val="006A0517"/>
    <w:rsid w:val="006A1C99"/>
    <w:rsid w:val="006A6B5F"/>
    <w:rsid w:val="006B041F"/>
    <w:rsid w:val="006B70E6"/>
    <w:rsid w:val="006B7EA2"/>
    <w:rsid w:val="006C0963"/>
    <w:rsid w:val="006C237F"/>
    <w:rsid w:val="006C2DE6"/>
    <w:rsid w:val="006C4ADE"/>
    <w:rsid w:val="006C5C4F"/>
    <w:rsid w:val="006C6B17"/>
    <w:rsid w:val="006C7DEA"/>
    <w:rsid w:val="006D168F"/>
    <w:rsid w:val="006D5E58"/>
    <w:rsid w:val="006E39A2"/>
    <w:rsid w:val="006E4586"/>
    <w:rsid w:val="006E4EB8"/>
    <w:rsid w:val="006E5AD2"/>
    <w:rsid w:val="006F2B66"/>
    <w:rsid w:val="006F5300"/>
    <w:rsid w:val="006F61A7"/>
    <w:rsid w:val="006F6A78"/>
    <w:rsid w:val="006F6CBB"/>
    <w:rsid w:val="007039B3"/>
    <w:rsid w:val="00705AF7"/>
    <w:rsid w:val="00706F18"/>
    <w:rsid w:val="007100AA"/>
    <w:rsid w:val="00712DA9"/>
    <w:rsid w:val="007135B5"/>
    <w:rsid w:val="00713E09"/>
    <w:rsid w:val="00715854"/>
    <w:rsid w:val="00716344"/>
    <w:rsid w:val="0071723F"/>
    <w:rsid w:val="007177A5"/>
    <w:rsid w:val="00720925"/>
    <w:rsid w:val="00721452"/>
    <w:rsid w:val="007232BE"/>
    <w:rsid w:val="00723CF5"/>
    <w:rsid w:val="00725315"/>
    <w:rsid w:val="007271D7"/>
    <w:rsid w:val="00727324"/>
    <w:rsid w:val="00731BE1"/>
    <w:rsid w:val="0073256F"/>
    <w:rsid w:val="00736C8E"/>
    <w:rsid w:val="00737F25"/>
    <w:rsid w:val="007401EA"/>
    <w:rsid w:val="00740C7B"/>
    <w:rsid w:val="00740F54"/>
    <w:rsid w:val="00741D34"/>
    <w:rsid w:val="00743B93"/>
    <w:rsid w:val="007441FE"/>
    <w:rsid w:val="007476E2"/>
    <w:rsid w:val="0074771B"/>
    <w:rsid w:val="00750AAD"/>
    <w:rsid w:val="007515FA"/>
    <w:rsid w:val="00751E90"/>
    <w:rsid w:val="007533AC"/>
    <w:rsid w:val="00756306"/>
    <w:rsid w:val="0075653E"/>
    <w:rsid w:val="00760BD9"/>
    <w:rsid w:val="00765E81"/>
    <w:rsid w:val="007667B4"/>
    <w:rsid w:val="00766D47"/>
    <w:rsid w:val="00772075"/>
    <w:rsid w:val="00772CA8"/>
    <w:rsid w:val="00773480"/>
    <w:rsid w:val="00776574"/>
    <w:rsid w:val="007770B5"/>
    <w:rsid w:val="00780DE6"/>
    <w:rsid w:val="00781DD1"/>
    <w:rsid w:val="00784DA9"/>
    <w:rsid w:val="007851B1"/>
    <w:rsid w:val="007857CB"/>
    <w:rsid w:val="007863D2"/>
    <w:rsid w:val="007865C7"/>
    <w:rsid w:val="00787618"/>
    <w:rsid w:val="00787761"/>
    <w:rsid w:val="00792715"/>
    <w:rsid w:val="0079401D"/>
    <w:rsid w:val="007941FD"/>
    <w:rsid w:val="00795F93"/>
    <w:rsid w:val="007A0098"/>
    <w:rsid w:val="007A13E8"/>
    <w:rsid w:val="007A38BF"/>
    <w:rsid w:val="007A44CD"/>
    <w:rsid w:val="007A715C"/>
    <w:rsid w:val="007A76F1"/>
    <w:rsid w:val="007A7AEC"/>
    <w:rsid w:val="007B4713"/>
    <w:rsid w:val="007B54A7"/>
    <w:rsid w:val="007C47B5"/>
    <w:rsid w:val="007D1618"/>
    <w:rsid w:val="007D2A55"/>
    <w:rsid w:val="007D532E"/>
    <w:rsid w:val="007D7F1F"/>
    <w:rsid w:val="007E3254"/>
    <w:rsid w:val="007E38A0"/>
    <w:rsid w:val="007E6A48"/>
    <w:rsid w:val="007E7D76"/>
    <w:rsid w:val="007F0AAE"/>
    <w:rsid w:val="007F164D"/>
    <w:rsid w:val="007F2887"/>
    <w:rsid w:val="007F3161"/>
    <w:rsid w:val="007F32C9"/>
    <w:rsid w:val="007F58CB"/>
    <w:rsid w:val="00801B24"/>
    <w:rsid w:val="00802315"/>
    <w:rsid w:val="008038BD"/>
    <w:rsid w:val="00804277"/>
    <w:rsid w:val="008049E9"/>
    <w:rsid w:val="00806E69"/>
    <w:rsid w:val="008070BC"/>
    <w:rsid w:val="00807923"/>
    <w:rsid w:val="0081059D"/>
    <w:rsid w:val="008126F2"/>
    <w:rsid w:val="00813CF1"/>
    <w:rsid w:val="00815812"/>
    <w:rsid w:val="00815E41"/>
    <w:rsid w:val="00822F16"/>
    <w:rsid w:val="008230CC"/>
    <w:rsid w:val="00824B56"/>
    <w:rsid w:val="00825D14"/>
    <w:rsid w:val="00826486"/>
    <w:rsid w:val="0082672E"/>
    <w:rsid w:val="008312C1"/>
    <w:rsid w:val="00833B48"/>
    <w:rsid w:val="00834078"/>
    <w:rsid w:val="0083623F"/>
    <w:rsid w:val="00842B26"/>
    <w:rsid w:val="008434D9"/>
    <w:rsid w:val="00843E3F"/>
    <w:rsid w:val="0084440B"/>
    <w:rsid w:val="008465DE"/>
    <w:rsid w:val="00847C1A"/>
    <w:rsid w:val="008520EE"/>
    <w:rsid w:val="0085465B"/>
    <w:rsid w:val="00856B3D"/>
    <w:rsid w:val="0085757F"/>
    <w:rsid w:val="00857869"/>
    <w:rsid w:val="0086146B"/>
    <w:rsid w:val="00861BD9"/>
    <w:rsid w:val="00863CA6"/>
    <w:rsid w:val="008651FA"/>
    <w:rsid w:val="00866671"/>
    <w:rsid w:val="00875DF8"/>
    <w:rsid w:val="00876CBF"/>
    <w:rsid w:val="00876DBC"/>
    <w:rsid w:val="00880CB6"/>
    <w:rsid w:val="00882412"/>
    <w:rsid w:val="00886D70"/>
    <w:rsid w:val="00891092"/>
    <w:rsid w:val="00893810"/>
    <w:rsid w:val="00895DE8"/>
    <w:rsid w:val="008A06A2"/>
    <w:rsid w:val="008A23CB"/>
    <w:rsid w:val="008A565E"/>
    <w:rsid w:val="008B06D5"/>
    <w:rsid w:val="008B375F"/>
    <w:rsid w:val="008C5DF7"/>
    <w:rsid w:val="008C68D4"/>
    <w:rsid w:val="008C73C1"/>
    <w:rsid w:val="008D0FBA"/>
    <w:rsid w:val="008D1CB2"/>
    <w:rsid w:val="008D407E"/>
    <w:rsid w:val="008D4B39"/>
    <w:rsid w:val="008D76BA"/>
    <w:rsid w:val="008D7CD2"/>
    <w:rsid w:val="008E1A4D"/>
    <w:rsid w:val="008E2BBF"/>
    <w:rsid w:val="008E3963"/>
    <w:rsid w:val="008E3A8F"/>
    <w:rsid w:val="008E4BDE"/>
    <w:rsid w:val="008E522B"/>
    <w:rsid w:val="008E5B94"/>
    <w:rsid w:val="008E6017"/>
    <w:rsid w:val="008E6AAB"/>
    <w:rsid w:val="008E6B15"/>
    <w:rsid w:val="008E788D"/>
    <w:rsid w:val="008F05D0"/>
    <w:rsid w:val="008F1107"/>
    <w:rsid w:val="008F17EE"/>
    <w:rsid w:val="008F3E45"/>
    <w:rsid w:val="008F3F0D"/>
    <w:rsid w:val="008F411C"/>
    <w:rsid w:val="008F4B7D"/>
    <w:rsid w:val="00900D42"/>
    <w:rsid w:val="00907FA5"/>
    <w:rsid w:val="009122C8"/>
    <w:rsid w:val="00912702"/>
    <w:rsid w:val="00912DF6"/>
    <w:rsid w:val="00915E9D"/>
    <w:rsid w:val="00916B3E"/>
    <w:rsid w:val="00916B96"/>
    <w:rsid w:val="0092058A"/>
    <w:rsid w:val="00920A85"/>
    <w:rsid w:val="00921EE9"/>
    <w:rsid w:val="00921EEA"/>
    <w:rsid w:val="009240FB"/>
    <w:rsid w:val="00924799"/>
    <w:rsid w:val="009276D0"/>
    <w:rsid w:val="00931246"/>
    <w:rsid w:val="009313E4"/>
    <w:rsid w:val="0093206E"/>
    <w:rsid w:val="00933634"/>
    <w:rsid w:val="00935261"/>
    <w:rsid w:val="00936058"/>
    <w:rsid w:val="00937CD1"/>
    <w:rsid w:val="009405CC"/>
    <w:rsid w:val="00941BA9"/>
    <w:rsid w:val="00945E37"/>
    <w:rsid w:val="00950A41"/>
    <w:rsid w:val="00950EA3"/>
    <w:rsid w:val="00952B85"/>
    <w:rsid w:val="00953B0E"/>
    <w:rsid w:val="00953B8B"/>
    <w:rsid w:val="009541B8"/>
    <w:rsid w:val="00955964"/>
    <w:rsid w:val="00957C0E"/>
    <w:rsid w:val="009601F9"/>
    <w:rsid w:val="009608D9"/>
    <w:rsid w:val="00960E60"/>
    <w:rsid w:val="009617F9"/>
    <w:rsid w:val="00961F5B"/>
    <w:rsid w:val="009677E7"/>
    <w:rsid w:val="00973624"/>
    <w:rsid w:val="00973871"/>
    <w:rsid w:val="009742DE"/>
    <w:rsid w:val="00974890"/>
    <w:rsid w:val="00976F0E"/>
    <w:rsid w:val="0097747B"/>
    <w:rsid w:val="00982126"/>
    <w:rsid w:val="0098415D"/>
    <w:rsid w:val="009868C1"/>
    <w:rsid w:val="00990198"/>
    <w:rsid w:val="00996B08"/>
    <w:rsid w:val="00997CFD"/>
    <w:rsid w:val="009A025D"/>
    <w:rsid w:val="009A3B71"/>
    <w:rsid w:val="009A447A"/>
    <w:rsid w:val="009A4683"/>
    <w:rsid w:val="009A52CA"/>
    <w:rsid w:val="009A710A"/>
    <w:rsid w:val="009A7A23"/>
    <w:rsid w:val="009A7E1D"/>
    <w:rsid w:val="009B3648"/>
    <w:rsid w:val="009B521B"/>
    <w:rsid w:val="009B55BE"/>
    <w:rsid w:val="009B6D2E"/>
    <w:rsid w:val="009C1B3B"/>
    <w:rsid w:val="009C1CB1"/>
    <w:rsid w:val="009C39A8"/>
    <w:rsid w:val="009C4E58"/>
    <w:rsid w:val="009D0914"/>
    <w:rsid w:val="009D13F0"/>
    <w:rsid w:val="009D1E3A"/>
    <w:rsid w:val="009D2C57"/>
    <w:rsid w:val="009D3233"/>
    <w:rsid w:val="009D3868"/>
    <w:rsid w:val="009D4858"/>
    <w:rsid w:val="009D5AD5"/>
    <w:rsid w:val="009D7A92"/>
    <w:rsid w:val="009E2A07"/>
    <w:rsid w:val="009E31D3"/>
    <w:rsid w:val="009E4652"/>
    <w:rsid w:val="009E4ECB"/>
    <w:rsid w:val="009E7567"/>
    <w:rsid w:val="009F0EDB"/>
    <w:rsid w:val="009F1320"/>
    <w:rsid w:val="009F2173"/>
    <w:rsid w:val="009F2CD6"/>
    <w:rsid w:val="009F35A5"/>
    <w:rsid w:val="009F44DB"/>
    <w:rsid w:val="009F5EBA"/>
    <w:rsid w:val="009F61EE"/>
    <w:rsid w:val="009F6CAC"/>
    <w:rsid w:val="009F7259"/>
    <w:rsid w:val="00A008B7"/>
    <w:rsid w:val="00A01827"/>
    <w:rsid w:val="00A01B95"/>
    <w:rsid w:val="00A13B52"/>
    <w:rsid w:val="00A14AE6"/>
    <w:rsid w:val="00A1532A"/>
    <w:rsid w:val="00A26E28"/>
    <w:rsid w:val="00A26E43"/>
    <w:rsid w:val="00A26E98"/>
    <w:rsid w:val="00A27543"/>
    <w:rsid w:val="00A30EA4"/>
    <w:rsid w:val="00A30F50"/>
    <w:rsid w:val="00A316EE"/>
    <w:rsid w:val="00A325C3"/>
    <w:rsid w:val="00A36C22"/>
    <w:rsid w:val="00A36F54"/>
    <w:rsid w:val="00A37232"/>
    <w:rsid w:val="00A37EF6"/>
    <w:rsid w:val="00A4245A"/>
    <w:rsid w:val="00A459D1"/>
    <w:rsid w:val="00A52038"/>
    <w:rsid w:val="00A55E55"/>
    <w:rsid w:val="00A566A5"/>
    <w:rsid w:val="00A56D5B"/>
    <w:rsid w:val="00A56EDD"/>
    <w:rsid w:val="00A572AD"/>
    <w:rsid w:val="00A578D8"/>
    <w:rsid w:val="00A57FF1"/>
    <w:rsid w:val="00A6049E"/>
    <w:rsid w:val="00A619CB"/>
    <w:rsid w:val="00A62952"/>
    <w:rsid w:val="00A63665"/>
    <w:rsid w:val="00A640CF"/>
    <w:rsid w:val="00A71192"/>
    <w:rsid w:val="00A71A08"/>
    <w:rsid w:val="00A71CC4"/>
    <w:rsid w:val="00A733AE"/>
    <w:rsid w:val="00A74AED"/>
    <w:rsid w:val="00A82192"/>
    <w:rsid w:val="00A85C48"/>
    <w:rsid w:val="00A91395"/>
    <w:rsid w:val="00A9172A"/>
    <w:rsid w:val="00A92E6D"/>
    <w:rsid w:val="00A94686"/>
    <w:rsid w:val="00AA03CD"/>
    <w:rsid w:val="00AA1A61"/>
    <w:rsid w:val="00AA3E3D"/>
    <w:rsid w:val="00AA527F"/>
    <w:rsid w:val="00AA7038"/>
    <w:rsid w:val="00AA7436"/>
    <w:rsid w:val="00AA7A4B"/>
    <w:rsid w:val="00AB1BCC"/>
    <w:rsid w:val="00AB3BB6"/>
    <w:rsid w:val="00AB4407"/>
    <w:rsid w:val="00AB4D2A"/>
    <w:rsid w:val="00AB5833"/>
    <w:rsid w:val="00AB58AE"/>
    <w:rsid w:val="00AB6DF2"/>
    <w:rsid w:val="00AB72BD"/>
    <w:rsid w:val="00AC060B"/>
    <w:rsid w:val="00AC2C58"/>
    <w:rsid w:val="00AC4B49"/>
    <w:rsid w:val="00AC6175"/>
    <w:rsid w:val="00AD1844"/>
    <w:rsid w:val="00AD3122"/>
    <w:rsid w:val="00AD7836"/>
    <w:rsid w:val="00AE0462"/>
    <w:rsid w:val="00AE14CF"/>
    <w:rsid w:val="00AE326F"/>
    <w:rsid w:val="00AE4168"/>
    <w:rsid w:val="00AE53B5"/>
    <w:rsid w:val="00AE63B1"/>
    <w:rsid w:val="00AF09B1"/>
    <w:rsid w:val="00AF147D"/>
    <w:rsid w:val="00AF1F1B"/>
    <w:rsid w:val="00AF53AF"/>
    <w:rsid w:val="00AF6CC6"/>
    <w:rsid w:val="00AF7882"/>
    <w:rsid w:val="00B00D4E"/>
    <w:rsid w:val="00B01F12"/>
    <w:rsid w:val="00B02557"/>
    <w:rsid w:val="00B042C3"/>
    <w:rsid w:val="00B04A0F"/>
    <w:rsid w:val="00B05BDA"/>
    <w:rsid w:val="00B060D6"/>
    <w:rsid w:val="00B07C2A"/>
    <w:rsid w:val="00B1215C"/>
    <w:rsid w:val="00B143E4"/>
    <w:rsid w:val="00B15DB5"/>
    <w:rsid w:val="00B16135"/>
    <w:rsid w:val="00B1690C"/>
    <w:rsid w:val="00B16C7D"/>
    <w:rsid w:val="00B21132"/>
    <w:rsid w:val="00B31EE2"/>
    <w:rsid w:val="00B34FB2"/>
    <w:rsid w:val="00B36FBC"/>
    <w:rsid w:val="00B40677"/>
    <w:rsid w:val="00B40AAA"/>
    <w:rsid w:val="00B40B1C"/>
    <w:rsid w:val="00B41CD8"/>
    <w:rsid w:val="00B44633"/>
    <w:rsid w:val="00B46104"/>
    <w:rsid w:val="00B475D9"/>
    <w:rsid w:val="00B47CA5"/>
    <w:rsid w:val="00B51E20"/>
    <w:rsid w:val="00B51E7B"/>
    <w:rsid w:val="00B53A41"/>
    <w:rsid w:val="00B5660A"/>
    <w:rsid w:val="00B61392"/>
    <w:rsid w:val="00B61776"/>
    <w:rsid w:val="00B6184A"/>
    <w:rsid w:val="00B62096"/>
    <w:rsid w:val="00B623FB"/>
    <w:rsid w:val="00B65346"/>
    <w:rsid w:val="00B666B5"/>
    <w:rsid w:val="00B672FE"/>
    <w:rsid w:val="00B72BA6"/>
    <w:rsid w:val="00B73A6A"/>
    <w:rsid w:val="00B763B0"/>
    <w:rsid w:val="00B77B67"/>
    <w:rsid w:val="00B83284"/>
    <w:rsid w:val="00B87BEE"/>
    <w:rsid w:val="00B87E1C"/>
    <w:rsid w:val="00B90F54"/>
    <w:rsid w:val="00B930C6"/>
    <w:rsid w:val="00B930EE"/>
    <w:rsid w:val="00B94D09"/>
    <w:rsid w:val="00B959C4"/>
    <w:rsid w:val="00BA0710"/>
    <w:rsid w:val="00BA0C86"/>
    <w:rsid w:val="00BA0E4F"/>
    <w:rsid w:val="00BA38CB"/>
    <w:rsid w:val="00BA7005"/>
    <w:rsid w:val="00BB221E"/>
    <w:rsid w:val="00BB24E5"/>
    <w:rsid w:val="00BB2B82"/>
    <w:rsid w:val="00BB364F"/>
    <w:rsid w:val="00BB6D02"/>
    <w:rsid w:val="00BC1EC6"/>
    <w:rsid w:val="00BC3CFE"/>
    <w:rsid w:val="00BD0745"/>
    <w:rsid w:val="00BD2880"/>
    <w:rsid w:val="00BD31F1"/>
    <w:rsid w:val="00BD32E2"/>
    <w:rsid w:val="00BD3B52"/>
    <w:rsid w:val="00BD4946"/>
    <w:rsid w:val="00BD5AE5"/>
    <w:rsid w:val="00BD5D17"/>
    <w:rsid w:val="00BD64AE"/>
    <w:rsid w:val="00BE3CB5"/>
    <w:rsid w:val="00BE6953"/>
    <w:rsid w:val="00BE75F7"/>
    <w:rsid w:val="00BF1BEB"/>
    <w:rsid w:val="00BF24D4"/>
    <w:rsid w:val="00BF4395"/>
    <w:rsid w:val="00BF4744"/>
    <w:rsid w:val="00BF4EC7"/>
    <w:rsid w:val="00BF5448"/>
    <w:rsid w:val="00BF619D"/>
    <w:rsid w:val="00BF6CBD"/>
    <w:rsid w:val="00C01D8E"/>
    <w:rsid w:val="00C028E1"/>
    <w:rsid w:val="00C02E5F"/>
    <w:rsid w:val="00C0377E"/>
    <w:rsid w:val="00C1328D"/>
    <w:rsid w:val="00C15036"/>
    <w:rsid w:val="00C162EA"/>
    <w:rsid w:val="00C1715F"/>
    <w:rsid w:val="00C20392"/>
    <w:rsid w:val="00C20833"/>
    <w:rsid w:val="00C209B2"/>
    <w:rsid w:val="00C23FF5"/>
    <w:rsid w:val="00C24164"/>
    <w:rsid w:val="00C3025F"/>
    <w:rsid w:val="00C3188E"/>
    <w:rsid w:val="00C350A6"/>
    <w:rsid w:val="00C35CD9"/>
    <w:rsid w:val="00C40B0C"/>
    <w:rsid w:val="00C42CE2"/>
    <w:rsid w:val="00C45056"/>
    <w:rsid w:val="00C45F71"/>
    <w:rsid w:val="00C46703"/>
    <w:rsid w:val="00C47640"/>
    <w:rsid w:val="00C5202A"/>
    <w:rsid w:val="00C547C4"/>
    <w:rsid w:val="00C57E24"/>
    <w:rsid w:val="00C62413"/>
    <w:rsid w:val="00C6329E"/>
    <w:rsid w:val="00C64973"/>
    <w:rsid w:val="00C653EF"/>
    <w:rsid w:val="00C67F8E"/>
    <w:rsid w:val="00C74943"/>
    <w:rsid w:val="00C76BE1"/>
    <w:rsid w:val="00C80BCD"/>
    <w:rsid w:val="00C81735"/>
    <w:rsid w:val="00C82712"/>
    <w:rsid w:val="00C83146"/>
    <w:rsid w:val="00C856AE"/>
    <w:rsid w:val="00C857C2"/>
    <w:rsid w:val="00C874C5"/>
    <w:rsid w:val="00C904C6"/>
    <w:rsid w:val="00C91E62"/>
    <w:rsid w:val="00C92D67"/>
    <w:rsid w:val="00C941B0"/>
    <w:rsid w:val="00C94938"/>
    <w:rsid w:val="00C954EF"/>
    <w:rsid w:val="00C95D65"/>
    <w:rsid w:val="00C96F9C"/>
    <w:rsid w:val="00CA4178"/>
    <w:rsid w:val="00CA58C2"/>
    <w:rsid w:val="00CA7C9B"/>
    <w:rsid w:val="00CB1090"/>
    <w:rsid w:val="00CB265B"/>
    <w:rsid w:val="00CB36BB"/>
    <w:rsid w:val="00CB3DFC"/>
    <w:rsid w:val="00CB7FE8"/>
    <w:rsid w:val="00CC1706"/>
    <w:rsid w:val="00CC18D8"/>
    <w:rsid w:val="00CC2FFA"/>
    <w:rsid w:val="00CC4574"/>
    <w:rsid w:val="00CC4BA3"/>
    <w:rsid w:val="00CC70DB"/>
    <w:rsid w:val="00CD0C21"/>
    <w:rsid w:val="00CD3A30"/>
    <w:rsid w:val="00CD4BE8"/>
    <w:rsid w:val="00CE08AA"/>
    <w:rsid w:val="00CE091A"/>
    <w:rsid w:val="00CE149A"/>
    <w:rsid w:val="00CE336D"/>
    <w:rsid w:val="00CE36BA"/>
    <w:rsid w:val="00CE6A27"/>
    <w:rsid w:val="00CF2CCC"/>
    <w:rsid w:val="00CF3551"/>
    <w:rsid w:val="00CF474F"/>
    <w:rsid w:val="00CF5019"/>
    <w:rsid w:val="00CF746D"/>
    <w:rsid w:val="00CF7BB4"/>
    <w:rsid w:val="00D031F6"/>
    <w:rsid w:val="00D03488"/>
    <w:rsid w:val="00D042A8"/>
    <w:rsid w:val="00D0575D"/>
    <w:rsid w:val="00D05B80"/>
    <w:rsid w:val="00D13208"/>
    <w:rsid w:val="00D13706"/>
    <w:rsid w:val="00D13EF0"/>
    <w:rsid w:val="00D142F5"/>
    <w:rsid w:val="00D15979"/>
    <w:rsid w:val="00D15BC3"/>
    <w:rsid w:val="00D16FD1"/>
    <w:rsid w:val="00D22449"/>
    <w:rsid w:val="00D262CA"/>
    <w:rsid w:val="00D32673"/>
    <w:rsid w:val="00D34D7B"/>
    <w:rsid w:val="00D363F8"/>
    <w:rsid w:val="00D435E3"/>
    <w:rsid w:val="00D43AA6"/>
    <w:rsid w:val="00D5437B"/>
    <w:rsid w:val="00D55B54"/>
    <w:rsid w:val="00D56B4D"/>
    <w:rsid w:val="00D56EAC"/>
    <w:rsid w:val="00D6217B"/>
    <w:rsid w:val="00D6781D"/>
    <w:rsid w:val="00D6790B"/>
    <w:rsid w:val="00D70A71"/>
    <w:rsid w:val="00D76082"/>
    <w:rsid w:val="00D77A96"/>
    <w:rsid w:val="00D8063A"/>
    <w:rsid w:val="00D80D7C"/>
    <w:rsid w:val="00D80F40"/>
    <w:rsid w:val="00D820BD"/>
    <w:rsid w:val="00D846F3"/>
    <w:rsid w:val="00D869FB"/>
    <w:rsid w:val="00D87A53"/>
    <w:rsid w:val="00D90543"/>
    <w:rsid w:val="00D916B5"/>
    <w:rsid w:val="00D937A6"/>
    <w:rsid w:val="00D94DCC"/>
    <w:rsid w:val="00D9534F"/>
    <w:rsid w:val="00D96CD3"/>
    <w:rsid w:val="00D97787"/>
    <w:rsid w:val="00DA0702"/>
    <w:rsid w:val="00DA4F07"/>
    <w:rsid w:val="00DB195D"/>
    <w:rsid w:val="00DB56B5"/>
    <w:rsid w:val="00DB5A7A"/>
    <w:rsid w:val="00DC1DDD"/>
    <w:rsid w:val="00DC3080"/>
    <w:rsid w:val="00DC5FA2"/>
    <w:rsid w:val="00DD01F2"/>
    <w:rsid w:val="00DD071A"/>
    <w:rsid w:val="00DD0B69"/>
    <w:rsid w:val="00DD0EBF"/>
    <w:rsid w:val="00DD2CA0"/>
    <w:rsid w:val="00DD4CEE"/>
    <w:rsid w:val="00DD4F13"/>
    <w:rsid w:val="00DD50AF"/>
    <w:rsid w:val="00DD5E18"/>
    <w:rsid w:val="00DD6D6B"/>
    <w:rsid w:val="00DD730F"/>
    <w:rsid w:val="00DE0C47"/>
    <w:rsid w:val="00DE555B"/>
    <w:rsid w:val="00DE5AE7"/>
    <w:rsid w:val="00DE7660"/>
    <w:rsid w:val="00DF17F0"/>
    <w:rsid w:val="00DF1918"/>
    <w:rsid w:val="00E03D0E"/>
    <w:rsid w:val="00E04270"/>
    <w:rsid w:val="00E05EE9"/>
    <w:rsid w:val="00E0738F"/>
    <w:rsid w:val="00E11A5B"/>
    <w:rsid w:val="00E158CA"/>
    <w:rsid w:val="00E17452"/>
    <w:rsid w:val="00E225B5"/>
    <w:rsid w:val="00E22AB4"/>
    <w:rsid w:val="00E23F18"/>
    <w:rsid w:val="00E24C35"/>
    <w:rsid w:val="00E26216"/>
    <w:rsid w:val="00E264FD"/>
    <w:rsid w:val="00E27FDD"/>
    <w:rsid w:val="00E302FE"/>
    <w:rsid w:val="00E31464"/>
    <w:rsid w:val="00E31BD6"/>
    <w:rsid w:val="00E334F8"/>
    <w:rsid w:val="00E33A14"/>
    <w:rsid w:val="00E354DB"/>
    <w:rsid w:val="00E37BF1"/>
    <w:rsid w:val="00E418E5"/>
    <w:rsid w:val="00E45822"/>
    <w:rsid w:val="00E46E6C"/>
    <w:rsid w:val="00E46F91"/>
    <w:rsid w:val="00E47237"/>
    <w:rsid w:val="00E477D6"/>
    <w:rsid w:val="00E5099C"/>
    <w:rsid w:val="00E52AC2"/>
    <w:rsid w:val="00E55FDB"/>
    <w:rsid w:val="00E62A48"/>
    <w:rsid w:val="00E6618D"/>
    <w:rsid w:val="00E70562"/>
    <w:rsid w:val="00E75A8E"/>
    <w:rsid w:val="00E75B62"/>
    <w:rsid w:val="00E7712A"/>
    <w:rsid w:val="00E8102F"/>
    <w:rsid w:val="00E84334"/>
    <w:rsid w:val="00E853F2"/>
    <w:rsid w:val="00E87319"/>
    <w:rsid w:val="00E90EBF"/>
    <w:rsid w:val="00E91C5C"/>
    <w:rsid w:val="00E93380"/>
    <w:rsid w:val="00E957F1"/>
    <w:rsid w:val="00EB469E"/>
    <w:rsid w:val="00EB4FD3"/>
    <w:rsid w:val="00EB59B2"/>
    <w:rsid w:val="00EB6981"/>
    <w:rsid w:val="00EB69B3"/>
    <w:rsid w:val="00EB77B1"/>
    <w:rsid w:val="00EB7C99"/>
    <w:rsid w:val="00EC0B37"/>
    <w:rsid w:val="00EC2129"/>
    <w:rsid w:val="00EC30EA"/>
    <w:rsid w:val="00EC5702"/>
    <w:rsid w:val="00EC598B"/>
    <w:rsid w:val="00ED110D"/>
    <w:rsid w:val="00ED35D5"/>
    <w:rsid w:val="00ED5001"/>
    <w:rsid w:val="00ED5EB4"/>
    <w:rsid w:val="00ED6499"/>
    <w:rsid w:val="00ED7884"/>
    <w:rsid w:val="00EE2962"/>
    <w:rsid w:val="00EE2E1B"/>
    <w:rsid w:val="00EE5CD3"/>
    <w:rsid w:val="00EE6DCE"/>
    <w:rsid w:val="00EF0590"/>
    <w:rsid w:val="00EF2829"/>
    <w:rsid w:val="00EF2F7B"/>
    <w:rsid w:val="00EF3B39"/>
    <w:rsid w:val="00EF73C6"/>
    <w:rsid w:val="00F0065A"/>
    <w:rsid w:val="00F008AD"/>
    <w:rsid w:val="00F00DBC"/>
    <w:rsid w:val="00F01953"/>
    <w:rsid w:val="00F01EBA"/>
    <w:rsid w:val="00F02DD0"/>
    <w:rsid w:val="00F06B56"/>
    <w:rsid w:val="00F124AF"/>
    <w:rsid w:val="00F13BE5"/>
    <w:rsid w:val="00F13F0E"/>
    <w:rsid w:val="00F20FDF"/>
    <w:rsid w:val="00F2227B"/>
    <w:rsid w:val="00F23A59"/>
    <w:rsid w:val="00F23E80"/>
    <w:rsid w:val="00F2571F"/>
    <w:rsid w:val="00F26A72"/>
    <w:rsid w:val="00F31FDB"/>
    <w:rsid w:val="00F3500C"/>
    <w:rsid w:val="00F35B91"/>
    <w:rsid w:val="00F37D55"/>
    <w:rsid w:val="00F46C4F"/>
    <w:rsid w:val="00F47856"/>
    <w:rsid w:val="00F50C36"/>
    <w:rsid w:val="00F576AD"/>
    <w:rsid w:val="00F6233D"/>
    <w:rsid w:val="00F6264F"/>
    <w:rsid w:val="00F63118"/>
    <w:rsid w:val="00F6457D"/>
    <w:rsid w:val="00F6464F"/>
    <w:rsid w:val="00F64716"/>
    <w:rsid w:val="00F64910"/>
    <w:rsid w:val="00F67921"/>
    <w:rsid w:val="00F67C93"/>
    <w:rsid w:val="00F70229"/>
    <w:rsid w:val="00F722FF"/>
    <w:rsid w:val="00F80A3A"/>
    <w:rsid w:val="00F83959"/>
    <w:rsid w:val="00F839D9"/>
    <w:rsid w:val="00F84485"/>
    <w:rsid w:val="00F84B99"/>
    <w:rsid w:val="00F8625B"/>
    <w:rsid w:val="00F864EE"/>
    <w:rsid w:val="00F86523"/>
    <w:rsid w:val="00F8759D"/>
    <w:rsid w:val="00F9089D"/>
    <w:rsid w:val="00F92549"/>
    <w:rsid w:val="00F92BF3"/>
    <w:rsid w:val="00F947D6"/>
    <w:rsid w:val="00F95054"/>
    <w:rsid w:val="00F964D7"/>
    <w:rsid w:val="00F973E3"/>
    <w:rsid w:val="00F97AAF"/>
    <w:rsid w:val="00FA18F3"/>
    <w:rsid w:val="00FA1B85"/>
    <w:rsid w:val="00FA1EA8"/>
    <w:rsid w:val="00FA29FD"/>
    <w:rsid w:val="00FA31B8"/>
    <w:rsid w:val="00FA523E"/>
    <w:rsid w:val="00FA6E3F"/>
    <w:rsid w:val="00FA6F6C"/>
    <w:rsid w:val="00FB0D2E"/>
    <w:rsid w:val="00FB2486"/>
    <w:rsid w:val="00FB2BD0"/>
    <w:rsid w:val="00FB2F97"/>
    <w:rsid w:val="00FB4FAC"/>
    <w:rsid w:val="00FB7EA9"/>
    <w:rsid w:val="00FB7FB5"/>
    <w:rsid w:val="00FC2B6E"/>
    <w:rsid w:val="00FC3BD6"/>
    <w:rsid w:val="00FD1D4C"/>
    <w:rsid w:val="00FD2309"/>
    <w:rsid w:val="00FD5C46"/>
    <w:rsid w:val="00FD7DB7"/>
    <w:rsid w:val="00FE03EC"/>
    <w:rsid w:val="00FE2862"/>
    <w:rsid w:val="00FE41CC"/>
    <w:rsid w:val="00FE611C"/>
    <w:rsid w:val="00FF001A"/>
    <w:rsid w:val="00FF0502"/>
    <w:rsid w:val="00FF13D2"/>
    <w:rsid w:val="00FF1FE2"/>
    <w:rsid w:val="00FF609C"/>
    <w:rsid w:val="00FF754F"/>
    <w:rsid w:val="00FF7603"/>
    <w:rsid w:val="00FF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DA432"/>
  <w15:chartTrackingRefBased/>
  <w15:docId w15:val="{9D93E455-D2A3-4CE9-9847-E5A7911B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EDD"/>
    <w:pPr>
      <w:spacing w:after="200" w:line="276" w:lineRule="auto"/>
    </w:pPr>
  </w:style>
  <w:style w:type="paragraph" w:styleId="Heading1">
    <w:name w:val="heading 1"/>
    <w:basedOn w:val="Normal"/>
    <w:next w:val="Normal"/>
    <w:link w:val="Heading1Char"/>
    <w:uiPriority w:val="9"/>
    <w:qFormat/>
    <w:rsid w:val="007857CB"/>
    <w:pPr>
      <w:keepNext/>
      <w:keepLines/>
      <w:spacing w:before="480" w:after="24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94938"/>
    <w:pPr>
      <w:keepNext/>
      <w:keepLines/>
      <w:spacing w:before="200" w:after="24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571EF3"/>
    <w:pPr>
      <w:keepNext/>
      <w:keepLines/>
      <w:spacing w:before="200" w:after="120"/>
      <w:outlineLvl w:val="2"/>
    </w:pPr>
    <w:rPr>
      <w:rFonts w:asciiTheme="majorHAnsi" w:eastAsiaTheme="majorEastAsia" w:hAnsiTheme="majorHAnsi" w:cstheme="majorBidi"/>
      <w:b/>
      <w:bCs/>
      <w:color w:val="5B9BD5" w:themeColor="accent1"/>
      <w:sz w:val="24"/>
    </w:rPr>
  </w:style>
  <w:style w:type="paragraph" w:styleId="Heading4">
    <w:name w:val="heading 4"/>
    <w:basedOn w:val="Normal"/>
    <w:next w:val="Normal"/>
    <w:link w:val="Heading4Char"/>
    <w:uiPriority w:val="9"/>
    <w:unhideWhenUsed/>
    <w:qFormat/>
    <w:rsid w:val="00A56EDD"/>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A56EDD"/>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A56EDD"/>
    <w:pPr>
      <w:keepNext/>
      <w:keepLines/>
      <w:spacing w:before="200" w:after="0" w:line="240" w:lineRule="auto"/>
      <w:outlineLvl w:val="5"/>
    </w:pPr>
    <w:rPr>
      <w:rFonts w:asciiTheme="majorHAnsi" w:eastAsiaTheme="majorEastAsia" w:hAnsiTheme="majorHAnsi" w:cstheme="majorBidi"/>
      <w:i/>
      <w:iCs/>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7C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C9493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571EF3"/>
    <w:rPr>
      <w:rFonts w:asciiTheme="majorHAnsi" w:eastAsiaTheme="majorEastAsia" w:hAnsiTheme="majorHAnsi" w:cstheme="majorBidi"/>
      <w:b/>
      <w:bCs/>
      <w:color w:val="5B9BD5" w:themeColor="accent1"/>
      <w:sz w:val="24"/>
    </w:rPr>
  </w:style>
  <w:style w:type="character" w:customStyle="1" w:styleId="Heading4Char">
    <w:name w:val="Heading 4 Char"/>
    <w:basedOn w:val="DefaultParagraphFont"/>
    <w:link w:val="Heading4"/>
    <w:uiPriority w:val="9"/>
    <w:rsid w:val="00A56ED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A56EDD"/>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A56EDD"/>
    <w:rPr>
      <w:rFonts w:asciiTheme="majorHAnsi" w:eastAsiaTheme="majorEastAsia" w:hAnsiTheme="majorHAnsi" w:cstheme="majorBidi"/>
      <w:i/>
      <w:iCs/>
      <w:color w:val="1F4D78" w:themeColor="accent1" w:themeShade="7F"/>
      <w:szCs w:val="24"/>
    </w:rPr>
  </w:style>
  <w:style w:type="paragraph" w:styleId="ListParagraph">
    <w:name w:val="List Paragraph"/>
    <w:aliases w:val="WB List Paragraph"/>
    <w:basedOn w:val="Normal"/>
    <w:link w:val="ListParagraphChar"/>
    <w:uiPriority w:val="34"/>
    <w:qFormat/>
    <w:rsid w:val="00A56EDD"/>
    <w:pPr>
      <w:ind w:left="720"/>
      <w:contextualSpacing/>
    </w:pPr>
  </w:style>
  <w:style w:type="character" w:customStyle="1" w:styleId="ListParagraphChar">
    <w:name w:val="List Paragraph Char"/>
    <w:aliases w:val="WB List Paragraph Char"/>
    <w:basedOn w:val="DefaultParagraphFont"/>
    <w:link w:val="ListParagraph"/>
    <w:uiPriority w:val="34"/>
    <w:rsid w:val="00A56EDD"/>
  </w:style>
  <w:style w:type="table" w:styleId="TableGrid">
    <w:name w:val="Table Grid"/>
    <w:basedOn w:val="TableNormal"/>
    <w:uiPriority w:val="39"/>
    <w:rsid w:val="00A56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6EDD"/>
    <w:rPr>
      <w:color w:val="0563C1" w:themeColor="hyperlink"/>
      <w:u w:val="single"/>
    </w:rPr>
  </w:style>
  <w:style w:type="paragraph" w:styleId="FootnoteText">
    <w:name w:val="footnote text"/>
    <w:basedOn w:val="Normal"/>
    <w:link w:val="FootnoteTextChar"/>
    <w:uiPriority w:val="99"/>
    <w:unhideWhenUsed/>
    <w:rsid w:val="00A56EDD"/>
    <w:pPr>
      <w:spacing w:after="0" w:line="240" w:lineRule="auto"/>
    </w:pPr>
    <w:rPr>
      <w:sz w:val="20"/>
      <w:szCs w:val="20"/>
    </w:rPr>
  </w:style>
  <w:style w:type="character" w:customStyle="1" w:styleId="FootnoteTextChar">
    <w:name w:val="Footnote Text Char"/>
    <w:basedOn w:val="DefaultParagraphFont"/>
    <w:link w:val="FootnoteText"/>
    <w:uiPriority w:val="99"/>
    <w:rsid w:val="00A56EDD"/>
    <w:rPr>
      <w:sz w:val="20"/>
      <w:szCs w:val="20"/>
    </w:rPr>
  </w:style>
  <w:style w:type="character" w:styleId="FootnoteReference">
    <w:name w:val="footnote reference"/>
    <w:basedOn w:val="DefaultParagraphFont"/>
    <w:uiPriority w:val="99"/>
    <w:unhideWhenUsed/>
    <w:rsid w:val="00A56EDD"/>
    <w:rPr>
      <w:vertAlign w:val="superscript"/>
    </w:rPr>
  </w:style>
  <w:style w:type="character" w:customStyle="1" w:styleId="a1">
    <w:name w:val="a1"/>
    <w:basedOn w:val="DefaultParagraphFont"/>
    <w:rsid w:val="00A56EDD"/>
    <w:rPr>
      <w:rFonts w:ascii="Comic Sans MS" w:hAnsi="Comic Sans MS" w:hint="default"/>
      <w:b w:val="0"/>
      <w:bCs w:val="0"/>
      <w:i w:val="0"/>
      <w:iCs w:val="0"/>
      <w:bdr w:val="none" w:sz="0" w:space="0" w:color="auto" w:frame="1"/>
    </w:rPr>
  </w:style>
  <w:style w:type="character" w:customStyle="1" w:styleId="a2">
    <w:name w:val="a2"/>
    <w:basedOn w:val="DefaultParagraphFont"/>
    <w:rsid w:val="00A56EDD"/>
    <w:rPr>
      <w:rFonts w:ascii="Comic Sans MS" w:hAnsi="Comic Sans MS" w:hint="default"/>
      <w:b/>
      <w:bCs/>
      <w:i w:val="0"/>
      <w:iCs w:val="0"/>
      <w:bdr w:val="none" w:sz="0" w:space="0" w:color="auto" w:frame="1"/>
    </w:rPr>
  </w:style>
  <w:style w:type="paragraph" w:styleId="NormalWeb">
    <w:name w:val="Normal (Web)"/>
    <w:basedOn w:val="Normal"/>
    <w:uiPriority w:val="99"/>
    <w:unhideWhenUsed/>
    <w:rsid w:val="00A56ED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6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EDD"/>
    <w:rPr>
      <w:rFonts w:ascii="Tahoma" w:hAnsi="Tahoma" w:cs="Tahoma"/>
      <w:sz w:val="16"/>
      <w:szCs w:val="16"/>
    </w:rPr>
  </w:style>
  <w:style w:type="paragraph" w:customStyle="1" w:styleId="LB1">
    <w:name w:val="LB1"/>
    <w:basedOn w:val="ListParagraph"/>
    <w:qFormat/>
    <w:rsid w:val="00A56EDD"/>
    <w:pPr>
      <w:numPr>
        <w:numId w:val="2"/>
      </w:numPr>
      <w:spacing w:before="120" w:after="120" w:line="240" w:lineRule="auto"/>
      <w:contextualSpacing w:val="0"/>
      <w:jc w:val="both"/>
    </w:pPr>
    <w:rPr>
      <w:rFonts w:ascii="Times New Roman" w:eastAsiaTheme="minorEastAsia" w:hAnsi="Times New Roman" w:cs="Times New Roman"/>
      <w:sz w:val="20"/>
      <w:szCs w:val="20"/>
    </w:rPr>
  </w:style>
  <w:style w:type="paragraph" w:styleId="HTMLPreformatted">
    <w:name w:val="HTML Preformatted"/>
    <w:basedOn w:val="Normal"/>
    <w:link w:val="HTMLPreformattedChar"/>
    <w:uiPriority w:val="99"/>
    <w:unhideWhenUsed/>
    <w:rsid w:val="00A56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7"/>
      <w:szCs w:val="27"/>
    </w:rPr>
  </w:style>
  <w:style w:type="character" w:customStyle="1" w:styleId="HTMLPreformattedChar">
    <w:name w:val="HTML Preformatted Char"/>
    <w:basedOn w:val="DefaultParagraphFont"/>
    <w:link w:val="HTMLPreformatted"/>
    <w:uiPriority w:val="99"/>
    <w:rsid w:val="00A56EDD"/>
    <w:rPr>
      <w:rFonts w:ascii="Courier New" w:eastAsia="Times New Roman" w:hAnsi="Courier New" w:cs="Courier New"/>
      <w:sz w:val="27"/>
      <w:szCs w:val="27"/>
    </w:rPr>
  </w:style>
  <w:style w:type="paragraph" w:styleId="TOCHeading">
    <w:name w:val="TOC Heading"/>
    <w:basedOn w:val="Heading1"/>
    <w:next w:val="Normal"/>
    <w:uiPriority w:val="39"/>
    <w:unhideWhenUsed/>
    <w:qFormat/>
    <w:rsid w:val="00A56EDD"/>
    <w:pPr>
      <w:outlineLvl w:val="9"/>
    </w:pPr>
    <w:rPr>
      <w:lang w:eastAsia="ja-JP"/>
    </w:rPr>
  </w:style>
  <w:style w:type="paragraph" w:styleId="TOC2">
    <w:name w:val="toc 2"/>
    <w:basedOn w:val="Normal"/>
    <w:next w:val="Normal"/>
    <w:autoRedefine/>
    <w:uiPriority w:val="39"/>
    <w:unhideWhenUsed/>
    <w:rsid w:val="00A56EDD"/>
    <w:pPr>
      <w:spacing w:after="100"/>
      <w:ind w:left="220"/>
    </w:pPr>
  </w:style>
  <w:style w:type="paragraph" w:styleId="TOC3">
    <w:name w:val="toc 3"/>
    <w:basedOn w:val="Normal"/>
    <w:next w:val="Normal"/>
    <w:autoRedefine/>
    <w:uiPriority w:val="39"/>
    <w:unhideWhenUsed/>
    <w:rsid w:val="00A56EDD"/>
    <w:pPr>
      <w:spacing w:after="100"/>
      <w:ind w:left="440"/>
    </w:pPr>
  </w:style>
  <w:style w:type="paragraph" w:styleId="TOC4">
    <w:name w:val="toc 4"/>
    <w:basedOn w:val="Normal"/>
    <w:next w:val="Normal"/>
    <w:autoRedefine/>
    <w:uiPriority w:val="39"/>
    <w:unhideWhenUsed/>
    <w:rsid w:val="00A56EDD"/>
    <w:pPr>
      <w:spacing w:after="100"/>
      <w:ind w:left="660"/>
    </w:pPr>
  </w:style>
  <w:style w:type="paragraph" w:styleId="Header">
    <w:name w:val="header"/>
    <w:basedOn w:val="Normal"/>
    <w:link w:val="HeaderChar"/>
    <w:uiPriority w:val="99"/>
    <w:unhideWhenUsed/>
    <w:rsid w:val="00A56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EDD"/>
  </w:style>
  <w:style w:type="paragraph" w:styleId="Footer">
    <w:name w:val="footer"/>
    <w:basedOn w:val="Normal"/>
    <w:link w:val="FooterChar"/>
    <w:uiPriority w:val="99"/>
    <w:unhideWhenUsed/>
    <w:rsid w:val="00A56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EDD"/>
  </w:style>
  <w:style w:type="character" w:styleId="CommentReference">
    <w:name w:val="annotation reference"/>
    <w:basedOn w:val="DefaultParagraphFont"/>
    <w:uiPriority w:val="99"/>
    <w:unhideWhenUsed/>
    <w:rsid w:val="00A56EDD"/>
    <w:rPr>
      <w:sz w:val="16"/>
      <w:szCs w:val="16"/>
    </w:rPr>
  </w:style>
  <w:style w:type="paragraph" w:styleId="CommentText">
    <w:name w:val="annotation text"/>
    <w:basedOn w:val="Normal"/>
    <w:link w:val="CommentTextChar"/>
    <w:uiPriority w:val="99"/>
    <w:unhideWhenUsed/>
    <w:rsid w:val="00A56EDD"/>
    <w:pPr>
      <w:spacing w:line="240" w:lineRule="auto"/>
    </w:pPr>
    <w:rPr>
      <w:sz w:val="20"/>
      <w:szCs w:val="20"/>
    </w:rPr>
  </w:style>
  <w:style w:type="character" w:customStyle="1" w:styleId="CommentTextChar">
    <w:name w:val="Comment Text Char"/>
    <w:basedOn w:val="DefaultParagraphFont"/>
    <w:link w:val="CommentText"/>
    <w:uiPriority w:val="99"/>
    <w:rsid w:val="00A56EDD"/>
    <w:rPr>
      <w:sz w:val="20"/>
      <w:szCs w:val="20"/>
    </w:rPr>
  </w:style>
  <w:style w:type="paragraph" w:styleId="CommentSubject">
    <w:name w:val="annotation subject"/>
    <w:basedOn w:val="CommentText"/>
    <w:next w:val="CommentText"/>
    <w:link w:val="CommentSubjectChar"/>
    <w:uiPriority w:val="99"/>
    <w:semiHidden/>
    <w:unhideWhenUsed/>
    <w:rsid w:val="00A56EDD"/>
    <w:rPr>
      <w:b/>
      <w:bCs/>
    </w:rPr>
  </w:style>
  <w:style w:type="character" w:customStyle="1" w:styleId="CommentSubjectChar">
    <w:name w:val="Comment Subject Char"/>
    <w:basedOn w:val="CommentTextChar"/>
    <w:link w:val="CommentSubject"/>
    <w:uiPriority w:val="99"/>
    <w:semiHidden/>
    <w:rsid w:val="00A56EDD"/>
    <w:rPr>
      <w:b/>
      <w:bCs/>
      <w:sz w:val="20"/>
      <w:szCs w:val="20"/>
    </w:rPr>
  </w:style>
  <w:style w:type="paragraph" w:customStyle="1" w:styleId="Default">
    <w:name w:val="Default"/>
    <w:rsid w:val="00A56ED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A56EDD"/>
    <w:rPr>
      <w:color w:val="954F72" w:themeColor="followedHyperlink"/>
      <w:u w:val="single"/>
    </w:rPr>
  </w:style>
  <w:style w:type="character" w:customStyle="1" w:styleId="slug-vol">
    <w:name w:val="slug-vol"/>
    <w:basedOn w:val="DefaultParagraphFont"/>
    <w:rsid w:val="00A56EDD"/>
  </w:style>
  <w:style w:type="character" w:customStyle="1" w:styleId="slug-issue">
    <w:name w:val="slug-issue"/>
    <w:basedOn w:val="DefaultParagraphFont"/>
    <w:rsid w:val="00A56EDD"/>
  </w:style>
  <w:style w:type="paragraph" w:styleId="TOC1">
    <w:name w:val="toc 1"/>
    <w:basedOn w:val="Normal"/>
    <w:next w:val="Normal"/>
    <w:autoRedefine/>
    <w:uiPriority w:val="39"/>
    <w:unhideWhenUsed/>
    <w:rsid w:val="00A56EDD"/>
    <w:pPr>
      <w:spacing w:after="100"/>
    </w:pPr>
  </w:style>
  <w:style w:type="paragraph" w:styleId="Revision">
    <w:name w:val="Revision"/>
    <w:hidden/>
    <w:uiPriority w:val="99"/>
    <w:semiHidden/>
    <w:rsid w:val="00A56EDD"/>
    <w:pPr>
      <w:spacing w:after="0" w:line="240" w:lineRule="auto"/>
    </w:pPr>
  </w:style>
  <w:style w:type="character" w:styleId="PageNumber">
    <w:name w:val="page number"/>
    <w:basedOn w:val="DefaultParagraphFont"/>
    <w:uiPriority w:val="99"/>
    <w:semiHidden/>
    <w:unhideWhenUsed/>
    <w:rsid w:val="00A56EDD"/>
  </w:style>
  <w:style w:type="paragraph" w:styleId="DocumentMap">
    <w:name w:val="Document Map"/>
    <w:basedOn w:val="Normal"/>
    <w:link w:val="DocumentMapChar"/>
    <w:uiPriority w:val="99"/>
    <w:semiHidden/>
    <w:unhideWhenUsed/>
    <w:rsid w:val="00A56ED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56EDD"/>
    <w:rPr>
      <w:rFonts w:ascii="Lucida Grande" w:hAnsi="Lucida Grande" w:cs="Lucida Grande"/>
      <w:sz w:val="24"/>
      <w:szCs w:val="24"/>
    </w:rPr>
  </w:style>
  <w:style w:type="paragraph" w:styleId="TOC5">
    <w:name w:val="toc 5"/>
    <w:basedOn w:val="Normal"/>
    <w:next w:val="Normal"/>
    <w:autoRedefine/>
    <w:uiPriority w:val="39"/>
    <w:semiHidden/>
    <w:unhideWhenUsed/>
    <w:rsid w:val="00A56EDD"/>
    <w:pPr>
      <w:spacing w:after="0" w:line="240" w:lineRule="auto"/>
      <w:ind w:left="880"/>
    </w:pPr>
    <w:rPr>
      <w:sz w:val="20"/>
      <w:szCs w:val="20"/>
    </w:rPr>
  </w:style>
  <w:style w:type="paragraph" w:styleId="TOC6">
    <w:name w:val="toc 6"/>
    <w:basedOn w:val="Normal"/>
    <w:next w:val="Normal"/>
    <w:autoRedefine/>
    <w:uiPriority w:val="39"/>
    <w:semiHidden/>
    <w:unhideWhenUsed/>
    <w:rsid w:val="00A56EDD"/>
    <w:pPr>
      <w:spacing w:after="0" w:line="240" w:lineRule="auto"/>
      <w:ind w:left="1100"/>
    </w:pPr>
    <w:rPr>
      <w:sz w:val="20"/>
      <w:szCs w:val="20"/>
    </w:rPr>
  </w:style>
  <w:style w:type="paragraph" w:styleId="TOC7">
    <w:name w:val="toc 7"/>
    <w:basedOn w:val="Normal"/>
    <w:next w:val="Normal"/>
    <w:autoRedefine/>
    <w:uiPriority w:val="39"/>
    <w:semiHidden/>
    <w:unhideWhenUsed/>
    <w:rsid w:val="00A56EDD"/>
    <w:pPr>
      <w:spacing w:after="0" w:line="240" w:lineRule="auto"/>
      <w:ind w:left="1320"/>
    </w:pPr>
    <w:rPr>
      <w:sz w:val="20"/>
      <w:szCs w:val="20"/>
    </w:rPr>
  </w:style>
  <w:style w:type="paragraph" w:styleId="TOC8">
    <w:name w:val="toc 8"/>
    <w:basedOn w:val="Normal"/>
    <w:next w:val="Normal"/>
    <w:autoRedefine/>
    <w:uiPriority w:val="39"/>
    <w:semiHidden/>
    <w:unhideWhenUsed/>
    <w:rsid w:val="00A56EDD"/>
    <w:pPr>
      <w:spacing w:after="0" w:line="240" w:lineRule="auto"/>
      <w:ind w:left="1540"/>
    </w:pPr>
    <w:rPr>
      <w:sz w:val="20"/>
      <w:szCs w:val="20"/>
    </w:rPr>
  </w:style>
  <w:style w:type="paragraph" w:styleId="TOC9">
    <w:name w:val="toc 9"/>
    <w:basedOn w:val="Normal"/>
    <w:next w:val="Normal"/>
    <w:autoRedefine/>
    <w:uiPriority w:val="39"/>
    <w:semiHidden/>
    <w:unhideWhenUsed/>
    <w:rsid w:val="00A56EDD"/>
    <w:pPr>
      <w:spacing w:after="0" w:line="240" w:lineRule="auto"/>
      <w:ind w:left="1760"/>
    </w:pPr>
    <w:rPr>
      <w:sz w:val="20"/>
      <w:szCs w:val="20"/>
    </w:rPr>
  </w:style>
  <w:style w:type="paragraph" w:styleId="Subtitle">
    <w:name w:val="Subtitle"/>
    <w:basedOn w:val="Normal"/>
    <w:next w:val="Normal"/>
    <w:link w:val="SubtitleChar"/>
    <w:uiPriority w:val="11"/>
    <w:qFormat/>
    <w:rsid w:val="00A56EDD"/>
    <w:pPr>
      <w:numPr>
        <w:ilvl w:val="1"/>
      </w:numPr>
      <w:spacing w:after="0" w:line="240"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A56EDD"/>
    <w:rPr>
      <w:rFonts w:asciiTheme="majorHAnsi" w:eastAsiaTheme="majorEastAsia" w:hAnsiTheme="majorHAnsi" w:cstheme="majorBidi"/>
      <w:i/>
      <w:iCs/>
      <w:color w:val="5B9BD5" w:themeColor="accent1"/>
      <w:spacing w:val="15"/>
      <w:sz w:val="24"/>
      <w:szCs w:val="24"/>
    </w:rPr>
  </w:style>
  <w:style w:type="paragraph" w:customStyle="1" w:styleId="xmsofootnotetext">
    <w:name w:val="x_msofootnotetext"/>
    <w:basedOn w:val="Normal"/>
    <w:rsid w:val="00A56EDD"/>
    <w:pPr>
      <w:spacing w:before="100" w:beforeAutospacing="1" w:after="100" w:afterAutospacing="1" w:line="240" w:lineRule="auto"/>
    </w:pPr>
    <w:rPr>
      <w:rFonts w:ascii="Times" w:eastAsiaTheme="minorEastAsia" w:hAnsi="Times"/>
      <w:sz w:val="20"/>
      <w:szCs w:val="20"/>
    </w:rPr>
  </w:style>
  <w:style w:type="character" w:customStyle="1" w:styleId="apple-converted-space">
    <w:name w:val="apple-converted-space"/>
    <w:basedOn w:val="DefaultParagraphFont"/>
    <w:rsid w:val="00A56EDD"/>
  </w:style>
  <w:style w:type="paragraph" w:customStyle="1" w:styleId="xmsonormal">
    <w:name w:val="x_msonormal"/>
    <w:basedOn w:val="Normal"/>
    <w:rsid w:val="00A56EDD"/>
    <w:pPr>
      <w:spacing w:before="100" w:beforeAutospacing="1" w:after="100" w:afterAutospacing="1" w:line="240" w:lineRule="auto"/>
    </w:pPr>
    <w:rPr>
      <w:rFonts w:ascii="Times" w:eastAsiaTheme="minorEastAsia" w:hAnsi="Times"/>
      <w:sz w:val="20"/>
      <w:szCs w:val="20"/>
    </w:rPr>
  </w:style>
  <w:style w:type="paragraph" w:styleId="EndnoteText">
    <w:name w:val="endnote text"/>
    <w:basedOn w:val="Normal"/>
    <w:link w:val="EndnoteTextChar"/>
    <w:uiPriority w:val="99"/>
    <w:semiHidden/>
    <w:unhideWhenUsed/>
    <w:rsid w:val="00A56EDD"/>
    <w:pPr>
      <w:spacing w:after="0" w:line="240" w:lineRule="auto"/>
    </w:pPr>
    <w:rPr>
      <w:rFonts w:asciiTheme="majorHAnsi" w:hAnsiTheme="majorHAnsi"/>
      <w:sz w:val="20"/>
      <w:szCs w:val="20"/>
    </w:rPr>
  </w:style>
  <w:style w:type="character" w:customStyle="1" w:styleId="EndnoteTextChar">
    <w:name w:val="Endnote Text Char"/>
    <w:basedOn w:val="DefaultParagraphFont"/>
    <w:link w:val="EndnoteText"/>
    <w:uiPriority w:val="99"/>
    <w:semiHidden/>
    <w:rsid w:val="00A56EDD"/>
    <w:rPr>
      <w:rFonts w:asciiTheme="majorHAnsi" w:hAnsiTheme="majorHAnsi"/>
      <w:sz w:val="20"/>
      <w:szCs w:val="20"/>
    </w:rPr>
  </w:style>
  <w:style w:type="character" w:styleId="EndnoteReference">
    <w:name w:val="endnote reference"/>
    <w:basedOn w:val="DefaultParagraphFont"/>
    <w:uiPriority w:val="99"/>
    <w:semiHidden/>
    <w:unhideWhenUsed/>
    <w:rsid w:val="00A56EDD"/>
    <w:rPr>
      <w:vertAlign w:val="superscript"/>
    </w:rPr>
  </w:style>
  <w:style w:type="paragraph" w:styleId="Caption">
    <w:name w:val="caption"/>
    <w:basedOn w:val="Normal"/>
    <w:next w:val="Normal"/>
    <w:uiPriority w:val="35"/>
    <w:unhideWhenUsed/>
    <w:qFormat/>
    <w:rsid w:val="00F37D55"/>
    <w:pPr>
      <w:spacing w:before="120" w:after="120" w:line="240" w:lineRule="auto"/>
      <w:jc w:val="center"/>
    </w:pPr>
    <w:rPr>
      <w:b/>
      <w:iCs/>
      <w:sz w:val="20"/>
      <w:szCs w:val="18"/>
    </w:rPr>
  </w:style>
  <w:style w:type="character" w:styleId="HTMLCite">
    <w:name w:val="HTML Cite"/>
    <w:basedOn w:val="DefaultParagraphFont"/>
    <w:uiPriority w:val="99"/>
    <w:semiHidden/>
    <w:unhideWhenUsed/>
    <w:rsid w:val="00122F31"/>
    <w:rPr>
      <w:i/>
      <w:iCs/>
    </w:rPr>
  </w:style>
  <w:style w:type="character" w:styleId="Emphasis">
    <w:name w:val="Emphasis"/>
    <w:basedOn w:val="DefaultParagraphFont"/>
    <w:uiPriority w:val="20"/>
    <w:qFormat/>
    <w:rsid w:val="00535DAC"/>
    <w:rPr>
      <w:b/>
      <w:bCs/>
      <w:i w:val="0"/>
      <w:iCs w:val="0"/>
    </w:rPr>
  </w:style>
  <w:style w:type="character" w:customStyle="1" w:styleId="st1">
    <w:name w:val="st1"/>
    <w:basedOn w:val="DefaultParagraphFont"/>
    <w:rsid w:val="00535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685352">
      <w:bodyDiv w:val="1"/>
      <w:marLeft w:val="0"/>
      <w:marRight w:val="0"/>
      <w:marTop w:val="0"/>
      <w:marBottom w:val="0"/>
      <w:divBdr>
        <w:top w:val="none" w:sz="0" w:space="0" w:color="auto"/>
        <w:left w:val="none" w:sz="0" w:space="0" w:color="auto"/>
        <w:bottom w:val="none" w:sz="0" w:space="0" w:color="auto"/>
        <w:right w:val="none" w:sz="0" w:space="0" w:color="auto"/>
      </w:divBdr>
      <w:divsChild>
        <w:div w:id="1376584302">
          <w:marLeft w:val="0"/>
          <w:marRight w:val="0"/>
          <w:marTop w:val="0"/>
          <w:marBottom w:val="0"/>
          <w:divBdr>
            <w:top w:val="none" w:sz="0" w:space="0" w:color="auto"/>
            <w:left w:val="none" w:sz="0" w:space="0" w:color="auto"/>
            <w:bottom w:val="none" w:sz="0" w:space="0" w:color="auto"/>
            <w:right w:val="none" w:sz="0" w:space="0" w:color="auto"/>
          </w:divBdr>
          <w:divsChild>
            <w:div w:id="968315972">
              <w:marLeft w:val="0"/>
              <w:marRight w:val="0"/>
              <w:marTop w:val="0"/>
              <w:marBottom w:val="0"/>
              <w:divBdr>
                <w:top w:val="none" w:sz="0" w:space="0" w:color="auto"/>
                <w:left w:val="none" w:sz="0" w:space="0" w:color="auto"/>
                <w:bottom w:val="none" w:sz="0" w:space="0" w:color="auto"/>
                <w:right w:val="none" w:sz="0" w:space="0" w:color="auto"/>
              </w:divBdr>
              <w:divsChild>
                <w:div w:id="2114743745">
                  <w:marLeft w:val="0"/>
                  <w:marRight w:val="0"/>
                  <w:marTop w:val="0"/>
                  <w:marBottom w:val="0"/>
                  <w:divBdr>
                    <w:top w:val="none" w:sz="0" w:space="0" w:color="auto"/>
                    <w:left w:val="none" w:sz="0" w:space="0" w:color="auto"/>
                    <w:bottom w:val="none" w:sz="0" w:space="0" w:color="auto"/>
                    <w:right w:val="none" w:sz="0" w:space="0" w:color="auto"/>
                  </w:divBdr>
                  <w:divsChild>
                    <w:div w:id="1512599009">
                      <w:marLeft w:val="0"/>
                      <w:marRight w:val="0"/>
                      <w:marTop w:val="0"/>
                      <w:marBottom w:val="0"/>
                      <w:divBdr>
                        <w:top w:val="none" w:sz="0" w:space="0" w:color="auto"/>
                        <w:left w:val="none" w:sz="0" w:space="0" w:color="auto"/>
                        <w:bottom w:val="none" w:sz="0" w:space="0" w:color="auto"/>
                        <w:right w:val="none" w:sz="0" w:space="0" w:color="auto"/>
                      </w:divBdr>
                      <w:divsChild>
                        <w:div w:id="1989623658">
                          <w:marLeft w:val="0"/>
                          <w:marRight w:val="0"/>
                          <w:marTop w:val="0"/>
                          <w:marBottom w:val="0"/>
                          <w:divBdr>
                            <w:top w:val="none" w:sz="0" w:space="0" w:color="auto"/>
                            <w:left w:val="none" w:sz="0" w:space="0" w:color="auto"/>
                            <w:bottom w:val="none" w:sz="0" w:space="0" w:color="auto"/>
                            <w:right w:val="none" w:sz="0" w:space="0" w:color="auto"/>
                          </w:divBdr>
                          <w:divsChild>
                            <w:div w:id="213388986">
                              <w:marLeft w:val="0"/>
                              <w:marRight w:val="0"/>
                              <w:marTop w:val="0"/>
                              <w:marBottom w:val="0"/>
                              <w:divBdr>
                                <w:top w:val="none" w:sz="0" w:space="0" w:color="auto"/>
                                <w:left w:val="none" w:sz="0" w:space="0" w:color="auto"/>
                                <w:bottom w:val="none" w:sz="0" w:space="0" w:color="auto"/>
                                <w:right w:val="none" w:sz="0" w:space="0" w:color="auto"/>
                              </w:divBdr>
                              <w:divsChild>
                                <w:div w:id="736711609">
                                  <w:marLeft w:val="0"/>
                                  <w:marRight w:val="0"/>
                                  <w:marTop w:val="0"/>
                                  <w:marBottom w:val="0"/>
                                  <w:divBdr>
                                    <w:top w:val="none" w:sz="0" w:space="0" w:color="auto"/>
                                    <w:left w:val="none" w:sz="0" w:space="0" w:color="auto"/>
                                    <w:bottom w:val="none" w:sz="0" w:space="0" w:color="auto"/>
                                    <w:right w:val="none" w:sz="0" w:space="0" w:color="auto"/>
                                  </w:divBdr>
                                  <w:divsChild>
                                    <w:div w:id="910819426">
                                      <w:marLeft w:val="0"/>
                                      <w:marRight w:val="0"/>
                                      <w:marTop w:val="0"/>
                                      <w:marBottom w:val="0"/>
                                      <w:divBdr>
                                        <w:top w:val="none" w:sz="0" w:space="0" w:color="auto"/>
                                        <w:left w:val="none" w:sz="0" w:space="0" w:color="auto"/>
                                        <w:bottom w:val="none" w:sz="0" w:space="0" w:color="auto"/>
                                        <w:right w:val="none" w:sz="0" w:space="0" w:color="auto"/>
                                      </w:divBdr>
                                      <w:divsChild>
                                        <w:div w:id="1321808934">
                                          <w:marLeft w:val="0"/>
                                          <w:marRight w:val="0"/>
                                          <w:marTop w:val="0"/>
                                          <w:marBottom w:val="0"/>
                                          <w:divBdr>
                                            <w:top w:val="none" w:sz="0" w:space="0" w:color="auto"/>
                                            <w:left w:val="none" w:sz="0" w:space="0" w:color="auto"/>
                                            <w:bottom w:val="none" w:sz="0" w:space="0" w:color="auto"/>
                                            <w:right w:val="none" w:sz="0" w:space="0" w:color="auto"/>
                                          </w:divBdr>
                                          <w:divsChild>
                                            <w:div w:id="17046131">
                                              <w:marLeft w:val="0"/>
                                              <w:marRight w:val="0"/>
                                              <w:marTop w:val="0"/>
                                              <w:marBottom w:val="0"/>
                                              <w:divBdr>
                                                <w:top w:val="none" w:sz="0" w:space="0" w:color="auto"/>
                                                <w:left w:val="none" w:sz="0" w:space="0" w:color="auto"/>
                                                <w:bottom w:val="none" w:sz="0" w:space="0" w:color="auto"/>
                                                <w:right w:val="none" w:sz="0" w:space="0" w:color="auto"/>
                                              </w:divBdr>
                                              <w:divsChild>
                                                <w:div w:id="33970862">
                                                  <w:marLeft w:val="0"/>
                                                  <w:marRight w:val="0"/>
                                                  <w:marTop w:val="0"/>
                                                  <w:marBottom w:val="0"/>
                                                  <w:divBdr>
                                                    <w:top w:val="none" w:sz="0" w:space="0" w:color="auto"/>
                                                    <w:left w:val="none" w:sz="0" w:space="0" w:color="auto"/>
                                                    <w:bottom w:val="none" w:sz="0" w:space="0" w:color="auto"/>
                                                    <w:right w:val="none" w:sz="0" w:space="0" w:color="auto"/>
                                                  </w:divBdr>
                                                </w:div>
                                                <w:div w:id="181313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ubrights@worldbank.org" TargetMode="External"/><Relationship Id="rId18" Type="http://schemas.openxmlformats.org/officeDocument/2006/relationships/image" Target="media/image4.png"/><Relationship Id="rId26" Type="http://schemas.openxmlformats.org/officeDocument/2006/relationships/chart" Target="charts/chart4.xml"/><Relationship Id="rId39" Type="http://schemas.openxmlformats.org/officeDocument/2006/relationships/hyperlink" Target="http://www.cgdev.org/files/1423350_file_CGD_PSAF_Report_web.pdf" TargetMode="External"/><Relationship Id="rId21" Type="http://schemas.openxmlformats.org/officeDocument/2006/relationships/hyperlink" Target="http://www.govindicators.org" TargetMode="External"/><Relationship Id="rId34" Type="http://schemas.openxmlformats.org/officeDocument/2006/relationships/chart" Target="charts/chart9.xml"/><Relationship Id="rId42" Type="http://schemas.openxmlformats.org/officeDocument/2006/relationships/hyperlink" Target="http://www.odi.org.uk/sites/odi.org.uk/files/odi-assets/publications-opinion-files/2482.pdf" TargetMode="External"/><Relationship Id="rId47" Type="http://schemas.openxmlformats.org/officeDocument/2006/relationships/hyperlink" Target="http://egwestcentre.files.wordpress.com/2014/07/00-report-south-sudan-2013-11-30.pdf" TargetMode="External"/><Relationship Id="rId50" Type="http://schemas.openxmlformats.org/officeDocument/2006/relationships/hyperlink" Target="http://www.ecmi.de/uploads/tx_lfpubdb/brief_17.pdf" TargetMode="External"/><Relationship Id="rId55" Type="http://schemas.openxmlformats.org/officeDocument/2006/relationships/hyperlink" Target="http://www.unicef.org/esaro/Children_in_Sudan_summary_sheet_final.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5.png"/><Relationship Id="rId29" Type="http://schemas.openxmlformats.org/officeDocument/2006/relationships/chart" Target="charts/chart6.xml"/><Relationship Id="rId41" Type="http://schemas.openxmlformats.org/officeDocument/2006/relationships/hyperlink" Target="http://www.odi.org.uk/sites/odi.org.uk/files/odi-assets/publications-opinion-files/1979.pdf/" TargetMode="External"/><Relationship Id="rId54" Type="http://schemas.openxmlformats.org/officeDocument/2006/relationships/hyperlink" Target="http://www.undp.org/content/dam/undp/library/crisis%20prevention/crisisgovernanceexecutivesummary2013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mifotra.gov.rw/fileadmin/templates/downloads/IMPLIMENTATION.pdf" TargetMode="External"/><Relationship Id="rId32" Type="http://schemas.openxmlformats.org/officeDocument/2006/relationships/image" Target="media/image8.png"/><Relationship Id="rId37" Type="http://schemas.openxmlformats.org/officeDocument/2006/relationships/chart" Target="charts/chart12.xml"/><Relationship Id="rId40" Type="http://schemas.openxmlformats.org/officeDocument/2006/relationships/hyperlink" Target="https://www.imf.org/external/pubs/ft/tnm/2010/tnm1015.pdf" TargetMode="External"/><Relationship Id="rId45" Type="http://schemas.openxmlformats.org/officeDocument/2006/relationships/hyperlink" Target="http://isecenter.org/publication-category/state-effectiveness-initiative-publications/" TargetMode="External"/><Relationship Id="rId53" Type="http://schemas.openxmlformats.org/officeDocument/2006/relationships/hyperlink" Target="http://www.undp.org/content/undp/en/home/librarypage/crisis-prevention-and-recovery/supporting-capacity-development-in-conflict-and-fragile-contexts/" TargetMode="External"/><Relationship Id="rId58" Type="http://schemas.openxmlformats.org/officeDocument/2006/relationships/hyperlink" Target="http://www-wds.worldbank.org/external/default/WDSContentServer/IW3P/IB/2012/06/28/000333038_20120628035809/Rendered/PDF/705950PUB0EPI0067902B09780821388914.pdf"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chart" Target="charts/chart2.xml"/><Relationship Id="rId28" Type="http://schemas.openxmlformats.org/officeDocument/2006/relationships/chart" Target="charts/chart5.xml"/><Relationship Id="rId36" Type="http://schemas.openxmlformats.org/officeDocument/2006/relationships/chart" Target="charts/chart11.xml"/><Relationship Id="rId49" Type="http://schemas.openxmlformats.org/officeDocument/2006/relationships/hyperlink" Target="http://siteresources.worldbank.org/EXTWDR2011/Resources/6406082-1283882418764/WDR_Background_Paper_Pritchett.pdf" TargetMode="External"/><Relationship Id="rId57" Type="http://schemas.openxmlformats.org/officeDocument/2006/relationships/hyperlink" Target="http://www.iri.org/sites/default/files/2013%20July%2019%20Survey%20of%20South%20Sudan%20Public%20Opinion,%20April%2024-May%2022,%202013.pdf" TargetMode="Externa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govindicators.org" TargetMode="External"/><Relationship Id="rId31" Type="http://schemas.openxmlformats.org/officeDocument/2006/relationships/image" Target="media/image7.emf"/><Relationship Id="rId44" Type="http://schemas.openxmlformats.org/officeDocument/2006/relationships/hyperlink" Target="http://www.undp.org/content/dam/southsudan/library/Reports/southsudanotherdocuments/Budget%20and%20Wages%20PPT%20for%20Balazs%20Sept%2021%202012.pdf" TargetMode="External"/><Relationship Id="rId52" Type="http://schemas.openxmlformats.org/officeDocument/2006/relationships/hyperlink" Target="http://www.smallarmssurveysudan.org/fileadmin/docs/issue-briefs/HSBA-IB-17-Rethinking-DDR-in-South-Sudan.pdf"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chart" Target="charts/chart1.xml"/><Relationship Id="rId27" Type="http://schemas.openxmlformats.org/officeDocument/2006/relationships/image" Target="media/image6.png"/><Relationship Id="rId30" Type="http://schemas.openxmlformats.org/officeDocument/2006/relationships/chart" Target="charts/chart7.xml"/><Relationship Id="rId35" Type="http://schemas.openxmlformats.org/officeDocument/2006/relationships/chart" Target="charts/chart10.xml"/><Relationship Id="rId43" Type="http://schemas.openxmlformats.org/officeDocument/2006/relationships/hyperlink" Target="http://www.gsdrc.org/docs/open/HD643.pdf" TargetMode="External"/><Relationship Id="rId48" Type="http://schemas.openxmlformats.org/officeDocument/2006/relationships/hyperlink" Target="http://pages.vassar.edu/mampilly/files/2013/11/ROSS-Decisionmaking-Final.pdf" TargetMode="External"/><Relationship Id="rId56" Type="http://schemas.openxmlformats.org/officeDocument/2006/relationships/hyperlink" Target="http://www.iri.org/sites/default/files/2011%20December%205%20Survey%20of%20South%20Sudan%20Public%20Opinion,%20September%206-27,%202011.pdf" TargetMode="External"/><Relationship Id="rId8" Type="http://schemas.openxmlformats.org/officeDocument/2006/relationships/webSettings" Target="webSettings.xml"/><Relationship Id="rId51" Type="http://schemas.openxmlformats.org/officeDocument/2006/relationships/hyperlink" Target="http://www.smallarmssurveysudan.org/fileadmin/docs/working-papers/HSBA-WP-23-SPLA-Transformation-2006-10-and-Beyond.pdf" TargetMode="External"/><Relationship Id="rId3" Type="http://schemas.openxmlformats.org/officeDocument/2006/relationships/customXml" Target="../customXml/item3.xml"/><Relationship Id="rId12" Type="http://schemas.openxmlformats.org/officeDocument/2006/relationships/hyperlink" Target="http://www.copyright.com" TargetMode="External"/><Relationship Id="rId17" Type="http://schemas.openxmlformats.org/officeDocument/2006/relationships/footer" Target="footer2.xml"/><Relationship Id="rId25" Type="http://schemas.openxmlformats.org/officeDocument/2006/relationships/chart" Target="charts/chart3.xml"/><Relationship Id="rId33" Type="http://schemas.openxmlformats.org/officeDocument/2006/relationships/chart" Target="charts/chart8.xml"/><Relationship Id="rId38" Type="http://schemas.openxmlformats.org/officeDocument/2006/relationships/hyperlink" Target="http://www.afdb.org/fileadmin/uploads/afdb/Documents/Project-and-Operations/2011%20Political_Economy_South_Sudan_-_24_October_20111.pdf" TargetMode="External"/><Relationship Id="rId46" Type="http://schemas.openxmlformats.org/officeDocument/2006/relationships/hyperlink" Target="http://www.usip.org/sites/default/files/Diversity,%20Unity,%20and%20Nation%20Building%20in%20South%20Sudan%20(Jok).pdf" TargetMode="External"/><Relationship Id="rId59" Type="http://schemas.openxmlformats.org/officeDocument/2006/relationships/hyperlink" Target="http://www-wds.worldbank.org/external/default/WDSContentServer/WDSP/IB/2013/05/08/000442464_20130508115303/Rendered/PDF/774290BRI0Econ00Box377296B00PUBLIC0.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google.com/imgres?imgurl=http://gulf2000.columbia.edu/images/maps/South_Sudan_Ethnic_lg.jpg&amp;imgrefurl=http://gulf2000.columbia.edu/maps.shtml&amp;h=2100&amp;w=3005&amp;sz=3378&amp;tbnid=yGm-TC_LHjxG0M:&amp;tbnh=95&amp;tbnw=136&amp;zoom=1&amp;usg=__YCVzkxAQhZKny401prizpyUgun0=&amp;docid=5YCjfhMj-iyu8M&amp;sa=X&amp;ei=3ER5UoCVO83IsASuh4HQBw&amp;ved=0CDEQ9QEwAw" TargetMode="External"/><Relationship Id="rId13" Type="http://schemas.openxmlformats.org/officeDocument/2006/relationships/hyperlink" Target="http://sudantribune.com/spip.php?article33958" TargetMode="External"/><Relationship Id="rId18" Type="http://schemas.openxmlformats.org/officeDocument/2006/relationships/hyperlink" Target="http://www.acdi-cida.gc.ca/cidaweb%5Ccpo.nsf/projEn/A034576001" TargetMode="External"/><Relationship Id="rId3" Type="http://schemas.openxmlformats.org/officeDocument/2006/relationships/hyperlink" Target="http://southsudan.iom.int/wp-content/uploads/2013/06/IOM-Village-Assessment-Survey-Report-2013.pdf" TargetMode="External"/><Relationship Id="rId21" Type="http://schemas.openxmlformats.org/officeDocument/2006/relationships/hyperlink" Target="http://devtracker.dfid.gov.uk/countries/SS/projects/" TargetMode="External"/><Relationship Id="rId7" Type="http://schemas.openxmlformats.org/officeDocument/2006/relationships/hyperlink" Target="http://apps.who.int/gho/data/node.country.country-SSD" TargetMode="External"/><Relationship Id="rId12" Type="http://schemas.openxmlformats.org/officeDocument/2006/relationships/hyperlink" Target="http://pachodo.org/latest-news-articles/pachodo-english-articles/561-south-sudan-targets-costly-qghostq-workers" TargetMode="External"/><Relationship Id="rId17" Type="http://schemas.openxmlformats.org/officeDocument/2006/relationships/hyperlink" Target="http://www.cnn.com/2011/10/30/world/africa/south-sudan-attack/" TargetMode="External"/><Relationship Id="rId25" Type="http://schemas.openxmlformats.org/officeDocument/2006/relationships/hyperlink" Target="http://www.statehouse.gov.sl/index.php/component/content/article/34-news-articles/561-sierra-leone-government-presidential-address-delivered-by-his-excellency-the-president-dr-ernest-bai-koroma-gcrsl-president-of-the-republic-and-commander-in-chief-of-the-republic-of-sierra-leone-armed-forces-on-the-occasion-of-the-end-of-the-fif" TargetMode="External"/><Relationship Id="rId2" Type="http://schemas.openxmlformats.org/officeDocument/2006/relationships/hyperlink" Target="http://www.odi.org.uk/sites/odi.org.uk/files/odi-assets/publications-opinion-files/7716.pdf" TargetMode="External"/><Relationship Id="rId16" Type="http://schemas.openxmlformats.org/officeDocument/2006/relationships/hyperlink" Target="http://www.sudantribune.com/spip.php?iframe&amp;page=imprimable&amp;id_article=40340" TargetMode="External"/><Relationship Id="rId20" Type="http://schemas.openxmlformats.org/officeDocument/2006/relationships/hyperlink" Target="http://stats.oecd.org/" TargetMode="External"/><Relationship Id="rId1" Type="http://schemas.openxmlformats.org/officeDocument/2006/relationships/hyperlink" Target="http://www.iaaca.org/AntiCorruptionAuthorities/ByCountriesandRegions/S/Sudan/201202/t20120215_805325.shtml" TargetMode="External"/><Relationship Id="rId6" Type="http://schemas.openxmlformats.org/officeDocument/2006/relationships/hyperlink" Target="http://www-wds.worldbank.org/external/default/WDSContentServer/WDSP/IB/2011/11/21/000001843_20111122101822/Rendered/PDF/Project0Inform0cument0Concept0Stage.pdf" TargetMode="External"/><Relationship Id="rId11" Type="http://schemas.openxmlformats.org/officeDocument/2006/relationships/hyperlink" Target="http://www.goss.org/" TargetMode="External"/><Relationship Id="rId24" Type="http://schemas.openxmlformats.org/officeDocument/2006/relationships/hyperlink" Target="http://www.newsudanvision.com/sudan/2368-south-sudans-minister-without-portfolio-committed-to-lean-and-effective-government" TargetMode="External"/><Relationship Id="rId5" Type="http://schemas.openxmlformats.org/officeDocument/2006/relationships/hyperlink" Target="http://www.southsudanemis.org/" TargetMode="External"/><Relationship Id="rId15" Type="http://schemas.openxmlformats.org/officeDocument/2006/relationships/hyperlink" Target="http://www.gurtong.net/ECM/Editorial/tabid/124/ctl/ArticleView/mid/519/articleId/12694/More-Than-10000-Ghost-Names-Unearthed-In-Police-Service.aspx" TargetMode="External"/><Relationship Id="rId23" Type="http://schemas.openxmlformats.org/officeDocument/2006/relationships/hyperlink" Target="http://www.un.org/en/ecosoc/julyhls/pdf12/south_sudan_au_brochure.pdf" TargetMode="External"/><Relationship Id="rId10" Type="http://schemas.openxmlformats.org/officeDocument/2006/relationships/hyperlink" Target="http://reliefweb.int/report/south-sudan-republic/south-sudan-integrates-former-rebels-regular-army" TargetMode="External"/><Relationship Id="rId19" Type="http://schemas.openxmlformats.org/officeDocument/2006/relationships/hyperlink" Target="http://www.sudantribune.com/IMG/pdf/agreement_on_post_service_benefits_sudan_south_s0001-2.pdf" TargetMode="External"/><Relationship Id="rId4" Type="http://schemas.openxmlformats.org/officeDocument/2006/relationships/hyperlink" Target="http://www.southsudanemis.org/" TargetMode="External"/><Relationship Id="rId9" Type="http://schemas.openxmlformats.org/officeDocument/2006/relationships/hyperlink" Target="http://www.c-r.org/sites/c-r.org/files/Accord18_13Planningforreconstruction_2006_ENG.pdf" TargetMode="External"/><Relationship Id="rId14" Type="http://schemas.openxmlformats.org/officeDocument/2006/relationships/hyperlink" Target="http://allafrica.com/stories/201305061411.html" TargetMode="External"/><Relationship Id="rId22" Type="http://schemas.openxmlformats.org/officeDocument/2006/relationships/hyperlink" Target="http://subweb.diis.dk/graphics/Publications/Policybriefs%202011/PB-Civil-Servant-South-Sudan_web.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B.AD.WORLDBANK.ORG\und$\wb263896\L\South%20Sudan\South%20Sudan%20governance%20review\Managing%20the%20wagebill%20note\Data\Overall%20revenue%20and%20expenditure%20and%20wage%20bil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Macintosh%20HD:Users:Marcos:Desktop:0%20World%20Bank:study%20PCCs:19%20Synthesis%20Report:yy_support%20docs:2%20data:size%20civil%20service%20-%20comparative%20data.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Macintosh%20HD:Users:Marcos:Desktop:0%20World%20Bank:study%20PCCs:4%20case%20studies:case%20south%20sudan:MIX:SS%20Civil%20Servants%202006-201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Macintosh%20HD:Users:Marcos:Desktop:0%20World%20Bank:study%20PCCs:19%20Synthesis%20Report:yy_support%20docs:2%20data:size%20civil%20service%20-%20comparative%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B.AD.WORLDBANK.ORG\und$\wb263896\L\South%20Sudan\South%20Sudan%20governance%20review\Managing%20the%20wagebill%20note\Data\Overall%20revenue%20and%20expenditure%20and%20wage%20bil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B.AD.WORLDBANK.ORG\und$\wb263896\L\South%20Sudan\South%20Sudan%20governance%20review\Managing%20the%20wagebill%20note\South%20Sudan%20wag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6.xml.rels><?xml version="1.0" encoding="UTF-8" standalone="yes"?>
<Relationships xmlns="http://schemas.openxmlformats.org/package/2006/relationships"><Relationship Id="rId3" Type="http://schemas.openxmlformats.org/officeDocument/2006/relationships/oleObject" Target="file:///\\WB.AD.WORLDBANK.ORG\und$\wb263896\L\South%20Sudan\South%20Sudan%20governance%20review\Managing%20the%20wagebill%20note\Data\wage%20bill%20calculations.xlsx" TargetMode="External"/><Relationship Id="rId2" Type="http://schemas.microsoft.com/office/2011/relationships/chartColorStyle" Target="colors2.xml"/><Relationship Id="rId1" Type="http://schemas.microsoft.com/office/2011/relationships/chartStyle" Target="style2.xml"/></Relationships>
</file>

<file path=word/charts/_rels/chart7.xml.rels><?xml version="1.0" encoding="UTF-8" standalone="yes"?>
<Relationships xmlns="http://schemas.openxmlformats.org/package/2006/relationships"><Relationship Id="rId1" Type="http://schemas.openxmlformats.org/officeDocument/2006/relationships/oleObject" Target="file:///\\WB.AD.WORLDBANK.ORG\und$\wb263896\L\South%20Sudan\South%20Sudan%20governance%20review\Managing%20the%20wagebill%20note\Data\Calcuation%20of%20per%20capita%20revenu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wb263896\Desktop\South%20Sudan\Wage%20bill%20note\Pension%20cost_report.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cintosh%20HD:Users:Marcos:Desktop:0%20World%20Bank:study%20PCCs:4%20case%20studies:CASE%20AFGHANISTAN:data%20public%20service%20AF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Government revenue</c:v>
          </c:tx>
          <c:marker>
            <c:symbol val="none"/>
          </c:marker>
          <c:cat>
            <c:strRef>
              <c:f>Sheet1!$C$4:$M$4</c:f>
              <c:strCache>
                <c:ptCount val="9"/>
                <c:pt idx="0">
                  <c:v>2005</c:v>
                </c:pt>
                <c:pt idx="1">
                  <c:v>2006</c:v>
                </c:pt>
                <c:pt idx="2">
                  <c:v>2007</c:v>
                </c:pt>
                <c:pt idx="3">
                  <c:v>2008</c:v>
                </c:pt>
                <c:pt idx="4">
                  <c:v>2009</c:v>
                </c:pt>
                <c:pt idx="5">
                  <c:v>2010</c:v>
                </c:pt>
                <c:pt idx="6">
                  <c:v>2011/12***</c:v>
                </c:pt>
                <c:pt idx="7">
                  <c:v>2012/13</c:v>
                </c:pt>
                <c:pt idx="8">
                  <c:v>2013/14</c:v>
                </c:pt>
              </c:strCache>
            </c:strRef>
          </c:cat>
          <c:val>
            <c:numRef>
              <c:f>Sheet1!$C$5:$M$5</c:f>
              <c:numCache>
                <c:formatCode>General</c:formatCode>
                <c:ptCount val="9"/>
                <c:pt idx="0">
                  <c:v>1870</c:v>
                </c:pt>
                <c:pt idx="1">
                  <c:v>2736</c:v>
                </c:pt>
                <c:pt idx="2">
                  <c:v>2978</c:v>
                </c:pt>
                <c:pt idx="3">
                  <c:v>6790</c:v>
                </c:pt>
                <c:pt idx="4">
                  <c:v>4240</c:v>
                </c:pt>
                <c:pt idx="5">
                  <c:v>5757</c:v>
                </c:pt>
                <c:pt idx="6">
                  <c:v>10183</c:v>
                </c:pt>
                <c:pt idx="7">
                  <c:v>1289</c:v>
                </c:pt>
                <c:pt idx="8">
                  <c:v>8188</c:v>
                </c:pt>
              </c:numCache>
            </c:numRef>
          </c:val>
          <c:smooth val="0"/>
        </c:ser>
        <c:ser>
          <c:idx val="1"/>
          <c:order val="1"/>
          <c:tx>
            <c:v>Expenditures, total</c:v>
          </c:tx>
          <c:marker>
            <c:symbol val="none"/>
          </c:marker>
          <c:cat>
            <c:strRef>
              <c:f>Sheet1!$C$4:$M$4</c:f>
              <c:strCache>
                <c:ptCount val="9"/>
                <c:pt idx="0">
                  <c:v>2005</c:v>
                </c:pt>
                <c:pt idx="1">
                  <c:v>2006</c:v>
                </c:pt>
                <c:pt idx="2">
                  <c:v>2007</c:v>
                </c:pt>
                <c:pt idx="3">
                  <c:v>2008</c:v>
                </c:pt>
                <c:pt idx="4">
                  <c:v>2009</c:v>
                </c:pt>
                <c:pt idx="5">
                  <c:v>2010</c:v>
                </c:pt>
                <c:pt idx="6">
                  <c:v>2011/12***</c:v>
                </c:pt>
                <c:pt idx="7">
                  <c:v>2012/13</c:v>
                </c:pt>
                <c:pt idx="8">
                  <c:v>2013/14</c:v>
                </c:pt>
              </c:strCache>
            </c:strRef>
          </c:cat>
          <c:val>
            <c:numRef>
              <c:f>Sheet1!$C$6:$M$6</c:f>
              <c:numCache>
                <c:formatCode>General</c:formatCode>
                <c:ptCount val="9"/>
                <c:pt idx="0">
                  <c:v>452</c:v>
                </c:pt>
                <c:pt idx="1">
                  <c:v>3582</c:v>
                </c:pt>
                <c:pt idx="2">
                  <c:v>2937</c:v>
                </c:pt>
                <c:pt idx="3">
                  <c:v>5713</c:v>
                </c:pt>
                <c:pt idx="4">
                  <c:v>4235</c:v>
                </c:pt>
                <c:pt idx="5">
                  <c:v>5576</c:v>
                </c:pt>
                <c:pt idx="6">
                  <c:v>10142</c:v>
                </c:pt>
                <c:pt idx="7">
                  <c:v>6813</c:v>
                </c:pt>
                <c:pt idx="8">
                  <c:v>9072</c:v>
                </c:pt>
              </c:numCache>
            </c:numRef>
          </c:val>
          <c:smooth val="0"/>
        </c:ser>
        <c:ser>
          <c:idx val="2"/>
          <c:order val="2"/>
          <c:tx>
            <c:v>Wage bill, total</c:v>
          </c:tx>
          <c:marker>
            <c:symbol val="none"/>
          </c:marker>
          <c:cat>
            <c:strRef>
              <c:f>Sheet1!$C$4:$M$4</c:f>
              <c:strCache>
                <c:ptCount val="9"/>
                <c:pt idx="0">
                  <c:v>2005</c:v>
                </c:pt>
                <c:pt idx="1">
                  <c:v>2006</c:v>
                </c:pt>
                <c:pt idx="2">
                  <c:v>2007</c:v>
                </c:pt>
                <c:pt idx="3">
                  <c:v>2008</c:v>
                </c:pt>
                <c:pt idx="4">
                  <c:v>2009</c:v>
                </c:pt>
                <c:pt idx="5">
                  <c:v>2010</c:v>
                </c:pt>
                <c:pt idx="6">
                  <c:v>2011/12***</c:v>
                </c:pt>
                <c:pt idx="7">
                  <c:v>2012/13</c:v>
                </c:pt>
                <c:pt idx="8">
                  <c:v>2013/14</c:v>
                </c:pt>
              </c:strCache>
            </c:strRef>
          </c:cat>
          <c:val>
            <c:numRef>
              <c:f>Sheet1!$C$7:$M$7</c:f>
              <c:numCache>
                <c:formatCode>General</c:formatCode>
                <c:ptCount val="9"/>
                <c:pt idx="0">
                  <c:v>35</c:v>
                </c:pt>
                <c:pt idx="1">
                  <c:v>1186</c:v>
                </c:pt>
                <c:pt idx="2">
                  <c:v>1480</c:v>
                </c:pt>
                <c:pt idx="3">
                  <c:v>1873</c:v>
                </c:pt>
                <c:pt idx="4">
                  <c:v>1977</c:v>
                </c:pt>
                <c:pt idx="5">
                  <c:v>2206</c:v>
                </c:pt>
                <c:pt idx="6">
                  <c:v>4733</c:v>
                </c:pt>
                <c:pt idx="7">
                  <c:v>4209</c:v>
                </c:pt>
                <c:pt idx="8">
                  <c:v>4524</c:v>
                </c:pt>
              </c:numCache>
            </c:numRef>
          </c:val>
          <c:smooth val="0"/>
        </c:ser>
        <c:dLbls>
          <c:showLegendKey val="0"/>
          <c:showVal val="0"/>
          <c:showCatName val="0"/>
          <c:showSerName val="0"/>
          <c:showPercent val="0"/>
          <c:showBubbleSize val="0"/>
        </c:dLbls>
        <c:smooth val="0"/>
        <c:axId val="278146480"/>
        <c:axId val="278146872"/>
      </c:lineChart>
      <c:catAx>
        <c:axId val="278146480"/>
        <c:scaling>
          <c:orientation val="minMax"/>
        </c:scaling>
        <c:delete val="0"/>
        <c:axPos val="b"/>
        <c:numFmt formatCode="General" sourceLinked="0"/>
        <c:majorTickMark val="out"/>
        <c:minorTickMark val="none"/>
        <c:tickLblPos val="nextTo"/>
        <c:txPr>
          <a:bodyPr/>
          <a:lstStyle/>
          <a:p>
            <a:pPr>
              <a:defRPr sz="800"/>
            </a:pPr>
            <a:endParaRPr lang="en-US"/>
          </a:p>
        </c:txPr>
        <c:crossAx val="278146872"/>
        <c:crosses val="autoZero"/>
        <c:auto val="1"/>
        <c:lblAlgn val="ctr"/>
        <c:lblOffset val="100"/>
        <c:noMultiLvlLbl val="0"/>
      </c:catAx>
      <c:valAx>
        <c:axId val="278146872"/>
        <c:scaling>
          <c:orientation val="minMax"/>
        </c:scaling>
        <c:delete val="0"/>
        <c:axPos val="l"/>
        <c:majorGridlines/>
        <c:numFmt formatCode="General" sourceLinked="1"/>
        <c:majorTickMark val="out"/>
        <c:minorTickMark val="none"/>
        <c:tickLblPos val="nextTo"/>
        <c:crossAx val="278146480"/>
        <c:crosses val="autoZero"/>
        <c:crossBetween val="between"/>
      </c:valAx>
    </c:plotArea>
    <c:legend>
      <c:legendPos val="b"/>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600" b="1"/>
            </a:pPr>
            <a:r>
              <a:rPr lang="en-US" sz="1200" b="1" dirty="0"/>
              <a:t>Wage Bill </a:t>
            </a:r>
            <a:r>
              <a:rPr lang="en-US" sz="1200" b="1" dirty="0" smtClean="0"/>
              <a:t>Liberia</a:t>
            </a:r>
            <a:r>
              <a:rPr lang="en-US" sz="1200" b="1" baseline="0" dirty="0" smtClean="0"/>
              <a:t> </a:t>
            </a:r>
            <a:r>
              <a:rPr lang="en-US" sz="1200" b="1" dirty="0"/>
              <a:t>2004-2012</a:t>
            </a:r>
          </a:p>
        </c:rich>
      </c:tx>
      <c:layout>
        <c:manualLayout>
          <c:xMode val="edge"/>
          <c:yMode val="edge"/>
          <c:x val="0.25199219000063999"/>
          <c:y val="2.5622328220017602E-4"/>
        </c:manualLayout>
      </c:layout>
      <c:overlay val="0"/>
    </c:title>
    <c:autoTitleDeleted val="0"/>
    <c:plotArea>
      <c:layout>
        <c:manualLayout>
          <c:layoutTarget val="inner"/>
          <c:xMode val="edge"/>
          <c:yMode val="edge"/>
          <c:x val="0.32871615133474202"/>
          <c:y val="0.17865051278105901"/>
          <c:w val="0.64697267325796104"/>
          <c:h val="0.63950722175021202"/>
        </c:manualLayout>
      </c:layout>
      <c:barChart>
        <c:barDir val="col"/>
        <c:grouping val="stacked"/>
        <c:varyColors val="0"/>
        <c:ser>
          <c:idx val="0"/>
          <c:order val="0"/>
          <c:tx>
            <c:v>Salaries and Wages</c:v>
          </c:tx>
          <c:spPr>
            <a:solidFill>
              <a:srgbClr val="1F497D"/>
            </a:solidFill>
            <a:ln>
              <a:noFill/>
            </a:ln>
          </c:spPr>
          <c:invertIfNegative val="0"/>
          <c:cat>
            <c:strRef>
              <c:f>'PEM budget, staffing &amp; wagebill'!$B$5:$B$12</c:f>
              <c:strCache>
                <c:ptCount val="8"/>
                <c:pt idx="0">
                  <c:v>2004/05</c:v>
                </c:pt>
                <c:pt idx="1">
                  <c:v>2005/06</c:v>
                </c:pt>
                <c:pt idx="2">
                  <c:v>2006/07</c:v>
                </c:pt>
                <c:pt idx="3">
                  <c:v>2007/08</c:v>
                </c:pt>
                <c:pt idx="4">
                  <c:v>2008/09</c:v>
                </c:pt>
                <c:pt idx="5">
                  <c:v>2009/10</c:v>
                </c:pt>
                <c:pt idx="6">
                  <c:v>2010/11</c:v>
                </c:pt>
                <c:pt idx="7">
                  <c:v>2011/12</c:v>
                </c:pt>
              </c:strCache>
            </c:strRef>
          </c:cat>
          <c:val>
            <c:numRef>
              <c:f>'PEM budget, staffing &amp; wagebill'!$J$5:$J$12</c:f>
              <c:numCache>
                <c:formatCode>_(\$* #,##0_);_(\$* \(#,##0\);_(\$* "-"??_);_(@_)</c:formatCode>
                <c:ptCount val="8"/>
                <c:pt idx="0">
                  <c:v>24908457.690000001</c:v>
                </c:pt>
                <c:pt idx="1">
                  <c:v>39095361.619999997</c:v>
                </c:pt>
                <c:pt idx="2">
                  <c:v>32740000</c:v>
                </c:pt>
                <c:pt idx="3">
                  <c:v>67000000</c:v>
                </c:pt>
                <c:pt idx="4">
                  <c:v>90460000</c:v>
                </c:pt>
                <c:pt idx="5">
                  <c:v>108400000</c:v>
                </c:pt>
                <c:pt idx="6">
                  <c:v>137400000</c:v>
                </c:pt>
                <c:pt idx="7">
                  <c:v>181400000</c:v>
                </c:pt>
              </c:numCache>
            </c:numRef>
          </c:val>
        </c:ser>
        <c:ser>
          <c:idx val="1"/>
          <c:order val="1"/>
          <c:tx>
            <c:v>Subsidies and Transfers </c:v>
          </c:tx>
          <c:spPr>
            <a:solidFill>
              <a:schemeClr val="tx2"/>
            </a:solidFill>
            <a:ln>
              <a:noFill/>
            </a:ln>
          </c:spPr>
          <c:invertIfNegative val="0"/>
          <c:cat>
            <c:strRef>
              <c:f>'PEM budget, staffing &amp; wagebill'!$B$5:$B$12</c:f>
              <c:strCache>
                <c:ptCount val="8"/>
                <c:pt idx="0">
                  <c:v>2004/05</c:v>
                </c:pt>
                <c:pt idx="1">
                  <c:v>2005/06</c:v>
                </c:pt>
                <c:pt idx="2">
                  <c:v>2006/07</c:v>
                </c:pt>
                <c:pt idx="3">
                  <c:v>2007/08</c:v>
                </c:pt>
                <c:pt idx="4">
                  <c:v>2008/09</c:v>
                </c:pt>
                <c:pt idx="5">
                  <c:v>2009/10</c:v>
                </c:pt>
                <c:pt idx="6">
                  <c:v>2010/11</c:v>
                </c:pt>
                <c:pt idx="7">
                  <c:v>2011/12</c:v>
                </c:pt>
              </c:strCache>
            </c:strRef>
          </c:cat>
          <c:val>
            <c:numRef>
              <c:f>'PEM budget, staffing &amp; wagebill'!$Q$5:$Q$12</c:f>
              <c:numCache>
                <c:formatCode>_(\$* #,##0_);_(\$* \(#,##0\);_(\$* "-"??_);_(@_)</c:formatCode>
                <c:ptCount val="8"/>
                <c:pt idx="0">
                  <c:v>6189792.4100000001</c:v>
                </c:pt>
                <c:pt idx="1">
                  <c:v>11244722</c:v>
                </c:pt>
                <c:pt idx="2">
                  <c:v>17250000</c:v>
                </c:pt>
                <c:pt idx="3">
                  <c:v>32700000</c:v>
                </c:pt>
                <c:pt idx="4">
                  <c:v>37330000</c:v>
                </c:pt>
                <c:pt idx="5">
                  <c:v>54465822.784810103</c:v>
                </c:pt>
                <c:pt idx="6">
                  <c:v>81260160.427807495</c:v>
                </c:pt>
                <c:pt idx="7">
                  <c:v>87209000</c:v>
                </c:pt>
              </c:numCache>
            </c:numRef>
          </c:val>
        </c:ser>
        <c:dLbls>
          <c:showLegendKey val="0"/>
          <c:showVal val="0"/>
          <c:showCatName val="0"/>
          <c:showSerName val="0"/>
          <c:showPercent val="0"/>
          <c:showBubbleSize val="0"/>
        </c:dLbls>
        <c:gapWidth val="150"/>
        <c:overlap val="100"/>
        <c:axId val="280001832"/>
        <c:axId val="280002224"/>
      </c:barChart>
      <c:catAx>
        <c:axId val="280001832"/>
        <c:scaling>
          <c:orientation val="minMax"/>
        </c:scaling>
        <c:delete val="0"/>
        <c:axPos val="b"/>
        <c:numFmt formatCode="General" sourceLinked="0"/>
        <c:majorTickMark val="out"/>
        <c:minorTickMark val="none"/>
        <c:tickLblPos val="nextTo"/>
        <c:txPr>
          <a:bodyPr/>
          <a:lstStyle/>
          <a:p>
            <a:pPr>
              <a:defRPr sz="800"/>
            </a:pPr>
            <a:endParaRPr lang="en-US"/>
          </a:p>
        </c:txPr>
        <c:crossAx val="280002224"/>
        <c:crosses val="autoZero"/>
        <c:auto val="1"/>
        <c:lblAlgn val="ctr"/>
        <c:lblOffset val="100"/>
        <c:noMultiLvlLbl val="0"/>
      </c:catAx>
      <c:valAx>
        <c:axId val="280002224"/>
        <c:scaling>
          <c:orientation val="minMax"/>
        </c:scaling>
        <c:delete val="0"/>
        <c:axPos val="l"/>
        <c:majorGridlines/>
        <c:numFmt formatCode="_(\$* #,##0_);_(\$* \(#,##0\);_(\$* &quot;-&quot;??_);_(@_)" sourceLinked="1"/>
        <c:majorTickMark val="out"/>
        <c:minorTickMark val="none"/>
        <c:tickLblPos val="nextTo"/>
        <c:txPr>
          <a:bodyPr/>
          <a:lstStyle/>
          <a:p>
            <a:pPr>
              <a:defRPr sz="800"/>
            </a:pPr>
            <a:endParaRPr lang="en-US"/>
          </a:p>
        </c:txPr>
        <c:crossAx val="280001832"/>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Wage Bill South Sudan 2005-2013</a:t>
            </a:r>
          </a:p>
        </c:rich>
      </c:tx>
      <c:layout>
        <c:manualLayout>
          <c:xMode val="edge"/>
          <c:yMode val="edge"/>
          <c:x val="0.19086909787291501"/>
          <c:y val="4.0904229319214599E-3"/>
        </c:manualLayout>
      </c:layout>
      <c:overlay val="0"/>
    </c:title>
    <c:autoTitleDeleted val="0"/>
    <c:plotArea>
      <c:layout/>
      <c:barChart>
        <c:barDir val="col"/>
        <c:grouping val="clustered"/>
        <c:varyColors val="0"/>
        <c:ser>
          <c:idx val="0"/>
          <c:order val="0"/>
          <c:spPr>
            <a:solidFill>
              <a:srgbClr val="1F497D"/>
            </a:solidFill>
          </c:spPr>
          <c:invertIfNegative val="0"/>
          <c:cat>
            <c:strRef>
              <c:f>'wage bill'!$A$1:$A$8</c:f>
              <c:strCache>
                <c:ptCount val="8"/>
                <c:pt idx="0">
                  <c:v>2005</c:v>
                </c:pt>
                <c:pt idx="1">
                  <c:v>2006</c:v>
                </c:pt>
                <c:pt idx="2">
                  <c:v>2007</c:v>
                </c:pt>
                <c:pt idx="3">
                  <c:v>2008</c:v>
                </c:pt>
                <c:pt idx="4">
                  <c:v>2009</c:v>
                </c:pt>
                <c:pt idx="5">
                  <c:v>2010</c:v>
                </c:pt>
                <c:pt idx="6">
                  <c:v>2011/12</c:v>
                </c:pt>
                <c:pt idx="7">
                  <c:v>2012/13</c:v>
                </c:pt>
              </c:strCache>
            </c:strRef>
          </c:cat>
          <c:val>
            <c:numRef>
              <c:f>'wage bill'!$B$1:$B$8</c:f>
              <c:numCache>
                <c:formatCode>_(\$* #,##0_);_(\$* \(#,##0\);_(\$* "-"??_);_(@_)</c:formatCode>
                <c:ptCount val="8"/>
                <c:pt idx="0">
                  <c:v>14454336</c:v>
                </c:pt>
                <c:pt idx="1">
                  <c:v>592866858</c:v>
                </c:pt>
                <c:pt idx="2">
                  <c:v>739875533</c:v>
                </c:pt>
                <c:pt idx="3">
                  <c:v>936720076.5</c:v>
                </c:pt>
                <c:pt idx="4">
                  <c:v>841425347.23404205</c:v>
                </c:pt>
                <c:pt idx="5">
                  <c:v>980300520.88889003</c:v>
                </c:pt>
                <c:pt idx="6">
                  <c:v>1267136745</c:v>
                </c:pt>
                <c:pt idx="7">
                  <c:v>1305873387.86885</c:v>
                </c:pt>
              </c:numCache>
            </c:numRef>
          </c:val>
        </c:ser>
        <c:dLbls>
          <c:showLegendKey val="0"/>
          <c:showVal val="0"/>
          <c:showCatName val="0"/>
          <c:showSerName val="0"/>
          <c:showPercent val="0"/>
          <c:showBubbleSize val="0"/>
        </c:dLbls>
        <c:gapWidth val="150"/>
        <c:axId val="279716688"/>
        <c:axId val="279717080"/>
      </c:barChart>
      <c:catAx>
        <c:axId val="279716688"/>
        <c:scaling>
          <c:orientation val="minMax"/>
        </c:scaling>
        <c:delete val="0"/>
        <c:axPos val="b"/>
        <c:numFmt formatCode="General" sourceLinked="0"/>
        <c:majorTickMark val="out"/>
        <c:minorTickMark val="none"/>
        <c:tickLblPos val="nextTo"/>
        <c:txPr>
          <a:bodyPr/>
          <a:lstStyle/>
          <a:p>
            <a:pPr>
              <a:defRPr sz="700"/>
            </a:pPr>
            <a:endParaRPr lang="en-US"/>
          </a:p>
        </c:txPr>
        <c:crossAx val="279717080"/>
        <c:crosses val="autoZero"/>
        <c:auto val="1"/>
        <c:lblAlgn val="ctr"/>
        <c:lblOffset val="100"/>
        <c:noMultiLvlLbl val="0"/>
      </c:catAx>
      <c:valAx>
        <c:axId val="279717080"/>
        <c:scaling>
          <c:orientation val="minMax"/>
        </c:scaling>
        <c:delete val="0"/>
        <c:axPos val="l"/>
        <c:majorGridlines/>
        <c:numFmt formatCode="_(\$* #,##0_);_(\$* \(#,##0\);_(\$* &quot;-&quot;??_);_(@_)" sourceLinked="1"/>
        <c:majorTickMark val="out"/>
        <c:minorTickMark val="none"/>
        <c:tickLblPos val="nextTo"/>
        <c:txPr>
          <a:bodyPr/>
          <a:lstStyle/>
          <a:p>
            <a:pPr>
              <a:defRPr sz="700"/>
            </a:pPr>
            <a:endParaRPr lang="en-US"/>
          </a:p>
        </c:txPr>
        <c:crossAx val="279716688"/>
        <c:crosses val="autoZero"/>
        <c:crossBetween val="between"/>
      </c:valAx>
    </c:plotArea>
    <c:plotVisOnly val="1"/>
    <c:dispBlanksAs val="gap"/>
    <c:showDLblsOverMax val="0"/>
  </c:chart>
  <c:txPr>
    <a:bodyPr/>
    <a:lstStyle/>
    <a:p>
      <a:pPr>
        <a:defRPr sz="900"/>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endParaRPr lang="en-US" sz="1400" b="0" dirty="0"/>
          </a:p>
        </c:rich>
      </c:tx>
      <c:layout>
        <c:manualLayout>
          <c:xMode val="edge"/>
          <c:yMode val="edge"/>
          <c:x val="0.26809736047145"/>
          <c:y val="2.3809523809523801E-2"/>
        </c:manualLayout>
      </c:layout>
      <c:overlay val="0"/>
    </c:title>
    <c:autoTitleDeleted val="0"/>
    <c:plotArea>
      <c:layout/>
      <c:scatterChart>
        <c:scatterStyle val="lineMarker"/>
        <c:varyColors val="0"/>
        <c:ser>
          <c:idx val="0"/>
          <c:order val="0"/>
          <c:spPr>
            <a:ln w="28575">
              <a:noFill/>
            </a:ln>
          </c:spPr>
          <c:marker>
            <c:symbol val="plus"/>
            <c:size val="2"/>
          </c:marker>
          <c:dLbls>
            <c:dLbl>
              <c:idx val="0"/>
              <c:tx>
                <c:rich>
                  <a:bodyPr/>
                  <a:lstStyle/>
                  <a:p>
                    <a:pPr>
                      <a:defRPr sz="1200" b="1">
                        <a:solidFill>
                          <a:schemeClr val="tx1"/>
                        </a:solidFill>
                      </a:defRPr>
                    </a:pPr>
                    <a:r>
                      <a:rPr lang="en-US" sz="1200" b="1">
                        <a:solidFill>
                          <a:schemeClr val="tx1"/>
                        </a:solidFill>
                      </a:rPr>
                      <a:t>AFG</a:t>
                    </a:r>
                    <a:endParaRPr lang="en-US" sz="1200" b="1">
                      <a:solidFill>
                        <a:srgbClr val="0000FF"/>
                      </a:solidFill>
                    </a:endParaRPr>
                  </a:p>
                </c:rich>
              </c:tx>
              <c:spPr/>
              <c:dLblPos val="ctr"/>
              <c:showLegendKey val="0"/>
              <c:showVal val="1"/>
              <c:showCatName val="0"/>
              <c:showSerName val="0"/>
              <c:showPercent val="0"/>
              <c:showBubbleSize val="0"/>
              <c:extLst>
                <c:ext xmlns:c15="http://schemas.microsoft.com/office/drawing/2012/chart" uri="{CE6537A1-D6FC-4f65-9D91-7224C49458BB}"/>
              </c:extLst>
            </c:dLbl>
            <c:dLbl>
              <c:idx val="1"/>
              <c:tx>
                <c:rich>
                  <a:bodyPr/>
                  <a:lstStyle/>
                  <a:p>
                    <a:pPr>
                      <a:defRPr sz="1200" b="1">
                        <a:solidFill>
                          <a:schemeClr val="tx1"/>
                        </a:solidFill>
                      </a:defRPr>
                    </a:pPr>
                    <a:r>
                      <a:rPr lang="en-US" sz="1200" b="1">
                        <a:solidFill>
                          <a:schemeClr val="tx1"/>
                        </a:solidFill>
                      </a:rPr>
                      <a:t>LIB</a:t>
                    </a:r>
                    <a:endParaRPr lang="en-US" sz="1200" b="1">
                      <a:solidFill>
                        <a:srgbClr val="0000FF"/>
                      </a:solidFill>
                    </a:endParaRPr>
                  </a:p>
                </c:rich>
              </c:tx>
              <c:spPr/>
              <c:dLblPos val="ctr"/>
              <c:showLegendKey val="0"/>
              <c:showVal val="1"/>
              <c:showCatName val="0"/>
              <c:showSerName val="0"/>
              <c:showPercent val="0"/>
              <c:showBubbleSize val="0"/>
              <c:extLst>
                <c:ext xmlns:c15="http://schemas.microsoft.com/office/drawing/2012/chart" uri="{CE6537A1-D6FC-4f65-9D91-7224C49458BB}"/>
              </c:extLst>
            </c:dLbl>
            <c:dLbl>
              <c:idx val="2"/>
              <c:tx>
                <c:rich>
                  <a:bodyPr/>
                  <a:lstStyle/>
                  <a:p>
                    <a:pPr>
                      <a:defRPr sz="1200" b="1">
                        <a:solidFill>
                          <a:schemeClr val="tx1"/>
                        </a:solidFill>
                      </a:defRPr>
                    </a:pPr>
                    <a:r>
                      <a:rPr lang="en-US" sz="1200" b="1">
                        <a:solidFill>
                          <a:schemeClr val="tx1"/>
                        </a:solidFill>
                      </a:rPr>
                      <a:t>SL</a:t>
                    </a:r>
                    <a:endParaRPr lang="en-US" sz="1200" b="1">
                      <a:solidFill>
                        <a:srgbClr val="0000FF"/>
                      </a:solidFill>
                    </a:endParaRPr>
                  </a:p>
                </c:rich>
              </c:tx>
              <c:spPr/>
              <c:dLblPos val="ctr"/>
              <c:showLegendKey val="0"/>
              <c:showVal val="1"/>
              <c:showCatName val="0"/>
              <c:showSerName val="0"/>
              <c:showPercent val="0"/>
              <c:showBubbleSize val="0"/>
              <c:extLst>
                <c:ext xmlns:c15="http://schemas.microsoft.com/office/drawing/2012/chart" uri="{CE6537A1-D6FC-4f65-9D91-7224C49458BB}"/>
              </c:extLst>
            </c:dLbl>
            <c:dLbl>
              <c:idx val="3"/>
              <c:tx>
                <c:rich>
                  <a:bodyPr/>
                  <a:lstStyle/>
                  <a:p>
                    <a:pPr>
                      <a:defRPr sz="1200" b="1">
                        <a:solidFill>
                          <a:schemeClr val="tx1"/>
                        </a:solidFill>
                      </a:defRPr>
                    </a:pPr>
                    <a:r>
                      <a:rPr lang="en-US" sz="1200" b="1">
                        <a:solidFill>
                          <a:schemeClr val="tx1"/>
                        </a:solidFill>
                      </a:rPr>
                      <a:t>SSD</a:t>
                    </a:r>
                    <a:endParaRPr lang="en-US" sz="1200" b="1">
                      <a:solidFill>
                        <a:srgbClr val="0000FF"/>
                      </a:solidFill>
                    </a:endParaRPr>
                  </a:p>
                </c:rich>
              </c:tx>
              <c:spPr/>
              <c:dLblPos val="ctr"/>
              <c:showLegendKey val="0"/>
              <c:showVal val="1"/>
              <c:showCatName val="0"/>
              <c:showSerName val="0"/>
              <c:showPercent val="0"/>
              <c:showBubbleSize val="0"/>
              <c:extLst>
                <c:ext xmlns:c15="http://schemas.microsoft.com/office/drawing/2012/chart" uri="{CE6537A1-D6FC-4f65-9D91-7224C49458BB}"/>
              </c:extLst>
            </c:dLbl>
            <c:dLbl>
              <c:idx val="4"/>
              <c:tx>
                <c:rich>
                  <a:bodyPr/>
                  <a:lstStyle/>
                  <a:p>
                    <a:pPr>
                      <a:defRPr sz="1200" b="1">
                        <a:solidFill>
                          <a:schemeClr val="tx1"/>
                        </a:solidFill>
                      </a:defRPr>
                    </a:pPr>
                    <a:r>
                      <a:rPr lang="en-US" sz="1200" b="1">
                        <a:solidFill>
                          <a:schemeClr val="tx1"/>
                        </a:solidFill>
                      </a:rPr>
                      <a:t>TL</a:t>
                    </a:r>
                    <a:endParaRPr lang="en-US" sz="1200" b="1">
                      <a:solidFill>
                        <a:srgbClr val="0000FF"/>
                      </a:solidFill>
                    </a:endParaRPr>
                  </a:p>
                </c:rich>
              </c:tx>
              <c:spPr/>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a:solidFill>
                      <a:schemeClr val="tx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'tabla composition by sector'!$C$23:$G$23</c:f>
              <c:numCache>
                <c:formatCode>0%</c:formatCode>
                <c:ptCount val="5"/>
                <c:pt idx="0">
                  <c:v>0.57999999999999996</c:v>
                </c:pt>
                <c:pt idx="1">
                  <c:v>0.12</c:v>
                </c:pt>
                <c:pt idx="2">
                  <c:v>0.28000000000000003</c:v>
                </c:pt>
                <c:pt idx="3">
                  <c:v>0.84</c:v>
                </c:pt>
                <c:pt idx="4">
                  <c:v>0.24</c:v>
                </c:pt>
              </c:numCache>
            </c:numRef>
          </c:xVal>
          <c:yVal>
            <c:numRef>
              <c:f>'tabla composition by sector'!$C$24:$G$24</c:f>
              <c:numCache>
                <c:formatCode>General</c:formatCode>
                <c:ptCount val="5"/>
                <c:pt idx="0">
                  <c:v>144</c:v>
                </c:pt>
                <c:pt idx="1">
                  <c:v>4.9000000000000004</c:v>
                </c:pt>
                <c:pt idx="2">
                  <c:v>0.3</c:v>
                </c:pt>
                <c:pt idx="3">
                  <c:v>83</c:v>
                </c:pt>
                <c:pt idx="4">
                  <c:v>3.57</c:v>
                </c:pt>
              </c:numCache>
            </c:numRef>
          </c:yVal>
          <c:smooth val="0"/>
        </c:ser>
        <c:dLbls>
          <c:showLegendKey val="0"/>
          <c:showVal val="0"/>
          <c:showCatName val="0"/>
          <c:showSerName val="0"/>
          <c:showPercent val="0"/>
          <c:showBubbleSize val="0"/>
        </c:dLbls>
        <c:axId val="279719040"/>
        <c:axId val="279719432"/>
      </c:scatterChart>
      <c:valAx>
        <c:axId val="279719040"/>
        <c:scaling>
          <c:orientation val="minMax"/>
          <c:min val="0.1"/>
        </c:scaling>
        <c:delete val="0"/>
        <c:axPos val="b"/>
        <c:title>
          <c:tx>
            <c:rich>
              <a:bodyPr/>
              <a:lstStyle/>
              <a:p>
                <a:pPr>
                  <a:defRPr/>
                </a:pPr>
                <a:r>
                  <a:rPr lang="en-US" dirty="0"/>
                  <a:t>Size of</a:t>
                </a:r>
                <a:r>
                  <a:rPr lang="en-US" dirty="0" smtClean="0"/>
                  <a:t> Defense and Security as </a:t>
                </a:r>
                <a:r>
                  <a:rPr lang="en-US" dirty="0"/>
                  <a:t>share of</a:t>
                </a:r>
                <a:r>
                  <a:rPr lang="en-US" dirty="0" smtClean="0"/>
                  <a:t> General</a:t>
                </a:r>
                <a:r>
                  <a:rPr lang="en-US" baseline="0" dirty="0" smtClean="0"/>
                  <a:t> </a:t>
                </a:r>
                <a:r>
                  <a:rPr lang="en-US" baseline="0" dirty="0" err="1" smtClean="0"/>
                  <a:t>Gov’t</a:t>
                </a:r>
                <a:endParaRPr lang="en-US" dirty="0"/>
              </a:p>
            </c:rich>
          </c:tx>
          <c:overlay val="0"/>
        </c:title>
        <c:numFmt formatCode="0%" sourceLinked="1"/>
        <c:majorTickMark val="out"/>
        <c:minorTickMark val="none"/>
        <c:tickLblPos val="nextTo"/>
        <c:crossAx val="279719432"/>
        <c:crosses val="autoZero"/>
        <c:crossBetween val="midCat"/>
      </c:valAx>
      <c:valAx>
        <c:axId val="279719432"/>
        <c:scaling>
          <c:orientation val="minMax"/>
          <c:min val="0"/>
        </c:scaling>
        <c:delete val="0"/>
        <c:axPos val="l"/>
        <c:majorGridlines/>
        <c:title>
          <c:tx>
            <c:rich>
              <a:bodyPr/>
              <a:lstStyle/>
              <a:p>
                <a:pPr>
                  <a:defRPr/>
                </a:pPr>
                <a:r>
                  <a:rPr lang="en-US"/>
                  <a:t>Fatalities per 100,000 people since 'end of conflict'</a:t>
                </a:r>
              </a:p>
            </c:rich>
          </c:tx>
          <c:overlay val="0"/>
        </c:title>
        <c:numFmt formatCode="General" sourceLinked="1"/>
        <c:majorTickMark val="out"/>
        <c:minorTickMark val="none"/>
        <c:tickLblPos val="nextTo"/>
        <c:crossAx val="279719040"/>
        <c:crosses val="autoZero"/>
        <c:crossBetween val="midCat"/>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Wage bill in % of expenditures</c:v>
          </c:tx>
          <c:marker>
            <c:symbol val="none"/>
          </c:marker>
          <c:cat>
            <c:strRef>
              <c:f>Sheet1!$C$4:$M$4</c:f>
              <c:strCache>
                <c:ptCount val="9"/>
                <c:pt idx="0">
                  <c:v>2005</c:v>
                </c:pt>
                <c:pt idx="1">
                  <c:v>2006</c:v>
                </c:pt>
                <c:pt idx="2">
                  <c:v>2007</c:v>
                </c:pt>
                <c:pt idx="3">
                  <c:v>2008</c:v>
                </c:pt>
                <c:pt idx="4">
                  <c:v>2009</c:v>
                </c:pt>
                <c:pt idx="5">
                  <c:v>2010</c:v>
                </c:pt>
                <c:pt idx="6">
                  <c:v>2011/12***</c:v>
                </c:pt>
                <c:pt idx="7">
                  <c:v>2012/13</c:v>
                </c:pt>
                <c:pt idx="8">
                  <c:v>2013/14</c:v>
                </c:pt>
              </c:strCache>
            </c:strRef>
          </c:cat>
          <c:val>
            <c:numRef>
              <c:f>Sheet1!$C$9:$M$9</c:f>
              <c:numCache>
                <c:formatCode>0.0</c:formatCode>
                <c:ptCount val="9"/>
                <c:pt idx="0">
                  <c:v>7.7433628318584073</c:v>
                </c:pt>
                <c:pt idx="1">
                  <c:v>33.10999441652708</c:v>
                </c:pt>
                <c:pt idx="2">
                  <c:v>50.391556009533538</c:v>
                </c:pt>
                <c:pt idx="3">
                  <c:v>32.78487659723438</c:v>
                </c:pt>
                <c:pt idx="4">
                  <c:v>46.68240850059032</c:v>
                </c:pt>
                <c:pt idx="5">
                  <c:v>39.562410329985653</c:v>
                </c:pt>
                <c:pt idx="6">
                  <c:v>46.667323999211199</c:v>
                </c:pt>
                <c:pt idx="7">
                  <c:v>61.778952003522676</c:v>
                </c:pt>
                <c:pt idx="8">
                  <c:v>49.867724867724867</c:v>
                </c:pt>
              </c:numCache>
            </c:numRef>
          </c:val>
          <c:smooth val="0"/>
        </c:ser>
        <c:ser>
          <c:idx val="1"/>
          <c:order val="1"/>
          <c:tx>
            <c:v>civilian wage bill in % of expenditures</c:v>
          </c:tx>
          <c:marker>
            <c:symbol val="none"/>
          </c:marker>
          <c:cat>
            <c:strRef>
              <c:f>Sheet1!$C$4:$M$4</c:f>
              <c:strCache>
                <c:ptCount val="9"/>
                <c:pt idx="0">
                  <c:v>2005</c:v>
                </c:pt>
                <c:pt idx="1">
                  <c:v>2006</c:v>
                </c:pt>
                <c:pt idx="2">
                  <c:v>2007</c:v>
                </c:pt>
                <c:pt idx="3">
                  <c:v>2008</c:v>
                </c:pt>
                <c:pt idx="4">
                  <c:v>2009</c:v>
                </c:pt>
                <c:pt idx="5">
                  <c:v>2010</c:v>
                </c:pt>
                <c:pt idx="6">
                  <c:v>2011/12***</c:v>
                </c:pt>
                <c:pt idx="7">
                  <c:v>2012/13</c:v>
                </c:pt>
                <c:pt idx="8">
                  <c:v>2013/14</c:v>
                </c:pt>
              </c:strCache>
            </c:strRef>
          </c:cat>
          <c:val>
            <c:numRef>
              <c:f>Sheet1!$C$10:$M$10</c:f>
              <c:numCache>
                <c:formatCode>0.0</c:formatCode>
                <c:ptCount val="9"/>
                <c:pt idx="0">
                  <c:v>0</c:v>
                </c:pt>
                <c:pt idx="1">
                  <c:v>0</c:v>
                </c:pt>
                <c:pt idx="2">
                  <c:v>0</c:v>
                </c:pt>
                <c:pt idx="3">
                  <c:v>11.167512690355331</c:v>
                </c:pt>
                <c:pt idx="4">
                  <c:v>16.859504132231404</c:v>
                </c:pt>
                <c:pt idx="5">
                  <c:v>17.754662840746054</c:v>
                </c:pt>
                <c:pt idx="6">
                  <c:v>10.352987576414908</c:v>
                </c:pt>
                <c:pt idx="7">
                  <c:v>13.371495670042565</c:v>
                </c:pt>
                <c:pt idx="8">
                  <c:v>14.506172839506172</c:v>
                </c:pt>
              </c:numCache>
            </c:numRef>
          </c:val>
          <c:smooth val="0"/>
        </c:ser>
        <c:dLbls>
          <c:showLegendKey val="0"/>
          <c:showVal val="0"/>
          <c:showCatName val="0"/>
          <c:showSerName val="0"/>
          <c:showPercent val="0"/>
          <c:showBubbleSize val="0"/>
        </c:dLbls>
        <c:smooth val="0"/>
        <c:axId val="276749928"/>
        <c:axId val="276750320"/>
      </c:lineChart>
      <c:catAx>
        <c:axId val="276749928"/>
        <c:scaling>
          <c:orientation val="minMax"/>
        </c:scaling>
        <c:delete val="0"/>
        <c:axPos val="b"/>
        <c:numFmt formatCode="General" sourceLinked="0"/>
        <c:majorTickMark val="none"/>
        <c:minorTickMark val="none"/>
        <c:tickLblPos val="nextTo"/>
        <c:txPr>
          <a:bodyPr/>
          <a:lstStyle/>
          <a:p>
            <a:pPr>
              <a:defRPr sz="800"/>
            </a:pPr>
            <a:endParaRPr lang="en-US"/>
          </a:p>
        </c:txPr>
        <c:crossAx val="276750320"/>
        <c:crosses val="autoZero"/>
        <c:auto val="1"/>
        <c:lblAlgn val="ctr"/>
        <c:lblOffset val="100"/>
        <c:noMultiLvlLbl val="0"/>
      </c:catAx>
      <c:valAx>
        <c:axId val="276750320"/>
        <c:scaling>
          <c:orientation val="minMax"/>
        </c:scaling>
        <c:delete val="0"/>
        <c:axPos val="l"/>
        <c:majorGridlines/>
        <c:numFmt formatCode="0.0" sourceLinked="1"/>
        <c:majorTickMark val="none"/>
        <c:minorTickMark val="none"/>
        <c:tickLblPos val="nextTo"/>
        <c:spPr>
          <a:ln w="9525">
            <a:noFill/>
          </a:ln>
        </c:spPr>
        <c:crossAx val="276749928"/>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293285214348201"/>
          <c:y val="5.1400554097404502E-2"/>
          <c:w val="0.81651159230096204"/>
          <c:h val="0.65785688247302399"/>
        </c:manualLayout>
      </c:layout>
      <c:barChart>
        <c:barDir val="col"/>
        <c:grouping val="clustered"/>
        <c:varyColors val="0"/>
        <c:ser>
          <c:idx val="0"/>
          <c:order val="0"/>
          <c:tx>
            <c:strRef>
              <c:f>Sheet1!$B$27</c:f>
              <c:strCache>
                <c:ptCount val="1"/>
                <c:pt idx="0">
                  <c:v>Grade 1 (highest regular)</c:v>
                </c:pt>
              </c:strCache>
            </c:strRef>
          </c:tx>
          <c:invertIfNegative val="0"/>
          <c:cat>
            <c:strRef>
              <c:f>(Sheet1!$E$3,Sheet1!$G$3,Sheet1!$I$3,Sheet1!$K$3,Sheet1!$M$3,Sheet1!$O$3)</c:f>
              <c:strCache>
                <c:ptCount val="6"/>
                <c:pt idx="0">
                  <c:v>2008</c:v>
                </c:pt>
                <c:pt idx="1">
                  <c:v>2009</c:v>
                </c:pt>
                <c:pt idx="2">
                  <c:v>2010</c:v>
                </c:pt>
                <c:pt idx="3">
                  <c:v>2011</c:v>
                </c:pt>
                <c:pt idx="4">
                  <c:v>2012/13</c:v>
                </c:pt>
                <c:pt idx="5">
                  <c:v>2013/14</c:v>
                </c:pt>
              </c:strCache>
            </c:strRef>
          </c:cat>
          <c:val>
            <c:numRef>
              <c:f>(Sheet1!$E$27,Sheet1!$G$27,Sheet1!$I$27,Sheet1!$K$27,Sheet1!$M$27,Sheet1!$O$27)</c:f>
              <c:numCache>
                <c:formatCode>0</c:formatCode>
                <c:ptCount val="6"/>
                <c:pt idx="0">
                  <c:v>1196.172248803827</c:v>
                </c:pt>
                <c:pt idx="1">
                  <c:v>1082.2510822510819</c:v>
                </c:pt>
                <c:pt idx="2">
                  <c:v>2391.304347826087</c:v>
                </c:pt>
                <c:pt idx="3">
                  <c:v>1943.462897526502</c:v>
                </c:pt>
                <c:pt idx="4">
                  <c:v>1355.93220338983</c:v>
                </c:pt>
                <c:pt idx="5">
                  <c:v>1364.9425287356321</c:v>
                </c:pt>
              </c:numCache>
            </c:numRef>
          </c:val>
        </c:ser>
        <c:ser>
          <c:idx val="1"/>
          <c:order val="1"/>
          <c:tx>
            <c:strRef>
              <c:f>Sheet1!$B$28</c:f>
              <c:strCache>
                <c:ptCount val="1"/>
                <c:pt idx="0">
                  <c:v>Grade 10</c:v>
                </c:pt>
              </c:strCache>
            </c:strRef>
          </c:tx>
          <c:invertIfNegative val="0"/>
          <c:cat>
            <c:strRef>
              <c:f>(Sheet1!$E$3,Sheet1!$G$3,Sheet1!$I$3,Sheet1!$K$3,Sheet1!$M$3,Sheet1!$O$3)</c:f>
              <c:strCache>
                <c:ptCount val="6"/>
                <c:pt idx="0">
                  <c:v>2008</c:v>
                </c:pt>
                <c:pt idx="1">
                  <c:v>2009</c:v>
                </c:pt>
                <c:pt idx="2">
                  <c:v>2010</c:v>
                </c:pt>
                <c:pt idx="3">
                  <c:v>2011</c:v>
                </c:pt>
                <c:pt idx="4">
                  <c:v>2012/13</c:v>
                </c:pt>
                <c:pt idx="5">
                  <c:v>2013/14</c:v>
                </c:pt>
              </c:strCache>
            </c:strRef>
          </c:cat>
          <c:val>
            <c:numRef>
              <c:f>(Sheet1!$E$28,Sheet1!$G$28,Sheet1!$I$28,Sheet1!$K$28,Sheet1!$M$28,Sheet1!$O$28)</c:f>
              <c:numCache>
                <c:formatCode>0</c:formatCode>
                <c:ptCount val="6"/>
                <c:pt idx="0">
                  <c:v>448.8038277511962</c:v>
                </c:pt>
                <c:pt idx="1">
                  <c:v>406.06060606060612</c:v>
                </c:pt>
                <c:pt idx="2">
                  <c:v>603.47826086956525</c:v>
                </c:pt>
                <c:pt idx="3">
                  <c:v>490.45936395759662</c:v>
                </c:pt>
                <c:pt idx="4">
                  <c:v>394.23728813559319</c:v>
                </c:pt>
                <c:pt idx="5">
                  <c:v>366.6666666666668</c:v>
                </c:pt>
              </c:numCache>
            </c:numRef>
          </c:val>
        </c:ser>
        <c:ser>
          <c:idx val="2"/>
          <c:order val="2"/>
          <c:tx>
            <c:strRef>
              <c:f>Sheet1!$B$29</c:f>
              <c:strCache>
                <c:ptCount val="1"/>
                <c:pt idx="0">
                  <c:v>Grade 11</c:v>
                </c:pt>
              </c:strCache>
            </c:strRef>
          </c:tx>
          <c:invertIfNegative val="0"/>
          <c:cat>
            <c:strRef>
              <c:f>(Sheet1!$E$3,Sheet1!$G$3,Sheet1!$I$3,Sheet1!$K$3,Sheet1!$M$3,Sheet1!$O$3)</c:f>
              <c:strCache>
                <c:ptCount val="6"/>
                <c:pt idx="0">
                  <c:v>2008</c:v>
                </c:pt>
                <c:pt idx="1">
                  <c:v>2009</c:v>
                </c:pt>
                <c:pt idx="2">
                  <c:v>2010</c:v>
                </c:pt>
                <c:pt idx="3">
                  <c:v>2011</c:v>
                </c:pt>
                <c:pt idx="4">
                  <c:v>2012/13</c:v>
                </c:pt>
                <c:pt idx="5">
                  <c:v>2013/14</c:v>
                </c:pt>
              </c:strCache>
            </c:strRef>
          </c:cat>
          <c:val>
            <c:numRef>
              <c:f>(Sheet1!$E$29,Sheet1!$G$29,Sheet1!$I$29,Sheet1!$K$29,Sheet1!$M$29,Sheet1!$O$29)</c:f>
              <c:numCache>
                <c:formatCode>0</c:formatCode>
                <c:ptCount val="6"/>
                <c:pt idx="0">
                  <c:v>273.20574162679429</c:v>
                </c:pt>
                <c:pt idx="1">
                  <c:v>247.1861471861472</c:v>
                </c:pt>
                <c:pt idx="2">
                  <c:v>443.91304347826019</c:v>
                </c:pt>
                <c:pt idx="3">
                  <c:v>360.77738515901058</c:v>
                </c:pt>
                <c:pt idx="4">
                  <c:v>269.83050847457622</c:v>
                </c:pt>
                <c:pt idx="5">
                  <c:v>261.20689655172413</c:v>
                </c:pt>
              </c:numCache>
            </c:numRef>
          </c:val>
        </c:ser>
        <c:ser>
          <c:idx val="3"/>
          <c:order val="3"/>
          <c:tx>
            <c:strRef>
              <c:f>Sheet1!$B$30</c:f>
              <c:strCache>
                <c:ptCount val="1"/>
                <c:pt idx="0">
                  <c:v>Grade 14</c:v>
                </c:pt>
              </c:strCache>
            </c:strRef>
          </c:tx>
          <c:invertIfNegative val="0"/>
          <c:cat>
            <c:strRef>
              <c:f>(Sheet1!$E$3,Sheet1!$G$3,Sheet1!$I$3,Sheet1!$K$3,Sheet1!$M$3,Sheet1!$O$3)</c:f>
              <c:strCache>
                <c:ptCount val="6"/>
                <c:pt idx="0">
                  <c:v>2008</c:v>
                </c:pt>
                <c:pt idx="1">
                  <c:v>2009</c:v>
                </c:pt>
                <c:pt idx="2">
                  <c:v>2010</c:v>
                </c:pt>
                <c:pt idx="3">
                  <c:v>2011</c:v>
                </c:pt>
                <c:pt idx="4">
                  <c:v>2012/13</c:v>
                </c:pt>
                <c:pt idx="5">
                  <c:v>2013/14</c:v>
                </c:pt>
              </c:strCache>
            </c:strRef>
          </c:cat>
          <c:val>
            <c:numRef>
              <c:f>(Sheet1!$E$30,Sheet1!$G$30,Sheet1!$I$30,Sheet1!$K$30,Sheet1!$M$30,Sheet1!$O$30)</c:f>
              <c:numCache>
                <c:formatCode>0</c:formatCode>
                <c:ptCount val="6"/>
                <c:pt idx="0">
                  <c:v>167.46411483253601</c:v>
                </c:pt>
                <c:pt idx="1">
                  <c:v>151.5151515151515</c:v>
                </c:pt>
                <c:pt idx="2">
                  <c:v>308.69565217391312</c:v>
                </c:pt>
                <c:pt idx="3">
                  <c:v>250.88339222614809</c:v>
                </c:pt>
                <c:pt idx="4">
                  <c:v>179.6610169491525</c:v>
                </c:pt>
                <c:pt idx="5">
                  <c:v>178.16091954023</c:v>
                </c:pt>
              </c:numCache>
            </c:numRef>
          </c:val>
        </c:ser>
        <c:ser>
          <c:idx val="4"/>
          <c:order val="4"/>
          <c:tx>
            <c:strRef>
              <c:f>Sheet1!$B$31</c:f>
              <c:strCache>
                <c:ptCount val="1"/>
                <c:pt idx="0">
                  <c:v>Grade 17 (lowest)</c:v>
                </c:pt>
              </c:strCache>
            </c:strRef>
          </c:tx>
          <c:invertIfNegative val="0"/>
          <c:cat>
            <c:strRef>
              <c:f>(Sheet1!$E$3,Sheet1!$G$3,Sheet1!$I$3,Sheet1!$K$3,Sheet1!$M$3,Sheet1!$O$3)</c:f>
              <c:strCache>
                <c:ptCount val="6"/>
                <c:pt idx="0">
                  <c:v>2008</c:v>
                </c:pt>
                <c:pt idx="1">
                  <c:v>2009</c:v>
                </c:pt>
                <c:pt idx="2">
                  <c:v>2010</c:v>
                </c:pt>
                <c:pt idx="3">
                  <c:v>2011</c:v>
                </c:pt>
                <c:pt idx="4">
                  <c:v>2012/13</c:v>
                </c:pt>
                <c:pt idx="5">
                  <c:v>2013/14</c:v>
                </c:pt>
              </c:strCache>
            </c:strRef>
          </c:cat>
          <c:val>
            <c:numRef>
              <c:f>(Sheet1!$E$31,Sheet1!$G$31,Sheet1!$I$31,Sheet1!$K$31,Sheet1!$M$31,Sheet1!$O$31)</c:f>
              <c:numCache>
                <c:formatCode>0</c:formatCode>
                <c:ptCount val="6"/>
                <c:pt idx="0">
                  <c:v>111.4832535885168</c:v>
                </c:pt>
                <c:pt idx="1">
                  <c:v>100.86580086580079</c:v>
                </c:pt>
                <c:pt idx="2">
                  <c:v>218.695652173913</c:v>
                </c:pt>
                <c:pt idx="3">
                  <c:v>177.73851590106</c:v>
                </c:pt>
                <c:pt idx="4">
                  <c:v>124.7457627118644</c:v>
                </c:pt>
                <c:pt idx="5">
                  <c:v>125.2873563218391</c:v>
                </c:pt>
              </c:numCache>
            </c:numRef>
          </c:val>
        </c:ser>
        <c:dLbls>
          <c:showLegendKey val="0"/>
          <c:showVal val="0"/>
          <c:showCatName val="0"/>
          <c:showSerName val="0"/>
          <c:showPercent val="0"/>
          <c:showBubbleSize val="0"/>
        </c:dLbls>
        <c:gapWidth val="150"/>
        <c:axId val="278147656"/>
        <c:axId val="278148048"/>
      </c:barChart>
      <c:catAx>
        <c:axId val="278147656"/>
        <c:scaling>
          <c:orientation val="minMax"/>
        </c:scaling>
        <c:delete val="0"/>
        <c:axPos val="b"/>
        <c:numFmt formatCode="General" sourceLinked="0"/>
        <c:majorTickMark val="out"/>
        <c:minorTickMark val="none"/>
        <c:tickLblPos val="nextTo"/>
        <c:crossAx val="278148048"/>
        <c:crosses val="autoZero"/>
        <c:auto val="1"/>
        <c:lblAlgn val="ctr"/>
        <c:lblOffset val="100"/>
        <c:noMultiLvlLbl val="0"/>
      </c:catAx>
      <c:valAx>
        <c:axId val="278148048"/>
        <c:scaling>
          <c:orientation val="minMax"/>
        </c:scaling>
        <c:delete val="0"/>
        <c:axPos val="l"/>
        <c:majorGridlines/>
        <c:title>
          <c:tx>
            <c:rich>
              <a:bodyPr rot="-5400000" vert="horz"/>
              <a:lstStyle/>
              <a:p>
                <a:pPr>
                  <a:defRPr/>
                </a:pPr>
                <a:r>
                  <a:rPr lang="en-US"/>
                  <a:t>Total monthly pay in US$</a:t>
                </a:r>
              </a:p>
            </c:rich>
          </c:tx>
          <c:overlay val="0"/>
        </c:title>
        <c:numFmt formatCode="0" sourceLinked="1"/>
        <c:majorTickMark val="out"/>
        <c:minorTickMark val="none"/>
        <c:tickLblPos val="nextTo"/>
        <c:crossAx val="278147656"/>
        <c:crosses val="autoZero"/>
        <c:crossBetween val="between"/>
      </c:valAx>
    </c:plotArea>
    <c:legend>
      <c:legendPos val="b"/>
      <c:layout>
        <c:manualLayout>
          <c:xMode val="edge"/>
          <c:yMode val="edge"/>
          <c:x val="2.3763779527558999E-2"/>
          <c:y val="0.82523731408573897"/>
          <c:w val="0.96080577427821501"/>
          <c:h val="0.14698490813648299"/>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'[Real salary 2007-2015.xlsx]sheet 1'!$G$24</c:f>
              <c:strCache>
                <c:ptCount val="1"/>
                <c:pt idx="0">
                  <c:v>National civil servants</c:v>
                </c:pt>
              </c:strCache>
            </c:strRef>
          </c:tx>
          <c:marker>
            <c:symbol val="none"/>
          </c:marker>
          <c:cat>
            <c:numRef>
              <c:f>'[Real salary 2007-2015.xlsx]sheet 1'!$H$23:$CW$23</c:f>
              <c:numCache>
                <c:formatCode>mmm\-yy</c:formatCode>
                <c:ptCount val="94"/>
                <c:pt idx="0">
                  <c:v>39173</c:v>
                </c:pt>
                <c:pt idx="1">
                  <c:v>39203</c:v>
                </c:pt>
                <c:pt idx="2">
                  <c:v>39234</c:v>
                </c:pt>
                <c:pt idx="3">
                  <c:v>39264</c:v>
                </c:pt>
                <c:pt idx="4">
                  <c:v>39295</c:v>
                </c:pt>
                <c:pt idx="5">
                  <c:v>39326</c:v>
                </c:pt>
                <c:pt idx="6">
                  <c:v>39356</c:v>
                </c:pt>
                <c:pt idx="7">
                  <c:v>39387</c:v>
                </c:pt>
                <c:pt idx="8">
                  <c:v>39417</c:v>
                </c:pt>
                <c:pt idx="9">
                  <c:v>39448</c:v>
                </c:pt>
                <c:pt idx="10">
                  <c:v>39479</c:v>
                </c:pt>
                <c:pt idx="11">
                  <c:v>39508</c:v>
                </c:pt>
                <c:pt idx="12">
                  <c:v>39539</c:v>
                </c:pt>
                <c:pt idx="13">
                  <c:v>39569</c:v>
                </c:pt>
                <c:pt idx="14">
                  <c:v>39600</c:v>
                </c:pt>
                <c:pt idx="15">
                  <c:v>39630</c:v>
                </c:pt>
                <c:pt idx="16">
                  <c:v>39661</c:v>
                </c:pt>
                <c:pt idx="17">
                  <c:v>39692</c:v>
                </c:pt>
                <c:pt idx="18">
                  <c:v>39722</c:v>
                </c:pt>
                <c:pt idx="19">
                  <c:v>39753</c:v>
                </c:pt>
                <c:pt idx="20">
                  <c:v>39783</c:v>
                </c:pt>
                <c:pt idx="21">
                  <c:v>39814</c:v>
                </c:pt>
                <c:pt idx="22">
                  <c:v>39845</c:v>
                </c:pt>
                <c:pt idx="23">
                  <c:v>39873</c:v>
                </c:pt>
                <c:pt idx="24">
                  <c:v>39904</c:v>
                </c:pt>
                <c:pt idx="25">
                  <c:v>39934</c:v>
                </c:pt>
                <c:pt idx="26">
                  <c:v>39965</c:v>
                </c:pt>
                <c:pt idx="27">
                  <c:v>39995</c:v>
                </c:pt>
                <c:pt idx="28">
                  <c:v>40026</c:v>
                </c:pt>
                <c:pt idx="29">
                  <c:v>40057</c:v>
                </c:pt>
                <c:pt idx="30">
                  <c:v>40087</c:v>
                </c:pt>
                <c:pt idx="31">
                  <c:v>40118</c:v>
                </c:pt>
                <c:pt idx="32">
                  <c:v>40148</c:v>
                </c:pt>
                <c:pt idx="33">
                  <c:v>40179</c:v>
                </c:pt>
                <c:pt idx="34">
                  <c:v>40210</c:v>
                </c:pt>
                <c:pt idx="35">
                  <c:v>40238</c:v>
                </c:pt>
                <c:pt idx="36">
                  <c:v>40269</c:v>
                </c:pt>
                <c:pt idx="37">
                  <c:v>40299</c:v>
                </c:pt>
                <c:pt idx="38">
                  <c:v>40330</c:v>
                </c:pt>
                <c:pt idx="39">
                  <c:v>40360</c:v>
                </c:pt>
                <c:pt idx="40">
                  <c:v>40391</c:v>
                </c:pt>
                <c:pt idx="41">
                  <c:v>40422</c:v>
                </c:pt>
                <c:pt idx="42">
                  <c:v>40452</c:v>
                </c:pt>
                <c:pt idx="43">
                  <c:v>40483</c:v>
                </c:pt>
                <c:pt idx="44">
                  <c:v>40513</c:v>
                </c:pt>
                <c:pt idx="45">
                  <c:v>40544</c:v>
                </c:pt>
                <c:pt idx="46">
                  <c:v>40575</c:v>
                </c:pt>
                <c:pt idx="47">
                  <c:v>40603</c:v>
                </c:pt>
                <c:pt idx="48">
                  <c:v>40634</c:v>
                </c:pt>
                <c:pt idx="49">
                  <c:v>40664</c:v>
                </c:pt>
                <c:pt idx="50">
                  <c:v>40695</c:v>
                </c:pt>
                <c:pt idx="51">
                  <c:v>40725</c:v>
                </c:pt>
                <c:pt idx="52">
                  <c:v>40756</c:v>
                </c:pt>
                <c:pt idx="53">
                  <c:v>40787</c:v>
                </c:pt>
                <c:pt idx="54">
                  <c:v>40817</c:v>
                </c:pt>
                <c:pt idx="55">
                  <c:v>40848</c:v>
                </c:pt>
                <c:pt idx="56">
                  <c:v>40878</c:v>
                </c:pt>
                <c:pt idx="57">
                  <c:v>40909</c:v>
                </c:pt>
                <c:pt idx="58">
                  <c:v>40940</c:v>
                </c:pt>
                <c:pt idx="59">
                  <c:v>40969</c:v>
                </c:pt>
                <c:pt idx="60">
                  <c:v>41000</c:v>
                </c:pt>
                <c:pt idx="61">
                  <c:v>41030</c:v>
                </c:pt>
                <c:pt idx="62">
                  <c:v>41061</c:v>
                </c:pt>
                <c:pt idx="63">
                  <c:v>41091</c:v>
                </c:pt>
                <c:pt idx="64">
                  <c:v>41122</c:v>
                </c:pt>
                <c:pt idx="65">
                  <c:v>41153</c:v>
                </c:pt>
                <c:pt idx="66">
                  <c:v>41183</c:v>
                </c:pt>
                <c:pt idx="67">
                  <c:v>41214</c:v>
                </c:pt>
                <c:pt idx="68">
                  <c:v>41244</c:v>
                </c:pt>
                <c:pt idx="69">
                  <c:v>41275</c:v>
                </c:pt>
                <c:pt idx="70">
                  <c:v>41306</c:v>
                </c:pt>
                <c:pt idx="71">
                  <c:v>41334</c:v>
                </c:pt>
                <c:pt idx="72">
                  <c:v>41365</c:v>
                </c:pt>
                <c:pt idx="73">
                  <c:v>41395</c:v>
                </c:pt>
                <c:pt idx="74">
                  <c:v>41426</c:v>
                </c:pt>
                <c:pt idx="75">
                  <c:v>41456</c:v>
                </c:pt>
                <c:pt idx="76">
                  <c:v>41487</c:v>
                </c:pt>
                <c:pt idx="77">
                  <c:v>41518</c:v>
                </c:pt>
                <c:pt idx="78">
                  <c:v>41548</c:v>
                </c:pt>
                <c:pt idx="79">
                  <c:v>41579</c:v>
                </c:pt>
                <c:pt idx="80">
                  <c:v>41609</c:v>
                </c:pt>
                <c:pt idx="81">
                  <c:v>41640</c:v>
                </c:pt>
                <c:pt idx="82">
                  <c:v>41671</c:v>
                </c:pt>
                <c:pt idx="83">
                  <c:v>41699</c:v>
                </c:pt>
                <c:pt idx="84">
                  <c:v>41730</c:v>
                </c:pt>
                <c:pt idx="85">
                  <c:v>41760</c:v>
                </c:pt>
                <c:pt idx="86">
                  <c:v>41791</c:v>
                </c:pt>
                <c:pt idx="87">
                  <c:v>41821</c:v>
                </c:pt>
                <c:pt idx="88">
                  <c:v>41852</c:v>
                </c:pt>
                <c:pt idx="89">
                  <c:v>41883</c:v>
                </c:pt>
                <c:pt idx="90">
                  <c:v>41913</c:v>
                </c:pt>
                <c:pt idx="91">
                  <c:v>41944</c:v>
                </c:pt>
                <c:pt idx="92">
                  <c:v>41974</c:v>
                </c:pt>
                <c:pt idx="93">
                  <c:v>42005</c:v>
                </c:pt>
              </c:numCache>
            </c:numRef>
          </c:cat>
          <c:val>
            <c:numRef>
              <c:f>'[Real salary 2007-2015.xlsx]sheet 1'!$H$24:$CW$24</c:f>
              <c:numCache>
                <c:formatCode>_-* #,##0_-;\-* #,##0_-;_-* "-"??_-;_-@_-</c:formatCode>
                <c:ptCount val="94"/>
                <c:pt idx="0">
                  <c:v>100</c:v>
                </c:pt>
                <c:pt idx="1">
                  <c:v>94.754371357202317</c:v>
                </c:pt>
                <c:pt idx="2">
                  <c:v>95.170818505338076</c:v>
                </c:pt>
                <c:pt idx="3">
                  <c:v>92.418011542316066</c:v>
                </c:pt>
                <c:pt idx="4">
                  <c:v>90.85442500424665</c:v>
                </c:pt>
                <c:pt idx="5">
                  <c:v>86.040151856379893</c:v>
                </c:pt>
                <c:pt idx="6">
                  <c:v>81.661755500251914</c:v>
                </c:pt>
                <c:pt idx="7">
                  <c:v>81.623122939811978</c:v>
                </c:pt>
                <c:pt idx="8">
                  <c:v>84.999602701628916</c:v>
                </c:pt>
                <c:pt idx="9">
                  <c:v>75.164069197150042</c:v>
                </c:pt>
                <c:pt idx="10">
                  <c:v>81.589504995805029</c:v>
                </c:pt>
                <c:pt idx="11">
                  <c:v>81.734134079065996</c:v>
                </c:pt>
                <c:pt idx="12">
                  <c:v>79.524807826694612</c:v>
                </c:pt>
                <c:pt idx="13">
                  <c:v>76.657159646281514</c:v>
                </c:pt>
                <c:pt idx="14">
                  <c:v>77.37912676137843</c:v>
                </c:pt>
                <c:pt idx="15">
                  <c:v>73.887937227164713</c:v>
                </c:pt>
                <c:pt idx="16">
                  <c:v>74.014723790545773</c:v>
                </c:pt>
                <c:pt idx="17">
                  <c:v>73.926744989633718</c:v>
                </c:pt>
                <c:pt idx="18">
                  <c:v>74.065970587420722</c:v>
                </c:pt>
                <c:pt idx="19">
                  <c:v>74.771084674206307</c:v>
                </c:pt>
                <c:pt idx="20">
                  <c:v>75.362114636758164</c:v>
                </c:pt>
                <c:pt idx="21">
                  <c:v>118.19611980394262</c:v>
                </c:pt>
                <c:pt idx="22">
                  <c:v>128.38552830178722</c:v>
                </c:pt>
                <c:pt idx="23">
                  <c:v>125.57320515126753</c:v>
                </c:pt>
                <c:pt idx="24">
                  <c:v>122.0507621902069</c:v>
                </c:pt>
                <c:pt idx="25">
                  <c:v>123.12862530641763</c:v>
                </c:pt>
                <c:pt idx="26">
                  <c:v>121.20821085017171</c:v>
                </c:pt>
                <c:pt idx="27">
                  <c:v>123.32572081934828</c:v>
                </c:pt>
                <c:pt idx="28">
                  <c:v>123.01507241040206</c:v>
                </c:pt>
                <c:pt idx="29">
                  <c:v>121.68681849346719</c:v>
                </c:pt>
                <c:pt idx="30">
                  <c:v>115.85036893322416</c:v>
                </c:pt>
                <c:pt idx="31">
                  <c:v>114.71574731876505</c:v>
                </c:pt>
                <c:pt idx="32">
                  <c:v>123.2050099343201</c:v>
                </c:pt>
                <c:pt idx="33">
                  <c:v>119.5623295688943</c:v>
                </c:pt>
                <c:pt idx="34">
                  <c:v>121.7365454431192</c:v>
                </c:pt>
                <c:pt idx="35">
                  <c:v>122.13916730146792</c:v>
                </c:pt>
                <c:pt idx="36">
                  <c:v>120.79862955835408</c:v>
                </c:pt>
                <c:pt idx="37">
                  <c:v>121.43879187715829</c:v>
                </c:pt>
                <c:pt idx="38">
                  <c:v>121.11294074637438</c:v>
                </c:pt>
                <c:pt idx="39">
                  <c:v>123.40916637597988</c:v>
                </c:pt>
                <c:pt idx="40">
                  <c:v>121.60733981869495</c:v>
                </c:pt>
                <c:pt idx="41">
                  <c:v>124.11700591091885</c:v>
                </c:pt>
                <c:pt idx="42">
                  <c:v>119.54153917972887</c:v>
                </c:pt>
                <c:pt idx="43">
                  <c:v>118.826302144842</c:v>
                </c:pt>
                <c:pt idx="44">
                  <c:v>109.23880372825148</c:v>
                </c:pt>
                <c:pt idx="45">
                  <c:v>97.448969693770707</c:v>
                </c:pt>
                <c:pt idx="46">
                  <c:v>97.330106190408728</c:v>
                </c:pt>
                <c:pt idx="47">
                  <c:v>100.90830579020968</c:v>
                </c:pt>
                <c:pt idx="48">
                  <c:v>87.643865947001174</c:v>
                </c:pt>
                <c:pt idx="49">
                  <c:v>93.741621937083295</c:v>
                </c:pt>
                <c:pt idx="50">
                  <c:v>89.370450106157094</c:v>
                </c:pt>
                <c:pt idx="51">
                  <c:v>84.432818859267172</c:v>
                </c:pt>
                <c:pt idx="52">
                  <c:v>75.196003454907114</c:v>
                </c:pt>
                <c:pt idx="53">
                  <c:v>74.758835673727134</c:v>
                </c:pt>
                <c:pt idx="54">
                  <c:v>68.244118379435321</c:v>
                </c:pt>
                <c:pt idx="55">
                  <c:v>66.446431305693011</c:v>
                </c:pt>
                <c:pt idx="56">
                  <c:v>65.983808765426858</c:v>
                </c:pt>
                <c:pt idx="57">
                  <c:v>65.925400076833</c:v>
                </c:pt>
                <c:pt idx="58">
                  <c:v>68.341184288685653</c:v>
                </c:pt>
                <c:pt idx="59">
                  <c:v>66.892046724766544</c:v>
                </c:pt>
                <c:pt idx="60">
                  <c:v>54.041873508064157</c:v>
                </c:pt>
                <c:pt idx="61">
                  <c:v>41.736233684939137</c:v>
                </c:pt>
                <c:pt idx="62">
                  <c:v>41.036317758187387</c:v>
                </c:pt>
                <c:pt idx="63">
                  <c:v>41.953426048467335</c:v>
                </c:pt>
                <c:pt idx="64">
                  <c:v>41.935445551302806</c:v>
                </c:pt>
                <c:pt idx="65">
                  <c:v>41.82102816421942</c:v>
                </c:pt>
                <c:pt idx="66">
                  <c:v>44.883045470475331</c:v>
                </c:pt>
                <c:pt idx="67">
                  <c:v>37.661196379351765</c:v>
                </c:pt>
                <c:pt idx="68">
                  <c:v>42.108746818378187</c:v>
                </c:pt>
                <c:pt idx="69">
                  <c:v>38.957095981520986</c:v>
                </c:pt>
                <c:pt idx="70">
                  <c:v>44.028443866240039</c:v>
                </c:pt>
                <c:pt idx="71">
                  <c:v>46.858767493310864</c:v>
                </c:pt>
                <c:pt idx="72">
                  <c:v>46.585245390977867</c:v>
                </c:pt>
                <c:pt idx="73">
                  <c:v>45.988967687217382</c:v>
                </c:pt>
                <c:pt idx="74">
                  <c:v>46.158962578890652</c:v>
                </c:pt>
                <c:pt idx="75">
                  <c:v>46.395521453073002</c:v>
                </c:pt>
                <c:pt idx="76">
                  <c:v>46.50093424285415</c:v>
                </c:pt>
                <c:pt idx="77">
                  <c:v>45.062851750749836</c:v>
                </c:pt>
                <c:pt idx="78">
                  <c:v>44.361224142519987</c:v>
                </c:pt>
                <c:pt idx="79">
                  <c:v>43.777488050574611</c:v>
                </c:pt>
                <c:pt idx="80">
                  <c:v>46.165227569966035</c:v>
                </c:pt>
                <c:pt idx="81">
                  <c:v>53.571377255301734</c:v>
                </c:pt>
                <c:pt idx="82">
                  <c:v>56.73665873497449</c:v>
                </c:pt>
                <c:pt idx="83">
                  <c:v>58.405187694360862</c:v>
                </c:pt>
                <c:pt idx="84">
                  <c:v>59.006364828869273</c:v>
                </c:pt>
                <c:pt idx="85">
                  <c:v>59.294500577985509</c:v>
                </c:pt>
                <c:pt idx="86">
                  <c:v>57.409825918865501</c:v>
                </c:pt>
                <c:pt idx="87">
                  <c:v>56.570736869323405</c:v>
                </c:pt>
                <c:pt idx="88">
                  <c:v>53.54826635958532</c:v>
                </c:pt>
                <c:pt idx="89">
                  <c:v>56.200760977334362</c:v>
                </c:pt>
                <c:pt idx="90">
                  <c:v>58.464026916839217</c:v>
                </c:pt>
                <c:pt idx="91">
                  <c:v>45.610665455163826</c:v>
                </c:pt>
                <c:pt idx="92">
                  <c:v>52.567760782399333</c:v>
                </c:pt>
                <c:pt idx="93">
                  <c:v>53.977115621791924</c:v>
                </c:pt>
              </c:numCache>
            </c:numRef>
          </c:val>
          <c:smooth val="0"/>
        </c:ser>
        <c:ser>
          <c:idx val="1"/>
          <c:order val="1"/>
          <c:tx>
            <c:strRef>
              <c:f>'[Real salary 2007-2015.xlsx]sheet 1'!$G$25</c:f>
              <c:strCache>
                <c:ptCount val="1"/>
                <c:pt idx="0">
                  <c:v>Army</c:v>
                </c:pt>
              </c:strCache>
            </c:strRef>
          </c:tx>
          <c:marker>
            <c:symbol val="none"/>
          </c:marker>
          <c:cat>
            <c:numRef>
              <c:f>'[Real salary 2007-2015.xlsx]sheet 1'!$H$23:$CW$23</c:f>
              <c:numCache>
                <c:formatCode>mmm\-yy</c:formatCode>
                <c:ptCount val="94"/>
                <c:pt idx="0">
                  <c:v>39173</c:v>
                </c:pt>
                <c:pt idx="1">
                  <c:v>39203</c:v>
                </c:pt>
                <c:pt idx="2">
                  <c:v>39234</c:v>
                </c:pt>
                <c:pt idx="3">
                  <c:v>39264</c:v>
                </c:pt>
                <c:pt idx="4">
                  <c:v>39295</c:v>
                </c:pt>
                <c:pt idx="5">
                  <c:v>39326</c:v>
                </c:pt>
                <c:pt idx="6">
                  <c:v>39356</c:v>
                </c:pt>
                <c:pt idx="7">
                  <c:v>39387</c:v>
                </c:pt>
                <c:pt idx="8">
                  <c:v>39417</c:v>
                </c:pt>
                <c:pt idx="9">
                  <c:v>39448</c:v>
                </c:pt>
                <c:pt idx="10">
                  <c:v>39479</c:v>
                </c:pt>
                <c:pt idx="11">
                  <c:v>39508</c:v>
                </c:pt>
                <c:pt idx="12">
                  <c:v>39539</c:v>
                </c:pt>
                <c:pt idx="13">
                  <c:v>39569</c:v>
                </c:pt>
                <c:pt idx="14">
                  <c:v>39600</c:v>
                </c:pt>
                <c:pt idx="15">
                  <c:v>39630</c:v>
                </c:pt>
                <c:pt idx="16">
                  <c:v>39661</c:v>
                </c:pt>
                <c:pt idx="17">
                  <c:v>39692</c:v>
                </c:pt>
                <c:pt idx="18">
                  <c:v>39722</c:v>
                </c:pt>
                <c:pt idx="19">
                  <c:v>39753</c:v>
                </c:pt>
                <c:pt idx="20">
                  <c:v>39783</c:v>
                </c:pt>
                <c:pt idx="21">
                  <c:v>39814</c:v>
                </c:pt>
                <c:pt idx="22">
                  <c:v>39845</c:v>
                </c:pt>
                <c:pt idx="23">
                  <c:v>39873</c:v>
                </c:pt>
                <c:pt idx="24">
                  <c:v>39904</c:v>
                </c:pt>
                <c:pt idx="25">
                  <c:v>39934</c:v>
                </c:pt>
                <c:pt idx="26">
                  <c:v>39965</c:v>
                </c:pt>
                <c:pt idx="27">
                  <c:v>39995</c:v>
                </c:pt>
                <c:pt idx="28">
                  <c:v>40026</c:v>
                </c:pt>
                <c:pt idx="29">
                  <c:v>40057</c:v>
                </c:pt>
                <c:pt idx="30">
                  <c:v>40087</c:v>
                </c:pt>
                <c:pt idx="31">
                  <c:v>40118</c:v>
                </c:pt>
                <c:pt idx="32">
                  <c:v>40148</c:v>
                </c:pt>
                <c:pt idx="33">
                  <c:v>40179</c:v>
                </c:pt>
                <c:pt idx="34">
                  <c:v>40210</c:v>
                </c:pt>
                <c:pt idx="35">
                  <c:v>40238</c:v>
                </c:pt>
                <c:pt idx="36">
                  <c:v>40269</c:v>
                </c:pt>
                <c:pt idx="37">
                  <c:v>40299</c:v>
                </c:pt>
                <c:pt idx="38">
                  <c:v>40330</c:v>
                </c:pt>
                <c:pt idx="39">
                  <c:v>40360</c:v>
                </c:pt>
                <c:pt idx="40">
                  <c:v>40391</c:v>
                </c:pt>
                <c:pt idx="41">
                  <c:v>40422</c:v>
                </c:pt>
                <c:pt idx="42">
                  <c:v>40452</c:v>
                </c:pt>
                <c:pt idx="43">
                  <c:v>40483</c:v>
                </c:pt>
                <c:pt idx="44">
                  <c:v>40513</c:v>
                </c:pt>
                <c:pt idx="45">
                  <c:v>40544</c:v>
                </c:pt>
                <c:pt idx="46">
                  <c:v>40575</c:v>
                </c:pt>
                <c:pt idx="47">
                  <c:v>40603</c:v>
                </c:pt>
                <c:pt idx="48">
                  <c:v>40634</c:v>
                </c:pt>
                <c:pt idx="49">
                  <c:v>40664</c:v>
                </c:pt>
                <c:pt idx="50">
                  <c:v>40695</c:v>
                </c:pt>
                <c:pt idx="51">
                  <c:v>40725</c:v>
                </c:pt>
                <c:pt idx="52">
                  <c:v>40756</c:v>
                </c:pt>
                <c:pt idx="53">
                  <c:v>40787</c:v>
                </c:pt>
                <c:pt idx="54">
                  <c:v>40817</c:v>
                </c:pt>
                <c:pt idx="55">
                  <c:v>40848</c:v>
                </c:pt>
                <c:pt idx="56">
                  <c:v>40878</c:v>
                </c:pt>
                <c:pt idx="57">
                  <c:v>40909</c:v>
                </c:pt>
                <c:pt idx="58">
                  <c:v>40940</c:v>
                </c:pt>
                <c:pt idx="59">
                  <c:v>40969</c:v>
                </c:pt>
                <c:pt idx="60">
                  <c:v>41000</c:v>
                </c:pt>
                <c:pt idx="61">
                  <c:v>41030</c:v>
                </c:pt>
                <c:pt idx="62">
                  <c:v>41061</c:v>
                </c:pt>
                <c:pt idx="63">
                  <c:v>41091</c:v>
                </c:pt>
                <c:pt idx="64">
                  <c:v>41122</c:v>
                </c:pt>
                <c:pt idx="65">
                  <c:v>41153</c:v>
                </c:pt>
                <c:pt idx="66">
                  <c:v>41183</c:v>
                </c:pt>
                <c:pt idx="67">
                  <c:v>41214</c:v>
                </c:pt>
                <c:pt idx="68">
                  <c:v>41244</c:v>
                </c:pt>
                <c:pt idx="69">
                  <c:v>41275</c:v>
                </c:pt>
                <c:pt idx="70">
                  <c:v>41306</c:v>
                </c:pt>
                <c:pt idx="71">
                  <c:v>41334</c:v>
                </c:pt>
                <c:pt idx="72">
                  <c:v>41365</c:v>
                </c:pt>
                <c:pt idx="73">
                  <c:v>41395</c:v>
                </c:pt>
                <c:pt idx="74">
                  <c:v>41426</c:v>
                </c:pt>
                <c:pt idx="75">
                  <c:v>41456</c:v>
                </c:pt>
                <c:pt idx="76">
                  <c:v>41487</c:v>
                </c:pt>
                <c:pt idx="77">
                  <c:v>41518</c:v>
                </c:pt>
                <c:pt idx="78">
                  <c:v>41548</c:v>
                </c:pt>
                <c:pt idx="79">
                  <c:v>41579</c:v>
                </c:pt>
                <c:pt idx="80">
                  <c:v>41609</c:v>
                </c:pt>
                <c:pt idx="81">
                  <c:v>41640</c:v>
                </c:pt>
                <c:pt idx="82">
                  <c:v>41671</c:v>
                </c:pt>
                <c:pt idx="83">
                  <c:v>41699</c:v>
                </c:pt>
                <c:pt idx="84">
                  <c:v>41730</c:v>
                </c:pt>
                <c:pt idx="85">
                  <c:v>41760</c:v>
                </c:pt>
                <c:pt idx="86">
                  <c:v>41791</c:v>
                </c:pt>
                <c:pt idx="87">
                  <c:v>41821</c:v>
                </c:pt>
                <c:pt idx="88">
                  <c:v>41852</c:v>
                </c:pt>
                <c:pt idx="89">
                  <c:v>41883</c:v>
                </c:pt>
                <c:pt idx="90">
                  <c:v>41913</c:v>
                </c:pt>
                <c:pt idx="91">
                  <c:v>41944</c:v>
                </c:pt>
                <c:pt idx="92">
                  <c:v>41974</c:v>
                </c:pt>
                <c:pt idx="93">
                  <c:v>42005</c:v>
                </c:pt>
              </c:numCache>
            </c:numRef>
          </c:cat>
          <c:val>
            <c:numRef>
              <c:f>'[Real salary 2007-2015.xlsx]sheet 1'!$H$25:$CW$25</c:f>
              <c:numCache>
                <c:formatCode>_-* #,##0_-;\-* #,##0_-;_-* "-"??_-;_-@_-</c:formatCode>
                <c:ptCount val="94"/>
                <c:pt idx="0">
                  <c:v>40.976645435244166</c:v>
                </c:pt>
                <c:pt idx="1">
                  <c:v>38.827162785435341</c:v>
                </c:pt>
                <c:pt idx="2">
                  <c:v>38.997808856752116</c:v>
                </c:pt>
                <c:pt idx="3">
                  <c:v>37.869800907997877</c:v>
                </c:pt>
                <c:pt idx="4">
                  <c:v>37.229095596219963</c:v>
                </c:pt>
                <c:pt idx="5">
                  <c:v>35.256367958134433</c:v>
                </c:pt>
                <c:pt idx="6">
                  <c:v>33.462248007534221</c:v>
                </c:pt>
                <c:pt idx="7">
                  <c:v>33.446417680220193</c:v>
                </c:pt>
                <c:pt idx="8">
                  <c:v>34.829985820412702</c:v>
                </c:pt>
                <c:pt idx="9">
                  <c:v>30.79971412961774</c:v>
                </c:pt>
                <c:pt idx="10">
                  <c:v>33.432642174501851</c:v>
                </c:pt>
                <c:pt idx="11">
                  <c:v>33.491906321145933</c:v>
                </c:pt>
                <c:pt idx="12">
                  <c:v>32.586598536203951</c:v>
                </c:pt>
                <c:pt idx="13">
                  <c:v>31.411532508985839</c:v>
                </c:pt>
                <c:pt idx="14">
                  <c:v>31.707370413898168</c:v>
                </c:pt>
                <c:pt idx="15">
                  <c:v>30.276798056991062</c:v>
                </c:pt>
                <c:pt idx="16">
                  <c:v>30.32875093752725</c:v>
                </c:pt>
                <c:pt idx="17">
                  <c:v>30.292700176219334</c:v>
                </c:pt>
                <c:pt idx="18">
                  <c:v>30.349750155779613</c:v>
                </c:pt>
                <c:pt idx="19">
                  <c:v>30.638682255035704</c:v>
                </c:pt>
                <c:pt idx="20">
                  <c:v>30.880866507206633</c:v>
                </c:pt>
                <c:pt idx="21">
                  <c:v>28.985833700331547</c:v>
                </c:pt>
                <c:pt idx="22">
                  <c:v>31.484634005393815</c:v>
                </c:pt>
                <c:pt idx="23">
                  <c:v>30.794953741035116</c:v>
                </c:pt>
                <c:pt idx="24">
                  <c:v>29.93112719531122</c:v>
                </c:pt>
                <c:pt idx="25">
                  <c:v>30.195457031942315</c:v>
                </c:pt>
                <c:pt idx="26">
                  <c:v>29.72450405855545</c:v>
                </c:pt>
                <c:pt idx="27">
                  <c:v>30.243791763830004</c:v>
                </c:pt>
                <c:pt idx="28">
                  <c:v>30.16760987955222</c:v>
                </c:pt>
                <c:pt idx="29">
                  <c:v>29.841875437406816</c:v>
                </c:pt>
                <c:pt idx="30">
                  <c:v>28.410573321616596</c:v>
                </c:pt>
                <c:pt idx="31">
                  <c:v>28.132324310700955</c:v>
                </c:pt>
                <c:pt idx="32">
                  <c:v>30.214189221504167</c:v>
                </c:pt>
                <c:pt idx="33">
                  <c:v>29.320876247517909</c:v>
                </c:pt>
                <c:pt idx="34">
                  <c:v>29.854070229379936</c:v>
                </c:pt>
                <c:pt idx="35">
                  <c:v>29.952807228949567</c:v>
                </c:pt>
                <c:pt idx="36">
                  <c:v>29.624060361832704</c:v>
                </c:pt>
                <c:pt idx="37">
                  <c:v>29.781050612822806</c:v>
                </c:pt>
                <c:pt idx="38">
                  <c:v>29.701140487992696</c:v>
                </c:pt>
                <c:pt idx="39">
                  <c:v>30.264255540742202</c:v>
                </c:pt>
                <c:pt idx="40">
                  <c:v>29.822384479044633</c:v>
                </c:pt>
                <c:pt idx="41">
                  <c:v>30.437842618560783</c:v>
                </c:pt>
                <c:pt idx="42">
                  <c:v>29.315777714977987</c:v>
                </c:pt>
                <c:pt idx="43">
                  <c:v>29.140376510742698</c:v>
                </c:pt>
                <c:pt idx="44">
                  <c:v>26.789185666521647</c:v>
                </c:pt>
                <c:pt idx="45">
                  <c:v>23.897904893135635</c:v>
                </c:pt>
                <c:pt idx="46">
                  <c:v>23.868755393581807</c:v>
                </c:pt>
                <c:pt idx="47">
                  <c:v>24.746255422503769</c:v>
                </c:pt>
                <c:pt idx="48">
                  <c:v>40.4253155511581</c:v>
                </c:pt>
                <c:pt idx="49">
                  <c:v>43.237876446202328</c:v>
                </c:pt>
                <c:pt idx="50">
                  <c:v>41.221694267515915</c:v>
                </c:pt>
                <c:pt idx="51">
                  <c:v>38.94423538235575</c:v>
                </c:pt>
                <c:pt idx="52">
                  <c:v>34.683798289874559</c:v>
                </c:pt>
                <c:pt idx="53">
                  <c:v>34.482156733879229</c:v>
                </c:pt>
                <c:pt idx="54">
                  <c:v>31.477274424059743</c:v>
                </c:pt>
                <c:pt idx="55">
                  <c:v>30.648099827149384</c:v>
                </c:pt>
                <c:pt idx="56">
                  <c:v>30.434717384815691</c:v>
                </c:pt>
                <c:pt idx="57">
                  <c:v>30.407776655515089</c:v>
                </c:pt>
                <c:pt idx="58">
                  <c:v>31.522045612189189</c:v>
                </c:pt>
                <c:pt idx="59">
                  <c:v>30.853637815870723</c:v>
                </c:pt>
                <c:pt idx="60">
                  <c:v>23.884961582260466</c:v>
                </c:pt>
                <c:pt idx="61">
                  <c:v>18.446220929114599</c:v>
                </c:pt>
                <c:pt idx="62">
                  <c:v>18.136878118880912</c:v>
                </c:pt>
                <c:pt idx="63">
                  <c:v>18.542213738432302</c:v>
                </c:pt>
                <c:pt idx="64">
                  <c:v>18.534266873230809</c:v>
                </c:pt>
                <c:pt idx="65">
                  <c:v>18.483697662405405</c:v>
                </c:pt>
                <c:pt idx="66">
                  <c:v>19.837021686473992</c:v>
                </c:pt>
                <c:pt idx="67">
                  <c:v>16.645171054785042</c:v>
                </c:pt>
                <c:pt idx="68">
                  <c:v>18.610861073941393</c:v>
                </c:pt>
                <c:pt idx="69">
                  <c:v>17.217921594376527</c:v>
                </c:pt>
                <c:pt idx="70">
                  <c:v>19.459312233409747</c:v>
                </c:pt>
                <c:pt idx="71">
                  <c:v>20.710234281622288</c:v>
                </c:pt>
                <c:pt idx="72">
                  <c:v>20.589345339732667</c:v>
                </c:pt>
                <c:pt idx="73">
                  <c:v>20.325807658261418</c:v>
                </c:pt>
                <c:pt idx="74">
                  <c:v>20.400940535662322</c:v>
                </c:pt>
                <c:pt idx="75">
                  <c:v>20.505492788480595</c:v>
                </c:pt>
                <c:pt idx="76">
                  <c:v>20.552082224981643</c:v>
                </c:pt>
                <c:pt idx="77">
                  <c:v>19.916490916865584</c:v>
                </c:pt>
                <c:pt idx="78">
                  <c:v>19.606391592401522</c:v>
                </c:pt>
                <c:pt idx="79">
                  <c:v>19.3483969444511</c:v>
                </c:pt>
                <c:pt idx="80">
                  <c:v>20.403709482433317</c:v>
                </c:pt>
                <c:pt idx="81">
                  <c:v>24.709542495139171</c:v>
                </c:pt>
                <c:pt idx="82">
                  <c:v>26.169513495293184</c:v>
                </c:pt>
                <c:pt idx="83">
                  <c:v>26.939114527386266</c:v>
                </c:pt>
                <c:pt idx="84">
                  <c:v>27.216404616111241</c:v>
                </c:pt>
                <c:pt idx="85">
                  <c:v>27.349305857444396</c:v>
                </c:pt>
                <c:pt idx="86">
                  <c:v>26.480008651268328</c:v>
                </c:pt>
                <c:pt idx="87">
                  <c:v>26.092982825367717</c:v>
                </c:pt>
                <c:pt idx="88">
                  <c:v>24.69888270461178</c:v>
                </c:pt>
                <c:pt idx="89">
                  <c:v>25.922333208097044</c:v>
                </c:pt>
                <c:pt idx="90">
                  <c:v>26.966253838389626</c:v>
                </c:pt>
                <c:pt idx="91">
                  <c:v>21.037702109560954</c:v>
                </c:pt>
                <c:pt idx="92">
                  <c:v>24.246629179175297</c:v>
                </c:pt>
                <c:pt idx="93">
                  <c:v>24.896687383367812</c:v>
                </c:pt>
              </c:numCache>
            </c:numRef>
          </c:val>
          <c:smooth val="0"/>
        </c:ser>
        <c:ser>
          <c:idx val="2"/>
          <c:order val="2"/>
          <c:tx>
            <c:strRef>
              <c:f>'[Real salary 2007-2015.xlsx]sheet 1'!$G$26</c:f>
              <c:strCache>
                <c:ptCount val="1"/>
                <c:pt idx="0">
                  <c:v>Organised Forces</c:v>
                </c:pt>
              </c:strCache>
            </c:strRef>
          </c:tx>
          <c:marker>
            <c:symbol val="none"/>
          </c:marker>
          <c:cat>
            <c:numRef>
              <c:f>'[Real salary 2007-2015.xlsx]sheet 1'!$H$23:$CW$23</c:f>
              <c:numCache>
                <c:formatCode>mmm\-yy</c:formatCode>
                <c:ptCount val="94"/>
                <c:pt idx="0">
                  <c:v>39173</c:v>
                </c:pt>
                <c:pt idx="1">
                  <c:v>39203</c:v>
                </c:pt>
                <c:pt idx="2">
                  <c:v>39234</c:v>
                </c:pt>
                <c:pt idx="3">
                  <c:v>39264</c:v>
                </c:pt>
                <c:pt idx="4">
                  <c:v>39295</c:v>
                </c:pt>
                <c:pt idx="5">
                  <c:v>39326</c:v>
                </c:pt>
                <c:pt idx="6">
                  <c:v>39356</c:v>
                </c:pt>
                <c:pt idx="7">
                  <c:v>39387</c:v>
                </c:pt>
                <c:pt idx="8">
                  <c:v>39417</c:v>
                </c:pt>
                <c:pt idx="9">
                  <c:v>39448</c:v>
                </c:pt>
                <c:pt idx="10">
                  <c:v>39479</c:v>
                </c:pt>
                <c:pt idx="11">
                  <c:v>39508</c:v>
                </c:pt>
                <c:pt idx="12">
                  <c:v>39539</c:v>
                </c:pt>
                <c:pt idx="13">
                  <c:v>39569</c:v>
                </c:pt>
                <c:pt idx="14">
                  <c:v>39600</c:v>
                </c:pt>
                <c:pt idx="15">
                  <c:v>39630</c:v>
                </c:pt>
                <c:pt idx="16">
                  <c:v>39661</c:v>
                </c:pt>
                <c:pt idx="17">
                  <c:v>39692</c:v>
                </c:pt>
                <c:pt idx="18">
                  <c:v>39722</c:v>
                </c:pt>
                <c:pt idx="19">
                  <c:v>39753</c:v>
                </c:pt>
                <c:pt idx="20">
                  <c:v>39783</c:v>
                </c:pt>
                <c:pt idx="21">
                  <c:v>39814</c:v>
                </c:pt>
                <c:pt idx="22">
                  <c:v>39845</c:v>
                </c:pt>
                <c:pt idx="23">
                  <c:v>39873</c:v>
                </c:pt>
                <c:pt idx="24">
                  <c:v>39904</c:v>
                </c:pt>
                <c:pt idx="25">
                  <c:v>39934</c:v>
                </c:pt>
                <c:pt idx="26">
                  <c:v>39965</c:v>
                </c:pt>
                <c:pt idx="27">
                  <c:v>39995</c:v>
                </c:pt>
                <c:pt idx="28">
                  <c:v>40026</c:v>
                </c:pt>
                <c:pt idx="29">
                  <c:v>40057</c:v>
                </c:pt>
                <c:pt idx="30">
                  <c:v>40087</c:v>
                </c:pt>
                <c:pt idx="31">
                  <c:v>40118</c:v>
                </c:pt>
                <c:pt idx="32">
                  <c:v>40148</c:v>
                </c:pt>
                <c:pt idx="33">
                  <c:v>40179</c:v>
                </c:pt>
                <c:pt idx="34">
                  <c:v>40210</c:v>
                </c:pt>
                <c:pt idx="35">
                  <c:v>40238</c:v>
                </c:pt>
                <c:pt idx="36">
                  <c:v>40269</c:v>
                </c:pt>
                <c:pt idx="37">
                  <c:v>40299</c:v>
                </c:pt>
                <c:pt idx="38">
                  <c:v>40330</c:v>
                </c:pt>
                <c:pt idx="39">
                  <c:v>40360</c:v>
                </c:pt>
                <c:pt idx="40">
                  <c:v>40391</c:v>
                </c:pt>
                <c:pt idx="41">
                  <c:v>40422</c:v>
                </c:pt>
                <c:pt idx="42">
                  <c:v>40452</c:v>
                </c:pt>
                <c:pt idx="43">
                  <c:v>40483</c:v>
                </c:pt>
                <c:pt idx="44">
                  <c:v>40513</c:v>
                </c:pt>
                <c:pt idx="45">
                  <c:v>40544</c:v>
                </c:pt>
                <c:pt idx="46">
                  <c:v>40575</c:v>
                </c:pt>
                <c:pt idx="47">
                  <c:v>40603</c:v>
                </c:pt>
                <c:pt idx="48">
                  <c:v>40634</c:v>
                </c:pt>
                <c:pt idx="49">
                  <c:v>40664</c:v>
                </c:pt>
                <c:pt idx="50">
                  <c:v>40695</c:v>
                </c:pt>
                <c:pt idx="51">
                  <c:v>40725</c:v>
                </c:pt>
                <c:pt idx="52">
                  <c:v>40756</c:v>
                </c:pt>
                <c:pt idx="53">
                  <c:v>40787</c:v>
                </c:pt>
                <c:pt idx="54">
                  <c:v>40817</c:v>
                </c:pt>
                <c:pt idx="55">
                  <c:v>40848</c:v>
                </c:pt>
                <c:pt idx="56">
                  <c:v>40878</c:v>
                </c:pt>
                <c:pt idx="57">
                  <c:v>40909</c:v>
                </c:pt>
                <c:pt idx="58">
                  <c:v>40940</c:v>
                </c:pt>
                <c:pt idx="59">
                  <c:v>40969</c:v>
                </c:pt>
                <c:pt idx="60">
                  <c:v>41000</c:v>
                </c:pt>
                <c:pt idx="61">
                  <c:v>41030</c:v>
                </c:pt>
                <c:pt idx="62">
                  <c:v>41061</c:v>
                </c:pt>
                <c:pt idx="63">
                  <c:v>41091</c:v>
                </c:pt>
                <c:pt idx="64">
                  <c:v>41122</c:v>
                </c:pt>
                <c:pt idx="65">
                  <c:v>41153</c:v>
                </c:pt>
                <c:pt idx="66">
                  <c:v>41183</c:v>
                </c:pt>
                <c:pt idx="67">
                  <c:v>41214</c:v>
                </c:pt>
                <c:pt idx="68">
                  <c:v>41244</c:v>
                </c:pt>
                <c:pt idx="69">
                  <c:v>41275</c:v>
                </c:pt>
                <c:pt idx="70">
                  <c:v>41306</c:v>
                </c:pt>
                <c:pt idx="71">
                  <c:v>41334</c:v>
                </c:pt>
                <c:pt idx="72">
                  <c:v>41365</c:v>
                </c:pt>
                <c:pt idx="73">
                  <c:v>41395</c:v>
                </c:pt>
                <c:pt idx="74">
                  <c:v>41426</c:v>
                </c:pt>
                <c:pt idx="75">
                  <c:v>41456</c:v>
                </c:pt>
                <c:pt idx="76">
                  <c:v>41487</c:v>
                </c:pt>
                <c:pt idx="77">
                  <c:v>41518</c:v>
                </c:pt>
                <c:pt idx="78">
                  <c:v>41548</c:v>
                </c:pt>
                <c:pt idx="79">
                  <c:v>41579</c:v>
                </c:pt>
                <c:pt idx="80">
                  <c:v>41609</c:v>
                </c:pt>
                <c:pt idx="81">
                  <c:v>41640</c:v>
                </c:pt>
                <c:pt idx="82">
                  <c:v>41671</c:v>
                </c:pt>
                <c:pt idx="83">
                  <c:v>41699</c:v>
                </c:pt>
                <c:pt idx="84">
                  <c:v>41730</c:v>
                </c:pt>
                <c:pt idx="85">
                  <c:v>41760</c:v>
                </c:pt>
                <c:pt idx="86">
                  <c:v>41791</c:v>
                </c:pt>
                <c:pt idx="87">
                  <c:v>41821</c:v>
                </c:pt>
                <c:pt idx="88">
                  <c:v>41852</c:v>
                </c:pt>
                <c:pt idx="89">
                  <c:v>41883</c:v>
                </c:pt>
                <c:pt idx="90">
                  <c:v>41913</c:v>
                </c:pt>
                <c:pt idx="91">
                  <c:v>41944</c:v>
                </c:pt>
                <c:pt idx="92">
                  <c:v>41974</c:v>
                </c:pt>
                <c:pt idx="93">
                  <c:v>42005</c:v>
                </c:pt>
              </c:numCache>
            </c:numRef>
          </c:cat>
          <c:val>
            <c:numRef>
              <c:f>'[Real salary 2007-2015.xlsx]sheet 1'!$H$26:$CW$26</c:f>
              <c:numCache>
                <c:formatCode>_-* #,##0_-;\-* #,##0_-;_-* "-"??_-;_-@_-</c:formatCode>
                <c:ptCount val="94"/>
                <c:pt idx="0">
                  <c:v>40.976645435244166</c:v>
                </c:pt>
                <c:pt idx="1">
                  <c:v>38.827162785435341</c:v>
                </c:pt>
                <c:pt idx="2">
                  <c:v>38.997808856752116</c:v>
                </c:pt>
                <c:pt idx="3">
                  <c:v>37.869800907997877</c:v>
                </c:pt>
                <c:pt idx="4">
                  <c:v>37.229095596219963</c:v>
                </c:pt>
                <c:pt idx="5">
                  <c:v>35.256367958134433</c:v>
                </c:pt>
                <c:pt idx="6">
                  <c:v>33.462248007534221</c:v>
                </c:pt>
                <c:pt idx="7">
                  <c:v>33.446417680220193</c:v>
                </c:pt>
                <c:pt idx="8">
                  <c:v>34.829985820412702</c:v>
                </c:pt>
                <c:pt idx="9">
                  <c:v>30.79971412961774</c:v>
                </c:pt>
                <c:pt idx="10">
                  <c:v>33.432642174501851</c:v>
                </c:pt>
                <c:pt idx="11">
                  <c:v>33.491906321145933</c:v>
                </c:pt>
                <c:pt idx="12">
                  <c:v>32.586598536203951</c:v>
                </c:pt>
                <c:pt idx="13">
                  <c:v>31.411532508985839</c:v>
                </c:pt>
                <c:pt idx="14">
                  <c:v>31.707370413898168</c:v>
                </c:pt>
                <c:pt idx="15">
                  <c:v>30.276798056991062</c:v>
                </c:pt>
                <c:pt idx="16">
                  <c:v>30.32875093752725</c:v>
                </c:pt>
                <c:pt idx="17">
                  <c:v>30.292700176219334</c:v>
                </c:pt>
                <c:pt idx="18">
                  <c:v>30.349750155779613</c:v>
                </c:pt>
                <c:pt idx="19">
                  <c:v>30.638682255035704</c:v>
                </c:pt>
                <c:pt idx="20">
                  <c:v>30.880866507206633</c:v>
                </c:pt>
                <c:pt idx="21">
                  <c:v>28.985833700331547</c:v>
                </c:pt>
                <c:pt idx="22">
                  <c:v>31.484634005393815</c:v>
                </c:pt>
                <c:pt idx="23">
                  <c:v>30.794953741035116</c:v>
                </c:pt>
                <c:pt idx="24">
                  <c:v>29.93112719531122</c:v>
                </c:pt>
                <c:pt idx="25">
                  <c:v>30.195457031942315</c:v>
                </c:pt>
                <c:pt idx="26">
                  <c:v>29.72450405855545</c:v>
                </c:pt>
                <c:pt idx="27">
                  <c:v>30.243791763830004</c:v>
                </c:pt>
                <c:pt idx="28">
                  <c:v>30.16760987955222</c:v>
                </c:pt>
                <c:pt idx="29">
                  <c:v>29.841875437406816</c:v>
                </c:pt>
                <c:pt idx="30">
                  <c:v>28.410573321616596</c:v>
                </c:pt>
                <c:pt idx="31">
                  <c:v>28.132324310700955</c:v>
                </c:pt>
                <c:pt idx="32">
                  <c:v>30.214189221504167</c:v>
                </c:pt>
                <c:pt idx="33">
                  <c:v>29.320876247517909</c:v>
                </c:pt>
                <c:pt idx="34">
                  <c:v>29.854070229379936</c:v>
                </c:pt>
                <c:pt idx="35">
                  <c:v>29.952807228949567</c:v>
                </c:pt>
                <c:pt idx="36">
                  <c:v>29.624060361832704</c:v>
                </c:pt>
                <c:pt idx="37">
                  <c:v>29.781050612822806</c:v>
                </c:pt>
                <c:pt idx="38">
                  <c:v>29.701140487992696</c:v>
                </c:pt>
                <c:pt idx="39">
                  <c:v>30.264255540742202</c:v>
                </c:pt>
                <c:pt idx="40">
                  <c:v>29.822384479044633</c:v>
                </c:pt>
                <c:pt idx="41">
                  <c:v>30.437842618560783</c:v>
                </c:pt>
                <c:pt idx="42">
                  <c:v>29.315777714977987</c:v>
                </c:pt>
                <c:pt idx="43">
                  <c:v>29.140376510742698</c:v>
                </c:pt>
                <c:pt idx="44">
                  <c:v>26.789185666521647</c:v>
                </c:pt>
                <c:pt idx="45">
                  <c:v>23.897904893135635</c:v>
                </c:pt>
                <c:pt idx="46">
                  <c:v>23.868755393581807</c:v>
                </c:pt>
                <c:pt idx="47">
                  <c:v>24.746255422503769</c:v>
                </c:pt>
                <c:pt idx="48">
                  <c:v>21.493349590560644</c:v>
                </c:pt>
                <c:pt idx="49">
                  <c:v>22.988733206934022</c:v>
                </c:pt>
                <c:pt idx="50">
                  <c:v>21.91676857749469</c:v>
                </c:pt>
                <c:pt idx="51">
                  <c:v>20.705888233594109</c:v>
                </c:pt>
                <c:pt idx="52">
                  <c:v>18.440697162385099</c:v>
                </c:pt>
                <c:pt idx="53">
                  <c:v>18.333488291015676</c:v>
                </c:pt>
                <c:pt idx="54">
                  <c:v>16.735851140064824</c:v>
                </c:pt>
                <c:pt idx="55">
                  <c:v>16.294995224903115</c:v>
                </c:pt>
                <c:pt idx="56">
                  <c:v>16.181543953910268</c:v>
                </c:pt>
                <c:pt idx="57">
                  <c:v>30.407776655515089</c:v>
                </c:pt>
                <c:pt idx="58">
                  <c:v>31.522045612189189</c:v>
                </c:pt>
                <c:pt idx="59">
                  <c:v>30.853637815870723</c:v>
                </c:pt>
                <c:pt idx="60">
                  <c:v>23.884961582260466</c:v>
                </c:pt>
                <c:pt idx="61">
                  <c:v>18.446220929114599</c:v>
                </c:pt>
                <c:pt idx="62">
                  <c:v>18.136878118880912</c:v>
                </c:pt>
                <c:pt idx="63">
                  <c:v>18.542213738432302</c:v>
                </c:pt>
                <c:pt idx="64">
                  <c:v>18.534266873230809</c:v>
                </c:pt>
                <c:pt idx="65">
                  <c:v>18.483697662405405</c:v>
                </c:pt>
                <c:pt idx="66">
                  <c:v>19.837021686473992</c:v>
                </c:pt>
                <c:pt idx="67">
                  <c:v>16.645171054785042</c:v>
                </c:pt>
                <c:pt idx="68">
                  <c:v>18.610861073941393</c:v>
                </c:pt>
                <c:pt idx="69">
                  <c:v>17.217921594376527</c:v>
                </c:pt>
                <c:pt idx="70">
                  <c:v>19.459312233409747</c:v>
                </c:pt>
                <c:pt idx="71">
                  <c:v>20.710234281622288</c:v>
                </c:pt>
                <c:pt idx="72">
                  <c:v>20.589345339732667</c:v>
                </c:pt>
                <c:pt idx="73">
                  <c:v>20.325807658261418</c:v>
                </c:pt>
                <c:pt idx="74">
                  <c:v>20.400940535662322</c:v>
                </c:pt>
                <c:pt idx="75">
                  <c:v>20.505492788480595</c:v>
                </c:pt>
                <c:pt idx="76">
                  <c:v>20.552082224981643</c:v>
                </c:pt>
                <c:pt idx="77">
                  <c:v>19.916490916865584</c:v>
                </c:pt>
                <c:pt idx="78">
                  <c:v>19.606391592401522</c:v>
                </c:pt>
                <c:pt idx="79">
                  <c:v>19.3483969444511</c:v>
                </c:pt>
                <c:pt idx="80">
                  <c:v>20.403709482433317</c:v>
                </c:pt>
                <c:pt idx="81">
                  <c:v>24.709542495139171</c:v>
                </c:pt>
                <c:pt idx="82">
                  <c:v>26.169513495293184</c:v>
                </c:pt>
                <c:pt idx="83">
                  <c:v>26.939114527386266</c:v>
                </c:pt>
                <c:pt idx="84">
                  <c:v>27.216404616111241</c:v>
                </c:pt>
                <c:pt idx="85">
                  <c:v>27.349305857444396</c:v>
                </c:pt>
                <c:pt idx="86">
                  <c:v>26.480008651268328</c:v>
                </c:pt>
                <c:pt idx="87">
                  <c:v>26.092982825367717</c:v>
                </c:pt>
                <c:pt idx="88">
                  <c:v>24.69888270461178</c:v>
                </c:pt>
                <c:pt idx="89">
                  <c:v>25.922333208097044</c:v>
                </c:pt>
                <c:pt idx="90">
                  <c:v>26.966253838389626</c:v>
                </c:pt>
                <c:pt idx="91">
                  <c:v>21.037702109560954</c:v>
                </c:pt>
                <c:pt idx="92">
                  <c:v>24.246629179175297</c:v>
                </c:pt>
                <c:pt idx="93">
                  <c:v>24.896687383367812</c:v>
                </c:pt>
              </c:numCache>
            </c:numRef>
          </c:val>
          <c:smooth val="0"/>
        </c:ser>
        <c:ser>
          <c:idx val="3"/>
          <c:order val="3"/>
          <c:tx>
            <c:strRef>
              <c:f>'[Real salary 2007-2015.xlsx]sheet 1'!$G$27</c:f>
              <c:strCache>
                <c:ptCount val="1"/>
                <c:pt idx="0">
                  <c:v>Sub-national civil servants</c:v>
                </c:pt>
              </c:strCache>
            </c:strRef>
          </c:tx>
          <c:marker>
            <c:symbol val="none"/>
          </c:marker>
          <c:cat>
            <c:numRef>
              <c:f>'[Real salary 2007-2015.xlsx]sheet 1'!$H$23:$CW$23</c:f>
              <c:numCache>
                <c:formatCode>mmm\-yy</c:formatCode>
                <c:ptCount val="94"/>
                <c:pt idx="0">
                  <c:v>39173</c:v>
                </c:pt>
                <c:pt idx="1">
                  <c:v>39203</c:v>
                </c:pt>
                <c:pt idx="2">
                  <c:v>39234</c:v>
                </c:pt>
                <c:pt idx="3">
                  <c:v>39264</c:v>
                </c:pt>
                <c:pt idx="4">
                  <c:v>39295</c:v>
                </c:pt>
                <c:pt idx="5">
                  <c:v>39326</c:v>
                </c:pt>
                <c:pt idx="6">
                  <c:v>39356</c:v>
                </c:pt>
                <c:pt idx="7">
                  <c:v>39387</c:v>
                </c:pt>
                <c:pt idx="8">
                  <c:v>39417</c:v>
                </c:pt>
                <c:pt idx="9">
                  <c:v>39448</c:v>
                </c:pt>
                <c:pt idx="10">
                  <c:v>39479</c:v>
                </c:pt>
                <c:pt idx="11">
                  <c:v>39508</c:v>
                </c:pt>
                <c:pt idx="12">
                  <c:v>39539</c:v>
                </c:pt>
                <c:pt idx="13">
                  <c:v>39569</c:v>
                </c:pt>
                <c:pt idx="14">
                  <c:v>39600</c:v>
                </c:pt>
                <c:pt idx="15">
                  <c:v>39630</c:v>
                </c:pt>
                <c:pt idx="16">
                  <c:v>39661</c:v>
                </c:pt>
                <c:pt idx="17">
                  <c:v>39692</c:v>
                </c:pt>
                <c:pt idx="18">
                  <c:v>39722</c:v>
                </c:pt>
                <c:pt idx="19">
                  <c:v>39753</c:v>
                </c:pt>
                <c:pt idx="20">
                  <c:v>39783</c:v>
                </c:pt>
                <c:pt idx="21">
                  <c:v>39814</c:v>
                </c:pt>
                <c:pt idx="22">
                  <c:v>39845</c:v>
                </c:pt>
                <c:pt idx="23">
                  <c:v>39873</c:v>
                </c:pt>
                <c:pt idx="24">
                  <c:v>39904</c:v>
                </c:pt>
                <c:pt idx="25">
                  <c:v>39934</c:v>
                </c:pt>
                <c:pt idx="26">
                  <c:v>39965</c:v>
                </c:pt>
                <c:pt idx="27">
                  <c:v>39995</c:v>
                </c:pt>
                <c:pt idx="28">
                  <c:v>40026</c:v>
                </c:pt>
                <c:pt idx="29">
                  <c:v>40057</c:v>
                </c:pt>
                <c:pt idx="30">
                  <c:v>40087</c:v>
                </c:pt>
                <c:pt idx="31">
                  <c:v>40118</c:v>
                </c:pt>
                <c:pt idx="32">
                  <c:v>40148</c:v>
                </c:pt>
                <c:pt idx="33">
                  <c:v>40179</c:v>
                </c:pt>
                <c:pt idx="34">
                  <c:v>40210</c:v>
                </c:pt>
                <c:pt idx="35">
                  <c:v>40238</c:v>
                </c:pt>
                <c:pt idx="36">
                  <c:v>40269</c:v>
                </c:pt>
                <c:pt idx="37">
                  <c:v>40299</c:v>
                </c:pt>
                <c:pt idx="38">
                  <c:v>40330</c:v>
                </c:pt>
                <c:pt idx="39">
                  <c:v>40360</c:v>
                </c:pt>
                <c:pt idx="40">
                  <c:v>40391</c:v>
                </c:pt>
                <c:pt idx="41">
                  <c:v>40422</c:v>
                </c:pt>
                <c:pt idx="42">
                  <c:v>40452</c:v>
                </c:pt>
                <c:pt idx="43">
                  <c:v>40483</c:v>
                </c:pt>
                <c:pt idx="44">
                  <c:v>40513</c:v>
                </c:pt>
                <c:pt idx="45">
                  <c:v>40544</c:v>
                </c:pt>
                <c:pt idx="46">
                  <c:v>40575</c:v>
                </c:pt>
                <c:pt idx="47">
                  <c:v>40603</c:v>
                </c:pt>
                <c:pt idx="48">
                  <c:v>40634</c:v>
                </c:pt>
                <c:pt idx="49">
                  <c:v>40664</c:v>
                </c:pt>
                <c:pt idx="50">
                  <c:v>40695</c:v>
                </c:pt>
                <c:pt idx="51">
                  <c:v>40725</c:v>
                </c:pt>
                <c:pt idx="52">
                  <c:v>40756</c:v>
                </c:pt>
                <c:pt idx="53">
                  <c:v>40787</c:v>
                </c:pt>
                <c:pt idx="54">
                  <c:v>40817</c:v>
                </c:pt>
                <c:pt idx="55">
                  <c:v>40848</c:v>
                </c:pt>
                <c:pt idx="56">
                  <c:v>40878</c:v>
                </c:pt>
                <c:pt idx="57">
                  <c:v>40909</c:v>
                </c:pt>
                <c:pt idx="58">
                  <c:v>40940</c:v>
                </c:pt>
                <c:pt idx="59">
                  <c:v>40969</c:v>
                </c:pt>
                <c:pt idx="60">
                  <c:v>41000</c:v>
                </c:pt>
                <c:pt idx="61">
                  <c:v>41030</c:v>
                </c:pt>
                <c:pt idx="62">
                  <c:v>41061</c:v>
                </c:pt>
                <c:pt idx="63">
                  <c:v>41091</c:v>
                </c:pt>
                <c:pt idx="64">
                  <c:v>41122</c:v>
                </c:pt>
                <c:pt idx="65">
                  <c:v>41153</c:v>
                </c:pt>
                <c:pt idx="66">
                  <c:v>41183</c:v>
                </c:pt>
                <c:pt idx="67">
                  <c:v>41214</c:v>
                </c:pt>
                <c:pt idx="68">
                  <c:v>41244</c:v>
                </c:pt>
                <c:pt idx="69">
                  <c:v>41275</c:v>
                </c:pt>
                <c:pt idx="70">
                  <c:v>41306</c:v>
                </c:pt>
                <c:pt idx="71">
                  <c:v>41334</c:v>
                </c:pt>
                <c:pt idx="72">
                  <c:v>41365</c:v>
                </c:pt>
                <c:pt idx="73">
                  <c:v>41395</c:v>
                </c:pt>
                <c:pt idx="74">
                  <c:v>41426</c:v>
                </c:pt>
                <c:pt idx="75">
                  <c:v>41456</c:v>
                </c:pt>
                <c:pt idx="76">
                  <c:v>41487</c:v>
                </c:pt>
                <c:pt idx="77">
                  <c:v>41518</c:v>
                </c:pt>
                <c:pt idx="78">
                  <c:v>41548</c:v>
                </c:pt>
                <c:pt idx="79">
                  <c:v>41579</c:v>
                </c:pt>
                <c:pt idx="80">
                  <c:v>41609</c:v>
                </c:pt>
                <c:pt idx="81">
                  <c:v>41640</c:v>
                </c:pt>
                <c:pt idx="82">
                  <c:v>41671</c:v>
                </c:pt>
                <c:pt idx="83">
                  <c:v>41699</c:v>
                </c:pt>
                <c:pt idx="84">
                  <c:v>41730</c:v>
                </c:pt>
                <c:pt idx="85">
                  <c:v>41760</c:v>
                </c:pt>
                <c:pt idx="86">
                  <c:v>41791</c:v>
                </c:pt>
                <c:pt idx="87">
                  <c:v>41821</c:v>
                </c:pt>
                <c:pt idx="88">
                  <c:v>41852</c:v>
                </c:pt>
                <c:pt idx="89">
                  <c:v>41883</c:v>
                </c:pt>
                <c:pt idx="90">
                  <c:v>41913</c:v>
                </c:pt>
                <c:pt idx="91">
                  <c:v>41944</c:v>
                </c:pt>
                <c:pt idx="92">
                  <c:v>41974</c:v>
                </c:pt>
                <c:pt idx="93">
                  <c:v>42005</c:v>
                </c:pt>
              </c:numCache>
            </c:numRef>
          </c:cat>
          <c:val>
            <c:numRef>
              <c:f>'[Real salary 2007-2015.xlsx]sheet 1'!$H$27:$CW$27</c:f>
              <c:numCache>
                <c:formatCode>_-* #,##0_-;\-* #,##0_-;_-* "-"??_-;_-@_-</c:formatCode>
                <c:ptCount val="94"/>
                <c:pt idx="0">
                  <c:v>66.985138004246281</c:v>
                </c:pt>
                <c:pt idx="1">
                  <c:v>63.471346418677989</c:v>
                </c:pt>
                <c:pt idx="2">
                  <c:v>63.750304115571467</c:v>
                </c:pt>
                <c:pt idx="3">
                  <c:v>61.906332572400672</c:v>
                </c:pt>
                <c:pt idx="4">
                  <c:v>60.858961972059056</c:v>
                </c:pt>
                <c:pt idx="5">
                  <c:v>57.634114460059138</c:v>
                </c:pt>
                <c:pt idx="6">
                  <c:v>54.701239618533911</c:v>
                </c:pt>
                <c:pt idx="7">
                  <c:v>54.675361544608656</c:v>
                </c:pt>
                <c:pt idx="8">
                  <c:v>56.937101172747184</c:v>
                </c:pt>
                <c:pt idx="9">
                  <c:v>50.348755481318122</c:v>
                </c:pt>
                <c:pt idx="10">
                  <c:v>54.652842518421416</c:v>
                </c:pt>
                <c:pt idx="11">
                  <c:v>54.749722509438058</c:v>
                </c:pt>
                <c:pt idx="12">
                  <c:v>53.269802270323027</c:v>
                </c:pt>
                <c:pt idx="13">
                  <c:v>51.348904179197064</c:v>
                </c:pt>
                <c:pt idx="14">
                  <c:v>51.832514847590005</c:v>
                </c:pt>
                <c:pt idx="15">
                  <c:v>49.493936720107151</c:v>
                </c:pt>
                <c:pt idx="16">
                  <c:v>49.578864874558789</c:v>
                </c:pt>
                <c:pt idx="17">
                  <c:v>49.519932153353373</c:v>
                </c:pt>
                <c:pt idx="18">
                  <c:v>49.613192612168227</c:v>
                </c:pt>
                <c:pt idx="19">
                  <c:v>50.085514256288931</c:v>
                </c:pt>
                <c:pt idx="20">
                  <c:v>50.481416492350739</c:v>
                </c:pt>
                <c:pt idx="21">
                  <c:v>47.383577888365821</c:v>
                </c:pt>
                <c:pt idx="22">
                  <c:v>51.468404293791451</c:v>
                </c:pt>
                <c:pt idx="23">
                  <c:v>50.340973602572944</c:v>
                </c:pt>
                <c:pt idx="24">
                  <c:v>48.928863368500991</c:v>
                </c:pt>
                <c:pt idx="25">
                  <c:v>49.360967324237308</c:v>
                </c:pt>
                <c:pt idx="26">
                  <c:v>48.591093422146351</c:v>
                </c:pt>
                <c:pt idx="27">
                  <c:v>49.439980836727294</c:v>
                </c:pt>
                <c:pt idx="28">
                  <c:v>49.315445165796504</c:v>
                </c:pt>
                <c:pt idx="29">
                  <c:v>48.78296217876607</c:v>
                </c:pt>
                <c:pt idx="30">
                  <c:v>46.44319110347169</c:v>
                </c:pt>
                <c:pt idx="31">
                  <c:v>45.98833326438421</c:v>
                </c:pt>
                <c:pt idx="32">
                  <c:v>49.3915891159822</c:v>
                </c:pt>
                <c:pt idx="33">
                  <c:v>47.931276974569435</c:v>
                </c:pt>
                <c:pt idx="34">
                  <c:v>48.80289718844233</c:v>
                </c:pt>
                <c:pt idx="35">
                  <c:v>48.964304045251758</c:v>
                </c:pt>
                <c:pt idx="36">
                  <c:v>48.42689660185605</c:v>
                </c:pt>
                <c:pt idx="37">
                  <c:v>48.683530924070446</c:v>
                </c:pt>
                <c:pt idx="38">
                  <c:v>48.552900642288577</c:v>
                </c:pt>
                <c:pt idx="39">
                  <c:v>49.473433280332465</c:v>
                </c:pt>
                <c:pt idx="40">
                  <c:v>48.751100016262086</c:v>
                </c:pt>
                <c:pt idx="41">
                  <c:v>49.757198684745738</c:v>
                </c:pt>
                <c:pt idx="42">
                  <c:v>47.92294232681634</c:v>
                </c:pt>
                <c:pt idx="43">
                  <c:v>47.636211342690785</c:v>
                </c:pt>
                <c:pt idx="44">
                  <c:v>43.792684340868284</c:v>
                </c:pt>
                <c:pt idx="45">
                  <c:v>39.066264216498929</c:v>
                </c:pt>
                <c:pt idx="46">
                  <c:v>39.018613091580626</c:v>
                </c:pt>
                <c:pt idx="47">
                  <c:v>40.453075574092949</c:v>
                </c:pt>
                <c:pt idx="48">
                  <c:v>35.135501532755875</c:v>
                </c:pt>
                <c:pt idx="49">
                  <c:v>37.580027599936187</c:v>
                </c:pt>
                <c:pt idx="50">
                  <c:v>35.827670912951163</c:v>
                </c:pt>
                <c:pt idx="51">
                  <c:v>33.848226620201764</c:v>
                </c:pt>
                <c:pt idx="52">
                  <c:v>30.145284739546629</c:v>
                </c:pt>
                <c:pt idx="53">
                  <c:v>29.970028786608527</c:v>
                </c:pt>
                <c:pt idx="54">
                  <c:v>27.358347330002342</c:v>
                </c:pt>
                <c:pt idx="55">
                  <c:v>26.637673541227631</c:v>
                </c:pt>
                <c:pt idx="56">
                  <c:v>26.45221304382741</c:v>
                </c:pt>
                <c:pt idx="57">
                  <c:v>26.428797616570275</c:v>
                </c:pt>
                <c:pt idx="58">
                  <c:v>27.397260029326969</c:v>
                </c:pt>
                <c:pt idx="59">
                  <c:v>26.816316063105265</c:v>
                </c:pt>
                <c:pt idx="60">
                  <c:v>27.10685388202582</c:v>
                </c:pt>
                <c:pt idx="61">
                  <c:v>20.934470155164227</c:v>
                </c:pt>
                <c:pt idx="62">
                  <c:v>20.583399447866647</c:v>
                </c:pt>
                <c:pt idx="63">
                  <c:v>21.043411634803569</c:v>
                </c:pt>
                <c:pt idx="64">
                  <c:v>21.034392800375251</c:v>
                </c:pt>
                <c:pt idx="65">
                  <c:v>20.9770022031975</c:v>
                </c:pt>
                <c:pt idx="66">
                  <c:v>22.512878928354478</c:v>
                </c:pt>
                <c:pt idx="67">
                  <c:v>18.890472905700285</c:v>
                </c:pt>
                <c:pt idx="68">
                  <c:v>21.121318952620538</c:v>
                </c:pt>
                <c:pt idx="69">
                  <c:v>19.540482960524439</c:v>
                </c:pt>
                <c:pt idx="70">
                  <c:v>22.084219459139483</c:v>
                </c:pt>
                <c:pt idx="71">
                  <c:v>23.50388099227278</c:v>
                </c:pt>
                <c:pt idx="72">
                  <c:v>23.366685088797325</c:v>
                </c:pt>
                <c:pt idx="73">
                  <c:v>23.067598259645603</c:v>
                </c:pt>
                <c:pt idx="74">
                  <c:v>23.152865967631161</c:v>
                </c:pt>
                <c:pt idx="75">
                  <c:v>23.271521491962691</c:v>
                </c:pt>
                <c:pt idx="76">
                  <c:v>23.32439547475435</c:v>
                </c:pt>
                <c:pt idx="77">
                  <c:v>22.603067929032704</c:v>
                </c:pt>
                <c:pt idx="78">
                  <c:v>22.251138659721871</c:v>
                </c:pt>
                <c:pt idx="79">
                  <c:v>21.958342575447201</c:v>
                </c:pt>
                <c:pt idx="80">
                  <c:v>23.156008423409034</c:v>
                </c:pt>
                <c:pt idx="81">
                  <c:v>21.476200157620962</c:v>
                </c:pt>
                <c:pt idx="82">
                  <c:v>22.74512812056474</c:v>
                </c:pt>
                <c:pt idx="83">
                  <c:v>23.414023783444538</c:v>
                </c:pt>
                <c:pt idx="84">
                  <c:v>23.65502935642726</c:v>
                </c:pt>
                <c:pt idx="85">
                  <c:v>23.770539939459248</c:v>
                </c:pt>
                <c:pt idx="86">
                  <c:v>23.01499374511063</c:v>
                </c:pt>
                <c:pt idx="87">
                  <c:v>22.678611794500043</c:v>
                </c:pt>
                <c:pt idx="88">
                  <c:v>21.466935243264508</c:v>
                </c:pt>
                <c:pt idx="89">
                  <c:v>22.530292361307485</c:v>
                </c:pt>
                <c:pt idx="90">
                  <c:v>23.437611807195392</c:v>
                </c:pt>
                <c:pt idx="91">
                  <c:v>18.284834753626665</c:v>
                </c:pt>
                <c:pt idx="92">
                  <c:v>21.073860898153736</c:v>
                </c:pt>
                <c:pt idx="93">
                  <c:v>21.638856389676434</c:v>
                </c:pt>
              </c:numCache>
            </c:numRef>
          </c:val>
          <c:smooth val="0"/>
        </c:ser>
        <c:dLbls>
          <c:showLegendKey val="0"/>
          <c:showVal val="0"/>
          <c:showCatName val="0"/>
          <c:showSerName val="0"/>
          <c:showPercent val="0"/>
          <c:showBubbleSize val="0"/>
        </c:dLbls>
        <c:smooth val="0"/>
        <c:axId val="279500320"/>
        <c:axId val="279500712"/>
      </c:lineChart>
      <c:dateAx>
        <c:axId val="279500320"/>
        <c:scaling>
          <c:orientation val="minMax"/>
        </c:scaling>
        <c:delete val="0"/>
        <c:axPos val="b"/>
        <c:numFmt formatCode="mmm\-yy" sourceLinked="1"/>
        <c:majorTickMark val="none"/>
        <c:minorTickMark val="none"/>
        <c:tickLblPos val="nextTo"/>
        <c:txPr>
          <a:bodyPr/>
          <a:lstStyle/>
          <a:p>
            <a:pPr>
              <a:defRPr sz="900"/>
            </a:pPr>
            <a:endParaRPr lang="en-US"/>
          </a:p>
        </c:txPr>
        <c:crossAx val="279500712"/>
        <c:crosses val="autoZero"/>
        <c:auto val="1"/>
        <c:lblOffset val="100"/>
        <c:baseTimeUnit val="months"/>
      </c:dateAx>
      <c:valAx>
        <c:axId val="279500712"/>
        <c:scaling>
          <c:orientation val="minMax"/>
        </c:scaling>
        <c:delete val="0"/>
        <c:axPos val="l"/>
        <c:numFmt formatCode="_-* #,##0_-;\-* #,##0_-;_-* &quot;-&quot;??_-;_-@_-" sourceLinked="1"/>
        <c:majorTickMark val="none"/>
        <c:minorTickMark val="none"/>
        <c:tickLblPos val="nextTo"/>
        <c:crossAx val="279500320"/>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2010</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(Sheet1!$C$3,Sheet1!$G$3,Sheet1!$K$3,Sheet1!$O$3)</c:f>
              <c:strCache>
                <c:ptCount val="4"/>
                <c:pt idx="0">
                  <c:v>primary education</c:v>
                </c:pt>
                <c:pt idx="1">
                  <c:v>secondary education</c:v>
                </c:pt>
                <c:pt idx="2">
                  <c:v>university and above</c:v>
                </c:pt>
                <c:pt idx="3">
                  <c:v>unknown</c:v>
                </c:pt>
              </c:strCache>
            </c:strRef>
          </c:cat>
          <c:val>
            <c:numRef>
              <c:f>(Sheet1!$C$6,Sheet1!$G$6,Sheet1!$K$6,Sheet1!$O$6)</c:f>
              <c:numCache>
                <c:formatCode>0.0</c:formatCode>
                <c:ptCount val="4"/>
                <c:pt idx="0">
                  <c:v>39.42156200765249</c:v>
                </c:pt>
                <c:pt idx="1">
                  <c:v>46.00120039012679</c:v>
                </c:pt>
                <c:pt idx="2">
                  <c:v>2.4945607322379773</c:v>
                </c:pt>
                <c:pt idx="3">
                  <c:v>12.082676869982745</c:v>
                </c:pt>
              </c:numCache>
            </c:numRef>
          </c:val>
        </c:ser>
        <c:ser>
          <c:idx val="1"/>
          <c:order val="1"/>
          <c:tx>
            <c:v>2011</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(Sheet1!$C$3,Sheet1!$G$3,Sheet1!$K$3,Sheet1!$O$3)</c:f>
              <c:strCache>
                <c:ptCount val="4"/>
                <c:pt idx="0">
                  <c:v>primary education</c:v>
                </c:pt>
                <c:pt idx="1">
                  <c:v>secondary education</c:v>
                </c:pt>
                <c:pt idx="2">
                  <c:v>university and above</c:v>
                </c:pt>
                <c:pt idx="3">
                  <c:v>unknown</c:v>
                </c:pt>
              </c:strCache>
            </c:strRef>
          </c:cat>
          <c:val>
            <c:numRef>
              <c:f>(Sheet1!$D$6,Sheet1!$H$6,Sheet1!$L$6,Sheet1!$P$6)</c:f>
              <c:numCache>
                <c:formatCode>0.0</c:formatCode>
                <c:ptCount val="4"/>
                <c:pt idx="0">
                  <c:v>43.67045711273439</c:v>
                </c:pt>
                <c:pt idx="1">
                  <c:v>53.226899615934933</c:v>
                </c:pt>
                <c:pt idx="2">
                  <c:v>3.1026432713306726</c:v>
                </c:pt>
              </c:numCache>
            </c:numRef>
          </c:val>
        </c:ser>
        <c:ser>
          <c:idx val="2"/>
          <c:order val="2"/>
          <c:tx>
            <c:v>2012</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(Sheet1!$C$3,Sheet1!$G$3,Sheet1!$K$3,Sheet1!$O$3)</c:f>
              <c:strCache>
                <c:ptCount val="4"/>
                <c:pt idx="0">
                  <c:v>primary education</c:v>
                </c:pt>
                <c:pt idx="1">
                  <c:v>secondary education</c:v>
                </c:pt>
                <c:pt idx="2">
                  <c:v>university and above</c:v>
                </c:pt>
                <c:pt idx="3">
                  <c:v>unknown</c:v>
                </c:pt>
              </c:strCache>
            </c:strRef>
          </c:cat>
          <c:val>
            <c:numRef>
              <c:f>(Sheet1!$E$6,Sheet1!$I$6,Sheet1!$M$6,Sheet1!$Q$6)</c:f>
              <c:numCache>
                <c:formatCode>General</c:formatCode>
                <c:ptCount val="4"/>
                <c:pt idx="0">
                  <c:v>39.299999999999997</c:v>
                </c:pt>
                <c:pt idx="1">
                  <c:v>49.5</c:v>
                </c:pt>
                <c:pt idx="2">
                  <c:v>3.4</c:v>
                </c:pt>
                <c:pt idx="3">
                  <c:v>7.8</c:v>
                </c:pt>
              </c:numCache>
            </c:numRef>
          </c:val>
        </c:ser>
        <c:ser>
          <c:idx val="3"/>
          <c:order val="3"/>
          <c:tx>
            <c:v>2013</c:v>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(Sheet1!$C$3,Sheet1!$G$3,Sheet1!$K$3,Sheet1!$O$3)</c:f>
              <c:strCache>
                <c:ptCount val="4"/>
                <c:pt idx="0">
                  <c:v>primary education</c:v>
                </c:pt>
                <c:pt idx="1">
                  <c:v>secondary education</c:v>
                </c:pt>
                <c:pt idx="2">
                  <c:v>university and above</c:v>
                </c:pt>
                <c:pt idx="3">
                  <c:v>unknown</c:v>
                </c:pt>
              </c:strCache>
            </c:strRef>
          </c:cat>
          <c:val>
            <c:numRef>
              <c:f>(Sheet1!$F$6,Sheet1!$J$6,Sheet1!$N$6,Sheet1!$R$6)</c:f>
              <c:numCache>
                <c:formatCode>0.0</c:formatCode>
                <c:ptCount val="4"/>
                <c:pt idx="0">
                  <c:v>33.985347720957087</c:v>
                </c:pt>
                <c:pt idx="1">
                  <c:v>61.882420874084232</c:v>
                </c:pt>
                <c:pt idx="2">
                  <c:v>3.9878739759644879</c:v>
                </c:pt>
                <c:pt idx="3">
                  <c:v>0.1443574289941896</c:v>
                </c:pt>
              </c:numCache>
            </c:numRef>
          </c:val>
        </c:ser>
        <c:dLbls>
          <c:showLegendKey val="0"/>
          <c:showVal val="1"/>
          <c:showCatName val="0"/>
          <c:showSerName val="0"/>
          <c:showPercent val="0"/>
          <c:showBubbleSize val="0"/>
        </c:dLbls>
        <c:gapWidth val="75"/>
        <c:axId val="278935984"/>
        <c:axId val="278936376"/>
      </c:barChart>
      <c:catAx>
        <c:axId val="278935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8936376"/>
        <c:crosses val="autoZero"/>
        <c:auto val="1"/>
        <c:lblAlgn val="ctr"/>
        <c:lblOffset val="100"/>
        <c:noMultiLvlLbl val="0"/>
      </c:catAx>
      <c:valAx>
        <c:axId val="278936376"/>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8935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FY12-13</c:v>
          </c:tx>
          <c:spPr>
            <a:solidFill>
              <a:schemeClr val="accent1"/>
            </a:solidFill>
            <a:ln>
              <a:noFill/>
            </a:ln>
            <a:effectLst/>
          </c:spPr>
          <c:invertIfNegative val="0"/>
          <c:cat>
            <c:strLit>
              <c:ptCount val="4"/>
              <c:pt idx="0">
                <c:v>E&amp;H C</c:v>
              </c:pt>
              <c:pt idx="1">
                <c:v> E&amp;H SN</c:v>
              </c:pt>
              <c:pt idx="2">
                <c:v> OF C</c:v>
              </c:pt>
              <c:pt idx="3">
                <c:v> OF SN</c:v>
              </c:pt>
            </c:strLit>
          </c:cat>
          <c:val>
            <c:numRef>
              <c:f>('graphs for 2012-13 and 2014-15'!$B$11,'graphs for 2012-13 and 2014-15'!$C$11,'graphs for 2012-13 and 2014-15'!$B$27,'graphs for 2012-13 and 2014-15'!$C$27)</c:f>
              <c:numCache>
                <c:formatCode>General</c:formatCode>
                <c:ptCount val="4"/>
                <c:pt idx="0">
                  <c:v>4558</c:v>
                </c:pt>
                <c:pt idx="1">
                  <c:v>38927</c:v>
                </c:pt>
                <c:pt idx="2">
                  <c:v>22870</c:v>
                </c:pt>
                <c:pt idx="3">
                  <c:v>69800</c:v>
                </c:pt>
              </c:numCache>
            </c:numRef>
          </c:val>
        </c:ser>
        <c:ser>
          <c:idx val="1"/>
          <c:order val="1"/>
          <c:tx>
            <c:v>FY14-15</c:v>
          </c:tx>
          <c:spPr>
            <a:solidFill>
              <a:schemeClr val="accent2"/>
            </a:solidFill>
            <a:ln>
              <a:noFill/>
            </a:ln>
            <a:effectLst/>
          </c:spPr>
          <c:invertIfNegative val="0"/>
          <c:val>
            <c:numRef>
              <c:f>('graphs for 2012-13 and 2014-15'!$E$11,'graphs for 2012-13 and 2014-15'!$F$11,'graphs for 2012-13 and 2014-15'!$E$27,'graphs for 2012-13 and 2014-15'!$F$27)</c:f>
              <c:numCache>
                <c:formatCode>General</c:formatCode>
                <c:ptCount val="4"/>
                <c:pt idx="0">
                  <c:v>8092</c:v>
                </c:pt>
                <c:pt idx="1">
                  <c:v>37770</c:v>
                </c:pt>
                <c:pt idx="2">
                  <c:v>18661</c:v>
                </c:pt>
                <c:pt idx="3">
                  <c:v>75714</c:v>
                </c:pt>
              </c:numCache>
            </c:numRef>
          </c:val>
        </c:ser>
        <c:dLbls>
          <c:showLegendKey val="0"/>
          <c:showVal val="0"/>
          <c:showCatName val="0"/>
          <c:showSerName val="0"/>
          <c:showPercent val="0"/>
          <c:showBubbleSize val="0"/>
        </c:dLbls>
        <c:gapWidth val="75"/>
        <c:overlap val="-25"/>
        <c:axId val="278937944"/>
        <c:axId val="278938336"/>
      </c:barChart>
      <c:catAx>
        <c:axId val="278937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8938336"/>
        <c:crosses val="autoZero"/>
        <c:auto val="1"/>
        <c:lblAlgn val="ctr"/>
        <c:lblOffset val="100"/>
        <c:noMultiLvlLbl val="0"/>
      </c:catAx>
      <c:valAx>
        <c:axId val="278938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8937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2011</c:v>
          </c:tx>
          <c:invertIfNegative val="0"/>
          <c:cat>
            <c:strRef>
              <c:f>Sheet1!$B$3:$E$3</c:f>
              <c:strCache>
                <c:ptCount val="4"/>
                <c:pt idx="0">
                  <c:v>South Sudan</c:v>
                </c:pt>
                <c:pt idx="1">
                  <c:v>Sierra Leone</c:v>
                </c:pt>
                <c:pt idx="2">
                  <c:v>DRC</c:v>
                </c:pt>
                <c:pt idx="3">
                  <c:v>Kenya</c:v>
                </c:pt>
              </c:strCache>
            </c:strRef>
          </c:cat>
          <c:val>
            <c:numRef>
              <c:f>Sheet1!$B$4:$E$4</c:f>
              <c:numCache>
                <c:formatCode>General</c:formatCode>
                <c:ptCount val="4"/>
                <c:pt idx="0">
                  <c:v>188</c:v>
                </c:pt>
                <c:pt idx="1">
                  <c:v>56</c:v>
                </c:pt>
                <c:pt idx="2">
                  <c:v>64</c:v>
                </c:pt>
                <c:pt idx="3">
                  <c:v>204</c:v>
                </c:pt>
              </c:numCache>
            </c:numRef>
          </c:val>
        </c:ser>
        <c:ser>
          <c:idx val="1"/>
          <c:order val="1"/>
          <c:tx>
            <c:v>estimate for 2014-15</c:v>
          </c:tx>
          <c:invertIfNegative val="0"/>
          <c:cat>
            <c:strRef>
              <c:f>Sheet1!$B$3:$E$3</c:f>
              <c:strCache>
                <c:ptCount val="4"/>
                <c:pt idx="0">
                  <c:v>South Sudan</c:v>
                </c:pt>
                <c:pt idx="1">
                  <c:v>Sierra Leone</c:v>
                </c:pt>
                <c:pt idx="2">
                  <c:v>DRC</c:v>
                </c:pt>
                <c:pt idx="3">
                  <c:v>Kenya</c:v>
                </c:pt>
              </c:strCache>
            </c:strRef>
          </c:cat>
          <c:val>
            <c:numRef>
              <c:f>Sheet1!$B$5:$E$5</c:f>
              <c:numCache>
                <c:formatCode>General</c:formatCode>
                <c:ptCount val="4"/>
                <c:pt idx="0">
                  <c:v>82</c:v>
                </c:pt>
              </c:numCache>
            </c:numRef>
          </c:val>
        </c:ser>
        <c:dLbls>
          <c:showLegendKey val="0"/>
          <c:showVal val="0"/>
          <c:showCatName val="0"/>
          <c:showSerName val="0"/>
          <c:showPercent val="0"/>
          <c:showBubbleSize val="0"/>
        </c:dLbls>
        <c:gapWidth val="75"/>
        <c:overlap val="-25"/>
        <c:axId val="278938728"/>
        <c:axId val="278939120"/>
      </c:barChart>
      <c:catAx>
        <c:axId val="278938728"/>
        <c:scaling>
          <c:orientation val="minMax"/>
        </c:scaling>
        <c:delete val="0"/>
        <c:axPos val="b"/>
        <c:numFmt formatCode="General" sourceLinked="0"/>
        <c:majorTickMark val="none"/>
        <c:minorTickMark val="none"/>
        <c:tickLblPos val="nextTo"/>
        <c:crossAx val="278939120"/>
        <c:crosses val="autoZero"/>
        <c:auto val="1"/>
        <c:lblAlgn val="ctr"/>
        <c:lblOffset val="100"/>
        <c:noMultiLvlLbl val="0"/>
      </c:catAx>
      <c:valAx>
        <c:axId val="278939120"/>
        <c:scaling>
          <c:orientation val="minMax"/>
        </c:scaling>
        <c:delete val="0"/>
        <c:axPos val="l"/>
        <c:majorGridlines/>
        <c:numFmt formatCode="General" sourceLinked="1"/>
        <c:majorTickMark val="none"/>
        <c:minorTickMark val="none"/>
        <c:tickLblPos val="nextTo"/>
        <c:spPr>
          <a:ln w="9525">
            <a:noFill/>
          </a:ln>
        </c:spPr>
        <c:crossAx val="278938728"/>
        <c:crosses val="autoZero"/>
        <c:crossBetween val="between"/>
      </c:val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areaChart>
        <c:grouping val="stacked"/>
        <c:varyColors val="0"/>
        <c:ser>
          <c:idx val="0"/>
          <c:order val="0"/>
          <c:tx>
            <c:v>costs for civil servants pensions</c:v>
          </c:tx>
          <c:cat>
            <c:numRef>
              <c:f>Sheet1!$E$3:$I$3</c:f>
              <c:numCache>
                <c:formatCode>General</c:formatCode>
                <c:ptCount val="5"/>
                <c:pt idx="0">
                  <c:v>2012</c:v>
                </c:pt>
                <c:pt idx="1">
                  <c:v>2013</c:v>
                </c:pt>
                <c:pt idx="2">
                  <c:v>2014</c:v>
                </c:pt>
                <c:pt idx="3">
                  <c:v>2015</c:v>
                </c:pt>
                <c:pt idx="4">
                  <c:v>2016</c:v>
                </c:pt>
              </c:numCache>
            </c:numRef>
          </c:cat>
          <c:val>
            <c:numRef>
              <c:f>Sheet1!$E$12:$I$12</c:f>
              <c:numCache>
                <c:formatCode>General</c:formatCode>
                <c:ptCount val="5"/>
                <c:pt idx="0">
                  <c:v>131</c:v>
                </c:pt>
                <c:pt idx="1">
                  <c:v>145</c:v>
                </c:pt>
                <c:pt idx="2">
                  <c:v>158</c:v>
                </c:pt>
                <c:pt idx="3">
                  <c:v>171</c:v>
                </c:pt>
                <c:pt idx="4">
                  <c:v>183</c:v>
                </c:pt>
              </c:numCache>
            </c:numRef>
          </c:val>
        </c:ser>
        <c:ser>
          <c:idx val="1"/>
          <c:order val="1"/>
          <c:tx>
            <c:v>cost for organized forces pensions</c:v>
          </c:tx>
          <c:spPr>
            <a:ln w="25400">
              <a:noFill/>
            </a:ln>
          </c:spPr>
          <c:cat>
            <c:numRef>
              <c:f>Sheet1!$E$3:$I$3</c:f>
              <c:numCache>
                <c:formatCode>General</c:formatCode>
                <c:ptCount val="5"/>
                <c:pt idx="0">
                  <c:v>2012</c:v>
                </c:pt>
                <c:pt idx="1">
                  <c:v>2013</c:v>
                </c:pt>
                <c:pt idx="2">
                  <c:v>2014</c:v>
                </c:pt>
                <c:pt idx="3">
                  <c:v>2015</c:v>
                </c:pt>
                <c:pt idx="4">
                  <c:v>2016</c:v>
                </c:pt>
              </c:numCache>
            </c:numRef>
          </c:cat>
          <c:val>
            <c:numRef>
              <c:f>Sheet1!$E$13:$I$13</c:f>
              <c:numCache>
                <c:formatCode>General</c:formatCode>
                <c:ptCount val="5"/>
                <c:pt idx="0">
                  <c:v>59</c:v>
                </c:pt>
                <c:pt idx="1">
                  <c:v>53</c:v>
                </c:pt>
                <c:pt idx="2">
                  <c:v>52</c:v>
                </c:pt>
                <c:pt idx="3">
                  <c:v>51</c:v>
                </c:pt>
                <c:pt idx="4">
                  <c:v>50</c:v>
                </c:pt>
              </c:numCache>
            </c:numRef>
          </c:val>
        </c:ser>
        <c:dLbls>
          <c:showLegendKey val="0"/>
          <c:showVal val="0"/>
          <c:showCatName val="0"/>
          <c:showSerName val="0"/>
          <c:showPercent val="0"/>
          <c:showBubbleSize val="0"/>
        </c:dLbls>
        <c:axId val="279999480"/>
        <c:axId val="279999872"/>
      </c:areaChart>
      <c:catAx>
        <c:axId val="279999480"/>
        <c:scaling>
          <c:orientation val="minMax"/>
        </c:scaling>
        <c:delete val="0"/>
        <c:axPos val="b"/>
        <c:numFmt formatCode="General" sourceLinked="1"/>
        <c:majorTickMark val="out"/>
        <c:minorTickMark val="none"/>
        <c:tickLblPos val="nextTo"/>
        <c:crossAx val="279999872"/>
        <c:crosses val="autoZero"/>
        <c:auto val="1"/>
        <c:lblAlgn val="ctr"/>
        <c:lblOffset val="100"/>
        <c:noMultiLvlLbl val="0"/>
      </c:catAx>
      <c:valAx>
        <c:axId val="279999872"/>
        <c:scaling>
          <c:orientation val="minMax"/>
        </c:scaling>
        <c:delete val="0"/>
        <c:axPos val="l"/>
        <c:majorGridlines/>
        <c:title>
          <c:tx>
            <c:rich>
              <a:bodyPr rot="-5400000" vert="horz"/>
              <a:lstStyle/>
              <a:p>
                <a:pPr>
                  <a:defRPr/>
                </a:pPr>
                <a:r>
                  <a:rPr lang="en-US"/>
                  <a:t>Estimated million SSP per year</a:t>
                </a:r>
              </a:p>
            </c:rich>
          </c:tx>
          <c:overlay val="0"/>
        </c:title>
        <c:numFmt formatCode="General" sourceLinked="1"/>
        <c:majorTickMark val="out"/>
        <c:minorTickMark val="none"/>
        <c:tickLblPos val="nextTo"/>
        <c:crossAx val="279999480"/>
        <c:crosses val="autoZero"/>
        <c:crossBetween val="midCat"/>
      </c:valAx>
    </c:plotArea>
    <c:legend>
      <c:legendPos val="b"/>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600" b="0"/>
            </a:pPr>
            <a:r>
              <a:rPr lang="en-US" sz="1200" b="1" dirty="0" smtClean="0"/>
              <a:t>Wage Bill </a:t>
            </a:r>
            <a:r>
              <a:rPr lang="en-US" sz="1200" b="1" dirty="0"/>
              <a:t>Afghanistan 2003-2013</a:t>
            </a:r>
          </a:p>
        </c:rich>
      </c:tx>
      <c:layout>
        <c:manualLayout>
          <c:xMode val="edge"/>
          <c:yMode val="edge"/>
          <c:x val="0.15125387738731599"/>
          <c:y val="1.6643449055232701E-6"/>
        </c:manualLayout>
      </c:layout>
      <c:overlay val="0"/>
    </c:title>
    <c:autoTitleDeleted val="0"/>
    <c:plotArea>
      <c:layout/>
      <c:barChart>
        <c:barDir val="col"/>
        <c:grouping val="clustered"/>
        <c:varyColors val="0"/>
        <c:ser>
          <c:idx val="0"/>
          <c:order val="0"/>
          <c:spPr>
            <a:solidFill>
              <a:srgbClr val="1F497D"/>
            </a:solidFill>
          </c:spPr>
          <c:invertIfNegative val="0"/>
          <c:cat>
            <c:strRef>
              <c:f>Sheet1!$B$1:$L$1</c:f>
              <c:strCache>
                <c:ptCount val="11"/>
                <c:pt idx="0">
                  <c:v>2003/2004</c:v>
                </c:pt>
                <c:pt idx="1">
                  <c:v>2004/2005</c:v>
                </c:pt>
                <c:pt idx="2">
                  <c:v>2005/2006</c:v>
                </c:pt>
                <c:pt idx="3">
                  <c:v>2006/2007</c:v>
                </c:pt>
                <c:pt idx="4">
                  <c:v>2007/2008</c:v>
                </c:pt>
                <c:pt idx="5">
                  <c:v>2008/2009</c:v>
                </c:pt>
                <c:pt idx="6">
                  <c:v>2009/2010</c:v>
                </c:pt>
                <c:pt idx="7">
                  <c:v>2010/2011</c:v>
                </c:pt>
                <c:pt idx="8">
                  <c:v>2011/2012</c:v>
                </c:pt>
                <c:pt idx="9">
                  <c:v>2012/2013</c:v>
                </c:pt>
                <c:pt idx="10">
                  <c:v>2013/2014</c:v>
                </c:pt>
              </c:strCache>
            </c:strRef>
          </c:cat>
          <c:val>
            <c:numRef>
              <c:f>Sheet1!$B$3:$L$3</c:f>
              <c:numCache>
                <c:formatCode>_(\$* #,##0_);_(\$* \(#,##0\);_(\$* "-"??_);_(@_)</c:formatCode>
                <c:ptCount val="11"/>
                <c:pt idx="0">
                  <c:v>248600000</c:v>
                </c:pt>
                <c:pt idx="1">
                  <c:v>314700000</c:v>
                </c:pt>
                <c:pt idx="2">
                  <c:v>400804123.71134001</c:v>
                </c:pt>
                <c:pt idx="3">
                  <c:v>422680412.37113398</c:v>
                </c:pt>
                <c:pt idx="4">
                  <c:v>693010000</c:v>
                </c:pt>
                <c:pt idx="5">
                  <c:v>844641540</c:v>
                </c:pt>
                <c:pt idx="6">
                  <c:v>1270346153.8461499</c:v>
                </c:pt>
                <c:pt idx="7">
                  <c:v>1733788461.53846</c:v>
                </c:pt>
                <c:pt idx="8">
                  <c:v>2419957446.8085098</c:v>
                </c:pt>
                <c:pt idx="9">
                  <c:v>2043440000</c:v>
                </c:pt>
                <c:pt idx="10">
                  <c:v>2732346153.8461499</c:v>
                </c:pt>
              </c:numCache>
            </c:numRef>
          </c:val>
        </c:ser>
        <c:dLbls>
          <c:showLegendKey val="0"/>
          <c:showVal val="0"/>
          <c:showCatName val="0"/>
          <c:showSerName val="0"/>
          <c:showPercent val="0"/>
          <c:showBubbleSize val="0"/>
        </c:dLbls>
        <c:gapWidth val="150"/>
        <c:axId val="278935592"/>
        <c:axId val="280001048"/>
      </c:barChart>
      <c:catAx>
        <c:axId val="278935592"/>
        <c:scaling>
          <c:orientation val="minMax"/>
        </c:scaling>
        <c:delete val="0"/>
        <c:axPos val="b"/>
        <c:numFmt formatCode="General" sourceLinked="0"/>
        <c:majorTickMark val="out"/>
        <c:minorTickMark val="none"/>
        <c:tickLblPos val="nextTo"/>
        <c:txPr>
          <a:bodyPr/>
          <a:lstStyle/>
          <a:p>
            <a:pPr>
              <a:defRPr sz="800"/>
            </a:pPr>
            <a:endParaRPr lang="en-US"/>
          </a:p>
        </c:txPr>
        <c:crossAx val="280001048"/>
        <c:crosses val="autoZero"/>
        <c:auto val="1"/>
        <c:lblAlgn val="ctr"/>
        <c:lblOffset val="100"/>
        <c:noMultiLvlLbl val="0"/>
      </c:catAx>
      <c:valAx>
        <c:axId val="280001048"/>
        <c:scaling>
          <c:orientation val="minMax"/>
        </c:scaling>
        <c:delete val="0"/>
        <c:axPos val="l"/>
        <c:majorGridlines/>
        <c:numFmt formatCode="_(\$* #,##0_);_(\$* \(#,##0\);_(\$* &quot;-&quot;??_);_(@_)" sourceLinked="1"/>
        <c:majorTickMark val="out"/>
        <c:minorTickMark val="none"/>
        <c:tickLblPos val="nextTo"/>
        <c:txPr>
          <a:bodyPr/>
          <a:lstStyle/>
          <a:p>
            <a:pPr>
              <a:defRPr sz="800"/>
            </a:pPr>
            <a:endParaRPr lang="en-US"/>
          </a:p>
        </c:txPr>
        <c:crossAx val="278935592"/>
        <c:crosses val="autoZero"/>
        <c:crossBetween val="between"/>
      </c:valAx>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_Submission" ma:contentTypeID="0x0101008431A1D8C2312847944FA20613D3A89100EB38AD71019081469B2AF86C0DFE710D" ma:contentTypeVersion="8" ma:contentTypeDescription="Document Submission Content Type" ma:contentTypeScope="" ma:versionID="ef582c1707102d0551164cbfb3a7bc7b">
  <xsd:schema xmlns:xsd="http://www.w3.org/2001/XMLSchema" xmlns:xs="http://www.w3.org/2001/XMLSchema" xmlns:p="http://schemas.microsoft.com/office/2006/metadata/properties" xmlns:ns2="d6267e6a-bf3f-4308-983a-8e32ad3cd070" xmlns:ns3="ee363e03-ffe3-4ea8-891f-7c22e1e48952" targetNamespace="http://schemas.microsoft.com/office/2006/metadata/properties" ma:root="true" ma:fieldsID="0d4695a9168062258be2898d73d97065" ns2:_="" ns3:_="">
    <xsd:import namespace="d6267e6a-bf3f-4308-983a-8e32ad3cd070"/>
    <xsd:import namespace="ee363e03-ffe3-4ea8-891f-7c22e1e48952"/>
    <xsd:element name="properties">
      <xsd:complexType>
        <xsd:sequence>
          <xsd:element name="documentManagement">
            <xsd:complexType>
              <xsd:all>
                <xsd:element ref="ns2:AccesstoInformationPolicyException" minOccurs="0"/>
                <xsd:element ref="ns2:Comment1" minOccurs="0"/>
                <xsd:element ref="ns2:DateSubmission" minOccurs="0"/>
                <xsd:element ref="ns2:InformationClassification" minOccurs="0"/>
                <xsd:element ref="ns2:IsitpartofaSeries" minOccurs="0"/>
                <xsd:element ref="ns2:Languages" minOccurs="0"/>
                <xsd:element ref="ns2:ProjectIDNumber" minOccurs="0"/>
                <xsd:element ref="ns2:ReportNumber" minOccurs="0"/>
                <xsd:element ref="ns2:SendMail" minOccurs="0"/>
                <xsd:element ref="ns2:SubmittedBy" minOccurs="0"/>
                <xsd:element ref="ns2:UserSubmittedAbstract" minOccurs="0"/>
                <xsd:element ref="ns3:Document_x0020_Submission_x0020_Workflow" minOccurs="0"/>
                <xsd:element ref="ns3:Documen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67e6a-bf3f-4308-983a-8e32ad3cd070" elementFormDefault="qualified">
    <xsd:import namespace="http://schemas.microsoft.com/office/2006/documentManagement/types"/>
    <xsd:import namespace="http://schemas.microsoft.com/office/infopath/2007/PartnerControls"/>
    <xsd:element name="AccesstoInformationPolicyException" ma:index="8" nillable="true" ma:displayName="Access to Information Policy Exception" ma:internalName="AccesstoInformationPolicyException">
      <xsd:simpleType>
        <xsd:restriction base="dms:Text">
          <xsd:maxLength value="255"/>
        </xsd:restriction>
      </xsd:simpleType>
    </xsd:element>
    <xsd:element name="Comment1" ma:index="9" nillable="true" ma:displayName="Comment" ma:internalName="Comment1">
      <xsd:simpleType>
        <xsd:restriction base="dms:Note"/>
      </xsd:simpleType>
    </xsd:element>
    <xsd:element name="DateSubmission" ma:index="10" nillable="true" ma:displayName="Date of Submission" ma:internalName="DateSubmission">
      <xsd:simpleType>
        <xsd:restriction base="dms:Text">
          <xsd:maxLength value="255"/>
        </xsd:restriction>
      </xsd:simpleType>
    </xsd:element>
    <xsd:element name="InformationClassification" ma:index="11" nillable="true" ma:displayName="Information Classification" ma:internalName="InformationClassification">
      <xsd:simpleType>
        <xsd:restriction base="dms:Text">
          <xsd:maxLength value="255"/>
        </xsd:restriction>
      </xsd:simpleType>
    </xsd:element>
    <xsd:element name="IsitpartofaSeries" ma:index="12" nillable="true" ma:displayName="Is it part of a Series?" ma:internalName="IsitpartofaSeries">
      <xsd:simpleType>
        <xsd:restriction base="dms:Text">
          <xsd:maxLength value="255"/>
        </xsd:restriction>
      </xsd:simpleType>
    </xsd:element>
    <xsd:element name="Languages" ma:index="13" nillable="true" ma:displayName="Languages" ma:internalName="Languages">
      <xsd:simpleType>
        <xsd:restriction base="dms:Text">
          <xsd:maxLength value="255"/>
        </xsd:restriction>
      </xsd:simpleType>
    </xsd:element>
    <xsd:element name="ProjectIDNumber" ma:index="14" nillable="true" ma:displayName="Project ID Number" ma:internalName="ProjectIDNumber">
      <xsd:simpleType>
        <xsd:restriction base="dms:Text">
          <xsd:maxLength value="255"/>
        </xsd:restriction>
      </xsd:simpleType>
    </xsd:element>
    <xsd:element name="ReportNumber" ma:index="15" nillable="true" ma:displayName="Report Number" ma:internalName="ReportNumber" ma:readOnly="false">
      <xsd:simpleType>
        <xsd:restriction base="dms:Text">
          <xsd:maxLength value="255"/>
        </xsd:restriction>
      </xsd:simpleType>
    </xsd:element>
    <xsd:element name="SendMail" ma:index="16" nillable="true" ma:displayName="Send Mail" ma:internalName="SendMail" ma:readOnly="false">
      <xsd:simpleType>
        <xsd:restriction base="dms:Text">
          <xsd:maxLength value="255"/>
        </xsd:restriction>
      </xsd:simpleType>
    </xsd:element>
    <xsd:element name="SubmittedBy" ma:index="17" nillable="true" ma:displayName="Submitted By" ma:internalName="SubmittedBy" ma:readOnly="false">
      <xsd:simpleType>
        <xsd:restriction base="dms:Text">
          <xsd:maxLength value="255"/>
        </xsd:restriction>
      </xsd:simpleType>
    </xsd:element>
    <xsd:element name="UserSubmittedAbstract" ma:index="18" nillable="true" ma:displayName="User Submitted Abstract" ma:internalName="UserSubmittedAbstrac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363e03-ffe3-4ea8-891f-7c22e1e48952" elementFormDefault="qualified">
    <xsd:import namespace="http://schemas.microsoft.com/office/2006/documentManagement/types"/>
    <xsd:import namespace="http://schemas.microsoft.com/office/infopath/2007/PartnerControls"/>
    <xsd:element name="Document_x0020_Submission_x0020_Workflow" ma:index="19" nillable="true" ma:displayName="Document Submission Workflow" ma:internalName="Document_x0020_Submission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DocumentName" ma:index="20" nillable="true" ma:displayName="Document Name" ma:internalName="Document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ubmittedBy xmlns="d6267e6a-bf3f-4308-983a-8e32ad3cd070">Deepti Sharma</SubmittedBy>
    <InformationClassification xmlns="d6267e6a-bf3f-4308-983a-8e32ad3cd070">Public</InformationClassification>
    <AccesstoInformationPolicyException xmlns="d6267e6a-bf3f-4308-983a-8e32ad3cd070" xsi:nil="true"/>
    <DateSubmission xmlns="d6267e6a-bf3f-4308-983a-8e32ad3cd070">4/19/2016</DateSubmission>
    <ReportNumber xmlns="d6267e6a-bf3f-4308-983a-8e32ad3cd070">ACS13610</ReportNumber>
    <Comment1 xmlns="d6267e6a-bf3f-4308-983a-8e32ad3cd070" xsi:nil="true"/>
    <IsitpartofaSeries xmlns="d6267e6a-bf3f-4308-983a-8e32ad3cd070">No</IsitpartofaSeries>
    <Languages xmlns="d6267e6a-bf3f-4308-983a-8e32ad3cd070">English</Languages>
    <Document_x0020_Submission_x0020_Workflow xmlns="ee363e03-ffe3-4ea8-891f-7c22e1e48952">
      <Url xsi:nil="true"/>
      <Description xsi:nil="true"/>
    </Document_x0020_Submission_x0020_Workflow>
    <DocumentName xmlns="ee363e03-ffe3-4ea8-891f-7c22e1e48952">ACS13610-Policy note on the civil service_2015_South Sudan.docx</DocumentName>
    <SendMail xmlns="d6267e6a-bf3f-4308-983a-8e32ad3cd070">dsharma@worldbank.org</SendMail>
    <ProjectIDNumber xmlns="d6267e6a-bf3f-4308-983a-8e32ad3cd070">P148524</ProjectIDNumber>
    <UserSubmittedAbstract xmlns="d6267e6a-bf3f-4308-983a-8e32ad3cd07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4690C-D5EF-4393-9080-5070AA20553B}">
  <ds:schemaRefs>
    <ds:schemaRef ds:uri="http://schemas.microsoft.com/sharepoint/v3/contenttype/forms"/>
  </ds:schemaRefs>
</ds:datastoreItem>
</file>

<file path=customXml/itemProps2.xml><?xml version="1.0" encoding="utf-8"?>
<ds:datastoreItem xmlns:ds="http://schemas.openxmlformats.org/officeDocument/2006/customXml" ds:itemID="{789E6A46-CBF9-46A4-B8F2-1355FEB8B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67e6a-bf3f-4308-983a-8e32ad3cd070"/>
    <ds:schemaRef ds:uri="ee363e03-ffe3-4ea8-891f-7c22e1e48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876128-9B07-4790-8BF7-459F85F22155}">
  <ds:schemaRef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http://purl.org/dc/elements/1.1/"/>
    <ds:schemaRef ds:uri="ee363e03-ffe3-4ea8-891f-7c22e1e48952"/>
    <ds:schemaRef ds:uri="d6267e6a-bf3f-4308-983a-8e32ad3cd070"/>
    <ds:schemaRef ds:uri="http://purl.org/dc/dcmitype/"/>
  </ds:schemaRefs>
</ds:datastoreItem>
</file>

<file path=customXml/itemProps4.xml><?xml version="1.0" encoding="utf-8"?>
<ds:datastoreItem xmlns:ds="http://schemas.openxmlformats.org/officeDocument/2006/customXml" ds:itemID="{282469ED-58AE-41CB-B4B9-BD2890559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102</Pages>
  <Words>38092</Words>
  <Characters>217125</Characters>
  <Application>Microsoft Office Word</Application>
  <DocSecurity>0</DocSecurity>
  <Lines>1809</Lines>
  <Paragraphs>509</Paragraphs>
  <ScaleCrop>false</ScaleCrop>
  <HeadingPairs>
    <vt:vector size="2" baseType="variant">
      <vt:variant>
        <vt:lpstr>Title</vt:lpstr>
      </vt:variant>
      <vt:variant>
        <vt:i4>1</vt:i4>
      </vt:variant>
    </vt:vector>
  </HeadingPairs>
  <TitlesOfParts>
    <vt:vector size="1" baseType="lpstr">
      <vt:lpstr>19_4_2016_12_29_38_ACS13610-Policy note on the civil service_2015_South Sudan.docx</vt:lpstr>
    </vt:vector>
  </TitlesOfParts>
  <Company/>
  <LinksUpToDate>false</LinksUpToDate>
  <CharactersWithSpaces>254708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19_4_2016_12_29_38_ACS13610-Policy note on the civil service_2015_South Sudan.docx</dc:title>
  <dc:subject/>
  <dc:creator>Verena Maria Fritz</dc:creator>
  <cp:keywords/>
  <dc:description/>
  <cp:lastModifiedBy>Andre E. Russo</cp:lastModifiedBy>
  <cp:revision>2</cp:revision>
  <dcterms:created xsi:type="dcterms:W3CDTF">2016-04-19T18:54:00Z</dcterms:created>
  <dcterms:modified xsi:type="dcterms:W3CDTF">2016-04-19T18:54:00Z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0x0101008431A1D8C2312847944FA20613D3A89100EB38AD71019081469B2AF86C0DFE710D</vt:lpwstr>
  </property>
</Properties>
</file>