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D344A" w14:textId="77777777" w:rsidR="00CE5317" w:rsidRDefault="00CE5317" w:rsidP="00CE5317">
      <w:pPr>
        <w:pStyle w:val="Title"/>
        <w:pBdr>
          <w:bottom w:val="single" w:sz="12" w:space="31" w:color="2683C6" w:themeColor="accent2"/>
        </w:pBdr>
        <w:rPr>
          <w:sz w:val="50"/>
          <w:szCs w:val="50"/>
        </w:rPr>
      </w:pPr>
      <w:bookmarkStart w:id="0" w:name="_GoBack"/>
      <w:bookmarkEnd w:id="0"/>
    </w:p>
    <w:p w14:paraId="606BB447" w14:textId="77777777" w:rsidR="00357105" w:rsidRPr="00357105" w:rsidRDefault="00357105" w:rsidP="00357105"/>
    <w:p w14:paraId="1EEFE6E1" w14:textId="77777777" w:rsidR="00CE5317" w:rsidRPr="0092340C" w:rsidRDefault="00CE5317" w:rsidP="00CE5317"/>
    <w:p w14:paraId="684F4E30" w14:textId="77777777" w:rsidR="004E28B8" w:rsidRDefault="00CE5317" w:rsidP="00CE5317">
      <w:pPr>
        <w:pStyle w:val="Title"/>
        <w:pBdr>
          <w:bottom w:val="single" w:sz="12" w:space="31" w:color="2683C6" w:themeColor="accent2"/>
        </w:pBdr>
        <w:spacing w:line="360" w:lineRule="auto"/>
        <w:rPr>
          <w:rFonts w:asciiTheme="majorHAnsi" w:hAnsiTheme="majorHAnsi" w:cstheme="majorHAnsi"/>
          <w:sz w:val="36"/>
          <w:szCs w:val="36"/>
        </w:rPr>
      </w:pPr>
      <w:r w:rsidRPr="004E28B8">
        <w:rPr>
          <w:rFonts w:asciiTheme="majorHAnsi" w:hAnsiTheme="majorHAnsi" w:cstheme="majorHAnsi"/>
          <w:sz w:val="36"/>
          <w:szCs w:val="36"/>
        </w:rPr>
        <w:t>SPECIAL ECONOMIC ZONES</w:t>
      </w:r>
      <w:r w:rsidR="004E28B8" w:rsidRPr="004E28B8">
        <w:rPr>
          <w:rFonts w:asciiTheme="majorHAnsi" w:hAnsiTheme="majorHAnsi" w:cstheme="majorHAnsi"/>
          <w:sz w:val="36"/>
          <w:szCs w:val="36"/>
        </w:rPr>
        <w:t xml:space="preserve"> IN THE DOMINICAN REPUBLIC: </w:t>
      </w:r>
    </w:p>
    <w:p w14:paraId="74790C78" w14:textId="45778039" w:rsidR="00CE5317" w:rsidRPr="004E28B8" w:rsidRDefault="004E28B8" w:rsidP="00CE5317">
      <w:pPr>
        <w:pStyle w:val="Title"/>
        <w:pBdr>
          <w:bottom w:val="single" w:sz="12" w:space="31" w:color="2683C6" w:themeColor="accent2"/>
        </w:pBdr>
        <w:spacing w:line="360" w:lineRule="auto"/>
        <w:rPr>
          <w:rFonts w:asciiTheme="majorHAnsi" w:hAnsiTheme="majorHAnsi" w:cstheme="majorHAnsi"/>
          <w:sz w:val="36"/>
          <w:szCs w:val="36"/>
        </w:rPr>
      </w:pPr>
      <w:r w:rsidRPr="004E28B8">
        <w:rPr>
          <w:rFonts w:asciiTheme="majorHAnsi" w:hAnsiTheme="majorHAnsi" w:cstheme="majorHAnsi"/>
          <w:sz w:val="36"/>
          <w:szCs w:val="36"/>
        </w:rPr>
        <w:t>POLICY CONSIDERATIONS FOR A MORE COMPETITIVE AND INCLUSIVE SECTOR</w:t>
      </w:r>
      <w:r w:rsidR="00E04E77" w:rsidRPr="004E28B8">
        <w:rPr>
          <w:rFonts w:asciiTheme="majorHAnsi" w:hAnsiTheme="majorHAnsi" w:cstheme="majorHAnsi"/>
          <w:sz w:val="36"/>
          <w:szCs w:val="36"/>
        </w:rPr>
        <w:t>.</w:t>
      </w:r>
    </w:p>
    <w:p w14:paraId="62E0436A" w14:textId="77777777" w:rsidR="00CE5317" w:rsidRPr="0092340C" w:rsidRDefault="00CE5317" w:rsidP="00CE5317"/>
    <w:p w14:paraId="50872208" w14:textId="77777777" w:rsidR="00CE5317" w:rsidRDefault="00CE5317" w:rsidP="00CE5317">
      <w:pPr>
        <w:jc w:val="center"/>
        <w:rPr>
          <w:rFonts w:eastAsia="Calibri"/>
          <w:sz w:val="32"/>
          <w:szCs w:val="32"/>
        </w:rPr>
      </w:pPr>
    </w:p>
    <w:p w14:paraId="6B3175A7" w14:textId="77777777" w:rsidR="00CE5317" w:rsidRDefault="00CE5317" w:rsidP="00CE5317">
      <w:pPr>
        <w:jc w:val="center"/>
        <w:rPr>
          <w:rFonts w:eastAsia="Calibri"/>
          <w:sz w:val="32"/>
          <w:szCs w:val="32"/>
        </w:rPr>
      </w:pPr>
    </w:p>
    <w:p w14:paraId="637B8552" w14:textId="77777777" w:rsidR="00CE5317" w:rsidRDefault="00CE5317" w:rsidP="00CE5317">
      <w:pPr>
        <w:jc w:val="center"/>
        <w:rPr>
          <w:rFonts w:eastAsia="Calibri"/>
          <w:sz w:val="32"/>
          <w:szCs w:val="32"/>
        </w:rPr>
      </w:pPr>
    </w:p>
    <w:p w14:paraId="14B68C29" w14:textId="77777777" w:rsidR="00CE5317" w:rsidRPr="00CE5317" w:rsidRDefault="00CE5317" w:rsidP="00CE5317">
      <w:pPr>
        <w:jc w:val="center"/>
        <w:rPr>
          <w:rFonts w:asciiTheme="majorHAnsi" w:eastAsia="Calibri" w:hAnsiTheme="majorHAnsi" w:cstheme="majorHAnsi"/>
          <w:sz w:val="32"/>
          <w:szCs w:val="32"/>
        </w:rPr>
      </w:pPr>
    </w:p>
    <w:p w14:paraId="3A2BAD8D" w14:textId="77777777" w:rsidR="00CE5317" w:rsidRDefault="00CE5317" w:rsidP="00CE5317">
      <w:pPr>
        <w:jc w:val="center"/>
        <w:rPr>
          <w:rFonts w:asciiTheme="majorHAnsi" w:eastAsia="Calibri" w:hAnsiTheme="majorHAnsi" w:cstheme="majorHAnsi"/>
          <w:sz w:val="32"/>
          <w:szCs w:val="32"/>
        </w:rPr>
      </w:pPr>
      <w:r w:rsidRPr="00CE5317">
        <w:rPr>
          <w:rFonts w:asciiTheme="majorHAnsi" w:eastAsia="Calibri" w:hAnsiTheme="majorHAnsi" w:cstheme="majorHAnsi"/>
          <w:sz w:val="32"/>
          <w:szCs w:val="32"/>
        </w:rPr>
        <w:t>Trade and Competitiveness Global Practice</w:t>
      </w:r>
    </w:p>
    <w:p w14:paraId="38ADDDF4" w14:textId="77777777" w:rsidR="00CE5317" w:rsidRDefault="00CE5317" w:rsidP="00CE5317">
      <w:pPr>
        <w:jc w:val="center"/>
        <w:rPr>
          <w:rFonts w:asciiTheme="majorHAnsi" w:eastAsia="Calibri" w:hAnsiTheme="majorHAnsi" w:cstheme="majorHAnsi"/>
          <w:sz w:val="32"/>
          <w:szCs w:val="32"/>
        </w:rPr>
      </w:pPr>
    </w:p>
    <w:p w14:paraId="0128AA6B" w14:textId="77777777" w:rsidR="00357105" w:rsidRPr="00CE5317" w:rsidRDefault="00357105" w:rsidP="00CE5317">
      <w:pPr>
        <w:jc w:val="center"/>
        <w:rPr>
          <w:rFonts w:asciiTheme="majorHAnsi" w:eastAsia="Calibri" w:hAnsiTheme="majorHAnsi" w:cstheme="majorHAnsi"/>
          <w:sz w:val="32"/>
          <w:szCs w:val="32"/>
        </w:rPr>
      </w:pPr>
    </w:p>
    <w:p w14:paraId="101E7702" w14:textId="667FCB86" w:rsidR="00CE5317" w:rsidRPr="00CE5317" w:rsidRDefault="00CE5317" w:rsidP="00CE5317">
      <w:pPr>
        <w:jc w:val="center"/>
        <w:rPr>
          <w:rFonts w:asciiTheme="majorHAnsi" w:eastAsia="Times New Roman" w:hAnsiTheme="majorHAnsi" w:cstheme="majorHAnsi"/>
          <w:sz w:val="32"/>
          <w:szCs w:val="32"/>
        </w:rPr>
      </w:pPr>
      <w:r w:rsidRPr="00CE5317">
        <w:rPr>
          <w:rFonts w:asciiTheme="majorHAnsi" w:eastAsia="Times New Roman" w:hAnsiTheme="majorHAnsi" w:cstheme="majorHAnsi"/>
          <w:sz w:val="32"/>
          <w:szCs w:val="32"/>
        </w:rPr>
        <w:t>World Bank</w:t>
      </w:r>
      <w:r w:rsidR="007644C2">
        <w:rPr>
          <w:rFonts w:asciiTheme="majorHAnsi" w:eastAsia="Times New Roman" w:hAnsiTheme="majorHAnsi" w:cstheme="majorHAnsi"/>
          <w:sz w:val="32"/>
          <w:szCs w:val="32"/>
        </w:rPr>
        <w:t xml:space="preserve"> Group</w:t>
      </w:r>
    </w:p>
    <w:p w14:paraId="7BC83AAD" w14:textId="77777777" w:rsidR="00CE5317" w:rsidRDefault="00CE5317" w:rsidP="00CE5317">
      <w:pPr>
        <w:tabs>
          <w:tab w:val="left" w:pos="3521"/>
        </w:tabs>
        <w:jc w:val="center"/>
        <w:rPr>
          <w:rFonts w:asciiTheme="majorHAnsi" w:eastAsia="Calibri" w:hAnsiTheme="majorHAnsi" w:cstheme="majorHAnsi"/>
          <w:sz w:val="32"/>
          <w:szCs w:val="32"/>
        </w:rPr>
      </w:pPr>
    </w:p>
    <w:p w14:paraId="4B7FF7F8" w14:textId="77777777" w:rsidR="00357105" w:rsidRDefault="00357105" w:rsidP="00CE5317">
      <w:pPr>
        <w:tabs>
          <w:tab w:val="left" w:pos="3521"/>
        </w:tabs>
        <w:jc w:val="center"/>
        <w:rPr>
          <w:rFonts w:asciiTheme="majorHAnsi" w:eastAsia="Calibri" w:hAnsiTheme="majorHAnsi" w:cstheme="majorHAnsi"/>
          <w:sz w:val="32"/>
          <w:szCs w:val="32"/>
        </w:rPr>
      </w:pPr>
    </w:p>
    <w:p w14:paraId="0758C3BB" w14:textId="77777777" w:rsidR="00357105" w:rsidRPr="00CE5317" w:rsidRDefault="00357105" w:rsidP="00CE5317">
      <w:pPr>
        <w:tabs>
          <w:tab w:val="left" w:pos="3521"/>
        </w:tabs>
        <w:jc w:val="center"/>
        <w:rPr>
          <w:rFonts w:asciiTheme="majorHAnsi" w:eastAsia="Calibri" w:hAnsiTheme="majorHAnsi" w:cstheme="majorHAnsi"/>
          <w:sz w:val="32"/>
          <w:szCs w:val="32"/>
        </w:rPr>
      </w:pPr>
    </w:p>
    <w:p w14:paraId="7359A037" w14:textId="30C97BA1" w:rsidR="00CE5317" w:rsidRPr="00CE5317" w:rsidRDefault="004921A0" w:rsidP="00CE5317">
      <w:pPr>
        <w:tabs>
          <w:tab w:val="left" w:pos="3521"/>
        </w:tabs>
        <w:jc w:val="center"/>
        <w:rPr>
          <w:rFonts w:asciiTheme="majorHAnsi" w:eastAsia="Calibri" w:hAnsiTheme="majorHAnsi" w:cstheme="majorHAnsi"/>
          <w:sz w:val="32"/>
          <w:szCs w:val="32"/>
        </w:rPr>
      </w:pPr>
      <w:r>
        <w:rPr>
          <w:rFonts w:asciiTheme="majorHAnsi" w:eastAsia="Calibri" w:hAnsiTheme="majorHAnsi" w:cstheme="majorHAnsi"/>
          <w:sz w:val="32"/>
          <w:szCs w:val="32"/>
        </w:rPr>
        <w:t>November</w:t>
      </w:r>
      <w:r w:rsidR="00C95F37">
        <w:rPr>
          <w:rFonts w:asciiTheme="majorHAnsi" w:eastAsia="Calibri" w:hAnsiTheme="majorHAnsi" w:cstheme="majorHAnsi"/>
          <w:sz w:val="32"/>
          <w:szCs w:val="32"/>
        </w:rPr>
        <w:t xml:space="preserve"> </w:t>
      </w:r>
      <w:r w:rsidR="00CE5317" w:rsidRPr="00CE5317">
        <w:rPr>
          <w:rFonts w:asciiTheme="majorHAnsi" w:eastAsia="Calibri" w:hAnsiTheme="majorHAnsi" w:cstheme="majorHAnsi"/>
          <w:sz w:val="32"/>
          <w:szCs w:val="32"/>
        </w:rPr>
        <w:t>2016</w:t>
      </w:r>
    </w:p>
    <w:p w14:paraId="50646287" w14:textId="77777777" w:rsidR="00CE5317" w:rsidRPr="002319A8" w:rsidRDefault="00CE5317" w:rsidP="00CE5317"/>
    <w:p w14:paraId="3624BB52" w14:textId="77777777" w:rsidR="00CE5317" w:rsidRPr="00832EDD" w:rsidRDefault="00CE5317" w:rsidP="00CE5317">
      <w:pPr>
        <w:ind w:left="-360" w:right="-360"/>
        <w:rPr>
          <w:rFonts w:eastAsia="Calibri"/>
        </w:rPr>
      </w:pPr>
    </w:p>
    <w:p w14:paraId="3A33104E" w14:textId="77777777" w:rsidR="00CE5317" w:rsidRPr="00832EDD" w:rsidRDefault="00CE5317" w:rsidP="00CE5317">
      <w:pPr>
        <w:tabs>
          <w:tab w:val="left" w:pos="3521"/>
        </w:tabs>
        <w:jc w:val="center"/>
        <w:rPr>
          <w:rFonts w:ascii="Times New Roman" w:eastAsia="Calibri" w:hAnsi="Times New Roman"/>
          <w:sz w:val="32"/>
          <w:szCs w:val="32"/>
        </w:rPr>
      </w:pPr>
    </w:p>
    <w:p w14:paraId="5405602B" w14:textId="77777777" w:rsidR="00CE5317" w:rsidRPr="00832EDD" w:rsidRDefault="00CE5317" w:rsidP="00CE5317">
      <w:pPr>
        <w:rPr>
          <w:rFonts w:ascii="Times New Roman" w:hAnsi="Times New Roman"/>
        </w:rPr>
      </w:pPr>
      <w:r w:rsidRPr="00832EDD">
        <w:rPr>
          <w:rFonts w:ascii="Times New Roman" w:hAnsi="Times New Roman"/>
        </w:rPr>
        <w:br w:type="page"/>
      </w:r>
    </w:p>
    <w:sdt>
      <w:sdtPr>
        <w:rPr>
          <w:rFonts w:asciiTheme="majorHAnsi" w:hAnsiTheme="majorHAnsi" w:cstheme="majorHAnsi"/>
          <w:b w:val="0"/>
          <w:spacing w:val="0"/>
          <w:sz w:val="24"/>
          <w:szCs w:val="24"/>
          <w:lang w:bidi="ar-SA"/>
        </w:rPr>
        <w:id w:val="1647081980"/>
        <w:docPartObj>
          <w:docPartGallery w:val="Table of Contents"/>
          <w:docPartUnique/>
        </w:docPartObj>
      </w:sdtPr>
      <w:sdtEndPr>
        <w:rPr>
          <w:bCs/>
          <w:noProof/>
        </w:rPr>
      </w:sdtEndPr>
      <w:sdtContent>
        <w:p w14:paraId="6D4737AC" w14:textId="77777777" w:rsidR="00893F23" w:rsidRPr="00C300AC" w:rsidRDefault="00893F23" w:rsidP="00624F94">
          <w:pPr>
            <w:pStyle w:val="TOCHeading"/>
            <w:spacing w:line="360" w:lineRule="auto"/>
            <w:jc w:val="center"/>
            <w:rPr>
              <w:rFonts w:asciiTheme="majorHAnsi" w:hAnsiTheme="majorHAnsi" w:cstheme="majorHAnsi"/>
            </w:rPr>
          </w:pPr>
          <w:r w:rsidRPr="00C300AC">
            <w:rPr>
              <w:rFonts w:asciiTheme="majorHAnsi" w:hAnsiTheme="majorHAnsi" w:cstheme="majorHAnsi"/>
            </w:rPr>
            <w:t>Table of Contents</w:t>
          </w:r>
        </w:p>
        <w:p w14:paraId="602FAA75" w14:textId="77777777" w:rsidR="00CE5317" w:rsidRPr="002C62A6" w:rsidRDefault="00CE5317" w:rsidP="00624F94">
          <w:pPr>
            <w:spacing w:line="360" w:lineRule="auto"/>
            <w:rPr>
              <w:rFonts w:asciiTheme="majorHAnsi" w:hAnsiTheme="majorHAnsi" w:cstheme="majorHAnsi"/>
              <w:sz w:val="24"/>
              <w:szCs w:val="24"/>
              <w:lang w:bidi="en-US"/>
            </w:rPr>
          </w:pPr>
        </w:p>
        <w:p w14:paraId="3A600DF5" w14:textId="77777777" w:rsidR="00EE6113" w:rsidRDefault="00893F23">
          <w:pPr>
            <w:pStyle w:val="TOC1"/>
            <w:rPr>
              <w:rFonts w:cstheme="minorBidi"/>
              <w:noProof/>
            </w:rPr>
          </w:pPr>
          <w:r w:rsidRPr="002C62A6">
            <w:rPr>
              <w:rFonts w:asciiTheme="majorHAnsi" w:hAnsiTheme="majorHAnsi" w:cstheme="majorHAnsi"/>
              <w:sz w:val="24"/>
              <w:szCs w:val="24"/>
            </w:rPr>
            <w:fldChar w:fldCharType="begin"/>
          </w:r>
          <w:r w:rsidRPr="002C62A6">
            <w:rPr>
              <w:rFonts w:asciiTheme="majorHAnsi" w:hAnsiTheme="majorHAnsi" w:cstheme="majorHAnsi"/>
              <w:sz w:val="24"/>
              <w:szCs w:val="24"/>
            </w:rPr>
            <w:instrText xml:space="preserve"> TOC \o "1-3" \h \z \u </w:instrText>
          </w:r>
          <w:r w:rsidRPr="002C62A6">
            <w:rPr>
              <w:rFonts w:asciiTheme="majorHAnsi" w:hAnsiTheme="majorHAnsi" w:cstheme="majorHAnsi"/>
              <w:sz w:val="24"/>
              <w:szCs w:val="24"/>
            </w:rPr>
            <w:fldChar w:fldCharType="separate"/>
          </w:r>
          <w:hyperlink w:anchor="_Toc461524377" w:history="1">
            <w:r w:rsidR="00EE6113" w:rsidRPr="002F43DF">
              <w:rPr>
                <w:rStyle w:val="Hyperlink"/>
                <w:rFonts w:asciiTheme="majorHAnsi" w:hAnsiTheme="majorHAnsi" w:cstheme="majorHAnsi"/>
                <w:noProof/>
              </w:rPr>
              <w:t>1.</w:t>
            </w:r>
            <w:r w:rsidR="00EE6113">
              <w:rPr>
                <w:rFonts w:cstheme="minorBidi"/>
                <w:noProof/>
              </w:rPr>
              <w:tab/>
            </w:r>
            <w:r w:rsidR="00EE6113" w:rsidRPr="002F43DF">
              <w:rPr>
                <w:rStyle w:val="Hyperlink"/>
                <w:rFonts w:asciiTheme="majorHAnsi" w:hAnsiTheme="majorHAnsi" w:cstheme="majorHAnsi"/>
                <w:noProof/>
              </w:rPr>
              <w:t>Introduction</w:t>
            </w:r>
            <w:r w:rsidR="00EE6113">
              <w:rPr>
                <w:noProof/>
                <w:webHidden/>
              </w:rPr>
              <w:tab/>
            </w:r>
            <w:r w:rsidR="00EE6113">
              <w:rPr>
                <w:noProof/>
                <w:webHidden/>
              </w:rPr>
              <w:fldChar w:fldCharType="begin"/>
            </w:r>
            <w:r w:rsidR="00EE6113">
              <w:rPr>
                <w:noProof/>
                <w:webHidden/>
              </w:rPr>
              <w:instrText xml:space="preserve"> PAGEREF _Toc461524377 \h </w:instrText>
            </w:r>
            <w:r w:rsidR="00EE6113">
              <w:rPr>
                <w:noProof/>
                <w:webHidden/>
              </w:rPr>
            </w:r>
            <w:r w:rsidR="00EE6113">
              <w:rPr>
                <w:noProof/>
                <w:webHidden/>
              </w:rPr>
              <w:fldChar w:fldCharType="separate"/>
            </w:r>
            <w:r w:rsidR="00893CAD">
              <w:rPr>
                <w:noProof/>
                <w:webHidden/>
              </w:rPr>
              <w:t>4</w:t>
            </w:r>
            <w:r w:rsidR="00EE6113">
              <w:rPr>
                <w:noProof/>
                <w:webHidden/>
              </w:rPr>
              <w:fldChar w:fldCharType="end"/>
            </w:r>
          </w:hyperlink>
        </w:p>
        <w:p w14:paraId="1204382A" w14:textId="77777777" w:rsidR="00EE6113" w:rsidRDefault="008C21E1">
          <w:pPr>
            <w:pStyle w:val="TOC1"/>
            <w:rPr>
              <w:rFonts w:cstheme="minorBidi"/>
              <w:noProof/>
            </w:rPr>
          </w:pPr>
          <w:hyperlink w:anchor="_Toc461524378" w:history="1">
            <w:r w:rsidR="00EE6113" w:rsidRPr="002F43DF">
              <w:rPr>
                <w:rStyle w:val="Hyperlink"/>
                <w:rFonts w:asciiTheme="majorHAnsi" w:hAnsiTheme="majorHAnsi" w:cstheme="majorHAnsi"/>
                <w:noProof/>
              </w:rPr>
              <w:t>2.</w:t>
            </w:r>
            <w:r w:rsidR="00EE6113">
              <w:rPr>
                <w:rFonts w:cstheme="minorBidi"/>
                <w:noProof/>
              </w:rPr>
              <w:tab/>
            </w:r>
            <w:r w:rsidR="00EE6113" w:rsidRPr="002F43DF">
              <w:rPr>
                <w:rStyle w:val="Hyperlink"/>
                <w:rFonts w:asciiTheme="majorHAnsi" w:hAnsiTheme="majorHAnsi" w:cstheme="majorHAnsi"/>
                <w:noProof/>
              </w:rPr>
              <w:t>A Country Running on the Engine of its Special Economic Zones</w:t>
            </w:r>
            <w:r w:rsidR="00EE6113">
              <w:rPr>
                <w:noProof/>
                <w:webHidden/>
              </w:rPr>
              <w:tab/>
            </w:r>
            <w:r w:rsidR="00EE6113">
              <w:rPr>
                <w:noProof/>
                <w:webHidden/>
              </w:rPr>
              <w:fldChar w:fldCharType="begin"/>
            </w:r>
            <w:r w:rsidR="00EE6113">
              <w:rPr>
                <w:noProof/>
                <w:webHidden/>
              </w:rPr>
              <w:instrText xml:space="preserve"> PAGEREF _Toc461524378 \h </w:instrText>
            </w:r>
            <w:r w:rsidR="00EE6113">
              <w:rPr>
                <w:noProof/>
                <w:webHidden/>
              </w:rPr>
            </w:r>
            <w:r w:rsidR="00EE6113">
              <w:rPr>
                <w:noProof/>
                <w:webHidden/>
              </w:rPr>
              <w:fldChar w:fldCharType="separate"/>
            </w:r>
            <w:r w:rsidR="00893CAD">
              <w:rPr>
                <w:noProof/>
                <w:webHidden/>
              </w:rPr>
              <w:t>7</w:t>
            </w:r>
            <w:r w:rsidR="00EE6113">
              <w:rPr>
                <w:noProof/>
                <w:webHidden/>
              </w:rPr>
              <w:fldChar w:fldCharType="end"/>
            </w:r>
          </w:hyperlink>
        </w:p>
        <w:p w14:paraId="46EB53A9" w14:textId="77777777" w:rsidR="00EE6113" w:rsidRDefault="008C21E1">
          <w:pPr>
            <w:pStyle w:val="TOC1"/>
            <w:rPr>
              <w:rFonts w:cstheme="minorBidi"/>
              <w:noProof/>
            </w:rPr>
          </w:pPr>
          <w:hyperlink w:anchor="_Toc461524379" w:history="1">
            <w:r w:rsidR="00EE6113" w:rsidRPr="002F43DF">
              <w:rPr>
                <w:rStyle w:val="Hyperlink"/>
                <w:rFonts w:asciiTheme="majorHAnsi" w:hAnsiTheme="majorHAnsi" w:cstheme="majorHAnsi"/>
                <w:noProof/>
              </w:rPr>
              <w:t>3.</w:t>
            </w:r>
            <w:r w:rsidR="00EE6113">
              <w:rPr>
                <w:rFonts w:cstheme="minorBidi"/>
                <w:noProof/>
              </w:rPr>
              <w:tab/>
            </w:r>
            <w:r w:rsidR="00EE6113" w:rsidRPr="002F43DF">
              <w:rPr>
                <w:rStyle w:val="Hyperlink"/>
                <w:rFonts w:asciiTheme="majorHAnsi" w:hAnsiTheme="majorHAnsi" w:cstheme="majorHAnsi"/>
                <w:noProof/>
              </w:rPr>
              <w:t>Changes in Sectoral Specialization in SEZs and the Degree of Participation in GVCs</w:t>
            </w:r>
            <w:r w:rsidR="00EE6113">
              <w:rPr>
                <w:noProof/>
                <w:webHidden/>
              </w:rPr>
              <w:tab/>
            </w:r>
            <w:r w:rsidR="00EE6113">
              <w:rPr>
                <w:noProof/>
                <w:webHidden/>
              </w:rPr>
              <w:fldChar w:fldCharType="begin"/>
            </w:r>
            <w:r w:rsidR="00EE6113">
              <w:rPr>
                <w:noProof/>
                <w:webHidden/>
              </w:rPr>
              <w:instrText xml:space="preserve"> PAGEREF _Toc461524379 \h </w:instrText>
            </w:r>
            <w:r w:rsidR="00EE6113">
              <w:rPr>
                <w:noProof/>
                <w:webHidden/>
              </w:rPr>
            </w:r>
            <w:r w:rsidR="00EE6113">
              <w:rPr>
                <w:noProof/>
                <w:webHidden/>
              </w:rPr>
              <w:fldChar w:fldCharType="separate"/>
            </w:r>
            <w:r w:rsidR="00893CAD">
              <w:rPr>
                <w:noProof/>
                <w:webHidden/>
              </w:rPr>
              <w:t>12</w:t>
            </w:r>
            <w:r w:rsidR="00EE6113">
              <w:rPr>
                <w:noProof/>
                <w:webHidden/>
              </w:rPr>
              <w:fldChar w:fldCharType="end"/>
            </w:r>
          </w:hyperlink>
        </w:p>
        <w:p w14:paraId="4CF56145" w14:textId="77777777" w:rsidR="00EE6113" w:rsidRDefault="008C21E1">
          <w:pPr>
            <w:pStyle w:val="TOC1"/>
            <w:rPr>
              <w:rFonts w:cstheme="minorBidi"/>
              <w:noProof/>
            </w:rPr>
          </w:pPr>
          <w:hyperlink w:anchor="_Toc461524380" w:history="1">
            <w:r w:rsidR="00EE6113" w:rsidRPr="002F43DF">
              <w:rPr>
                <w:rStyle w:val="Hyperlink"/>
                <w:noProof/>
              </w:rPr>
              <w:t>4.</w:t>
            </w:r>
            <w:r w:rsidR="00EE6113">
              <w:rPr>
                <w:rFonts w:cstheme="minorBidi"/>
                <w:noProof/>
              </w:rPr>
              <w:tab/>
            </w:r>
            <w:r w:rsidR="00EE6113" w:rsidRPr="002F43DF">
              <w:rPr>
                <w:rStyle w:val="Hyperlink"/>
                <w:noProof/>
              </w:rPr>
              <w:t>Evolution of Domestic Linkages as the Country Connects with Longer and more Sophisticated GVCs.</w:t>
            </w:r>
            <w:r w:rsidR="00EE6113">
              <w:rPr>
                <w:noProof/>
                <w:webHidden/>
              </w:rPr>
              <w:tab/>
            </w:r>
            <w:r w:rsidR="00EE6113">
              <w:rPr>
                <w:noProof/>
                <w:webHidden/>
              </w:rPr>
              <w:fldChar w:fldCharType="begin"/>
            </w:r>
            <w:r w:rsidR="00EE6113">
              <w:rPr>
                <w:noProof/>
                <w:webHidden/>
              </w:rPr>
              <w:instrText xml:space="preserve"> PAGEREF _Toc461524380 \h </w:instrText>
            </w:r>
            <w:r w:rsidR="00EE6113">
              <w:rPr>
                <w:noProof/>
                <w:webHidden/>
              </w:rPr>
            </w:r>
            <w:r w:rsidR="00EE6113">
              <w:rPr>
                <w:noProof/>
                <w:webHidden/>
              </w:rPr>
              <w:fldChar w:fldCharType="separate"/>
            </w:r>
            <w:r w:rsidR="00893CAD">
              <w:rPr>
                <w:noProof/>
                <w:webHidden/>
              </w:rPr>
              <w:t>18</w:t>
            </w:r>
            <w:r w:rsidR="00EE6113">
              <w:rPr>
                <w:noProof/>
                <w:webHidden/>
              </w:rPr>
              <w:fldChar w:fldCharType="end"/>
            </w:r>
          </w:hyperlink>
        </w:p>
        <w:p w14:paraId="7CA17CF6" w14:textId="77777777" w:rsidR="00EE6113" w:rsidRDefault="008C21E1">
          <w:pPr>
            <w:pStyle w:val="TOC1"/>
            <w:rPr>
              <w:rFonts w:cstheme="minorBidi"/>
              <w:noProof/>
            </w:rPr>
          </w:pPr>
          <w:hyperlink w:anchor="_Toc461524381" w:history="1">
            <w:r w:rsidR="00EE6113" w:rsidRPr="002F43DF">
              <w:rPr>
                <w:rStyle w:val="Hyperlink"/>
                <w:rFonts w:asciiTheme="majorHAnsi" w:hAnsiTheme="majorHAnsi" w:cstheme="majorHAnsi"/>
                <w:noProof/>
              </w:rPr>
              <w:t>5.</w:t>
            </w:r>
            <w:r w:rsidR="00EE6113">
              <w:rPr>
                <w:rFonts w:cstheme="minorBidi"/>
                <w:noProof/>
              </w:rPr>
              <w:tab/>
            </w:r>
            <w:r w:rsidR="00EE6113" w:rsidRPr="002F43DF">
              <w:rPr>
                <w:rStyle w:val="Hyperlink"/>
                <w:rFonts w:asciiTheme="majorHAnsi" w:hAnsiTheme="majorHAnsi" w:cstheme="majorHAnsi"/>
                <w:noProof/>
              </w:rPr>
              <w:t>Strategic Sectors and the Challenge to Comply with Multilateral Commitments</w:t>
            </w:r>
            <w:r w:rsidR="00EE6113">
              <w:rPr>
                <w:noProof/>
                <w:webHidden/>
              </w:rPr>
              <w:tab/>
            </w:r>
            <w:r w:rsidR="00EE6113">
              <w:rPr>
                <w:noProof/>
                <w:webHidden/>
              </w:rPr>
              <w:fldChar w:fldCharType="begin"/>
            </w:r>
            <w:r w:rsidR="00EE6113">
              <w:rPr>
                <w:noProof/>
                <w:webHidden/>
              </w:rPr>
              <w:instrText xml:space="preserve"> PAGEREF _Toc461524381 \h </w:instrText>
            </w:r>
            <w:r w:rsidR="00EE6113">
              <w:rPr>
                <w:noProof/>
                <w:webHidden/>
              </w:rPr>
            </w:r>
            <w:r w:rsidR="00EE6113">
              <w:rPr>
                <w:noProof/>
                <w:webHidden/>
              </w:rPr>
              <w:fldChar w:fldCharType="separate"/>
            </w:r>
            <w:r w:rsidR="00893CAD">
              <w:rPr>
                <w:noProof/>
                <w:webHidden/>
              </w:rPr>
              <w:t>22</w:t>
            </w:r>
            <w:r w:rsidR="00EE6113">
              <w:rPr>
                <w:noProof/>
                <w:webHidden/>
              </w:rPr>
              <w:fldChar w:fldCharType="end"/>
            </w:r>
          </w:hyperlink>
        </w:p>
        <w:p w14:paraId="5A43F4F5" w14:textId="77777777" w:rsidR="00EE6113" w:rsidRDefault="008C21E1">
          <w:pPr>
            <w:pStyle w:val="TOC1"/>
            <w:rPr>
              <w:rFonts w:cstheme="minorBidi"/>
              <w:noProof/>
            </w:rPr>
          </w:pPr>
          <w:hyperlink w:anchor="_Toc461524382" w:history="1">
            <w:r w:rsidR="00EE6113" w:rsidRPr="002F43DF">
              <w:rPr>
                <w:rStyle w:val="Hyperlink"/>
                <w:rFonts w:asciiTheme="majorHAnsi" w:hAnsiTheme="majorHAnsi" w:cstheme="majorHAnsi"/>
                <w:noProof/>
              </w:rPr>
              <w:t>6.</w:t>
            </w:r>
            <w:r w:rsidR="00EE6113">
              <w:rPr>
                <w:rFonts w:cstheme="minorBidi"/>
                <w:noProof/>
              </w:rPr>
              <w:tab/>
            </w:r>
            <w:r w:rsidR="00EE6113" w:rsidRPr="002F43DF">
              <w:rPr>
                <w:rStyle w:val="Hyperlink"/>
                <w:rFonts w:asciiTheme="majorHAnsi" w:hAnsiTheme="majorHAnsi" w:cstheme="majorHAnsi"/>
                <w:noProof/>
              </w:rPr>
              <w:t>Conclusions and Policy Recommendations</w:t>
            </w:r>
            <w:r w:rsidR="00EE6113">
              <w:rPr>
                <w:noProof/>
                <w:webHidden/>
              </w:rPr>
              <w:tab/>
            </w:r>
            <w:r w:rsidR="00EE6113">
              <w:rPr>
                <w:noProof/>
                <w:webHidden/>
              </w:rPr>
              <w:fldChar w:fldCharType="begin"/>
            </w:r>
            <w:r w:rsidR="00EE6113">
              <w:rPr>
                <w:noProof/>
                <w:webHidden/>
              </w:rPr>
              <w:instrText xml:space="preserve"> PAGEREF _Toc461524382 \h </w:instrText>
            </w:r>
            <w:r w:rsidR="00EE6113">
              <w:rPr>
                <w:noProof/>
                <w:webHidden/>
              </w:rPr>
            </w:r>
            <w:r w:rsidR="00EE6113">
              <w:rPr>
                <w:noProof/>
                <w:webHidden/>
              </w:rPr>
              <w:fldChar w:fldCharType="separate"/>
            </w:r>
            <w:r w:rsidR="00893CAD">
              <w:rPr>
                <w:noProof/>
                <w:webHidden/>
              </w:rPr>
              <w:t>28</w:t>
            </w:r>
            <w:r w:rsidR="00EE6113">
              <w:rPr>
                <w:noProof/>
                <w:webHidden/>
              </w:rPr>
              <w:fldChar w:fldCharType="end"/>
            </w:r>
          </w:hyperlink>
        </w:p>
        <w:p w14:paraId="7C194420" w14:textId="77777777" w:rsidR="00EE6113" w:rsidRDefault="008C21E1">
          <w:pPr>
            <w:pStyle w:val="TOC1"/>
            <w:rPr>
              <w:rFonts w:cstheme="minorBidi"/>
              <w:noProof/>
            </w:rPr>
          </w:pPr>
          <w:hyperlink w:anchor="_Toc461524383" w:history="1">
            <w:r w:rsidR="00EE6113" w:rsidRPr="002F43DF">
              <w:rPr>
                <w:rStyle w:val="Hyperlink"/>
                <w:rFonts w:asciiTheme="majorHAnsi" w:hAnsiTheme="majorHAnsi" w:cstheme="majorHAnsi"/>
                <w:noProof/>
                <w:lang w:val="es-CO"/>
              </w:rPr>
              <w:t>7.</w:t>
            </w:r>
            <w:r w:rsidR="00EE6113">
              <w:rPr>
                <w:rFonts w:cstheme="minorBidi"/>
                <w:noProof/>
              </w:rPr>
              <w:tab/>
            </w:r>
            <w:r w:rsidR="00EE6113" w:rsidRPr="002F43DF">
              <w:rPr>
                <w:rStyle w:val="Hyperlink"/>
                <w:rFonts w:asciiTheme="majorHAnsi" w:hAnsiTheme="majorHAnsi" w:cstheme="majorHAnsi"/>
                <w:noProof/>
                <w:lang w:val="es-CO"/>
              </w:rPr>
              <w:t>References</w:t>
            </w:r>
            <w:r w:rsidR="00EE6113">
              <w:rPr>
                <w:noProof/>
                <w:webHidden/>
              </w:rPr>
              <w:tab/>
            </w:r>
            <w:r w:rsidR="00EE6113">
              <w:rPr>
                <w:noProof/>
                <w:webHidden/>
              </w:rPr>
              <w:fldChar w:fldCharType="begin"/>
            </w:r>
            <w:r w:rsidR="00EE6113">
              <w:rPr>
                <w:noProof/>
                <w:webHidden/>
              </w:rPr>
              <w:instrText xml:space="preserve"> PAGEREF _Toc461524383 \h </w:instrText>
            </w:r>
            <w:r w:rsidR="00EE6113">
              <w:rPr>
                <w:noProof/>
                <w:webHidden/>
              </w:rPr>
            </w:r>
            <w:r w:rsidR="00EE6113">
              <w:rPr>
                <w:noProof/>
                <w:webHidden/>
              </w:rPr>
              <w:fldChar w:fldCharType="separate"/>
            </w:r>
            <w:r w:rsidR="00893CAD">
              <w:rPr>
                <w:noProof/>
                <w:webHidden/>
              </w:rPr>
              <w:t>30</w:t>
            </w:r>
            <w:r w:rsidR="00EE6113">
              <w:rPr>
                <w:noProof/>
                <w:webHidden/>
              </w:rPr>
              <w:fldChar w:fldCharType="end"/>
            </w:r>
          </w:hyperlink>
        </w:p>
        <w:p w14:paraId="733691E7" w14:textId="77777777" w:rsidR="00893F23" w:rsidRPr="00C300AC" w:rsidRDefault="00893F23" w:rsidP="00624F94">
          <w:pPr>
            <w:spacing w:line="360" w:lineRule="auto"/>
            <w:rPr>
              <w:rFonts w:asciiTheme="majorHAnsi" w:hAnsiTheme="majorHAnsi" w:cstheme="majorHAnsi"/>
              <w:sz w:val="24"/>
              <w:szCs w:val="24"/>
            </w:rPr>
          </w:pPr>
          <w:r w:rsidRPr="002C62A6">
            <w:rPr>
              <w:rFonts w:asciiTheme="majorHAnsi" w:hAnsiTheme="majorHAnsi" w:cstheme="majorHAnsi"/>
              <w:b/>
              <w:bCs/>
              <w:noProof/>
              <w:sz w:val="24"/>
              <w:szCs w:val="24"/>
            </w:rPr>
            <w:fldChar w:fldCharType="end"/>
          </w:r>
        </w:p>
      </w:sdtContent>
    </w:sdt>
    <w:p w14:paraId="0F883A7D" w14:textId="77777777" w:rsidR="00A512B6" w:rsidRDefault="00A512B6">
      <w:pPr>
        <w:spacing w:after="200" w:line="276" w:lineRule="auto"/>
        <w:jc w:val="both"/>
        <w:rPr>
          <w:b/>
          <w:spacing w:val="5"/>
          <w:sz w:val="32"/>
          <w:szCs w:val="32"/>
        </w:rPr>
      </w:pPr>
      <w:r>
        <w:br w:type="page"/>
      </w:r>
    </w:p>
    <w:p w14:paraId="783892B7" w14:textId="77777777" w:rsidR="00357105" w:rsidRPr="00565C79" w:rsidRDefault="00357105" w:rsidP="00136017">
      <w:pPr>
        <w:spacing w:after="240" w:line="276" w:lineRule="auto"/>
        <w:jc w:val="center"/>
        <w:rPr>
          <w:rFonts w:asciiTheme="majorHAnsi" w:hAnsiTheme="majorHAnsi" w:cstheme="majorHAnsi"/>
          <w:b/>
          <w:sz w:val="32"/>
          <w:szCs w:val="32"/>
        </w:rPr>
      </w:pPr>
      <w:r w:rsidRPr="00565C79">
        <w:rPr>
          <w:rFonts w:asciiTheme="majorHAnsi" w:hAnsiTheme="majorHAnsi" w:cstheme="majorHAnsi"/>
          <w:b/>
          <w:sz w:val="32"/>
          <w:szCs w:val="32"/>
        </w:rPr>
        <w:lastRenderedPageBreak/>
        <w:t>Acknowledgements</w:t>
      </w:r>
    </w:p>
    <w:p w14:paraId="2D61775C" w14:textId="05E36D91" w:rsidR="00357105" w:rsidRDefault="00357105" w:rsidP="00357105">
      <w:pPr>
        <w:spacing w:line="276" w:lineRule="auto"/>
        <w:jc w:val="both"/>
        <w:rPr>
          <w:rFonts w:asciiTheme="majorHAnsi" w:hAnsiTheme="majorHAnsi" w:cstheme="majorHAnsi"/>
          <w:sz w:val="24"/>
          <w:szCs w:val="24"/>
        </w:rPr>
      </w:pPr>
      <w:r w:rsidRPr="00357105">
        <w:rPr>
          <w:rFonts w:asciiTheme="majorHAnsi" w:hAnsiTheme="majorHAnsi" w:cstheme="majorHAnsi"/>
          <w:sz w:val="24"/>
          <w:szCs w:val="24"/>
        </w:rPr>
        <w:t xml:space="preserve">This report was prepared by a team led by </w:t>
      </w:r>
      <w:r w:rsidR="00123EFC" w:rsidRPr="00357105">
        <w:rPr>
          <w:rFonts w:asciiTheme="majorHAnsi" w:hAnsiTheme="majorHAnsi" w:cstheme="majorHAnsi"/>
          <w:sz w:val="24"/>
          <w:szCs w:val="24"/>
        </w:rPr>
        <w:t>Jose-Daniel Reyes</w:t>
      </w:r>
      <w:r w:rsidR="00123EFC">
        <w:rPr>
          <w:rFonts w:asciiTheme="majorHAnsi" w:hAnsiTheme="majorHAnsi" w:cstheme="majorHAnsi"/>
          <w:sz w:val="24"/>
          <w:szCs w:val="24"/>
        </w:rPr>
        <w:t xml:space="preserve"> (</w:t>
      </w:r>
      <w:r w:rsidR="00123EFC" w:rsidRPr="00357105">
        <w:rPr>
          <w:rFonts w:asciiTheme="majorHAnsi" w:hAnsiTheme="majorHAnsi" w:cstheme="majorHAnsi"/>
          <w:sz w:val="24"/>
          <w:szCs w:val="24"/>
        </w:rPr>
        <w:t xml:space="preserve">Senior Economist, </w:t>
      </w:r>
      <w:r w:rsidR="00123EFC">
        <w:rPr>
          <w:rFonts w:asciiTheme="majorHAnsi" w:hAnsiTheme="majorHAnsi" w:cstheme="majorHAnsi"/>
          <w:sz w:val="24"/>
          <w:szCs w:val="24"/>
        </w:rPr>
        <w:t>GTCIC) and</w:t>
      </w:r>
      <w:r w:rsidR="00123EFC" w:rsidRPr="00357105">
        <w:rPr>
          <w:rFonts w:asciiTheme="majorHAnsi" w:hAnsiTheme="majorHAnsi" w:cstheme="majorHAnsi"/>
          <w:sz w:val="24"/>
          <w:szCs w:val="24"/>
        </w:rPr>
        <w:t xml:space="preserve"> </w:t>
      </w:r>
      <w:r>
        <w:rPr>
          <w:rFonts w:asciiTheme="majorHAnsi" w:hAnsiTheme="majorHAnsi" w:cstheme="majorHAnsi"/>
          <w:sz w:val="24"/>
          <w:szCs w:val="24"/>
        </w:rPr>
        <w:t>Miguel Eduardo Sanchez (Senior Economist, GMF02)</w:t>
      </w:r>
      <w:r w:rsidR="00123EFC">
        <w:rPr>
          <w:rFonts w:asciiTheme="majorHAnsi" w:hAnsiTheme="majorHAnsi" w:cstheme="majorHAnsi"/>
          <w:sz w:val="24"/>
          <w:szCs w:val="24"/>
        </w:rPr>
        <w:t>,</w:t>
      </w:r>
      <w:r>
        <w:rPr>
          <w:rFonts w:asciiTheme="majorHAnsi" w:hAnsiTheme="majorHAnsi" w:cstheme="majorHAnsi"/>
          <w:sz w:val="24"/>
          <w:szCs w:val="24"/>
        </w:rPr>
        <w:t xml:space="preserve"> </w:t>
      </w:r>
      <w:r w:rsidRPr="00357105">
        <w:rPr>
          <w:rFonts w:asciiTheme="majorHAnsi" w:hAnsiTheme="majorHAnsi" w:cstheme="majorHAnsi"/>
          <w:sz w:val="24"/>
          <w:szCs w:val="24"/>
        </w:rPr>
        <w:t xml:space="preserve">and including </w:t>
      </w:r>
      <w:r w:rsidR="00A77743">
        <w:rPr>
          <w:rFonts w:asciiTheme="majorHAnsi" w:hAnsiTheme="majorHAnsi" w:cstheme="majorHAnsi"/>
          <w:sz w:val="24"/>
          <w:szCs w:val="24"/>
        </w:rPr>
        <w:t xml:space="preserve">Michael Ferrantino (Lead Economist, GTCTC), </w:t>
      </w:r>
      <w:r w:rsidR="00985075">
        <w:rPr>
          <w:rFonts w:asciiTheme="majorHAnsi" w:hAnsiTheme="majorHAnsi" w:cstheme="majorHAnsi"/>
          <w:sz w:val="24"/>
          <w:szCs w:val="24"/>
        </w:rPr>
        <w:t>Alejandro Ria</w:t>
      </w:r>
      <w:r w:rsidR="00D00E32">
        <w:rPr>
          <w:rFonts w:asciiTheme="majorHAnsi" w:hAnsiTheme="majorHAnsi" w:cstheme="majorHAnsi"/>
          <w:sz w:val="24"/>
          <w:szCs w:val="24"/>
        </w:rPr>
        <w:t>ñ</w:t>
      </w:r>
      <w:r w:rsidR="00985075">
        <w:rPr>
          <w:rFonts w:asciiTheme="majorHAnsi" w:hAnsiTheme="majorHAnsi" w:cstheme="majorHAnsi"/>
          <w:sz w:val="24"/>
          <w:szCs w:val="24"/>
        </w:rPr>
        <w:t xml:space="preserve">o </w:t>
      </w:r>
      <w:r w:rsidRPr="00357105">
        <w:rPr>
          <w:rFonts w:asciiTheme="majorHAnsi" w:hAnsiTheme="majorHAnsi" w:cstheme="majorHAnsi"/>
          <w:sz w:val="24"/>
          <w:szCs w:val="24"/>
        </w:rPr>
        <w:t>(</w:t>
      </w:r>
      <w:r w:rsidR="00DA369E">
        <w:rPr>
          <w:rFonts w:asciiTheme="majorHAnsi" w:hAnsiTheme="majorHAnsi" w:cstheme="majorHAnsi"/>
          <w:sz w:val="24"/>
          <w:szCs w:val="24"/>
        </w:rPr>
        <w:t>Consultant</w:t>
      </w:r>
      <w:r w:rsidR="00985075">
        <w:rPr>
          <w:rFonts w:asciiTheme="majorHAnsi" w:hAnsiTheme="majorHAnsi" w:cstheme="majorHAnsi"/>
          <w:sz w:val="24"/>
          <w:szCs w:val="24"/>
        </w:rPr>
        <w:t>, University of Nottingham</w:t>
      </w:r>
      <w:r w:rsidRPr="00357105">
        <w:rPr>
          <w:rFonts w:asciiTheme="majorHAnsi" w:hAnsiTheme="majorHAnsi" w:cstheme="majorHAnsi"/>
          <w:sz w:val="24"/>
          <w:szCs w:val="24"/>
        </w:rPr>
        <w:t xml:space="preserve">), </w:t>
      </w:r>
      <w:r w:rsidR="00985075">
        <w:rPr>
          <w:rFonts w:asciiTheme="majorHAnsi" w:hAnsiTheme="majorHAnsi" w:cstheme="majorHAnsi"/>
          <w:sz w:val="24"/>
          <w:szCs w:val="24"/>
        </w:rPr>
        <w:t xml:space="preserve">Fabrice Defever </w:t>
      </w:r>
      <w:r w:rsidRPr="00357105">
        <w:rPr>
          <w:rFonts w:asciiTheme="majorHAnsi" w:hAnsiTheme="majorHAnsi" w:cstheme="majorHAnsi"/>
          <w:sz w:val="24"/>
          <w:szCs w:val="24"/>
        </w:rPr>
        <w:t>(</w:t>
      </w:r>
      <w:r w:rsidR="00DA369E">
        <w:rPr>
          <w:rFonts w:asciiTheme="majorHAnsi" w:hAnsiTheme="majorHAnsi" w:cstheme="majorHAnsi"/>
          <w:sz w:val="24"/>
          <w:szCs w:val="24"/>
        </w:rPr>
        <w:t>Consultant</w:t>
      </w:r>
      <w:r w:rsidR="00985075">
        <w:rPr>
          <w:rFonts w:asciiTheme="majorHAnsi" w:hAnsiTheme="majorHAnsi" w:cstheme="majorHAnsi"/>
          <w:sz w:val="24"/>
          <w:szCs w:val="24"/>
        </w:rPr>
        <w:t xml:space="preserve">, </w:t>
      </w:r>
      <w:r w:rsidR="003D0E6C">
        <w:rPr>
          <w:rFonts w:asciiTheme="majorHAnsi" w:hAnsiTheme="majorHAnsi" w:cstheme="majorHAnsi"/>
          <w:sz w:val="24"/>
          <w:szCs w:val="24"/>
        </w:rPr>
        <w:t>City, University of London</w:t>
      </w:r>
      <w:r w:rsidRPr="00357105">
        <w:rPr>
          <w:rFonts w:asciiTheme="majorHAnsi" w:hAnsiTheme="majorHAnsi" w:cstheme="majorHAnsi"/>
          <w:sz w:val="24"/>
          <w:szCs w:val="24"/>
        </w:rPr>
        <w:t xml:space="preserve">), </w:t>
      </w:r>
      <w:r w:rsidR="00985075">
        <w:rPr>
          <w:rFonts w:asciiTheme="majorHAnsi" w:hAnsiTheme="majorHAnsi" w:cstheme="majorHAnsi"/>
          <w:sz w:val="24"/>
          <w:szCs w:val="24"/>
        </w:rPr>
        <w:t>Ja</w:t>
      </w:r>
      <w:r w:rsidR="00565C79">
        <w:rPr>
          <w:rFonts w:asciiTheme="majorHAnsi" w:hAnsiTheme="majorHAnsi" w:cstheme="majorHAnsi"/>
          <w:sz w:val="24"/>
          <w:szCs w:val="24"/>
        </w:rPr>
        <w:t xml:space="preserve">kob Engel </w:t>
      </w:r>
      <w:r w:rsidRPr="00357105">
        <w:rPr>
          <w:rFonts w:asciiTheme="majorHAnsi" w:hAnsiTheme="majorHAnsi" w:cstheme="majorHAnsi"/>
          <w:sz w:val="24"/>
          <w:szCs w:val="24"/>
        </w:rPr>
        <w:t>(</w:t>
      </w:r>
      <w:r w:rsidR="00DA369E">
        <w:rPr>
          <w:rFonts w:asciiTheme="majorHAnsi" w:hAnsiTheme="majorHAnsi" w:cstheme="majorHAnsi"/>
          <w:sz w:val="24"/>
          <w:szCs w:val="24"/>
        </w:rPr>
        <w:t>Consultant</w:t>
      </w:r>
      <w:r w:rsidR="00FC2A64">
        <w:rPr>
          <w:rFonts w:asciiTheme="majorHAnsi" w:hAnsiTheme="majorHAnsi" w:cstheme="majorHAnsi"/>
          <w:sz w:val="24"/>
          <w:szCs w:val="24"/>
        </w:rPr>
        <w:t>, University of Oxford</w:t>
      </w:r>
      <w:r w:rsidRPr="00357105">
        <w:rPr>
          <w:rFonts w:asciiTheme="majorHAnsi" w:hAnsiTheme="majorHAnsi" w:cstheme="majorHAnsi"/>
          <w:sz w:val="24"/>
          <w:szCs w:val="24"/>
        </w:rPr>
        <w:t>)</w:t>
      </w:r>
      <w:r w:rsidR="00565C79">
        <w:rPr>
          <w:rFonts w:asciiTheme="majorHAnsi" w:hAnsiTheme="majorHAnsi" w:cstheme="majorHAnsi"/>
          <w:sz w:val="24"/>
          <w:szCs w:val="24"/>
        </w:rPr>
        <w:t>, Guillermo Carlos Arenas (</w:t>
      </w:r>
      <w:r w:rsidR="002E7426">
        <w:rPr>
          <w:rFonts w:asciiTheme="majorHAnsi" w:hAnsiTheme="majorHAnsi" w:cstheme="majorHAnsi"/>
          <w:sz w:val="24"/>
          <w:szCs w:val="24"/>
        </w:rPr>
        <w:t>Economist</w:t>
      </w:r>
      <w:r w:rsidR="00565C79">
        <w:rPr>
          <w:rFonts w:asciiTheme="majorHAnsi" w:hAnsiTheme="majorHAnsi" w:cstheme="majorHAnsi"/>
          <w:sz w:val="24"/>
          <w:szCs w:val="24"/>
        </w:rPr>
        <w:t>, GTCTC),</w:t>
      </w:r>
      <w:r w:rsidR="00B57D96">
        <w:rPr>
          <w:rFonts w:asciiTheme="majorHAnsi" w:hAnsiTheme="majorHAnsi" w:cstheme="majorHAnsi"/>
          <w:sz w:val="24"/>
          <w:szCs w:val="24"/>
        </w:rPr>
        <w:t xml:space="preserve"> </w:t>
      </w:r>
      <w:r w:rsidR="008C6320">
        <w:rPr>
          <w:rFonts w:asciiTheme="majorHAnsi" w:hAnsiTheme="majorHAnsi" w:cstheme="majorHAnsi"/>
          <w:sz w:val="24"/>
          <w:szCs w:val="24"/>
        </w:rPr>
        <w:t>Semira Ahdiyyih (</w:t>
      </w:r>
      <w:r w:rsidR="00FE5896">
        <w:rPr>
          <w:rFonts w:asciiTheme="majorHAnsi" w:hAnsiTheme="majorHAnsi" w:cstheme="majorHAnsi"/>
          <w:sz w:val="24"/>
          <w:szCs w:val="24"/>
        </w:rPr>
        <w:t>S</w:t>
      </w:r>
      <w:r w:rsidR="008C6320">
        <w:rPr>
          <w:rFonts w:asciiTheme="majorHAnsi" w:hAnsiTheme="majorHAnsi" w:cstheme="majorHAnsi"/>
          <w:sz w:val="24"/>
          <w:szCs w:val="24"/>
        </w:rPr>
        <w:t xml:space="preserve">T </w:t>
      </w:r>
      <w:r w:rsidR="00DA369E">
        <w:rPr>
          <w:rFonts w:asciiTheme="majorHAnsi" w:hAnsiTheme="majorHAnsi" w:cstheme="majorHAnsi"/>
          <w:sz w:val="24"/>
          <w:szCs w:val="24"/>
        </w:rPr>
        <w:t>C</w:t>
      </w:r>
      <w:r w:rsidR="008C6320">
        <w:rPr>
          <w:rFonts w:asciiTheme="majorHAnsi" w:hAnsiTheme="majorHAnsi" w:cstheme="majorHAnsi"/>
          <w:sz w:val="24"/>
          <w:szCs w:val="24"/>
        </w:rPr>
        <w:t xml:space="preserve">onsultant, GTCIC) </w:t>
      </w:r>
      <w:r w:rsidR="00B57D96">
        <w:rPr>
          <w:rFonts w:asciiTheme="majorHAnsi" w:hAnsiTheme="majorHAnsi" w:cstheme="majorHAnsi"/>
          <w:sz w:val="24"/>
          <w:szCs w:val="24"/>
        </w:rPr>
        <w:t>and Justo Mirabal (</w:t>
      </w:r>
      <w:r w:rsidR="00DA369E">
        <w:rPr>
          <w:rFonts w:asciiTheme="majorHAnsi" w:hAnsiTheme="majorHAnsi" w:cstheme="majorHAnsi"/>
          <w:sz w:val="24"/>
          <w:szCs w:val="24"/>
        </w:rPr>
        <w:t>C</w:t>
      </w:r>
      <w:r w:rsidR="00B57D96">
        <w:rPr>
          <w:rFonts w:asciiTheme="majorHAnsi" w:hAnsiTheme="majorHAnsi" w:cstheme="majorHAnsi"/>
          <w:sz w:val="24"/>
          <w:szCs w:val="24"/>
        </w:rPr>
        <w:t>onsultant)</w:t>
      </w:r>
      <w:r w:rsidRPr="00357105">
        <w:rPr>
          <w:rFonts w:asciiTheme="majorHAnsi" w:hAnsiTheme="majorHAnsi" w:cstheme="majorHAnsi"/>
          <w:sz w:val="24"/>
          <w:szCs w:val="24"/>
        </w:rPr>
        <w:t xml:space="preserve">. </w:t>
      </w:r>
      <w:r w:rsidR="00031D96">
        <w:rPr>
          <w:rFonts w:asciiTheme="majorHAnsi" w:hAnsiTheme="majorHAnsi" w:cstheme="majorHAnsi"/>
          <w:sz w:val="24"/>
          <w:szCs w:val="24"/>
        </w:rPr>
        <w:t xml:space="preserve">The team </w:t>
      </w:r>
      <w:r w:rsidR="005F1659">
        <w:rPr>
          <w:rFonts w:asciiTheme="majorHAnsi" w:hAnsiTheme="majorHAnsi" w:cstheme="majorHAnsi"/>
          <w:sz w:val="24"/>
          <w:szCs w:val="24"/>
        </w:rPr>
        <w:t xml:space="preserve">greatly </w:t>
      </w:r>
      <w:r w:rsidR="00031D96">
        <w:rPr>
          <w:rFonts w:asciiTheme="majorHAnsi" w:hAnsiTheme="majorHAnsi" w:cstheme="majorHAnsi"/>
          <w:sz w:val="24"/>
          <w:szCs w:val="24"/>
        </w:rPr>
        <w:t>benefited from discussion</w:t>
      </w:r>
      <w:r w:rsidR="00B10308">
        <w:rPr>
          <w:rFonts w:asciiTheme="majorHAnsi" w:hAnsiTheme="majorHAnsi" w:cstheme="majorHAnsi"/>
          <w:sz w:val="24"/>
          <w:szCs w:val="24"/>
        </w:rPr>
        <w:t>s</w:t>
      </w:r>
      <w:r w:rsidR="00031D96">
        <w:rPr>
          <w:rFonts w:asciiTheme="majorHAnsi" w:hAnsiTheme="majorHAnsi" w:cstheme="majorHAnsi"/>
          <w:sz w:val="24"/>
          <w:szCs w:val="24"/>
        </w:rPr>
        <w:t xml:space="preserve"> </w:t>
      </w:r>
      <w:r w:rsidR="00796DD6">
        <w:rPr>
          <w:rFonts w:asciiTheme="majorHAnsi" w:hAnsiTheme="majorHAnsi" w:cstheme="majorHAnsi"/>
          <w:sz w:val="24"/>
          <w:szCs w:val="24"/>
        </w:rPr>
        <w:t xml:space="preserve">and comments from </w:t>
      </w:r>
      <w:r w:rsidR="002E7426">
        <w:rPr>
          <w:rFonts w:asciiTheme="majorHAnsi" w:hAnsiTheme="majorHAnsi" w:cstheme="majorHAnsi"/>
          <w:sz w:val="24"/>
          <w:szCs w:val="24"/>
        </w:rPr>
        <w:t xml:space="preserve">Jose Guilherme Reis (Practice Manager, GTCTC), </w:t>
      </w:r>
      <w:r w:rsidR="00266C6E" w:rsidRPr="0038236A">
        <w:rPr>
          <w:rFonts w:asciiTheme="majorHAnsi" w:hAnsiTheme="majorHAnsi" w:cstheme="majorHAnsi"/>
          <w:sz w:val="24"/>
          <w:szCs w:val="24"/>
        </w:rPr>
        <w:t>Thomas Far</w:t>
      </w:r>
      <w:r w:rsidR="00031D96" w:rsidRPr="0038236A">
        <w:rPr>
          <w:rFonts w:asciiTheme="majorHAnsi" w:hAnsiTheme="majorHAnsi" w:cstheme="majorHAnsi"/>
          <w:sz w:val="24"/>
          <w:szCs w:val="24"/>
        </w:rPr>
        <w:t>ole (</w:t>
      </w:r>
      <w:r w:rsidR="0038236A" w:rsidRPr="0038236A">
        <w:rPr>
          <w:rFonts w:asciiTheme="majorHAnsi" w:hAnsiTheme="majorHAnsi" w:cstheme="majorHAnsi"/>
          <w:sz w:val="24"/>
          <w:szCs w:val="24"/>
        </w:rPr>
        <w:t>Lead Economist,GPSJB</w:t>
      </w:r>
      <w:r w:rsidR="00031D96" w:rsidRPr="0038236A">
        <w:rPr>
          <w:rFonts w:asciiTheme="majorHAnsi" w:hAnsiTheme="majorHAnsi" w:cstheme="majorHAnsi"/>
          <w:sz w:val="24"/>
          <w:szCs w:val="24"/>
        </w:rPr>
        <w:t xml:space="preserve">), </w:t>
      </w:r>
      <w:r w:rsidR="002E7426" w:rsidRPr="0038236A">
        <w:rPr>
          <w:rFonts w:asciiTheme="majorHAnsi" w:hAnsiTheme="majorHAnsi" w:cstheme="majorHAnsi"/>
          <w:sz w:val="24"/>
          <w:szCs w:val="24"/>
        </w:rPr>
        <w:t>Daria Taglioni (Lead Economist, GTCTC),</w:t>
      </w:r>
      <w:r w:rsidR="002E7426">
        <w:rPr>
          <w:rFonts w:asciiTheme="majorHAnsi" w:hAnsiTheme="majorHAnsi" w:cstheme="majorHAnsi"/>
          <w:sz w:val="24"/>
          <w:szCs w:val="24"/>
        </w:rPr>
        <w:t xml:space="preserve"> </w:t>
      </w:r>
      <w:r w:rsidR="00781BFC">
        <w:rPr>
          <w:rFonts w:asciiTheme="majorHAnsi" w:hAnsiTheme="majorHAnsi" w:cstheme="majorHAnsi"/>
          <w:sz w:val="24"/>
          <w:szCs w:val="24"/>
        </w:rPr>
        <w:t xml:space="preserve">Wim Douw (Sector Private Sector Specialist, GTCIC), </w:t>
      </w:r>
      <w:r w:rsidR="00EE6113">
        <w:rPr>
          <w:rFonts w:asciiTheme="majorHAnsi" w:hAnsiTheme="majorHAnsi" w:cstheme="majorHAnsi"/>
          <w:sz w:val="24"/>
          <w:szCs w:val="24"/>
        </w:rPr>
        <w:t xml:space="preserve">Juan Carlos Parra (Economist, GPV04), </w:t>
      </w:r>
      <w:r w:rsidR="00031D96" w:rsidRPr="0038236A">
        <w:rPr>
          <w:rFonts w:asciiTheme="majorHAnsi" w:hAnsiTheme="majorHAnsi" w:cstheme="majorHAnsi"/>
          <w:sz w:val="24"/>
          <w:szCs w:val="24"/>
        </w:rPr>
        <w:t>and Alejandro Espinosa-Wang (</w:t>
      </w:r>
      <w:r w:rsidR="0023721C" w:rsidRPr="0038236A">
        <w:rPr>
          <w:rFonts w:asciiTheme="majorHAnsi" w:hAnsiTheme="majorHAnsi" w:cstheme="majorHAnsi"/>
          <w:sz w:val="24"/>
          <w:szCs w:val="24"/>
        </w:rPr>
        <w:t>Private Sector Specialist, GTC04</w:t>
      </w:r>
      <w:r w:rsidR="00031D96" w:rsidRPr="0038236A">
        <w:rPr>
          <w:rFonts w:asciiTheme="majorHAnsi" w:hAnsiTheme="majorHAnsi" w:cstheme="majorHAnsi"/>
          <w:sz w:val="24"/>
          <w:szCs w:val="24"/>
        </w:rPr>
        <w:t>).</w:t>
      </w:r>
      <w:r w:rsidR="00031D96">
        <w:rPr>
          <w:rFonts w:asciiTheme="majorHAnsi" w:hAnsiTheme="majorHAnsi" w:cstheme="majorHAnsi"/>
          <w:sz w:val="24"/>
          <w:szCs w:val="24"/>
        </w:rPr>
        <w:t xml:space="preserve"> </w:t>
      </w:r>
      <w:r w:rsidR="00AE5D65">
        <w:rPr>
          <w:rFonts w:asciiTheme="majorHAnsi" w:hAnsiTheme="majorHAnsi" w:cstheme="majorHAnsi"/>
          <w:sz w:val="24"/>
          <w:szCs w:val="24"/>
        </w:rPr>
        <w:t xml:space="preserve">Cecile Thioro Niang </w:t>
      </w:r>
      <w:r w:rsidR="00590B8B">
        <w:rPr>
          <w:rFonts w:asciiTheme="majorHAnsi" w:hAnsiTheme="majorHAnsi" w:cstheme="majorHAnsi"/>
          <w:sz w:val="24"/>
          <w:szCs w:val="24"/>
        </w:rPr>
        <w:t>(program leader, LCC3C), Marialisa Motta (Practice Manager, GTC04), McDonald Benjamin (Country Manager)</w:t>
      </w:r>
      <w:r w:rsidR="002C22CC">
        <w:rPr>
          <w:rFonts w:asciiTheme="majorHAnsi" w:hAnsiTheme="majorHAnsi" w:cstheme="majorHAnsi"/>
          <w:sz w:val="24"/>
          <w:szCs w:val="24"/>
        </w:rPr>
        <w:t>, Alessandro Legrottagli (Country Manager), and Sophie Sirtaine (Country Director, LCC3C)</w:t>
      </w:r>
      <w:r w:rsidR="00031D96">
        <w:rPr>
          <w:rFonts w:asciiTheme="majorHAnsi" w:hAnsiTheme="majorHAnsi" w:cstheme="majorHAnsi"/>
          <w:sz w:val="24"/>
          <w:szCs w:val="24"/>
        </w:rPr>
        <w:t xml:space="preserve"> provided </w:t>
      </w:r>
      <w:r w:rsidR="00031D96" w:rsidRPr="00031D96">
        <w:rPr>
          <w:rFonts w:asciiTheme="majorHAnsi" w:hAnsiTheme="majorHAnsi" w:cstheme="majorHAnsi"/>
          <w:sz w:val="24"/>
          <w:szCs w:val="24"/>
        </w:rPr>
        <w:t>overall guidance and strategic direction</w:t>
      </w:r>
      <w:r w:rsidR="00031D96">
        <w:rPr>
          <w:rFonts w:asciiTheme="majorHAnsi" w:hAnsiTheme="majorHAnsi" w:cstheme="majorHAnsi"/>
          <w:sz w:val="24"/>
          <w:szCs w:val="24"/>
        </w:rPr>
        <w:t xml:space="preserve"> to the report.</w:t>
      </w:r>
    </w:p>
    <w:p w14:paraId="74AFAF73" w14:textId="77777777" w:rsidR="00341ECA" w:rsidRDefault="00341ECA" w:rsidP="00357105">
      <w:pPr>
        <w:spacing w:line="276" w:lineRule="auto"/>
        <w:jc w:val="both"/>
        <w:rPr>
          <w:rFonts w:asciiTheme="majorHAnsi" w:hAnsiTheme="majorHAnsi" w:cstheme="majorHAnsi"/>
          <w:sz w:val="24"/>
          <w:szCs w:val="24"/>
        </w:rPr>
      </w:pPr>
    </w:p>
    <w:p w14:paraId="1EC697C9" w14:textId="2EA7558A" w:rsidR="0094613B" w:rsidRPr="0094613B" w:rsidRDefault="0094613B" w:rsidP="0094613B">
      <w:pPr>
        <w:spacing w:line="276" w:lineRule="auto"/>
        <w:jc w:val="both"/>
        <w:rPr>
          <w:rFonts w:asciiTheme="majorHAnsi" w:hAnsiTheme="majorHAnsi" w:cstheme="majorHAnsi"/>
          <w:sz w:val="24"/>
          <w:szCs w:val="24"/>
        </w:rPr>
      </w:pPr>
      <w:r w:rsidRPr="0094613B">
        <w:rPr>
          <w:rFonts w:asciiTheme="majorHAnsi" w:hAnsiTheme="majorHAnsi" w:cstheme="majorHAnsi"/>
          <w:sz w:val="24"/>
          <w:szCs w:val="24"/>
        </w:rPr>
        <w:t xml:space="preserve">The peer reviewers </w:t>
      </w:r>
      <w:r w:rsidR="00940CDD">
        <w:rPr>
          <w:rFonts w:asciiTheme="majorHAnsi" w:hAnsiTheme="majorHAnsi" w:cstheme="majorHAnsi"/>
          <w:sz w:val="24"/>
          <w:szCs w:val="24"/>
        </w:rPr>
        <w:t xml:space="preserve">of the report </w:t>
      </w:r>
      <w:r>
        <w:rPr>
          <w:rFonts w:asciiTheme="majorHAnsi" w:hAnsiTheme="majorHAnsi" w:cstheme="majorHAnsi"/>
          <w:sz w:val="24"/>
          <w:szCs w:val="24"/>
        </w:rPr>
        <w:t>were</w:t>
      </w:r>
      <w:r w:rsidR="0081576D">
        <w:rPr>
          <w:rFonts w:asciiTheme="majorHAnsi" w:hAnsiTheme="majorHAnsi" w:cstheme="majorHAnsi"/>
          <w:sz w:val="24"/>
          <w:szCs w:val="24"/>
        </w:rPr>
        <w:t xml:space="preserve"> Elizabeth </w:t>
      </w:r>
      <w:r w:rsidR="0081576D" w:rsidRPr="00B218BA">
        <w:rPr>
          <w:rFonts w:asciiTheme="majorHAnsi" w:hAnsiTheme="majorHAnsi" w:cstheme="majorHAnsi"/>
          <w:sz w:val="24"/>
          <w:szCs w:val="24"/>
        </w:rPr>
        <w:t xml:space="preserve">Ruppert (Lead Economist, </w:t>
      </w:r>
      <w:r w:rsidR="0038236A" w:rsidRPr="00B218BA">
        <w:rPr>
          <w:rFonts w:asciiTheme="majorHAnsi" w:hAnsiTheme="majorHAnsi" w:cstheme="majorHAnsi"/>
          <w:sz w:val="24"/>
          <w:szCs w:val="24"/>
        </w:rPr>
        <w:t>GPSJB</w:t>
      </w:r>
      <w:r w:rsidR="0081576D" w:rsidRPr="00B218BA">
        <w:rPr>
          <w:rFonts w:asciiTheme="majorHAnsi" w:hAnsiTheme="majorHAnsi" w:cstheme="majorHAnsi"/>
          <w:sz w:val="24"/>
          <w:szCs w:val="24"/>
        </w:rPr>
        <w:t xml:space="preserve">), </w:t>
      </w:r>
      <w:r w:rsidR="00B42525">
        <w:rPr>
          <w:rFonts w:asciiTheme="majorHAnsi" w:hAnsiTheme="majorHAnsi" w:cstheme="majorHAnsi"/>
          <w:sz w:val="24"/>
          <w:szCs w:val="24"/>
        </w:rPr>
        <w:t>Michele Ruta (Lead Economist, GTCDR), Melise Jaud (Senior Economist, MNACE</w:t>
      </w:r>
      <w:r w:rsidR="00B42525" w:rsidRPr="007F074E">
        <w:rPr>
          <w:rFonts w:asciiTheme="majorHAnsi" w:hAnsiTheme="majorHAnsi" w:cstheme="majorHAnsi"/>
          <w:sz w:val="24"/>
          <w:szCs w:val="24"/>
        </w:rPr>
        <w:t>)</w:t>
      </w:r>
      <w:r w:rsidR="00B42525">
        <w:rPr>
          <w:rFonts w:asciiTheme="majorHAnsi" w:hAnsiTheme="majorHAnsi" w:cstheme="majorHAnsi"/>
          <w:sz w:val="24"/>
          <w:szCs w:val="24"/>
        </w:rPr>
        <w:t xml:space="preserve">, John Anderson (Economist, GTC04), and </w:t>
      </w:r>
      <w:r w:rsidR="00797A0F" w:rsidRPr="00B218BA">
        <w:rPr>
          <w:rFonts w:asciiTheme="majorHAnsi" w:hAnsiTheme="majorHAnsi" w:cstheme="majorHAnsi"/>
          <w:sz w:val="24"/>
          <w:szCs w:val="24"/>
        </w:rPr>
        <w:t>Ife</w:t>
      </w:r>
      <w:r w:rsidR="00797A0F">
        <w:rPr>
          <w:rFonts w:asciiTheme="majorHAnsi" w:hAnsiTheme="majorHAnsi" w:cstheme="majorHAnsi"/>
          <w:sz w:val="24"/>
          <w:szCs w:val="24"/>
        </w:rPr>
        <w:t>yinwa Uchenna Onugha</w:t>
      </w:r>
      <w:r w:rsidR="00797A0F" w:rsidRPr="00797A0F">
        <w:rPr>
          <w:rFonts w:asciiTheme="majorHAnsi" w:hAnsiTheme="majorHAnsi" w:cstheme="majorHAnsi"/>
          <w:sz w:val="24"/>
          <w:szCs w:val="24"/>
        </w:rPr>
        <w:t xml:space="preserve"> </w:t>
      </w:r>
      <w:r w:rsidR="00797A0F">
        <w:rPr>
          <w:rFonts w:asciiTheme="majorHAnsi" w:hAnsiTheme="majorHAnsi" w:cstheme="majorHAnsi"/>
          <w:sz w:val="24"/>
          <w:szCs w:val="24"/>
        </w:rPr>
        <w:t>(</w:t>
      </w:r>
      <w:r w:rsidR="00797A0F" w:rsidRPr="00797A0F">
        <w:rPr>
          <w:rFonts w:asciiTheme="majorHAnsi" w:hAnsiTheme="majorHAnsi" w:cstheme="majorHAnsi"/>
          <w:sz w:val="24"/>
          <w:szCs w:val="24"/>
        </w:rPr>
        <w:t>Private Sector Development Specialist, GTCDR</w:t>
      </w:r>
      <w:r w:rsidR="00797A0F">
        <w:rPr>
          <w:rFonts w:asciiTheme="majorHAnsi" w:hAnsiTheme="majorHAnsi" w:cstheme="majorHAnsi"/>
          <w:sz w:val="24"/>
          <w:szCs w:val="24"/>
        </w:rPr>
        <w:t>)</w:t>
      </w:r>
      <w:r w:rsidRPr="0094613B">
        <w:rPr>
          <w:rFonts w:asciiTheme="majorHAnsi" w:hAnsiTheme="majorHAnsi" w:cstheme="majorHAnsi"/>
          <w:sz w:val="24"/>
          <w:szCs w:val="24"/>
        </w:rPr>
        <w:t>.</w:t>
      </w:r>
    </w:p>
    <w:p w14:paraId="581693A3" w14:textId="77777777" w:rsidR="0094613B" w:rsidRDefault="0094613B" w:rsidP="00357105">
      <w:pPr>
        <w:spacing w:line="276" w:lineRule="auto"/>
        <w:jc w:val="both"/>
        <w:rPr>
          <w:rFonts w:asciiTheme="majorHAnsi" w:hAnsiTheme="majorHAnsi" w:cstheme="majorHAnsi"/>
          <w:sz w:val="24"/>
          <w:szCs w:val="24"/>
        </w:rPr>
      </w:pPr>
    </w:p>
    <w:p w14:paraId="6FB86BFD" w14:textId="45A04B63" w:rsidR="0094613B" w:rsidRDefault="0094613B" w:rsidP="0094613B">
      <w:pPr>
        <w:spacing w:line="276" w:lineRule="auto"/>
        <w:jc w:val="both"/>
        <w:rPr>
          <w:rFonts w:asciiTheme="majorHAnsi" w:hAnsiTheme="majorHAnsi" w:cstheme="majorHAnsi"/>
          <w:sz w:val="24"/>
          <w:szCs w:val="24"/>
        </w:rPr>
      </w:pPr>
      <w:r w:rsidRPr="0094613B">
        <w:rPr>
          <w:rFonts w:asciiTheme="majorHAnsi" w:hAnsiTheme="majorHAnsi" w:cstheme="majorHAnsi"/>
          <w:sz w:val="24"/>
          <w:szCs w:val="24"/>
        </w:rPr>
        <w:t xml:space="preserve">The Team is grateful for the collaboration of the following government counterparts: Juan Reyes (Ministry of Economy, Planning and Development); </w:t>
      </w:r>
      <w:r w:rsidR="00C31F51">
        <w:rPr>
          <w:rFonts w:asciiTheme="majorHAnsi" w:hAnsiTheme="majorHAnsi" w:cstheme="majorHAnsi"/>
          <w:sz w:val="24"/>
          <w:szCs w:val="24"/>
        </w:rPr>
        <w:t>Letty Gutierrez, Brenda Villanueva</w:t>
      </w:r>
      <w:r w:rsidRPr="0094613B">
        <w:rPr>
          <w:rFonts w:asciiTheme="majorHAnsi" w:hAnsiTheme="majorHAnsi" w:cstheme="majorHAnsi"/>
          <w:sz w:val="24"/>
          <w:szCs w:val="24"/>
        </w:rPr>
        <w:t xml:space="preserve"> (Central Bank); </w:t>
      </w:r>
      <w:r w:rsidR="00C31F51">
        <w:rPr>
          <w:rFonts w:asciiTheme="majorHAnsi" w:hAnsiTheme="majorHAnsi" w:cstheme="majorHAnsi"/>
          <w:sz w:val="24"/>
          <w:szCs w:val="24"/>
        </w:rPr>
        <w:t xml:space="preserve">María Edelmira Marmolejos </w:t>
      </w:r>
      <w:r w:rsidRPr="0094613B">
        <w:rPr>
          <w:rFonts w:asciiTheme="majorHAnsi" w:hAnsiTheme="majorHAnsi" w:cstheme="majorHAnsi"/>
          <w:sz w:val="24"/>
          <w:szCs w:val="24"/>
        </w:rPr>
        <w:t xml:space="preserve">(General Customs Directorate, DGA); Augusto de los Santos, Luis </w:t>
      </w:r>
      <w:r w:rsidR="00C31F51">
        <w:rPr>
          <w:rFonts w:asciiTheme="majorHAnsi" w:hAnsiTheme="majorHAnsi" w:cstheme="majorHAnsi"/>
          <w:sz w:val="24"/>
          <w:szCs w:val="24"/>
        </w:rPr>
        <w:t xml:space="preserve">Madera </w:t>
      </w:r>
      <w:r w:rsidRPr="0094613B">
        <w:rPr>
          <w:rFonts w:asciiTheme="majorHAnsi" w:hAnsiTheme="majorHAnsi" w:cstheme="majorHAnsi"/>
          <w:sz w:val="24"/>
          <w:szCs w:val="24"/>
        </w:rPr>
        <w:t xml:space="preserve">(National Office for Statistics, ONE); Jean Alain Rodríguez, Rafael Samuel Sena, Maricell Silvestre (CEI-RD); Luisa Fernandez, </w:t>
      </w:r>
      <w:r w:rsidR="00C31F51">
        <w:rPr>
          <w:rFonts w:asciiTheme="majorHAnsi" w:hAnsiTheme="majorHAnsi" w:cstheme="majorHAnsi"/>
          <w:sz w:val="24"/>
          <w:szCs w:val="24"/>
        </w:rPr>
        <w:t>Daniel Liranzo</w:t>
      </w:r>
      <w:r w:rsidR="00DF0CAB">
        <w:rPr>
          <w:rFonts w:asciiTheme="majorHAnsi" w:hAnsiTheme="majorHAnsi" w:cstheme="majorHAnsi"/>
          <w:sz w:val="24"/>
          <w:szCs w:val="24"/>
        </w:rPr>
        <w:t>, Francisco Dominguez</w:t>
      </w:r>
      <w:r w:rsidR="00C31F51">
        <w:rPr>
          <w:rFonts w:asciiTheme="majorHAnsi" w:hAnsiTheme="majorHAnsi" w:cstheme="majorHAnsi"/>
          <w:sz w:val="24"/>
          <w:szCs w:val="24"/>
        </w:rPr>
        <w:t xml:space="preserve"> </w:t>
      </w:r>
      <w:r w:rsidRPr="0094613B">
        <w:rPr>
          <w:rFonts w:asciiTheme="majorHAnsi" w:hAnsiTheme="majorHAnsi" w:cstheme="majorHAnsi"/>
          <w:sz w:val="24"/>
          <w:szCs w:val="24"/>
        </w:rPr>
        <w:t xml:space="preserve">(National Free Trade Zones Council, CNZFE); </w:t>
      </w:r>
      <w:r w:rsidR="00C31F51">
        <w:rPr>
          <w:rFonts w:asciiTheme="majorHAnsi" w:hAnsiTheme="majorHAnsi" w:cstheme="majorHAnsi"/>
          <w:sz w:val="24"/>
          <w:szCs w:val="24"/>
        </w:rPr>
        <w:t xml:space="preserve">and </w:t>
      </w:r>
      <w:r w:rsidR="003F403A" w:rsidRPr="003F403A">
        <w:rPr>
          <w:rFonts w:asciiTheme="majorHAnsi" w:hAnsiTheme="majorHAnsi" w:cstheme="majorHAnsi"/>
          <w:sz w:val="24"/>
          <w:szCs w:val="24"/>
        </w:rPr>
        <w:t>Sadala Khoury</w:t>
      </w:r>
      <w:r w:rsidRPr="0094613B">
        <w:rPr>
          <w:rFonts w:asciiTheme="majorHAnsi" w:hAnsiTheme="majorHAnsi" w:cstheme="majorHAnsi"/>
          <w:sz w:val="24"/>
          <w:szCs w:val="24"/>
        </w:rPr>
        <w:t xml:space="preserve"> (Dominican </w:t>
      </w:r>
      <w:r w:rsidR="009737BF">
        <w:rPr>
          <w:rFonts w:asciiTheme="majorHAnsi" w:hAnsiTheme="majorHAnsi" w:cstheme="majorHAnsi"/>
          <w:sz w:val="24"/>
          <w:szCs w:val="24"/>
        </w:rPr>
        <w:t>Association of Exporters</w:t>
      </w:r>
      <w:r w:rsidRPr="0094613B">
        <w:rPr>
          <w:rFonts w:asciiTheme="majorHAnsi" w:hAnsiTheme="majorHAnsi" w:cstheme="majorHAnsi"/>
          <w:sz w:val="24"/>
          <w:szCs w:val="24"/>
        </w:rPr>
        <w:t xml:space="preserve">, </w:t>
      </w:r>
      <w:r w:rsidR="009737BF">
        <w:rPr>
          <w:rFonts w:asciiTheme="majorHAnsi" w:hAnsiTheme="majorHAnsi" w:cstheme="majorHAnsi"/>
          <w:sz w:val="24"/>
          <w:szCs w:val="24"/>
        </w:rPr>
        <w:t>ADOEXPO</w:t>
      </w:r>
      <w:r>
        <w:rPr>
          <w:rFonts w:asciiTheme="majorHAnsi" w:hAnsiTheme="majorHAnsi" w:cstheme="majorHAnsi"/>
          <w:sz w:val="24"/>
          <w:szCs w:val="24"/>
        </w:rPr>
        <w:t>).</w:t>
      </w:r>
    </w:p>
    <w:p w14:paraId="2AE4A884" w14:textId="77777777" w:rsidR="0094613B" w:rsidRPr="0094613B" w:rsidRDefault="0094613B" w:rsidP="0094613B">
      <w:pPr>
        <w:spacing w:line="276" w:lineRule="auto"/>
        <w:jc w:val="both"/>
        <w:rPr>
          <w:rFonts w:asciiTheme="majorHAnsi" w:hAnsiTheme="majorHAnsi" w:cstheme="majorHAnsi"/>
          <w:sz w:val="24"/>
          <w:szCs w:val="24"/>
        </w:rPr>
      </w:pPr>
    </w:p>
    <w:p w14:paraId="227B257F" w14:textId="505A8F03" w:rsidR="0094613B" w:rsidRDefault="0094613B" w:rsidP="0094613B">
      <w:pPr>
        <w:spacing w:line="276" w:lineRule="auto"/>
        <w:jc w:val="both"/>
        <w:rPr>
          <w:rFonts w:asciiTheme="majorHAnsi" w:hAnsiTheme="majorHAnsi" w:cstheme="majorHAnsi"/>
          <w:sz w:val="24"/>
          <w:szCs w:val="24"/>
        </w:rPr>
      </w:pPr>
      <w:r w:rsidRPr="0094613B">
        <w:rPr>
          <w:rFonts w:asciiTheme="majorHAnsi" w:hAnsiTheme="majorHAnsi" w:cstheme="majorHAnsi"/>
          <w:sz w:val="24"/>
          <w:szCs w:val="24"/>
        </w:rPr>
        <w:t xml:space="preserve">The World Bank is indebted to the General Customs Directorate, the National Office of Statistics, and the National Council for Free Trade Zones for granting access to relevant </w:t>
      </w:r>
      <w:r>
        <w:rPr>
          <w:rFonts w:asciiTheme="majorHAnsi" w:hAnsiTheme="majorHAnsi" w:cstheme="majorHAnsi"/>
          <w:sz w:val="24"/>
          <w:szCs w:val="24"/>
        </w:rPr>
        <w:t xml:space="preserve">reports and </w:t>
      </w:r>
      <w:r w:rsidRPr="0094613B">
        <w:rPr>
          <w:rFonts w:asciiTheme="majorHAnsi" w:hAnsiTheme="majorHAnsi" w:cstheme="majorHAnsi"/>
          <w:sz w:val="24"/>
          <w:szCs w:val="24"/>
        </w:rPr>
        <w:t xml:space="preserve">databases that contributed significantly to this </w:t>
      </w:r>
      <w:r>
        <w:rPr>
          <w:rFonts w:asciiTheme="majorHAnsi" w:hAnsiTheme="majorHAnsi" w:cstheme="majorHAnsi"/>
          <w:sz w:val="24"/>
          <w:szCs w:val="24"/>
        </w:rPr>
        <w:t>project</w:t>
      </w:r>
      <w:r w:rsidRPr="0094613B">
        <w:rPr>
          <w:rFonts w:asciiTheme="majorHAnsi" w:hAnsiTheme="majorHAnsi" w:cstheme="majorHAnsi"/>
          <w:sz w:val="24"/>
          <w:szCs w:val="24"/>
        </w:rPr>
        <w:t>.</w:t>
      </w:r>
    </w:p>
    <w:p w14:paraId="695A4C9B" w14:textId="77777777" w:rsidR="0094613B" w:rsidRDefault="0094613B" w:rsidP="00357105">
      <w:pPr>
        <w:spacing w:line="276" w:lineRule="auto"/>
        <w:jc w:val="both"/>
        <w:rPr>
          <w:rFonts w:asciiTheme="majorHAnsi" w:hAnsiTheme="majorHAnsi" w:cstheme="majorHAnsi"/>
          <w:sz w:val="24"/>
          <w:szCs w:val="24"/>
        </w:rPr>
      </w:pPr>
    </w:p>
    <w:p w14:paraId="0FB04CE6" w14:textId="6B1D61BF" w:rsidR="00705FCD" w:rsidRDefault="00705FCD" w:rsidP="00705FCD">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Special thanks to </w:t>
      </w:r>
      <w:r w:rsidR="00FE5896">
        <w:rPr>
          <w:rFonts w:asciiTheme="majorHAnsi" w:hAnsiTheme="majorHAnsi" w:cstheme="majorHAnsi"/>
          <w:sz w:val="24"/>
          <w:szCs w:val="24"/>
        </w:rPr>
        <w:t xml:space="preserve">the </w:t>
      </w:r>
      <w:r>
        <w:rPr>
          <w:rFonts w:asciiTheme="majorHAnsi" w:hAnsiTheme="majorHAnsi" w:cstheme="majorHAnsi"/>
          <w:sz w:val="24"/>
          <w:szCs w:val="24"/>
        </w:rPr>
        <w:t xml:space="preserve">Nottingham School of Economics for facilitating </w:t>
      </w:r>
      <w:r w:rsidR="001C0501">
        <w:rPr>
          <w:rFonts w:asciiTheme="majorHAnsi" w:hAnsiTheme="majorHAnsi" w:cstheme="majorHAnsi"/>
          <w:sz w:val="24"/>
          <w:szCs w:val="24"/>
        </w:rPr>
        <w:t xml:space="preserve">Alejandro Riaño and </w:t>
      </w:r>
      <w:r>
        <w:rPr>
          <w:rFonts w:asciiTheme="majorHAnsi" w:hAnsiTheme="majorHAnsi" w:cstheme="majorHAnsi"/>
          <w:sz w:val="24"/>
          <w:szCs w:val="24"/>
        </w:rPr>
        <w:t>Fabrice Defever’s visit to the Dominican Republic to join stakeholders’ consultation</w:t>
      </w:r>
      <w:r w:rsidR="00DE75F7">
        <w:rPr>
          <w:rFonts w:asciiTheme="majorHAnsi" w:hAnsiTheme="majorHAnsi" w:cstheme="majorHAnsi"/>
          <w:sz w:val="24"/>
          <w:szCs w:val="24"/>
        </w:rPr>
        <w:t xml:space="preserve">s in </w:t>
      </w:r>
      <w:r w:rsidR="00FF2DD1">
        <w:rPr>
          <w:rFonts w:asciiTheme="majorHAnsi" w:hAnsiTheme="majorHAnsi" w:cstheme="majorHAnsi"/>
          <w:sz w:val="24"/>
          <w:szCs w:val="24"/>
        </w:rPr>
        <w:t>December 2015</w:t>
      </w:r>
      <w:r>
        <w:rPr>
          <w:rFonts w:asciiTheme="majorHAnsi" w:hAnsiTheme="majorHAnsi" w:cstheme="majorHAnsi"/>
          <w:sz w:val="24"/>
          <w:szCs w:val="24"/>
        </w:rPr>
        <w:t>.</w:t>
      </w:r>
    </w:p>
    <w:p w14:paraId="10B52099" w14:textId="77777777" w:rsidR="00705FCD" w:rsidRDefault="00705FCD" w:rsidP="00357105">
      <w:pPr>
        <w:spacing w:line="276" w:lineRule="auto"/>
        <w:jc w:val="both"/>
        <w:rPr>
          <w:rFonts w:asciiTheme="majorHAnsi" w:hAnsiTheme="majorHAnsi" w:cstheme="majorHAnsi"/>
          <w:sz w:val="24"/>
          <w:szCs w:val="24"/>
        </w:rPr>
      </w:pPr>
    </w:p>
    <w:p w14:paraId="0F2CC816" w14:textId="77777777" w:rsidR="00357105" w:rsidRDefault="00357105">
      <w:pPr>
        <w:spacing w:after="200" w:line="276" w:lineRule="auto"/>
        <w:jc w:val="both"/>
        <w:rPr>
          <w:b/>
          <w:spacing w:val="5"/>
          <w:sz w:val="32"/>
          <w:szCs w:val="32"/>
        </w:rPr>
      </w:pPr>
      <w:r>
        <w:br w:type="page"/>
      </w:r>
    </w:p>
    <w:p w14:paraId="3B6BA7BB" w14:textId="77777777" w:rsidR="0014266C" w:rsidRPr="0063779B" w:rsidRDefault="0014266C" w:rsidP="0014266C">
      <w:pPr>
        <w:pStyle w:val="Heading1"/>
        <w:rPr>
          <w:rFonts w:asciiTheme="majorHAnsi" w:hAnsiTheme="majorHAnsi" w:cstheme="majorHAnsi"/>
        </w:rPr>
      </w:pPr>
      <w:bookmarkStart w:id="1" w:name="_Toc461524377"/>
      <w:r w:rsidRPr="0063779B">
        <w:rPr>
          <w:rFonts w:asciiTheme="majorHAnsi" w:hAnsiTheme="majorHAnsi" w:cstheme="majorHAnsi"/>
        </w:rPr>
        <w:lastRenderedPageBreak/>
        <w:t>Introduction</w:t>
      </w:r>
      <w:bookmarkEnd w:id="1"/>
      <w:r w:rsidR="007132DA" w:rsidRPr="0063779B">
        <w:rPr>
          <w:rFonts w:asciiTheme="majorHAnsi" w:hAnsiTheme="majorHAnsi" w:cstheme="majorHAnsi"/>
        </w:rPr>
        <w:t xml:space="preserve"> </w:t>
      </w:r>
    </w:p>
    <w:p w14:paraId="70EB68EA" w14:textId="3CDAF5CA" w:rsidR="00326537" w:rsidRDefault="00326537" w:rsidP="00326537">
      <w:pPr>
        <w:spacing w:before="240" w:line="276" w:lineRule="auto"/>
        <w:jc w:val="both"/>
        <w:rPr>
          <w:rFonts w:ascii="Times New Roman" w:hAnsi="Times New Roman"/>
          <w:sz w:val="24"/>
          <w:szCs w:val="24"/>
        </w:rPr>
      </w:pPr>
      <w:r w:rsidRPr="00326537">
        <w:rPr>
          <w:rFonts w:ascii="Times New Roman" w:hAnsi="Times New Roman"/>
          <w:b/>
          <w:sz w:val="24"/>
          <w:szCs w:val="24"/>
        </w:rPr>
        <w:t>The Dominican Republic</w:t>
      </w:r>
      <w:r w:rsidR="003E51F8">
        <w:rPr>
          <w:rFonts w:ascii="Times New Roman" w:hAnsi="Times New Roman"/>
          <w:b/>
          <w:sz w:val="24"/>
          <w:szCs w:val="24"/>
        </w:rPr>
        <w:t xml:space="preserve"> </w:t>
      </w:r>
      <w:r w:rsidRPr="00326537">
        <w:rPr>
          <w:rFonts w:ascii="Times New Roman" w:hAnsi="Times New Roman"/>
          <w:b/>
          <w:sz w:val="24"/>
          <w:szCs w:val="24"/>
        </w:rPr>
        <w:t xml:space="preserve">is often considered an example of the successful implementation of Special Economic Zones </w:t>
      </w:r>
      <w:r w:rsidRPr="00B04A0A">
        <w:rPr>
          <w:rFonts w:asciiTheme="majorHAnsi" w:hAnsiTheme="majorHAnsi" w:cstheme="majorHAnsi"/>
          <w:b/>
          <w:sz w:val="24"/>
          <w:szCs w:val="24"/>
        </w:rPr>
        <w:t xml:space="preserve">(henceforth </w:t>
      </w:r>
      <w:r>
        <w:rPr>
          <w:rFonts w:asciiTheme="majorHAnsi" w:hAnsiTheme="majorHAnsi" w:cstheme="majorHAnsi"/>
          <w:b/>
          <w:sz w:val="24"/>
          <w:szCs w:val="24"/>
        </w:rPr>
        <w:t>SEZs</w:t>
      </w:r>
      <w:r w:rsidRPr="00326537">
        <w:rPr>
          <w:rFonts w:ascii="Times New Roman" w:hAnsi="Times New Roman"/>
          <w:b/>
          <w:sz w:val="24"/>
          <w:szCs w:val="24"/>
        </w:rPr>
        <w:t xml:space="preserve">) in the Western hemisphere. </w:t>
      </w:r>
      <w:r w:rsidR="00D41C38">
        <w:rPr>
          <w:rFonts w:ascii="Times New Roman" w:hAnsi="Times New Roman"/>
          <w:sz w:val="24"/>
          <w:szCs w:val="24"/>
        </w:rPr>
        <w:t xml:space="preserve">The zones </w:t>
      </w:r>
      <w:r w:rsidRPr="00326537">
        <w:rPr>
          <w:rFonts w:ascii="Times New Roman" w:hAnsi="Times New Roman"/>
          <w:sz w:val="24"/>
          <w:szCs w:val="24"/>
        </w:rPr>
        <w:t xml:space="preserve">fueled economic growth during the 1980s and 1990s and, while they experienced a sharp decline in employment due in part to the expiry of </w:t>
      </w:r>
      <w:r w:rsidR="001422A7">
        <w:rPr>
          <w:rFonts w:ascii="Times New Roman" w:hAnsi="Times New Roman"/>
          <w:sz w:val="24"/>
          <w:szCs w:val="24"/>
        </w:rPr>
        <w:t>the end of the Multi-Fiber Agreement and stronger international competition in the textile and apparel industry in 2005</w:t>
      </w:r>
      <w:r w:rsidRPr="00326537">
        <w:rPr>
          <w:rFonts w:ascii="Times New Roman" w:hAnsi="Times New Roman"/>
          <w:sz w:val="24"/>
          <w:szCs w:val="24"/>
        </w:rPr>
        <w:t xml:space="preserve">, signs of recovery have been observed since 2009. Surgical equipment, chemicals and plastics, and </w:t>
      </w:r>
      <w:r>
        <w:rPr>
          <w:rFonts w:ascii="Times New Roman" w:hAnsi="Times New Roman"/>
          <w:sz w:val="24"/>
          <w:szCs w:val="24"/>
        </w:rPr>
        <w:t xml:space="preserve">footwear </w:t>
      </w:r>
      <w:r w:rsidRPr="00326537">
        <w:rPr>
          <w:rFonts w:ascii="Times New Roman" w:hAnsi="Times New Roman"/>
          <w:sz w:val="24"/>
          <w:szCs w:val="24"/>
        </w:rPr>
        <w:t xml:space="preserve">have recently emerged as the new drivers of </w:t>
      </w:r>
      <w:r>
        <w:rPr>
          <w:rFonts w:ascii="Times New Roman" w:hAnsi="Times New Roman"/>
          <w:sz w:val="24"/>
          <w:szCs w:val="24"/>
        </w:rPr>
        <w:t xml:space="preserve">export </w:t>
      </w:r>
      <w:r w:rsidRPr="00326537">
        <w:rPr>
          <w:rFonts w:ascii="Times New Roman" w:hAnsi="Times New Roman"/>
          <w:sz w:val="24"/>
          <w:szCs w:val="24"/>
        </w:rPr>
        <w:t xml:space="preserve">dynamism in the zones (World Bank, 2015). Yet, an old question remains: are Dominican SEZs developing activities with substantive </w:t>
      </w:r>
      <w:r w:rsidR="00E913C2">
        <w:rPr>
          <w:rFonts w:ascii="Times New Roman" w:hAnsi="Times New Roman"/>
          <w:sz w:val="24"/>
          <w:szCs w:val="24"/>
        </w:rPr>
        <w:t xml:space="preserve">domestic </w:t>
      </w:r>
      <w:r w:rsidRPr="00326537">
        <w:rPr>
          <w:rFonts w:ascii="Times New Roman" w:hAnsi="Times New Roman"/>
          <w:sz w:val="24"/>
          <w:szCs w:val="24"/>
        </w:rPr>
        <w:t>value addition and fostering linkages to local industries?</w:t>
      </w:r>
      <w:r w:rsidR="001E5B71">
        <w:rPr>
          <w:rFonts w:ascii="Times New Roman" w:hAnsi="Times New Roman"/>
          <w:sz w:val="24"/>
          <w:szCs w:val="24"/>
        </w:rPr>
        <w:t xml:space="preserve"> This report sheds light on this question.</w:t>
      </w:r>
    </w:p>
    <w:p w14:paraId="72F1AE69" w14:textId="20B5887E" w:rsidR="00D41C38" w:rsidRDefault="00957DBD" w:rsidP="00326537">
      <w:pPr>
        <w:spacing w:before="240" w:line="276" w:lineRule="auto"/>
        <w:jc w:val="both"/>
        <w:rPr>
          <w:rFonts w:ascii="Times New Roman" w:hAnsi="Times New Roman"/>
          <w:sz w:val="24"/>
          <w:szCs w:val="24"/>
        </w:rPr>
      </w:pPr>
      <w:r>
        <w:rPr>
          <w:rFonts w:ascii="Times New Roman" w:hAnsi="Times New Roman"/>
          <w:b/>
          <w:sz w:val="24"/>
          <w:szCs w:val="24"/>
        </w:rPr>
        <w:t>The special tax regimen</w:t>
      </w:r>
      <w:r w:rsidR="00AC10A9">
        <w:rPr>
          <w:rFonts w:ascii="Times New Roman" w:hAnsi="Times New Roman"/>
          <w:b/>
          <w:sz w:val="24"/>
          <w:szCs w:val="24"/>
        </w:rPr>
        <w:t xml:space="preserve"> enforced by SEZs</w:t>
      </w:r>
      <w:r w:rsidR="00E5424B">
        <w:rPr>
          <w:rFonts w:ascii="Times New Roman" w:hAnsi="Times New Roman"/>
          <w:b/>
          <w:sz w:val="24"/>
          <w:szCs w:val="24"/>
        </w:rPr>
        <w:t xml:space="preserve"> </w:t>
      </w:r>
      <w:r>
        <w:rPr>
          <w:rFonts w:ascii="Times New Roman" w:hAnsi="Times New Roman"/>
          <w:b/>
          <w:sz w:val="24"/>
          <w:szCs w:val="24"/>
        </w:rPr>
        <w:t xml:space="preserve">has </w:t>
      </w:r>
      <w:r w:rsidR="00326537" w:rsidRPr="00326537">
        <w:rPr>
          <w:rFonts w:ascii="Times New Roman" w:hAnsi="Times New Roman"/>
          <w:b/>
          <w:sz w:val="24"/>
          <w:szCs w:val="24"/>
        </w:rPr>
        <w:t xml:space="preserve">been </w:t>
      </w:r>
      <w:r w:rsidR="00E913C2">
        <w:rPr>
          <w:rFonts w:ascii="Times New Roman" w:hAnsi="Times New Roman"/>
          <w:b/>
          <w:sz w:val="24"/>
          <w:szCs w:val="24"/>
        </w:rPr>
        <w:t xml:space="preserve">traditionally </w:t>
      </w:r>
      <w:r w:rsidR="00326537" w:rsidRPr="00326537">
        <w:rPr>
          <w:rFonts w:ascii="Times New Roman" w:hAnsi="Times New Roman"/>
          <w:b/>
          <w:sz w:val="24"/>
          <w:szCs w:val="24"/>
        </w:rPr>
        <w:t xml:space="preserve">regarded as </w:t>
      </w:r>
      <w:r w:rsidR="00E5424B">
        <w:rPr>
          <w:rFonts w:ascii="Times New Roman" w:hAnsi="Times New Roman"/>
          <w:b/>
          <w:sz w:val="24"/>
          <w:szCs w:val="24"/>
        </w:rPr>
        <w:t>an engine</w:t>
      </w:r>
      <w:r w:rsidR="00E913C2">
        <w:rPr>
          <w:rFonts w:ascii="Times New Roman" w:hAnsi="Times New Roman"/>
          <w:b/>
          <w:sz w:val="24"/>
          <w:szCs w:val="24"/>
        </w:rPr>
        <w:t xml:space="preserve"> of econom</w:t>
      </w:r>
      <w:r w:rsidR="00FE5896">
        <w:rPr>
          <w:rFonts w:ascii="Times New Roman" w:hAnsi="Times New Roman"/>
          <w:b/>
          <w:sz w:val="24"/>
          <w:szCs w:val="24"/>
        </w:rPr>
        <w:t>ic</w:t>
      </w:r>
      <w:r w:rsidR="00E913C2">
        <w:rPr>
          <w:rFonts w:ascii="Times New Roman" w:hAnsi="Times New Roman"/>
          <w:b/>
          <w:sz w:val="24"/>
          <w:szCs w:val="24"/>
        </w:rPr>
        <w:t xml:space="preserve"> growth</w:t>
      </w:r>
      <w:r w:rsidR="00326537" w:rsidRPr="00326537">
        <w:rPr>
          <w:rFonts w:ascii="Times New Roman" w:hAnsi="Times New Roman"/>
          <w:b/>
          <w:sz w:val="24"/>
          <w:szCs w:val="24"/>
        </w:rPr>
        <w:t xml:space="preserve"> that, however, </w:t>
      </w:r>
      <w:r w:rsidR="00E5424B">
        <w:rPr>
          <w:rFonts w:ascii="Times New Roman" w:hAnsi="Times New Roman"/>
          <w:b/>
          <w:sz w:val="24"/>
          <w:szCs w:val="24"/>
        </w:rPr>
        <w:t xml:space="preserve">is </w:t>
      </w:r>
      <w:r w:rsidR="00326537" w:rsidRPr="00326537">
        <w:rPr>
          <w:rFonts w:ascii="Times New Roman" w:hAnsi="Times New Roman"/>
          <w:b/>
          <w:sz w:val="24"/>
          <w:szCs w:val="24"/>
        </w:rPr>
        <w:t>relatively disconnected from the rest of the Dominican Republic.</w:t>
      </w:r>
      <w:r w:rsidR="00326537" w:rsidRPr="00326537">
        <w:rPr>
          <w:rFonts w:ascii="Times New Roman" w:hAnsi="Times New Roman"/>
          <w:sz w:val="24"/>
          <w:szCs w:val="24"/>
        </w:rPr>
        <w:t xml:space="preserve"> The literature on economic development in the Dominican Republic has traditionally pointed to the existence of weak linkages between special economic zones and </w:t>
      </w:r>
      <w:r w:rsidR="00326537" w:rsidRPr="002F0CE9">
        <w:rPr>
          <w:rFonts w:ascii="Times New Roman" w:hAnsi="Times New Roman"/>
          <w:sz w:val="24"/>
          <w:szCs w:val="24"/>
        </w:rPr>
        <w:t>domestic firms (Kaplin</w:t>
      </w:r>
      <w:r w:rsidR="002F0CE9" w:rsidRPr="002F0CE9">
        <w:rPr>
          <w:rFonts w:ascii="Times New Roman" w:hAnsi="Times New Roman"/>
          <w:sz w:val="24"/>
          <w:szCs w:val="24"/>
        </w:rPr>
        <w:t>s</w:t>
      </w:r>
      <w:r w:rsidR="00326537" w:rsidRPr="002F0CE9">
        <w:rPr>
          <w:rFonts w:ascii="Times New Roman" w:hAnsi="Times New Roman"/>
          <w:sz w:val="24"/>
          <w:szCs w:val="24"/>
        </w:rPr>
        <w:t xml:space="preserve">ky, 1993). According to Manzano et al. (2013), one reason for the observed lack of linkages owes to the fact that most SEZ industries during the past two decades relied on maquiladoras, requiring low-skill labor and exporting products of low domestic value-added. Recently, SEZs </w:t>
      </w:r>
      <w:r w:rsidR="00FE5896">
        <w:rPr>
          <w:rFonts w:ascii="Times New Roman" w:hAnsi="Times New Roman"/>
          <w:sz w:val="24"/>
          <w:szCs w:val="24"/>
        </w:rPr>
        <w:t xml:space="preserve">have </w:t>
      </w:r>
      <w:r w:rsidR="00326537" w:rsidRPr="002F0CE9">
        <w:rPr>
          <w:rFonts w:ascii="Times New Roman" w:hAnsi="Times New Roman"/>
          <w:sz w:val="24"/>
          <w:szCs w:val="24"/>
        </w:rPr>
        <w:t xml:space="preserve">started to export </w:t>
      </w:r>
      <w:r w:rsidR="003E51F8">
        <w:rPr>
          <w:rFonts w:ascii="Times New Roman" w:hAnsi="Times New Roman"/>
          <w:sz w:val="24"/>
          <w:szCs w:val="24"/>
        </w:rPr>
        <w:t>more sophisticated</w:t>
      </w:r>
      <w:r w:rsidR="006D706B">
        <w:rPr>
          <w:rFonts w:ascii="Times New Roman" w:hAnsi="Times New Roman"/>
          <w:sz w:val="24"/>
          <w:szCs w:val="24"/>
        </w:rPr>
        <w:t xml:space="preserve"> </w:t>
      </w:r>
      <w:r w:rsidR="00326537" w:rsidRPr="002F0CE9">
        <w:rPr>
          <w:rFonts w:ascii="Times New Roman" w:hAnsi="Times New Roman"/>
          <w:sz w:val="24"/>
          <w:szCs w:val="24"/>
        </w:rPr>
        <w:t>products such as medical equipment and pharmaceuticals, but these sectors import most of their inputs and have built few supply arrangements with domestic suppliers (Sánchez-Ancochea, 2012). A</w:t>
      </w:r>
      <w:r w:rsidR="00326537" w:rsidRPr="00326537">
        <w:rPr>
          <w:rFonts w:ascii="Times New Roman" w:hAnsi="Times New Roman"/>
          <w:sz w:val="24"/>
          <w:szCs w:val="24"/>
        </w:rPr>
        <w:t xml:space="preserve"> common theme in </w:t>
      </w:r>
      <w:r w:rsidR="00417E26">
        <w:rPr>
          <w:rFonts w:ascii="Times New Roman" w:hAnsi="Times New Roman"/>
          <w:sz w:val="24"/>
          <w:szCs w:val="24"/>
        </w:rPr>
        <w:t xml:space="preserve">the </w:t>
      </w:r>
      <w:r w:rsidR="00326537" w:rsidRPr="00326537">
        <w:rPr>
          <w:rFonts w:ascii="Times New Roman" w:hAnsi="Times New Roman"/>
          <w:sz w:val="24"/>
          <w:szCs w:val="24"/>
        </w:rPr>
        <w:t xml:space="preserve">existing </w:t>
      </w:r>
      <w:r w:rsidR="00417E26">
        <w:rPr>
          <w:rFonts w:ascii="Times New Roman" w:hAnsi="Times New Roman"/>
          <w:sz w:val="24"/>
          <w:szCs w:val="24"/>
        </w:rPr>
        <w:t xml:space="preserve">literature </w:t>
      </w:r>
      <w:r w:rsidR="00326537" w:rsidRPr="00326537">
        <w:rPr>
          <w:rFonts w:ascii="Times New Roman" w:hAnsi="Times New Roman"/>
          <w:sz w:val="24"/>
          <w:szCs w:val="24"/>
        </w:rPr>
        <w:t>is that assessments of linkages between SEZs and the rest of the economy is primarily qualitative</w:t>
      </w:r>
      <w:r w:rsidR="003E51F8">
        <w:rPr>
          <w:rFonts w:ascii="Times New Roman" w:hAnsi="Times New Roman"/>
          <w:sz w:val="24"/>
          <w:szCs w:val="24"/>
        </w:rPr>
        <w:t xml:space="preserve"> or based on small-sample surveys</w:t>
      </w:r>
      <w:r w:rsidR="00326537" w:rsidRPr="00326537">
        <w:rPr>
          <w:rFonts w:ascii="Times New Roman" w:hAnsi="Times New Roman"/>
          <w:sz w:val="24"/>
          <w:szCs w:val="24"/>
        </w:rPr>
        <w:t xml:space="preserve">, </w:t>
      </w:r>
      <w:r w:rsidR="00AC10A9">
        <w:rPr>
          <w:rFonts w:ascii="Times New Roman" w:hAnsi="Times New Roman"/>
          <w:sz w:val="24"/>
          <w:szCs w:val="24"/>
        </w:rPr>
        <w:t xml:space="preserve">therefore </w:t>
      </w:r>
      <w:r w:rsidR="00326537" w:rsidRPr="00326537">
        <w:rPr>
          <w:rFonts w:ascii="Times New Roman" w:hAnsi="Times New Roman"/>
          <w:sz w:val="24"/>
          <w:szCs w:val="24"/>
        </w:rPr>
        <w:t xml:space="preserve">further empirical evidence is needed to make </w:t>
      </w:r>
      <w:r w:rsidR="003E51F8">
        <w:rPr>
          <w:rFonts w:ascii="Times New Roman" w:hAnsi="Times New Roman"/>
          <w:sz w:val="24"/>
          <w:szCs w:val="24"/>
        </w:rPr>
        <w:t>more</w:t>
      </w:r>
      <w:r w:rsidR="003E51F8" w:rsidRPr="00326537">
        <w:rPr>
          <w:rFonts w:ascii="Times New Roman" w:hAnsi="Times New Roman"/>
          <w:sz w:val="24"/>
          <w:szCs w:val="24"/>
        </w:rPr>
        <w:t xml:space="preserve"> </w:t>
      </w:r>
      <w:r w:rsidR="00326537" w:rsidRPr="00326537">
        <w:rPr>
          <w:rFonts w:ascii="Times New Roman" w:hAnsi="Times New Roman"/>
          <w:sz w:val="24"/>
          <w:szCs w:val="24"/>
        </w:rPr>
        <w:t xml:space="preserve">definitive claims. </w:t>
      </w:r>
    </w:p>
    <w:p w14:paraId="3D541CE0" w14:textId="2214D080" w:rsidR="00B06F40" w:rsidRDefault="00B06F40" w:rsidP="00417E26">
      <w:pPr>
        <w:spacing w:before="240" w:line="276" w:lineRule="auto"/>
        <w:jc w:val="both"/>
        <w:rPr>
          <w:rFonts w:asciiTheme="majorHAnsi" w:hAnsiTheme="majorHAnsi" w:cstheme="majorHAnsi"/>
          <w:b/>
          <w:sz w:val="24"/>
          <w:szCs w:val="24"/>
        </w:rPr>
      </w:pPr>
      <w:r w:rsidRPr="00326537">
        <w:rPr>
          <w:rFonts w:asciiTheme="majorHAnsi" w:hAnsiTheme="majorHAnsi" w:cstheme="majorHAnsi"/>
          <w:b/>
          <w:sz w:val="24"/>
          <w:szCs w:val="24"/>
        </w:rPr>
        <w:t xml:space="preserve">The objective of this report is to </w:t>
      </w:r>
      <w:r>
        <w:rPr>
          <w:rFonts w:asciiTheme="majorHAnsi" w:hAnsiTheme="majorHAnsi" w:cstheme="majorHAnsi"/>
          <w:b/>
          <w:sz w:val="24"/>
          <w:szCs w:val="24"/>
        </w:rPr>
        <w:t xml:space="preserve">inform the policy discussion around the developmental impact of </w:t>
      </w:r>
      <w:r w:rsidRPr="00326537">
        <w:rPr>
          <w:rFonts w:asciiTheme="majorHAnsi" w:hAnsiTheme="majorHAnsi" w:cstheme="majorHAnsi"/>
          <w:b/>
          <w:sz w:val="24"/>
          <w:szCs w:val="24"/>
        </w:rPr>
        <w:t xml:space="preserve">SEZs </w:t>
      </w:r>
      <w:r>
        <w:rPr>
          <w:rFonts w:asciiTheme="majorHAnsi" w:hAnsiTheme="majorHAnsi" w:cstheme="majorHAnsi"/>
          <w:b/>
          <w:sz w:val="24"/>
          <w:szCs w:val="24"/>
        </w:rPr>
        <w:t xml:space="preserve">in the Dominican Republic </w:t>
      </w:r>
      <w:r w:rsidRPr="00326537">
        <w:rPr>
          <w:rFonts w:asciiTheme="majorHAnsi" w:hAnsiTheme="majorHAnsi" w:cstheme="majorHAnsi"/>
          <w:b/>
          <w:sz w:val="24"/>
          <w:szCs w:val="24"/>
        </w:rPr>
        <w:t xml:space="preserve">by empirically assessing </w:t>
      </w:r>
      <w:r>
        <w:rPr>
          <w:rFonts w:asciiTheme="majorHAnsi" w:hAnsiTheme="majorHAnsi" w:cstheme="majorHAnsi"/>
          <w:b/>
          <w:sz w:val="24"/>
          <w:szCs w:val="24"/>
        </w:rPr>
        <w:t xml:space="preserve">i) the implications of </w:t>
      </w:r>
      <w:r w:rsidR="001422A7">
        <w:rPr>
          <w:rFonts w:asciiTheme="majorHAnsi" w:hAnsiTheme="majorHAnsi" w:cstheme="majorHAnsi"/>
          <w:b/>
          <w:sz w:val="24"/>
          <w:szCs w:val="24"/>
        </w:rPr>
        <w:t>regulatory reforms aimed at complying</w:t>
      </w:r>
      <w:r>
        <w:rPr>
          <w:rFonts w:asciiTheme="majorHAnsi" w:hAnsiTheme="majorHAnsi" w:cstheme="majorHAnsi"/>
          <w:b/>
          <w:sz w:val="24"/>
          <w:szCs w:val="24"/>
        </w:rPr>
        <w:t xml:space="preserve"> with WTO </w:t>
      </w:r>
      <w:r w:rsidR="00362D70">
        <w:rPr>
          <w:rFonts w:asciiTheme="majorHAnsi" w:hAnsiTheme="majorHAnsi" w:cstheme="majorHAnsi"/>
          <w:b/>
          <w:sz w:val="24"/>
          <w:szCs w:val="24"/>
        </w:rPr>
        <w:t xml:space="preserve">disciplines </w:t>
      </w:r>
      <w:r>
        <w:rPr>
          <w:rFonts w:asciiTheme="majorHAnsi" w:hAnsiTheme="majorHAnsi" w:cstheme="majorHAnsi"/>
          <w:b/>
          <w:sz w:val="24"/>
          <w:szCs w:val="24"/>
        </w:rPr>
        <w:t xml:space="preserve">regarding the elimination of incentives </w:t>
      </w:r>
      <w:r w:rsidR="001422A7">
        <w:rPr>
          <w:rFonts w:asciiTheme="majorHAnsi" w:hAnsiTheme="majorHAnsi" w:cstheme="majorHAnsi"/>
          <w:b/>
          <w:sz w:val="24"/>
          <w:szCs w:val="24"/>
        </w:rPr>
        <w:t xml:space="preserve">conditioned on export performance for </w:t>
      </w:r>
      <w:r>
        <w:rPr>
          <w:rFonts w:asciiTheme="majorHAnsi" w:hAnsiTheme="majorHAnsi" w:cstheme="majorHAnsi"/>
          <w:b/>
          <w:sz w:val="24"/>
          <w:szCs w:val="24"/>
        </w:rPr>
        <w:t xml:space="preserve">SEZs firms, ii) </w:t>
      </w:r>
      <w:r w:rsidRPr="00326537">
        <w:rPr>
          <w:rFonts w:asciiTheme="majorHAnsi" w:hAnsiTheme="majorHAnsi" w:cstheme="majorHAnsi"/>
          <w:b/>
          <w:sz w:val="24"/>
          <w:szCs w:val="24"/>
        </w:rPr>
        <w:t xml:space="preserve">the extent to which </w:t>
      </w:r>
      <w:r>
        <w:rPr>
          <w:rFonts w:asciiTheme="majorHAnsi" w:hAnsiTheme="majorHAnsi" w:cstheme="majorHAnsi"/>
          <w:b/>
          <w:sz w:val="24"/>
          <w:szCs w:val="24"/>
        </w:rPr>
        <w:t xml:space="preserve">SEZs participate in Global Value Chains, </w:t>
      </w:r>
      <w:r w:rsidRPr="00326537">
        <w:rPr>
          <w:rFonts w:asciiTheme="majorHAnsi" w:hAnsiTheme="majorHAnsi" w:cstheme="majorHAnsi"/>
          <w:b/>
          <w:sz w:val="24"/>
          <w:szCs w:val="24"/>
        </w:rPr>
        <w:t xml:space="preserve">and </w:t>
      </w:r>
      <w:r>
        <w:rPr>
          <w:rFonts w:asciiTheme="majorHAnsi" w:hAnsiTheme="majorHAnsi" w:cstheme="majorHAnsi"/>
          <w:b/>
          <w:sz w:val="24"/>
          <w:szCs w:val="24"/>
        </w:rPr>
        <w:t xml:space="preserve">iii) their linkages with domestic </w:t>
      </w:r>
      <w:r w:rsidRPr="00326537">
        <w:rPr>
          <w:rFonts w:asciiTheme="majorHAnsi" w:hAnsiTheme="majorHAnsi" w:cstheme="majorHAnsi"/>
          <w:b/>
          <w:sz w:val="24"/>
          <w:szCs w:val="24"/>
        </w:rPr>
        <w:t xml:space="preserve">suppliers. </w:t>
      </w:r>
      <w:r>
        <w:rPr>
          <w:rFonts w:asciiTheme="majorHAnsi" w:hAnsiTheme="majorHAnsi" w:cstheme="majorHAnsi"/>
          <w:sz w:val="24"/>
          <w:szCs w:val="24"/>
        </w:rPr>
        <w:t xml:space="preserve">Employing </w:t>
      </w:r>
      <w:r w:rsidRPr="00B06F40">
        <w:rPr>
          <w:rFonts w:asciiTheme="majorHAnsi" w:hAnsiTheme="majorHAnsi" w:cstheme="majorHAnsi"/>
          <w:sz w:val="24"/>
          <w:szCs w:val="24"/>
        </w:rPr>
        <w:t xml:space="preserve">customs transaction data, supply-use input-output tables, and </w:t>
      </w:r>
      <w:r>
        <w:rPr>
          <w:rFonts w:asciiTheme="majorHAnsi" w:hAnsiTheme="majorHAnsi" w:cstheme="majorHAnsi"/>
          <w:sz w:val="24"/>
          <w:szCs w:val="24"/>
        </w:rPr>
        <w:t xml:space="preserve">a </w:t>
      </w:r>
      <w:r w:rsidRPr="00B06F40">
        <w:rPr>
          <w:rFonts w:asciiTheme="majorHAnsi" w:hAnsiTheme="majorHAnsi" w:cstheme="majorHAnsi"/>
          <w:sz w:val="24"/>
          <w:szCs w:val="24"/>
        </w:rPr>
        <w:t xml:space="preserve">census </w:t>
      </w:r>
      <w:r>
        <w:rPr>
          <w:rFonts w:asciiTheme="majorHAnsi" w:hAnsiTheme="majorHAnsi" w:cstheme="majorHAnsi"/>
          <w:sz w:val="24"/>
          <w:szCs w:val="24"/>
        </w:rPr>
        <w:t xml:space="preserve">conducted by the Central Bank to firms in SEZs, this reports sheds light </w:t>
      </w:r>
      <w:r w:rsidR="00FE5896">
        <w:rPr>
          <w:rFonts w:asciiTheme="majorHAnsi" w:hAnsiTheme="majorHAnsi" w:cstheme="majorHAnsi"/>
          <w:sz w:val="24"/>
          <w:szCs w:val="24"/>
        </w:rPr>
        <w:t xml:space="preserve">on </w:t>
      </w:r>
      <w:r>
        <w:rPr>
          <w:rFonts w:asciiTheme="majorHAnsi" w:hAnsiTheme="majorHAnsi" w:cstheme="majorHAnsi"/>
          <w:sz w:val="24"/>
          <w:szCs w:val="24"/>
        </w:rPr>
        <w:t>the following questions</w:t>
      </w:r>
      <w:r w:rsidRPr="00326537">
        <w:rPr>
          <w:rFonts w:asciiTheme="majorHAnsi" w:hAnsiTheme="majorHAnsi" w:cstheme="majorHAnsi"/>
          <w:sz w:val="24"/>
          <w:szCs w:val="24"/>
        </w:rPr>
        <w:t xml:space="preserve">: (i) has Law 56-07, declaring the textile, leather and footwear industries national priority and, therefore, extending SEZ benefits to national manufacturers operating in these sectors, effectively boosted exports and affected </w:t>
      </w:r>
      <w:r w:rsidR="001422A7">
        <w:rPr>
          <w:rFonts w:asciiTheme="majorHAnsi" w:hAnsiTheme="majorHAnsi" w:cstheme="majorHAnsi"/>
          <w:sz w:val="24"/>
          <w:szCs w:val="24"/>
        </w:rPr>
        <w:t xml:space="preserve">trade </w:t>
      </w:r>
      <w:r w:rsidR="00E57721">
        <w:rPr>
          <w:rFonts w:asciiTheme="majorHAnsi" w:hAnsiTheme="majorHAnsi" w:cstheme="majorHAnsi"/>
          <w:sz w:val="24"/>
          <w:szCs w:val="24"/>
        </w:rPr>
        <w:t>dynamics outside SEZs?;</w:t>
      </w:r>
      <w:r w:rsidRPr="00326537">
        <w:rPr>
          <w:rFonts w:asciiTheme="majorHAnsi" w:hAnsiTheme="majorHAnsi" w:cstheme="majorHAnsi"/>
          <w:sz w:val="24"/>
          <w:szCs w:val="24"/>
        </w:rPr>
        <w:t xml:space="preserve"> (ii) what is the position of the Dominican Republic in Global Value Chains</w:t>
      </w:r>
      <w:r>
        <w:rPr>
          <w:rFonts w:asciiTheme="majorHAnsi" w:hAnsiTheme="majorHAnsi" w:cstheme="majorHAnsi"/>
          <w:sz w:val="24"/>
          <w:szCs w:val="24"/>
        </w:rPr>
        <w:t>?</w:t>
      </w:r>
      <w:r w:rsidR="00E57721">
        <w:rPr>
          <w:rFonts w:asciiTheme="majorHAnsi" w:hAnsiTheme="majorHAnsi" w:cstheme="majorHAnsi"/>
          <w:sz w:val="24"/>
          <w:szCs w:val="24"/>
        </w:rPr>
        <w:t>;</w:t>
      </w:r>
      <w:r w:rsidRPr="00326537">
        <w:rPr>
          <w:rFonts w:asciiTheme="majorHAnsi" w:hAnsiTheme="majorHAnsi" w:cstheme="majorHAnsi"/>
          <w:sz w:val="24"/>
          <w:szCs w:val="24"/>
        </w:rPr>
        <w:t xml:space="preserve"> and </w:t>
      </w:r>
      <w:r w:rsidR="00E57721">
        <w:rPr>
          <w:rFonts w:asciiTheme="majorHAnsi" w:hAnsiTheme="majorHAnsi" w:cstheme="majorHAnsi"/>
          <w:sz w:val="24"/>
          <w:szCs w:val="24"/>
        </w:rPr>
        <w:t>(iii)</w:t>
      </w:r>
      <w:r w:rsidRPr="00326537">
        <w:rPr>
          <w:rFonts w:asciiTheme="majorHAnsi" w:hAnsiTheme="majorHAnsi" w:cstheme="majorHAnsi"/>
          <w:sz w:val="24"/>
          <w:szCs w:val="24"/>
        </w:rPr>
        <w:t xml:space="preserve"> </w:t>
      </w:r>
      <w:r>
        <w:rPr>
          <w:rFonts w:asciiTheme="majorHAnsi" w:hAnsiTheme="majorHAnsi" w:cstheme="majorHAnsi"/>
          <w:sz w:val="24"/>
          <w:szCs w:val="24"/>
        </w:rPr>
        <w:t xml:space="preserve">have </w:t>
      </w:r>
      <w:r w:rsidRPr="00326537">
        <w:rPr>
          <w:rFonts w:asciiTheme="majorHAnsi" w:hAnsiTheme="majorHAnsi" w:cstheme="majorHAnsi"/>
          <w:sz w:val="24"/>
          <w:szCs w:val="24"/>
        </w:rPr>
        <w:t>SEZ exporters</w:t>
      </w:r>
      <w:r>
        <w:rPr>
          <w:rFonts w:asciiTheme="majorHAnsi" w:hAnsiTheme="majorHAnsi" w:cstheme="majorHAnsi"/>
          <w:sz w:val="24"/>
          <w:szCs w:val="24"/>
        </w:rPr>
        <w:t xml:space="preserve"> developed greater domestic linkages</w:t>
      </w:r>
      <w:r w:rsidRPr="00326537">
        <w:rPr>
          <w:rFonts w:asciiTheme="majorHAnsi" w:hAnsiTheme="majorHAnsi" w:cstheme="majorHAnsi"/>
          <w:sz w:val="24"/>
          <w:szCs w:val="24"/>
        </w:rPr>
        <w:t xml:space="preserve">? </w:t>
      </w:r>
      <w:r>
        <w:rPr>
          <w:rFonts w:asciiTheme="majorHAnsi" w:hAnsiTheme="majorHAnsi" w:cstheme="majorHAnsi"/>
          <w:sz w:val="24"/>
          <w:szCs w:val="24"/>
        </w:rPr>
        <w:t>We complement</w:t>
      </w:r>
      <w:r w:rsidR="00E57721">
        <w:rPr>
          <w:rFonts w:asciiTheme="majorHAnsi" w:hAnsiTheme="majorHAnsi" w:cstheme="majorHAnsi"/>
          <w:sz w:val="24"/>
          <w:szCs w:val="24"/>
        </w:rPr>
        <w:t>ed</w:t>
      </w:r>
      <w:r>
        <w:rPr>
          <w:rFonts w:asciiTheme="majorHAnsi" w:hAnsiTheme="majorHAnsi" w:cstheme="majorHAnsi"/>
          <w:sz w:val="24"/>
          <w:szCs w:val="24"/>
        </w:rPr>
        <w:t xml:space="preserve"> the empirical work with semi-structured </w:t>
      </w:r>
      <w:r w:rsidRPr="00326537">
        <w:rPr>
          <w:rFonts w:asciiTheme="majorHAnsi" w:hAnsiTheme="majorHAnsi" w:cstheme="majorHAnsi"/>
          <w:sz w:val="24"/>
          <w:szCs w:val="24"/>
        </w:rPr>
        <w:t xml:space="preserve">interviews </w:t>
      </w:r>
      <w:r>
        <w:rPr>
          <w:rFonts w:asciiTheme="majorHAnsi" w:hAnsiTheme="majorHAnsi" w:cstheme="majorHAnsi"/>
          <w:sz w:val="24"/>
          <w:szCs w:val="24"/>
        </w:rPr>
        <w:t>conducted with key stakeholders both from the private and public sectors</w:t>
      </w:r>
      <w:r w:rsidRPr="00326537">
        <w:rPr>
          <w:rFonts w:asciiTheme="majorHAnsi" w:hAnsiTheme="majorHAnsi" w:cstheme="majorHAnsi"/>
          <w:sz w:val="24"/>
          <w:szCs w:val="24"/>
        </w:rPr>
        <w:t>.</w:t>
      </w:r>
      <w:r>
        <w:rPr>
          <w:rFonts w:asciiTheme="majorHAnsi" w:hAnsiTheme="majorHAnsi" w:cstheme="majorHAnsi"/>
          <w:sz w:val="24"/>
          <w:szCs w:val="24"/>
        </w:rPr>
        <w:t xml:space="preserve"> </w:t>
      </w:r>
    </w:p>
    <w:p w14:paraId="19EC9A2E" w14:textId="77777777" w:rsidR="0038392C" w:rsidRDefault="0038392C" w:rsidP="00417E26">
      <w:pPr>
        <w:spacing w:before="240" w:line="276" w:lineRule="auto"/>
        <w:jc w:val="both"/>
        <w:rPr>
          <w:rFonts w:asciiTheme="majorHAnsi" w:hAnsiTheme="majorHAnsi" w:cstheme="majorHAnsi"/>
          <w:b/>
          <w:sz w:val="24"/>
          <w:szCs w:val="24"/>
        </w:rPr>
      </w:pPr>
    </w:p>
    <w:p w14:paraId="03433F1A" w14:textId="138F8F47" w:rsidR="00B06F40" w:rsidRDefault="00FD4493" w:rsidP="00417E26">
      <w:pPr>
        <w:spacing w:before="240" w:line="276" w:lineRule="auto"/>
        <w:jc w:val="both"/>
        <w:rPr>
          <w:rFonts w:asciiTheme="majorHAnsi" w:hAnsiTheme="majorHAnsi" w:cstheme="majorHAnsi"/>
          <w:b/>
          <w:sz w:val="24"/>
          <w:szCs w:val="24"/>
        </w:rPr>
      </w:pPr>
      <w:r>
        <w:rPr>
          <w:rFonts w:asciiTheme="majorHAnsi" w:hAnsiTheme="majorHAnsi" w:cstheme="majorHAnsi"/>
          <w:b/>
          <w:sz w:val="24"/>
          <w:szCs w:val="24"/>
        </w:rPr>
        <w:lastRenderedPageBreak/>
        <w:t xml:space="preserve">The </w:t>
      </w:r>
      <w:r w:rsidR="00E57721">
        <w:rPr>
          <w:rFonts w:asciiTheme="majorHAnsi" w:hAnsiTheme="majorHAnsi" w:cstheme="majorHAnsi"/>
          <w:b/>
          <w:sz w:val="24"/>
          <w:szCs w:val="24"/>
        </w:rPr>
        <w:t>analyses produce</w:t>
      </w:r>
      <w:r w:rsidR="00FE5896">
        <w:rPr>
          <w:rFonts w:asciiTheme="majorHAnsi" w:hAnsiTheme="majorHAnsi" w:cstheme="majorHAnsi"/>
          <w:b/>
          <w:sz w:val="24"/>
          <w:szCs w:val="24"/>
        </w:rPr>
        <w:t>d</w:t>
      </w:r>
      <w:r>
        <w:rPr>
          <w:rFonts w:asciiTheme="majorHAnsi" w:hAnsiTheme="majorHAnsi" w:cstheme="majorHAnsi"/>
          <w:b/>
          <w:sz w:val="24"/>
          <w:szCs w:val="24"/>
        </w:rPr>
        <w:t xml:space="preserve"> f</w:t>
      </w:r>
      <w:r w:rsidR="00540B8E">
        <w:rPr>
          <w:rFonts w:asciiTheme="majorHAnsi" w:hAnsiTheme="majorHAnsi" w:cstheme="majorHAnsi"/>
          <w:b/>
          <w:sz w:val="24"/>
          <w:szCs w:val="24"/>
        </w:rPr>
        <w:t>ive</w:t>
      </w:r>
      <w:r>
        <w:rPr>
          <w:rFonts w:asciiTheme="majorHAnsi" w:hAnsiTheme="majorHAnsi" w:cstheme="majorHAnsi"/>
          <w:b/>
          <w:sz w:val="24"/>
          <w:szCs w:val="24"/>
        </w:rPr>
        <w:t xml:space="preserve"> main findings:</w:t>
      </w:r>
    </w:p>
    <w:p w14:paraId="1940317A" w14:textId="087731E5" w:rsidR="00DE0098" w:rsidRDefault="00FD4493" w:rsidP="00DE0098">
      <w:pPr>
        <w:spacing w:before="240" w:line="276" w:lineRule="auto"/>
        <w:jc w:val="both"/>
        <w:rPr>
          <w:rFonts w:asciiTheme="majorHAnsi" w:hAnsiTheme="majorHAnsi" w:cstheme="majorHAnsi"/>
          <w:sz w:val="24"/>
          <w:szCs w:val="24"/>
        </w:rPr>
      </w:pPr>
      <w:r>
        <w:rPr>
          <w:rFonts w:asciiTheme="majorHAnsi" w:hAnsiTheme="majorHAnsi" w:cstheme="majorHAnsi"/>
          <w:b/>
          <w:sz w:val="24"/>
          <w:szCs w:val="24"/>
        </w:rPr>
        <w:t xml:space="preserve">Firstly, a structural shift in SEZs from clothing manufacturing to </w:t>
      </w:r>
      <w:r w:rsidRPr="00326537">
        <w:rPr>
          <w:rFonts w:asciiTheme="majorHAnsi" w:hAnsiTheme="majorHAnsi" w:cstheme="majorHAnsi"/>
          <w:b/>
          <w:sz w:val="24"/>
          <w:szCs w:val="24"/>
        </w:rPr>
        <w:t xml:space="preserve">medium-high skill manufacturing </w:t>
      </w:r>
      <w:r>
        <w:rPr>
          <w:rFonts w:asciiTheme="majorHAnsi" w:hAnsiTheme="majorHAnsi" w:cstheme="majorHAnsi"/>
          <w:b/>
          <w:sz w:val="24"/>
          <w:szCs w:val="24"/>
        </w:rPr>
        <w:t xml:space="preserve">was motivated by the </w:t>
      </w:r>
      <w:r w:rsidRPr="00326537">
        <w:rPr>
          <w:rFonts w:asciiTheme="majorHAnsi" w:hAnsiTheme="majorHAnsi" w:cstheme="majorHAnsi"/>
          <w:b/>
          <w:sz w:val="24"/>
          <w:szCs w:val="24"/>
        </w:rPr>
        <w:t>end of the Multi</w:t>
      </w:r>
      <w:r>
        <w:rPr>
          <w:rFonts w:asciiTheme="majorHAnsi" w:hAnsiTheme="majorHAnsi" w:cstheme="majorHAnsi"/>
          <w:b/>
          <w:sz w:val="24"/>
          <w:szCs w:val="24"/>
        </w:rPr>
        <w:t>-</w:t>
      </w:r>
      <w:r w:rsidRPr="00326537">
        <w:rPr>
          <w:rFonts w:asciiTheme="majorHAnsi" w:hAnsiTheme="majorHAnsi" w:cstheme="majorHAnsi"/>
          <w:b/>
          <w:sz w:val="24"/>
          <w:szCs w:val="24"/>
        </w:rPr>
        <w:t>Fibe</w:t>
      </w:r>
      <w:r>
        <w:rPr>
          <w:rFonts w:asciiTheme="majorHAnsi" w:hAnsiTheme="majorHAnsi" w:cstheme="majorHAnsi"/>
          <w:b/>
          <w:sz w:val="24"/>
          <w:szCs w:val="24"/>
        </w:rPr>
        <w:t>r</w:t>
      </w:r>
      <w:r w:rsidRPr="00326537">
        <w:rPr>
          <w:rFonts w:asciiTheme="majorHAnsi" w:hAnsiTheme="majorHAnsi" w:cstheme="majorHAnsi"/>
          <w:b/>
          <w:sz w:val="24"/>
          <w:szCs w:val="24"/>
        </w:rPr>
        <w:t xml:space="preserve"> </w:t>
      </w:r>
      <w:r w:rsidR="000B30E7">
        <w:rPr>
          <w:rFonts w:asciiTheme="majorHAnsi" w:hAnsiTheme="majorHAnsi" w:cstheme="majorHAnsi"/>
          <w:b/>
          <w:sz w:val="24"/>
          <w:szCs w:val="24"/>
        </w:rPr>
        <w:t xml:space="preserve">Arrangement </w:t>
      </w:r>
      <w:r w:rsidR="00DE0098">
        <w:rPr>
          <w:rFonts w:asciiTheme="majorHAnsi" w:hAnsiTheme="majorHAnsi" w:cstheme="majorHAnsi"/>
          <w:b/>
          <w:sz w:val="24"/>
          <w:szCs w:val="24"/>
        </w:rPr>
        <w:t xml:space="preserve">(MFA) </w:t>
      </w:r>
      <w:r w:rsidRPr="00326537">
        <w:rPr>
          <w:rFonts w:asciiTheme="majorHAnsi" w:hAnsiTheme="majorHAnsi" w:cstheme="majorHAnsi"/>
          <w:b/>
          <w:sz w:val="24"/>
          <w:szCs w:val="24"/>
        </w:rPr>
        <w:t>in 200</w:t>
      </w:r>
      <w:r>
        <w:rPr>
          <w:rFonts w:asciiTheme="majorHAnsi" w:hAnsiTheme="majorHAnsi" w:cstheme="majorHAnsi"/>
          <w:b/>
          <w:sz w:val="24"/>
          <w:szCs w:val="24"/>
        </w:rPr>
        <w:t>5 and by the signature of the CAFTA-DR agreement</w:t>
      </w:r>
      <w:r w:rsidRPr="00326537">
        <w:rPr>
          <w:rFonts w:asciiTheme="majorHAnsi" w:hAnsiTheme="majorHAnsi" w:cstheme="majorHAnsi"/>
          <w:b/>
          <w:sz w:val="24"/>
          <w:szCs w:val="24"/>
        </w:rPr>
        <w:t>.</w:t>
      </w:r>
      <w:r w:rsidRPr="00326537">
        <w:rPr>
          <w:rFonts w:asciiTheme="majorHAnsi" w:hAnsiTheme="majorHAnsi" w:cstheme="majorHAnsi"/>
          <w:sz w:val="24"/>
          <w:szCs w:val="24"/>
        </w:rPr>
        <w:t xml:space="preserve"> </w:t>
      </w:r>
      <w:r w:rsidR="00655D76">
        <w:rPr>
          <w:rFonts w:asciiTheme="majorHAnsi" w:hAnsiTheme="majorHAnsi" w:cstheme="majorHAnsi"/>
          <w:sz w:val="24"/>
          <w:szCs w:val="24"/>
        </w:rPr>
        <w:t xml:space="preserve">Historically, export competitiveness of the Dominican Republic has </w:t>
      </w:r>
      <w:r w:rsidR="00086E47">
        <w:rPr>
          <w:rFonts w:asciiTheme="majorHAnsi" w:hAnsiTheme="majorHAnsi" w:cstheme="majorHAnsi"/>
          <w:sz w:val="24"/>
          <w:szCs w:val="24"/>
        </w:rPr>
        <w:t xml:space="preserve">largely </w:t>
      </w:r>
      <w:r w:rsidR="00655D76">
        <w:rPr>
          <w:rFonts w:asciiTheme="majorHAnsi" w:hAnsiTheme="majorHAnsi" w:cstheme="majorHAnsi"/>
          <w:sz w:val="24"/>
          <w:szCs w:val="24"/>
        </w:rPr>
        <w:t xml:space="preserve">depended </w:t>
      </w:r>
      <w:r w:rsidR="00086E47">
        <w:rPr>
          <w:rFonts w:asciiTheme="majorHAnsi" w:hAnsiTheme="majorHAnsi" w:cstheme="majorHAnsi"/>
          <w:sz w:val="24"/>
          <w:szCs w:val="24"/>
        </w:rPr>
        <w:t xml:space="preserve">on </w:t>
      </w:r>
      <w:r w:rsidR="00655D76">
        <w:rPr>
          <w:rFonts w:asciiTheme="majorHAnsi" w:hAnsiTheme="majorHAnsi" w:cstheme="majorHAnsi"/>
          <w:sz w:val="24"/>
          <w:szCs w:val="24"/>
        </w:rPr>
        <w:t xml:space="preserve">the type of preferential market access the country receives from the U.S. </w:t>
      </w:r>
      <w:r w:rsidR="00DE0098">
        <w:rPr>
          <w:rFonts w:asciiTheme="majorHAnsi" w:hAnsiTheme="majorHAnsi" w:cstheme="majorHAnsi"/>
          <w:sz w:val="24"/>
          <w:szCs w:val="24"/>
        </w:rPr>
        <w:t>In the 1990s</w:t>
      </w:r>
      <w:r w:rsidR="003E158B">
        <w:rPr>
          <w:rFonts w:asciiTheme="majorHAnsi" w:hAnsiTheme="majorHAnsi" w:cstheme="majorHAnsi"/>
          <w:sz w:val="24"/>
          <w:szCs w:val="24"/>
        </w:rPr>
        <w:t>, the US assigned a specific import quota of clothing and textile to the Dominican Republic</w:t>
      </w:r>
      <w:r w:rsidR="00DE0098">
        <w:rPr>
          <w:rFonts w:asciiTheme="majorHAnsi" w:hAnsiTheme="majorHAnsi" w:cstheme="majorHAnsi"/>
          <w:sz w:val="24"/>
          <w:szCs w:val="24"/>
        </w:rPr>
        <w:t xml:space="preserve"> under the MFA</w:t>
      </w:r>
      <w:r w:rsidR="003E158B">
        <w:rPr>
          <w:rFonts w:asciiTheme="majorHAnsi" w:hAnsiTheme="majorHAnsi" w:cstheme="majorHAnsi"/>
          <w:sz w:val="24"/>
          <w:szCs w:val="24"/>
        </w:rPr>
        <w:t xml:space="preserve">, which created a mushrooming of </w:t>
      </w:r>
      <w:r w:rsidR="003E158B" w:rsidRPr="00786803">
        <w:rPr>
          <w:rFonts w:asciiTheme="majorHAnsi" w:hAnsiTheme="majorHAnsi" w:cstheme="majorHAnsi"/>
          <w:i/>
          <w:sz w:val="24"/>
          <w:szCs w:val="24"/>
        </w:rPr>
        <w:t>maquilas</w:t>
      </w:r>
      <w:r w:rsidR="003E158B">
        <w:rPr>
          <w:rFonts w:asciiTheme="majorHAnsi" w:hAnsiTheme="majorHAnsi" w:cstheme="majorHAnsi"/>
          <w:sz w:val="24"/>
          <w:szCs w:val="24"/>
        </w:rPr>
        <w:t xml:space="preserve"> operating under the special regimen.</w:t>
      </w:r>
      <w:r w:rsidR="00DE0098">
        <w:rPr>
          <w:rFonts w:asciiTheme="majorHAnsi" w:hAnsiTheme="majorHAnsi" w:cstheme="majorHAnsi"/>
          <w:sz w:val="24"/>
          <w:szCs w:val="24"/>
        </w:rPr>
        <w:t xml:space="preserve"> After 2005, t</w:t>
      </w:r>
      <w:r w:rsidR="00655D76">
        <w:rPr>
          <w:rFonts w:asciiTheme="majorHAnsi" w:hAnsiTheme="majorHAnsi" w:cstheme="majorHAnsi"/>
          <w:sz w:val="24"/>
          <w:szCs w:val="24"/>
        </w:rPr>
        <w:t>he CAFTA-DR provided transversal preferences that</w:t>
      </w:r>
      <w:r w:rsidR="00DE0098">
        <w:rPr>
          <w:rFonts w:asciiTheme="majorHAnsi" w:hAnsiTheme="majorHAnsi" w:cstheme="majorHAnsi"/>
          <w:sz w:val="24"/>
          <w:szCs w:val="24"/>
        </w:rPr>
        <w:t>,</w:t>
      </w:r>
      <w:r w:rsidR="00655D76">
        <w:rPr>
          <w:rFonts w:asciiTheme="majorHAnsi" w:hAnsiTheme="majorHAnsi" w:cstheme="majorHAnsi"/>
          <w:sz w:val="24"/>
          <w:szCs w:val="24"/>
        </w:rPr>
        <w:t xml:space="preserve"> coupled with the Dominican Republic special tax regimen, its </w:t>
      </w:r>
      <w:r w:rsidR="00086E47">
        <w:rPr>
          <w:rFonts w:asciiTheme="majorHAnsi" w:hAnsiTheme="majorHAnsi" w:cstheme="majorHAnsi"/>
          <w:sz w:val="24"/>
          <w:szCs w:val="24"/>
        </w:rPr>
        <w:t xml:space="preserve">dynamics policy to attract Foreign Direct Investment, and the characteristics of the </w:t>
      </w:r>
      <w:r w:rsidR="00655D76">
        <w:rPr>
          <w:rFonts w:asciiTheme="majorHAnsi" w:hAnsiTheme="majorHAnsi" w:cstheme="majorHAnsi"/>
          <w:sz w:val="24"/>
          <w:szCs w:val="24"/>
        </w:rPr>
        <w:t>labor force</w:t>
      </w:r>
      <w:r w:rsidR="00086E47">
        <w:rPr>
          <w:rFonts w:asciiTheme="majorHAnsi" w:hAnsiTheme="majorHAnsi" w:cstheme="majorHAnsi"/>
          <w:sz w:val="24"/>
          <w:szCs w:val="24"/>
        </w:rPr>
        <w:t xml:space="preserve">, created the conditions for the emergence of </w:t>
      </w:r>
      <w:r w:rsidR="00540B8E">
        <w:rPr>
          <w:rFonts w:asciiTheme="majorHAnsi" w:hAnsiTheme="majorHAnsi" w:cstheme="majorHAnsi"/>
          <w:sz w:val="24"/>
          <w:szCs w:val="24"/>
        </w:rPr>
        <w:t>electrical, footwear, and medical equipment products</w:t>
      </w:r>
      <w:r w:rsidR="00DE0098">
        <w:rPr>
          <w:rFonts w:asciiTheme="majorHAnsi" w:hAnsiTheme="majorHAnsi" w:cstheme="majorHAnsi"/>
          <w:sz w:val="24"/>
          <w:szCs w:val="24"/>
        </w:rPr>
        <w:t xml:space="preserve"> in SEZs.</w:t>
      </w:r>
    </w:p>
    <w:p w14:paraId="3B9600CB" w14:textId="56FB21D0" w:rsidR="003E158B" w:rsidRPr="00DE0098" w:rsidRDefault="003E158B" w:rsidP="00493C99">
      <w:pPr>
        <w:spacing w:before="240" w:line="276" w:lineRule="auto"/>
        <w:jc w:val="both"/>
        <w:rPr>
          <w:rFonts w:asciiTheme="majorHAnsi" w:hAnsiTheme="majorHAnsi" w:cstheme="majorHAnsi"/>
          <w:sz w:val="24"/>
          <w:szCs w:val="24"/>
        </w:rPr>
      </w:pPr>
      <w:r>
        <w:rPr>
          <w:rFonts w:ascii="Times New Roman" w:hAnsi="Times New Roman" w:cstheme="minorBidi"/>
          <w:b/>
          <w:spacing w:val="5"/>
          <w:sz w:val="24"/>
          <w:szCs w:val="24"/>
        </w:rPr>
        <w:t xml:space="preserve">Secondly, </w:t>
      </w:r>
      <w:r w:rsidR="00285D14" w:rsidRPr="00285D14">
        <w:rPr>
          <w:rFonts w:asciiTheme="majorHAnsi" w:hAnsiTheme="majorHAnsi" w:cstheme="majorHAnsi"/>
          <w:b/>
          <w:sz w:val="24"/>
          <w:szCs w:val="24"/>
        </w:rPr>
        <w:t>because the employment intensity in these more complex industries is lower than in the apparel sector, the labor implications of this structural transformation should be carefully considered.</w:t>
      </w:r>
      <w:r w:rsidR="00285D14">
        <w:rPr>
          <w:rFonts w:asciiTheme="majorHAnsi" w:hAnsiTheme="majorHAnsi" w:cstheme="majorHAnsi"/>
          <w:sz w:val="24"/>
          <w:szCs w:val="24"/>
        </w:rPr>
        <w:t xml:space="preserve"> </w:t>
      </w:r>
      <w:r w:rsidR="00E83A6F">
        <w:rPr>
          <w:rFonts w:asciiTheme="majorHAnsi" w:hAnsiTheme="majorHAnsi" w:cstheme="majorHAnsi"/>
          <w:sz w:val="24"/>
          <w:szCs w:val="24"/>
        </w:rPr>
        <w:t>On the one hand, t</w:t>
      </w:r>
      <w:r w:rsidR="00493C99">
        <w:rPr>
          <w:rFonts w:asciiTheme="majorHAnsi" w:hAnsiTheme="majorHAnsi" w:cstheme="majorHAnsi"/>
          <w:sz w:val="24"/>
          <w:szCs w:val="24"/>
        </w:rPr>
        <w:t xml:space="preserve">he potential of SEZ </w:t>
      </w:r>
      <w:r w:rsidR="00493C99">
        <w:rPr>
          <w:rFonts w:ascii="Times New Roman" w:hAnsi="Times New Roman" w:cstheme="minorBidi"/>
          <w:spacing w:val="5"/>
          <w:sz w:val="24"/>
          <w:szCs w:val="24"/>
        </w:rPr>
        <w:t xml:space="preserve">zones </w:t>
      </w:r>
      <w:r>
        <w:rPr>
          <w:rFonts w:ascii="Times New Roman" w:hAnsi="Times New Roman" w:cstheme="minorBidi"/>
          <w:spacing w:val="5"/>
          <w:sz w:val="24"/>
          <w:szCs w:val="24"/>
        </w:rPr>
        <w:t xml:space="preserve">to </w:t>
      </w:r>
      <w:r w:rsidR="00493C99">
        <w:rPr>
          <w:rFonts w:ascii="Times New Roman" w:hAnsi="Times New Roman" w:cstheme="minorBidi"/>
          <w:spacing w:val="5"/>
          <w:sz w:val="24"/>
          <w:szCs w:val="24"/>
        </w:rPr>
        <w:t xml:space="preserve">continue </w:t>
      </w:r>
      <w:r>
        <w:rPr>
          <w:rFonts w:ascii="Times New Roman" w:hAnsi="Times New Roman" w:cstheme="minorBidi"/>
          <w:spacing w:val="5"/>
          <w:sz w:val="24"/>
          <w:szCs w:val="24"/>
        </w:rPr>
        <w:t xml:space="preserve">generating jobs </w:t>
      </w:r>
      <w:r w:rsidR="00493C99">
        <w:rPr>
          <w:rFonts w:ascii="Times New Roman" w:hAnsi="Times New Roman" w:cstheme="minorBidi"/>
          <w:spacing w:val="5"/>
          <w:sz w:val="24"/>
          <w:szCs w:val="24"/>
        </w:rPr>
        <w:t xml:space="preserve">at the same pace as before </w:t>
      </w:r>
      <w:r>
        <w:rPr>
          <w:rFonts w:ascii="Times New Roman" w:hAnsi="Times New Roman" w:cstheme="minorBidi"/>
          <w:spacing w:val="5"/>
          <w:sz w:val="24"/>
          <w:szCs w:val="24"/>
        </w:rPr>
        <w:t>is</w:t>
      </w:r>
      <w:r w:rsidR="00C52EBC">
        <w:rPr>
          <w:rFonts w:ascii="Times New Roman" w:hAnsi="Times New Roman" w:cstheme="minorBidi"/>
          <w:spacing w:val="5"/>
          <w:sz w:val="24"/>
          <w:szCs w:val="24"/>
        </w:rPr>
        <w:t xml:space="preserve"> </w:t>
      </w:r>
      <w:r>
        <w:rPr>
          <w:rFonts w:ascii="Times New Roman" w:hAnsi="Times New Roman" w:cstheme="minorBidi"/>
          <w:spacing w:val="5"/>
          <w:sz w:val="24"/>
          <w:szCs w:val="24"/>
        </w:rPr>
        <w:t>likely to be reduced</w:t>
      </w:r>
      <w:r w:rsidR="00843841">
        <w:rPr>
          <w:rFonts w:ascii="Times New Roman" w:hAnsi="Times New Roman" w:cstheme="minorBidi"/>
          <w:spacing w:val="5"/>
          <w:sz w:val="24"/>
          <w:szCs w:val="24"/>
        </w:rPr>
        <w:t>. T</w:t>
      </w:r>
      <w:r w:rsidR="00C52EBC">
        <w:rPr>
          <w:rFonts w:ascii="Times New Roman" w:hAnsi="Times New Roman" w:cstheme="minorBidi"/>
          <w:spacing w:val="5"/>
          <w:sz w:val="24"/>
          <w:szCs w:val="24"/>
        </w:rPr>
        <w:t xml:space="preserve">his </w:t>
      </w:r>
      <w:r w:rsidR="00493C99">
        <w:rPr>
          <w:rFonts w:ascii="Times New Roman" w:hAnsi="Times New Roman" w:cstheme="minorBidi"/>
          <w:spacing w:val="5"/>
          <w:sz w:val="24"/>
          <w:szCs w:val="24"/>
        </w:rPr>
        <w:t xml:space="preserve">situation </w:t>
      </w:r>
      <w:r>
        <w:rPr>
          <w:rFonts w:ascii="Times New Roman" w:hAnsi="Times New Roman" w:cstheme="minorBidi"/>
          <w:spacing w:val="5"/>
          <w:sz w:val="24"/>
          <w:szCs w:val="24"/>
        </w:rPr>
        <w:t>may be particularly detrimental for women</w:t>
      </w:r>
      <w:r w:rsidR="00493C99">
        <w:rPr>
          <w:rFonts w:ascii="Times New Roman" w:hAnsi="Times New Roman" w:cstheme="minorBidi"/>
          <w:spacing w:val="5"/>
          <w:sz w:val="24"/>
          <w:szCs w:val="24"/>
        </w:rPr>
        <w:t xml:space="preserve"> as they fill</w:t>
      </w:r>
      <w:r w:rsidR="00C52EBC">
        <w:rPr>
          <w:rFonts w:ascii="Times New Roman" w:hAnsi="Times New Roman" w:cstheme="minorBidi"/>
          <w:spacing w:val="5"/>
          <w:sz w:val="24"/>
          <w:szCs w:val="24"/>
        </w:rPr>
        <w:t>ed</w:t>
      </w:r>
      <w:r w:rsidR="00493C99">
        <w:rPr>
          <w:rFonts w:ascii="Times New Roman" w:hAnsi="Times New Roman" w:cstheme="minorBidi"/>
          <w:spacing w:val="5"/>
          <w:sz w:val="24"/>
          <w:szCs w:val="24"/>
        </w:rPr>
        <w:t xml:space="preserve"> the bulk of jobs available in the garment sector</w:t>
      </w:r>
      <w:r>
        <w:rPr>
          <w:rFonts w:ascii="Times New Roman" w:hAnsi="Times New Roman" w:cstheme="minorBidi"/>
          <w:spacing w:val="5"/>
          <w:sz w:val="24"/>
          <w:szCs w:val="24"/>
        </w:rPr>
        <w:t xml:space="preserve">. </w:t>
      </w:r>
      <w:r w:rsidR="00E83A6F">
        <w:rPr>
          <w:rFonts w:ascii="Times New Roman" w:hAnsi="Times New Roman" w:cstheme="minorBidi"/>
          <w:spacing w:val="5"/>
          <w:sz w:val="24"/>
          <w:szCs w:val="24"/>
        </w:rPr>
        <w:t xml:space="preserve">On the other hand, </w:t>
      </w:r>
      <w:r>
        <w:rPr>
          <w:rFonts w:ascii="Times New Roman" w:hAnsi="Times New Roman" w:cstheme="minorBidi"/>
          <w:spacing w:val="5"/>
          <w:sz w:val="24"/>
          <w:szCs w:val="24"/>
        </w:rPr>
        <w:t xml:space="preserve">the emergence of </w:t>
      </w:r>
      <w:r w:rsidR="00112352">
        <w:rPr>
          <w:rFonts w:ascii="Times New Roman" w:hAnsi="Times New Roman" w:cstheme="minorBidi"/>
          <w:spacing w:val="5"/>
          <w:sz w:val="24"/>
          <w:szCs w:val="24"/>
        </w:rPr>
        <w:t>medium</w:t>
      </w:r>
      <w:r w:rsidR="00FE5896">
        <w:rPr>
          <w:rFonts w:ascii="Times New Roman" w:hAnsi="Times New Roman" w:cstheme="minorBidi"/>
          <w:spacing w:val="5"/>
          <w:sz w:val="24"/>
          <w:szCs w:val="24"/>
        </w:rPr>
        <w:t xml:space="preserve"> </w:t>
      </w:r>
      <w:r w:rsidR="00112352">
        <w:rPr>
          <w:rFonts w:ascii="Times New Roman" w:hAnsi="Times New Roman" w:cstheme="minorBidi"/>
          <w:spacing w:val="5"/>
          <w:sz w:val="24"/>
          <w:szCs w:val="24"/>
        </w:rPr>
        <w:t>high</w:t>
      </w:r>
      <w:r w:rsidR="00FE5896">
        <w:rPr>
          <w:rFonts w:ascii="Times New Roman" w:hAnsi="Times New Roman" w:cstheme="minorBidi"/>
          <w:spacing w:val="5"/>
          <w:sz w:val="24"/>
          <w:szCs w:val="24"/>
        </w:rPr>
        <w:t>-</w:t>
      </w:r>
      <w:r w:rsidR="00112352">
        <w:rPr>
          <w:rFonts w:ascii="Times New Roman" w:hAnsi="Times New Roman" w:cstheme="minorBidi"/>
          <w:spacing w:val="5"/>
          <w:sz w:val="24"/>
          <w:szCs w:val="24"/>
        </w:rPr>
        <w:t xml:space="preserve">skill manufacturing </w:t>
      </w:r>
      <w:r>
        <w:rPr>
          <w:rFonts w:ascii="Times New Roman" w:hAnsi="Times New Roman" w:cstheme="minorBidi"/>
          <w:spacing w:val="5"/>
          <w:sz w:val="24"/>
          <w:szCs w:val="24"/>
        </w:rPr>
        <w:t xml:space="preserve">is correlated with higher wages as the demand for more </w:t>
      </w:r>
      <w:r w:rsidR="00112352">
        <w:rPr>
          <w:rFonts w:ascii="Times New Roman" w:hAnsi="Times New Roman" w:cstheme="minorBidi"/>
          <w:spacing w:val="5"/>
          <w:sz w:val="24"/>
          <w:szCs w:val="24"/>
        </w:rPr>
        <w:t>skill</w:t>
      </w:r>
      <w:r w:rsidR="00FE5896">
        <w:rPr>
          <w:rFonts w:ascii="Times New Roman" w:hAnsi="Times New Roman" w:cstheme="minorBidi"/>
          <w:spacing w:val="5"/>
          <w:sz w:val="24"/>
          <w:szCs w:val="24"/>
        </w:rPr>
        <w:t>ed</w:t>
      </w:r>
      <w:r w:rsidR="00112352">
        <w:rPr>
          <w:rFonts w:ascii="Times New Roman" w:hAnsi="Times New Roman" w:cstheme="minorBidi"/>
          <w:spacing w:val="5"/>
          <w:sz w:val="24"/>
          <w:szCs w:val="24"/>
        </w:rPr>
        <w:t xml:space="preserve"> </w:t>
      </w:r>
      <w:r>
        <w:rPr>
          <w:rFonts w:ascii="Times New Roman" w:hAnsi="Times New Roman" w:cstheme="minorBidi"/>
          <w:spacing w:val="5"/>
          <w:sz w:val="24"/>
          <w:szCs w:val="24"/>
        </w:rPr>
        <w:t>workers increases.</w:t>
      </w:r>
      <w:r w:rsidR="00112352">
        <w:rPr>
          <w:rFonts w:ascii="Times New Roman" w:hAnsi="Times New Roman" w:cstheme="minorBidi"/>
          <w:spacing w:val="5"/>
          <w:sz w:val="24"/>
          <w:szCs w:val="24"/>
        </w:rPr>
        <w:t xml:space="preserve"> </w:t>
      </w:r>
      <w:r w:rsidR="00E83A6F">
        <w:rPr>
          <w:rFonts w:ascii="Times New Roman" w:hAnsi="Times New Roman" w:cstheme="minorBidi"/>
          <w:spacing w:val="5"/>
          <w:sz w:val="24"/>
          <w:szCs w:val="24"/>
        </w:rPr>
        <w:t xml:space="preserve">The recent rebound of the textile sector may alleviate </w:t>
      </w:r>
      <w:r w:rsidR="00C52EBC">
        <w:rPr>
          <w:rFonts w:ascii="Times New Roman" w:hAnsi="Times New Roman" w:cstheme="minorBidi"/>
          <w:spacing w:val="5"/>
          <w:sz w:val="24"/>
          <w:szCs w:val="24"/>
        </w:rPr>
        <w:t xml:space="preserve">the negative pressure on job creation </w:t>
      </w:r>
      <w:r w:rsidR="00E04E77">
        <w:rPr>
          <w:rFonts w:ascii="Times New Roman" w:hAnsi="Times New Roman" w:cstheme="minorBidi"/>
          <w:spacing w:val="5"/>
          <w:sz w:val="24"/>
          <w:szCs w:val="24"/>
        </w:rPr>
        <w:t>i</w:t>
      </w:r>
      <w:r w:rsidR="00C52EBC">
        <w:rPr>
          <w:rFonts w:ascii="Times New Roman" w:hAnsi="Times New Roman" w:cstheme="minorBidi"/>
          <w:spacing w:val="5"/>
          <w:sz w:val="24"/>
          <w:szCs w:val="24"/>
        </w:rPr>
        <w:t>n SEZs.</w:t>
      </w:r>
    </w:p>
    <w:p w14:paraId="22619E24" w14:textId="7DE50985" w:rsidR="00FF2068" w:rsidRDefault="00267A1E" w:rsidP="00D341EE">
      <w:pPr>
        <w:spacing w:before="240" w:line="276" w:lineRule="auto"/>
        <w:jc w:val="both"/>
        <w:rPr>
          <w:rFonts w:asciiTheme="majorHAnsi" w:hAnsiTheme="majorHAnsi" w:cstheme="majorHAnsi"/>
          <w:sz w:val="24"/>
          <w:szCs w:val="24"/>
        </w:rPr>
      </w:pPr>
      <w:r>
        <w:rPr>
          <w:rFonts w:asciiTheme="majorHAnsi" w:hAnsiTheme="majorHAnsi" w:cstheme="majorHAnsi"/>
          <w:b/>
          <w:sz w:val="24"/>
          <w:szCs w:val="24"/>
        </w:rPr>
        <w:t>Thirdly</w:t>
      </w:r>
      <w:r w:rsidR="006B0C85">
        <w:rPr>
          <w:rFonts w:asciiTheme="majorHAnsi" w:hAnsiTheme="majorHAnsi" w:cstheme="majorHAnsi"/>
          <w:b/>
          <w:sz w:val="24"/>
          <w:szCs w:val="24"/>
        </w:rPr>
        <w:t>,</w:t>
      </w:r>
      <w:r w:rsidR="00FF2068">
        <w:rPr>
          <w:rFonts w:asciiTheme="majorHAnsi" w:hAnsiTheme="majorHAnsi" w:cstheme="majorHAnsi"/>
          <w:b/>
          <w:sz w:val="24"/>
          <w:szCs w:val="24"/>
        </w:rPr>
        <w:t xml:space="preserve"> </w:t>
      </w:r>
      <w:r w:rsidR="00A84021">
        <w:rPr>
          <w:rFonts w:asciiTheme="majorHAnsi" w:hAnsiTheme="majorHAnsi" w:cstheme="majorHAnsi"/>
          <w:b/>
          <w:sz w:val="24"/>
          <w:szCs w:val="24"/>
        </w:rPr>
        <w:t xml:space="preserve">the emergency of </w:t>
      </w:r>
      <w:r w:rsidR="00FF2068">
        <w:rPr>
          <w:rFonts w:asciiTheme="majorHAnsi" w:hAnsiTheme="majorHAnsi" w:cstheme="majorHAnsi"/>
          <w:b/>
          <w:sz w:val="24"/>
          <w:szCs w:val="24"/>
        </w:rPr>
        <w:t>more sophisticated manufacturing</w:t>
      </w:r>
      <w:r w:rsidR="00A84021">
        <w:rPr>
          <w:rFonts w:asciiTheme="majorHAnsi" w:hAnsiTheme="majorHAnsi" w:cstheme="majorHAnsi"/>
          <w:b/>
          <w:sz w:val="24"/>
          <w:szCs w:val="24"/>
        </w:rPr>
        <w:t xml:space="preserve"> processes </w:t>
      </w:r>
      <w:r w:rsidR="00FF2068">
        <w:rPr>
          <w:rFonts w:asciiTheme="majorHAnsi" w:hAnsiTheme="majorHAnsi" w:cstheme="majorHAnsi"/>
          <w:b/>
          <w:sz w:val="24"/>
          <w:szCs w:val="24"/>
        </w:rPr>
        <w:t xml:space="preserve">in SEZs have increased the value addition (production stages) </w:t>
      </w:r>
      <w:r w:rsidR="00A84021">
        <w:rPr>
          <w:rFonts w:asciiTheme="majorHAnsi" w:hAnsiTheme="majorHAnsi" w:cstheme="majorHAnsi"/>
          <w:b/>
          <w:sz w:val="24"/>
          <w:szCs w:val="24"/>
        </w:rPr>
        <w:t xml:space="preserve">that is generated </w:t>
      </w:r>
      <w:r w:rsidR="00FF2068">
        <w:rPr>
          <w:rFonts w:asciiTheme="majorHAnsi" w:hAnsiTheme="majorHAnsi" w:cstheme="majorHAnsi"/>
          <w:b/>
          <w:sz w:val="24"/>
          <w:szCs w:val="24"/>
        </w:rPr>
        <w:t xml:space="preserve">in the country. </w:t>
      </w:r>
      <w:r w:rsidR="00FF2068">
        <w:rPr>
          <w:rFonts w:asciiTheme="majorHAnsi" w:hAnsiTheme="majorHAnsi" w:cstheme="majorHAnsi"/>
          <w:sz w:val="24"/>
          <w:szCs w:val="24"/>
        </w:rPr>
        <w:t>U</w:t>
      </w:r>
      <w:r w:rsidR="00FF2068" w:rsidRPr="00A570BD">
        <w:rPr>
          <w:rFonts w:asciiTheme="majorHAnsi" w:hAnsiTheme="majorHAnsi" w:cstheme="majorHAnsi"/>
          <w:i/>
          <w:sz w:val="24"/>
          <w:szCs w:val="24"/>
        </w:rPr>
        <w:t>pstreamness</w:t>
      </w:r>
      <w:r w:rsidR="00FF2068" w:rsidRPr="00326537">
        <w:rPr>
          <w:rFonts w:asciiTheme="majorHAnsi" w:hAnsiTheme="majorHAnsi" w:cstheme="majorHAnsi"/>
          <w:sz w:val="24"/>
          <w:szCs w:val="24"/>
        </w:rPr>
        <w:t xml:space="preserve"> of SEZs exports</w:t>
      </w:r>
      <w:r w:rsidR="00FF2068">
        <w:rPr>
          <w:rFonts w:asciiTheme="majorHAnsi" w:hAnsiTheme="majorHAnsi" w:cstheme="majorHAnsi"/>
          <w:sz w:val="24"/>
          <w:szCs w:val="24"/>
        </w:rPr>
        <w:t xml:space="preserve"> –a measure of </w:t>
      </w:r>
      <w:r w:rsidR="00FF2068" w:rsidRPr="00E436FB">
        <w:rPr>
          <w:rFonts w:asciiTheme="majorHAnsi" w:hAnsiTheme="majorHAnsi" w:cstheme="majorHAnsi"/>
          <w:sz w:val="24"/>
          <w:szCs w:val="24"/>
        </w:rPr>
        <w:t xml:space="preserve">the distance in terms of </w:t>
      </w:r>
      <w:r w:rsidR="00FE5896">
        <w:rPr>
          <w:rFonts w:asciiTheme="majorHAnsi" w:hAnsiTheme="majorHAnsi" w:cstheme="majorHAnsi"/>
          <w:sz w:val="24"/>
          <w:szCs w:val="24"/>
        </w:rPr>
        <w:t xml:space="preserve">the </w:t>
      </w:r>
      <w:r w:rsidR="00FF2068" w:rsidRPr="00E436FB">
        <w:rPr>
          <w:rFonts w:asciiTheme="majorHAnsi" w:hAnsiTheme="majorHAnsi" w:cstheme="majorHAnsi"/>
          <w:sz w:val="24"/>
          <w:szCs w:val="24"/>
        </w:rPr>
        <w:t xml:space="preserve">number of production stages between the production of </w:t>
      </w:r>
      <w:r w:rsidR="00FF2068">
        <w:rPr>
          <w:rFonts w:asciiTheme="majorHAnsi" w:hAnsiTheme="majorHAnsi" w:cstheme="majorHAnsi"/>
          <w:sz w:val="24"/>
          <w:szCs w:val="24"/>
        </w:rPr>
        <w:t xml:space="preserve">a given </w:t>
      </w:r>
      <w:r w:rsidR="00FF2068" w:rsidRPr="00E436FB">
        <w:rPr>
          <w:rFonts w:asciiTheme="majorHAnsi" w:hAnsiTheme="majorHAnsi" w:cstheme="majorHAnsi"/>
          <w:sz w:val="24"/>
          <w:szCs w:val="24"/>
        </w:rPr>
        <w:t xml:space="preserve">good and </w:t>
      </w:r>
      <w:r w:rsidR="00FF2068">
        <w:rPr>
          <w:rFonts w:asciiTheme="majorHAnsi" w:hAnsiTheme="majorHAnsi" w:cstheme="majorHAnsi"/>
          <w:sz w:val="24"/>
          <w:szCs w:val="24"/>
        </w:rPr>
        <w:t xml:space="preserve">the </w:t>
      </w:r>
      <w:r w:rsidR="00FF2068" w:rsidRPr="00E436FB">
        <w:rPr>
          <w:rFonts w:asciiTheme="majorHAnsi" w:hAnsiTheme="majorHAnsi" w:cstheme="majorHAnsi"/>
          <w:sz w:val="24"/>
          <w:szCs w:val="24"/>
        </w:rPr>
        <w:t>final demand</w:t>
      </w:r>
      <w:r w:rsidR="00FF2068">
        <w:rPr>
          <w:rFonts w:asciiTheme="majorHAnsi" w:hAnsiTheme="majorHAnsi" w:cstheme="majorHAnsi"/>
          <w:sz w:val="24"/>
          <w:szCs w:val="24"/>
        </w:rPr>
        <w:t>–</w:t>
      </w:r>
      <w:r w:rsidR="004E6044">
        <w:rPr>
          <w:rFonts w:asciiTheme="majorHAnsi" w:hAnsiTheme="majorHAnsi" w:cstheme="majorHAnsi"/>
          <w:sz w:val="24"/>
          <w:szCs w:val="24"/>
        </w:rPr>
        <w:t xml:space="preserve"> </w:t>
      </w:r>
      <w:r w:rsidR="00FF2068" w:rsidRPr="00326537">
        <w:rPr>
          <w:rFonts w:asciiTheme="majorHAnsi" w:hAnsiTheme="majorHAnsi" w:cstheme="majorHAnsi"/>
          <w:sz w:val="24"/>
          <w:szCs w:val="24"/>
        </w:rPr>
        <w:t>have slightly declined over the last decade, which reflects the zones</w:t>
      </w:r>
      <w:r w:rsidR="00FF2068">
        <w:rPr>
          <w:rFonts w:asciiTheme="majorHAnsi" w:hAnsiTheme="majorHAnsi" w:cstheme="majorHAnsi"/>
          <w:sz w:val="24"/>
          <w:szCs w:val="24"/>
        </w:rPr>
        <w:t>’</w:t>
      </w:r>
      <w:r w:rsidR="00FF2068" w:rsidRPr="00326537">
        <w:rPr>
          <w:rFonts w:asciiTheme="majorHAnsi" w:hAnsiTheme="majorHAnsi" w:cstheme="majorHAnsi"/>
          <w:sz w:val="24"/>
          <w:szCs w:val="24"/>
        </w:rPr>
        <w:t xml:space="preserve"> specialization in assembly </w:t>
      </w:r>
      <w:r w:rsidR="00537E37">
        <w:rPr>
          <w:rFonts w:asciiTheme="majorHAnsi" w:hAnsiTheme="majorHAnsi" w:cstheme="majorHAnsi"/>
          <w:sz w:val="24"/>
          <w:szCs w:val="24"/>
        </w:rPr>
        <w:t xml:space="preserve">of </w:t>
      </w:r>
      <w:r w:rsidR="00FF2068" w:rsidRPr="00326537">
        <w:rPr>
          <w:rFonts w:asciiTheme="majorHAnsi" w:hAnsiTheme="majorHAnsi" w:cstheme="majorHAnsi"/>
          <w:sz w:val="24"/>
          <w:szCs w:val="24"/>
        </w:rPr>
        <w:t xml:space="preserve">final </w:t>
      </w:r>
      <w:r w:rsidR="00FF2068">
        <w:rPr>
          <w:rFonts w:asciiTheme="majorHAnsi" w:hAnsiTheme="majorHAnsi" w:cstheme="majorHAnsi"/>
          <w:sz w:val="24"/>
          <w:szCs w:val="24"/>
        </w:rPr>
        <w:t>products</w:t>
      </w:r>
      <w:r w:rsidR="00537E37">
        <w:rPr>
          <w:rFonts w:asciiTheme="majorHAnsi" w:hAnsiTheme="majorHAnsi" w:cstheme="majorHAnsi"/>
          <w:sz w:val="24"/>
          <w:szCs w:val="24"/>
        </w:rPr>
        <w:t xml:space="preserve">. At the same time, </w:t>
      </w:r>
      <w:r w:rsidR="00FF2068">
        <w:rPr>
          <w:rFonts w:asciiTheme="majorHAnsi" w:hAnsiTheme="majorHAnsi" w:cstheme="majorHAnsi"/>
          <w:sz w:val="24"/>
          <w:szCs w:val="24"/>
        </w:rPr>
        <w:t xml:space="preserve">intermediate </w:t>
      </w:r>
      <w:r w:rsidR="00FF2068" w:rsidRPr="00326537">
        <w:rPr>
          <w:rFonts w:asciiTheme="majorHAnsi" w:hAnsiTheme="majorHAnsi" w:cstheme="majorHAnsi"/>
          <w:sz w:val="24"/>
          <w:szCs w:val="24"/>
        </w:rPr>
        <w:t>imports have moved upstream</w:t>
      </w:r>
      <w:r w:rsidR="00FF2068">
        <w:rPr>
          <w:rFonts w:asciiTheme="majorHAnsi" w:hAnsiTheme="majorHAnsi" w:cstheme="majorHAnsi"/>
          <w:sz w:val="24"/>
          <w:szCs w:val="24"/>
        </w:rPr>
        <w:t xml:space="preserve"> or farther away from the final demand. These two findings point to the fact that more stages of production are </w:t>
      </w:r>
      <w:r w:rsidR="009F7E23">
        <w:rPr>
          <w:rFonts w:asciiTheme="majorHAnsi" w:hAnsiTheme="majorHAnsi" w:cstheme="majorHAnsi"/>
          <w:sz w:val="24"/>
          <w:szCs w:val="24"/>
        </w:rPr>
        <w:t xml:space="preserve">taking place </w:t>
      </w:r>
      <w:r w:rsidR="00FF2068">
        <w:rPr>
          <w:rFonts w:asciiTheme="majorHAnsi" w:hAnsiTheme="majorHAnsi" w:cstheme="majorHAnsi"/>
          <w:sz w:val="24"/>
          <w:szCs w:val="24"/>
        </w:rPr>
        <w:t xml:space="preserve">in the country, particularly in </w:t>
      </w:r>
      <w:r w:rsidR="000439F3">
        <w:rPr>
          <w:rFonts w:asciiTheme="majorHAnsi" w:hAnsiTheme="majorHAnsi" w:cstheme="majorHAnsi"/>
          <w:sz w:val="24"/>
          <w:szCs w:val="24"/>
        </w:rPr>
        <w:t xml:space="preserve">the </w:t>
      </w:r>
      <w:r w:rsidR="00FF2068">
        <w:rPr>
          <w:rFonts w:asciiTheme="majorHAnsi" w:hAnsiTheme="majorHAnsi" w:cstheme="majorHAnsi"/>
          <w:sz w:val="24"/>
          <w:szCs w:val="24"/>
        </w:rPr>
        <w:t xml:space="preserve">pharmaceuticals, footwear, and electrical </w:t>
      </w:r>
      <w:r w:rsidR="00137F7F">
        <w:rPr>
          <w:rFonts w:asciiTheme="majorHAnsi" w:hAnsiTheme="majorHAnsi" w:cstheme="majorHAnsi"/>
          <w:sz w:val="24"/>
          <w:szCs w:val="24"/>
        </w:rPr>
        <w:t>sectors</w:t>
      </w:r>
      <w:r w:rsidR="009F7E23">
        <w:rPr>
          <w:rFonts w:asciiTheme="majorHAnsi" w:hAnsiTheme="majorHAnsi" w:cstheme="majorHAnsi"/>
          <w:sz w:val="24"/>
          <w:szCs w:val="24"/>
        </w:rPr>
        <w:t xml:space="preserve">. </w:t>
      </w:r>
      <w:r w:rsidR="00137F7F">
        <w:rPr>
          <w:rFonts w:asciiTheme="majorHAnsi" w:hAnsiTheme="majorHAnsi" w:cstheme="majorHAnsi"/>
          <w:sz w:val="24"/>
          <w:szCs w:val="24"/>
        </w:rPr>
        <w:t xml:space="preserve">These findings imply that the domestic value addition </w:t>
      </w:r>
      <w:r w:rsidR="00FF1895">
        <w:rPr>
          <w:rFonts w:asciiTheme="majorHAnsi" w:hAnsiTheme="majorHAnsi" w:cstheme="majorHAnsi"/>
          <w:sz w:val="24"/>
          <w:szCs w:val="24"/>
        </w:rPr>
        <w:t xml:space="preserve">embedded </w:t>
      </w:r>
      <w:r w:rsidR="00137F7F">
        <w:rPr>
          <w:rFonts w:asciiTheme="majorHAnsi" w:hAnsiTheme="majorHAnsi" w:cstheme="majorHAnsi"/>
          <w:sz w:val="24"/>
          <w:szCs w:val="24"/>
        </w:rPr>
        <w:t xml:space="preserve">in </w:t>
      </w:r>
      <w:r w:rsidR="00FF1895">
        <w:rPr>
          <w:rFonts w:asciiTheme="majorHAnsi" w:hAnsiTheme="majorHAnsi" w:cstheme="majorHAnsi"/>
          <w:sz w:val="24"/>
          <w:szCs w:val="24"/>
        </w:rPr>
        <w:t xml:space="preserve">Dominican </w:t>
      </w:r>
      <w:r w:rsidR="00137F7F">
        <w:rPr>
          <w:rFonts w:asciiTheme="majorHAnsi" w:hAnsiTheme="majorHAnsi" w:cstheme="majorHAnsi"/>
          <w:sz w:val="24"/>
          <w:szCs w:val="24"/>
        </w:rPr>
        <w:t xml:space="preserve">exports have increased </w:t>
      </w:r>
      <w:r w:rsidR="00FF1895">
        <w:rPr>
          <w:rFonts w:asciiTheme="majorHAnsi" w:hAnsiTheme="majorHAnsi" w:cstheme="majorHAnsi"/>
          <w:sz w:val="24"/>
          <w:szCs w:val="24"/>
        </w:rPr>
        <w:t>with the emergenc</w:t>
      </w:r>
      <w:r w:rsidR="00D14F09">
        <w:rPr>
          <w:rFonts w:asciiTheme="majorHAnsi" w:hAnsiTheme="majorHAnsi" w:cstheme="majorHAnsi"/>
          <w:sz w:val="24"/>
          <w:szCs w:val="24"/>
        </w:rPr>
        <w:t>e</w:t>
      </w:r>
      <w:r w:rsidR="00FF1895" w:rsidRPr="00FF1895">
        <w:rPr>
          <w:rFonts w:asciiTheme="majorHAnsi" w:hAnsiTheme="majorHAnsi" w:cstheme="majorHAnsi"/>
          <w:b/>
          <w:sz w:val="24"/>
          <w:szCs w:val="24"/>
        </w:rPr>
        <w:t xml:space="preserve"> </w:t>
      </w:r>
      <w:r w:rsidR="00FF1895" w:rsidRPr="00FF1895">
        <w:rPr>
          <w:rFonts w:asciiTheme="majorHAnsi" w:hAnsiTheme="majorHAnsi" w:cstheme="majorHAnsi"/>
          <w:sz w:val="24"/>
          <w:szCs w:val="24"/>
        </w:rPr>
        <w:t>of these medium</w:t>
      </w:r>
      <w:r w:rsidR="00FE5896">
        <w:rPr>
          <w:rFonts w:asciiTheme="majorHAnsi" w:hAnsiTheme="majorHAnsi" w:cstheme="majorHAnsi"/>
          <w:sz w:val="24"/>
          <w:szCs w:val="24"/>
        </w:rPr>
        <w:t xml:space="preserve"> </w:t>
      </w:r>
      <w:r w:rsidR="00FF1895" w:rsidRPr="00FF1895">
        <w:rPr>
          <w:rFonts w:asciiTheme="majorHAnsi" w:hAnsiTheme="majorHAnsi" w:cstheme="majorHAnsi"/>
          <w:sz w:val="24"/>
          <w:szCs w:val="24"/>
        </w:rPr>
        <w:t>high</w:t>
      </w:r>
      <w:r w:rsidR="00FE5896">
        <w:rPr>
          <w:rFonts w:asciiTheme="majorHAnsi" w:hAnsiTheme="majorHAnsi" w:cstheme="majorHAnsi"/>
          <w:sz w:val="24"/>
          <w:szCs w:val="24"/>
        </w:rPr>
        <w:t>-</w:t>
      </w:r>
      <w:r w:rsidR="00FF1895" w:rsidRPr="00FF1895">
        <w:rPr>
          <w:rFonts w:asciiTheme="majorHAnsi" w:hAnsiTheme="majorHAnsi" w:cstheme="majorHAnsi"/>
          <w:sz w:val="24"/>
          <w:szCs w:val="24"/>
        </w:rPr>
        <w:t>skill manufactures</w:t>
      </w:r>
      <w:r w:rsidR="006D706B">
        <w:rPr>
          <w:rFonts w:asciiTheme="majorHAnsi" w:hAnsiTheme="majorHAnsi" w:cstheme="majorHAnsi"/>
          <w:sz w:val="24"/>
          <w:szCs w:val="24"/>
        </w:rPr>
        <w:t>.</w:t>
      </w:r>
      <w:r w:rsidR="00FF2068" w:rsidRPr="00326537">
        <w:rPr>
          <w:rFonts w:asciiTheme="majorHAnsi" w:hAnsiTheme="majorHAnsi" w:cstheme="majorHAnsi"/>
          <w:sz w:val="24"/>
          <w:szCs w:val="24"/>
        </w:rPr>
        <w:t xml:space="preserve"> </w:t>
      </w:r>
    </w:p>
    <w:p w14:paraId="66A54300" w14:textId="0E8E8D2F" w:rsidR="00FF2068" w:rsidRDefault="00267A1E" w:rsidP="00D341EE">
      <w:pPr>
        <w:spacing w:before="240" w:line="276" w:lineRule="auto"/>
        <w:jc w:val="both"/>
        <w:rPr>
          <w:rFonts w:asciiTheme="majorHAnsi" w:hAnsiTheme="majorHAnsi" w:cstheme="majorHAnsi"/>
          <w:sz w:val="24"/>
          <w:szCs w:val="24"/>
        </w:rPr>
      </w:pPr>
      <w:r>
        <w:rPr>
          <w:rFonts w:asciiTheme="majorHAnsi" w:hAnsiTheme="majorHAnsi" w:cstheme="majorHAnsi"/>
          <w:b/>
          <w:sz w:val="24"/>
          <w:szCs w:val="24"/>
        </w:rPr>
        <w:t>Fourthly</w:t>
      </w:r>
      <w:r w:rsidR="00FF2068" w:rsidRPr="00FF2068">
        <w:rPr>
          <w:rFonts w:asciiTheme="majorHAnsi" w:hAnsiTheme="majorHAnsi" w:cstheme="majorHAnsi"/>
          <w:b/>
          <w:sz w:val="24"/>
          <w:szCs w:val="24"/>
        </w:rPr>
        <w:t xml:space="preserve">, the gains due to more value added being generated in the Dominican Republic </w:t>
      </w:r>
      <w:r w:rsidR="00D14F09">
        <w:rPr>
          <w:rFonts w:asciiTheme="majorHAnsi" w:hAnsiTheme="majorHAnsi" w:cstheme="majorHAnsi"/>
          <w:b/>
          <w:sz w:val="24"/>
          <w:szCs w:val="24"/>
        </w:rPr>
        <w:t>are</w:t>
      </w:r>
      <w:r w:rsidR="00FF2068" w:rsidRPr="00FF2068">
        <w:rPr>
          <w:rFonts w:asciiTheme="majorHAnsi" w:hAnsiTheme="majorHAnsi" w:cstheme="majorHAnsi"/>
          <w:b/>
          <w:sz w:val="24"/>
          <w:szCs w:val="24"/>
        </w:rPr>
        <w:t xml:space="preserve"> not correlated with </w:t>
      </w:r>
      <w:r w:rsidR="001D6C90">
        <w:rPr>
          <w:rFonts w:asciiTheme="majorHAnsi" w:hAnsiTheme="majorHAnsi" w:cstheme="majorHAnsi"/>
          <w:b/>
          <w:sz w:val="24"/>
          <w:szCs w:val="24"/>
        </w:rPr>
        <w:t xml:space="preserve">more </w:t>
      </w:r>
      <w:r w:rsidR="00FF2068" w:rsidRPr="00FF2068">
        <w:rPr>
          <w:rFonts w:asciiTheme="majorHAnsi" w:hAnsiTheme="majorHAnsi" w:cstheme="majorHAnsi"/>
          <w:b/>
          <w:sz w:val="24"/>
          <w:szCs w:val="24"/>
        </w:rPr>
        <w:t xml:space="preserve">linkages </w:t>
      </w:r>
      <w:r w:rsidR="001D6C90">
        <w:rPr>
          <w:rFonts w:asciiTheme="majorHAnsi" w:hAnsiTheme="majorHAnsi" w:cstheme="majorHAnsi"/>
          <w:b/>
          <w:sz w:val="24"/>
          <w:szCs w:val="24"/>
        </w:rPr>
        <w:t xml:space="preserve">being </w:t>
      </w:r>
      <w:r w:rsidR="00FF2068" w:rsidRPr="00FF2068">
        <w:rPr>
          <w:rFonts w:asciiTheme="majorHAnsi" w:hAnsiTheme="majorHAnsi" w:cstheme="majorHAnsi"/>
          <w:b/>
          <w:sz w:val="24"/>
          <w:szCs w:val="24"/>
        </w:rPr>
        <w:t>developed with domestic firms outside the SEZ.</w:t>
      </w:r>
      <w:r w:rsidR="00FF2068">
        <w:rPr>
          <w:rFonts w:asciiTheme="majorHAnsi" w:hAnsiTheme="majorHAnsi" w:cstheme="majorHAnsi"/>
          <w:sz w:val="24"/>
          <w:szCs w:val="24"/>
        </w:rPr>
        <w:t xml:space="preserve"> </w:t>
      </w:r>
      <w:r w:rsidR="00B27398">
        <w:rPr>
          <w:rFonts w:asciiTheme="majorHAnsi" w:hAnsiTheme="majorHAnsi" w:cstheme="majorHAnsi"/>
          <w:sz w:val="24"/>
          <w:szCs w:val="24"/>
        </w:rPr>
        <w:t xml:space="preserve">The more sophisticated nature of the manufacturing production taking place in the zones (footwear, pharmaceutical, and electrical products) entails that many inputs are imported because there is not domestic availability or national products do not meet required standards. </w:t>
      </w:r>
      <w:r w:rsidR="00FF2068">
        <w:rPr>
          <w:rFonts w:asciiTheme="majorHAnsi" w:hAnsiTheme="majorHAnsi" w:cstheme="majorHAnsi"/>
          <w:sz w:val="24"/>
          <w:szCs w:val="24"/>
        </w:rPr>
        <w:t>A</w:t>
      </w:r>
      <w:r w:rsidR="00FF2068" w:rsidRPr="00326537">
        <w:rPr>
          <w:rFonts w:asciiTheme="majorHAnsi" w:hAnsiTheme="majorHAnsi" w:cstheme="majorHAnsi"/>
          <w:sz w:val="24"/>
          <w:szCs w:val="24"/>
        </w:rPr>
        <w:t>s of 2012</w:t>
      </w:r>
      <w:r w:rsidR="00FF2068">
        <w:rPr>
          <w:rFonts w:asciiTheme="majorHAnsi" w:hAnsiTheme="majorHAnsi" w:cstheme="majorHAnsi"/>
          <w:sz w:val="24"/>
          <w:szCs w:val="24"/>
        </w:rPr>
        <w:t>,</w:t>
      </w:r>
      <w:r w:rsidR="00FF2068" w:rsidRPr="00326537">
        <w:rPr>
          <w:rFonts w:asciiTheme="majorHAnsi" w:hAnsiTheme="majorHAnsi" w:cstheme="majorHAnsi"/>
          <w:sz w:val="24"/>
          <w:szCs w:val="24"/>
        </w:rPr>
        <w:t xml:space="preserve"> Dominican companies in SEZs were acquiring 81 percent of their inputs abroad.</w:t>
      </w:r>
      <w:r>
        <w:rPr>
          <w:rFonts w:asciiTheme="majorHAnsi" w:hAnsiTheme="majorHAnsi" w:cstheme="majorHAnsi"/>
          <w:sz w:val="24"/>
          <w:szCs w:val="24"/>
        </w:rPr>
        <w:t xml:space="preserve"> </w:t>
      </w:r>
    </w:p>
    <w:p w14:paraId="707DAC40" w14:textId="1F081680" w:rsidR="00267A1E" w:rsidRPr="006777E3" w:rsidRDefault="00267A1E" w:rsidP="00267A1E">
      <w:pPr>
        <w:spacing w:before="240" w:line="276" w:lineRule="auto"/>
        <w:jc w:val="both"/>
        <w:rPr>
          <w:rFonts w:asciiTheme="majorHAnsi" w:hAnsiTheme="majorHAnsi" w:cstheme="majorHAnsi"/>
          <w:sz w:val="24"/>
          <w:szCs w:val="24"/>
        </w:rPr>
      </w:pPr>
      <w:r>
        <w:rPr>
          <w:rFonts w:asciiTheme="majorHAnsi" w:hAnsiTheme="majorHAnsi" w:cstheme="majorHAnsi"/>
          <w:b/>
          <w:sz w:val="24"/>
          <w:szCs w:val="24"/>
        </w:rPr>
        <w:t>Fifthly, the elimination of fiscal incentives</w:t>
      </w:r>
      <w:r w:rsidRPr="006777E3">
        <w:rPr>
          <w:rFonts w:asciiTheme="majorHAnsi" w:hAnsiTheme="majorHAnsi" w:cstheme="majorHAnsi"/>
          <w:b/>
          <w:sz w:val="24"/>
          <w:szCs w:val="24"/>
        </w:rPr>
        <w:t xml:space="preserve"> </w:t>
      </w:r>
      <w:r>
        <w:rPr>
          <w:rFonts w:asciiTheme="majorHAnsi" w:hAnsiTheme="majorHAnsi" w:cstheme="majorHAnsi"/>
          <w:b/>
          <w:sz w:val="24"/>
          <w:szCs w:val="24"/>
        </w:rPr>
        <w:t>targeted exclusively to exporters in SEZs that sought to level the playing field actually made SEZs a more attractive location for firms</w:t>
      </w:r>
      <w:r w:rsidRPr="006777E3">
        <w:rPr>
          <w:rFonts w:asciiTheme="majorHAnsi" w:hAnsiTheme="majorHAnsi" w:cstheme="majorHAnsi"/>
          <w:b/>
          <w:sz w:val="24"/>
          <w:szCs w:val="24"/>
        </w:rPr>
        <w:t xml:space="preserve">. </w:t>
      </w:r>
      <w:r w:rsidRPr="006777E3">
        <w:rPr>
          <w:rFonts w:asciiTheme="majorHAnsi" w:hAnsiTheme="majorHAnsi" w:cstheme="majorHAnsi"/>
          <w:sz w:val="24"/>
          <w:szCs w:val="24"/>
        </w:rPr>
        <w:lastRenderedPageBreak/>
        <w:t xml:space="preserve">The expiration of the deadline to make </w:t>
      </w:r>
      <w:r>
        <w:rPr>
          <w:rFonts w:asciiTheme="majorHAnsi" w:hAnsiTheme="majorHAnsi" w:cstheme="majorHAnsi"/>
          <w:sz w:val="24"/>
          <w:szCs w:val="24"/>
        </w:rPr>
        <w:t xml:space="preserve">the </w:t>
      </w:r>
      <w:r w:rsidRPr="006777E3">
        <w:rPr>
          <w:rFonts w:asciiTheme="majorHAnsi" w:hAnsiTheme="majorHAnsi" w:cstheme="majorHAnsi"/>
          <w:sz w:val="24"/>
          <w:szCs w:val="24"/>
        </w:rPr>
        <w:t xml:space="preserve">SEZ program </w:t>
      </w:r>
      <w:r>
        <w:rPr>
          <w:rFonts w:asciiTheme="majorHAnsi" w:hAnsiTheme="majorHAnsi" w:cstheme="majorHAnsi"/>
          <w:sz w:val="24"/>
          <w:szCs w:val="24"/>
        </w:rPr>
        <w:t xml:space="preserve">in the Dominican Republic </w:t>
      </w:r>
      <w:r w:rsidRPr="006777E3">
        <w:rPr>
          <w:rFonts w:asciiTheme="majorHAnsi" w:hAnsiTheme="majorHAnsi" w:cstheme="majorHAnsi"/>
          <w:sz w:val="24"/>
          <w:szCs w:val="24"/>
        </w:rPr>
        <w:t xml:space="preserve">compatible with the WTO Agreement on Subsidies and Countervailing Measures led to the elimination of </w:t>
      </w:r>
      <w:r>
        <w:rPr>
          <w:rFonts w:asciiTheme="majorHAnsi" w:hAnsiTheme="majorHAnsi" w:cstheme="majorHAnsi"/>
          <w:sz w:val="24"/>
          <w:szCs w:val="24"/>
        </w:rPr>
        <w:t>the export share requirements (ESR) to receive the incentive</w:t>
      </w:r>
      <w:r w:rsidRPr="006777E3">
        <w:rPr>
          <w:rFonts w:asciiTheme="majorHAnsi" w:hAnsiTheme="majorHAnsi" w:cstheme="majorHAnsi"/>
          <w:sz w:val="24"/>
          <w:szCs w:val="24"/>
        </w:rPr>
        <w:t xml:space="preserve">– firstly for producers of leather, textiles and apparel and leather, sectors </w:t>
      </w:r>
      <w:r>
        <w:rPr>
          <w:rFonts w:asciiTheme="majorHAnsi" w:hAnsiTheme="majorHAnsi" w:cstheme="majorHAnsi"/>
          <w:sz w:val="24"/>
          <w:szCs w:val="24"/>
        </w:rPr>
        <w:t xml:space="preserve">designated as ‘national priority’ </w:t>
      </w:r>
      <w:r w:rsidRPr="006777E3">
        <w:rPr>
          <w:rFonts w:asciiTheme="majorHAnsi" w:hAnsiTheme="majorHAnsi" w:cstheme="majorHAnsi"/>
          <w:sz w:val="24"/>
          <w:szCs w:val="24"/>
        </w:rPr>
        <w:t>in 2007, and afterwards for all SEZ</w:t>
      </w:r>
      <w:r>
        <w:rPr>
          <w:rFonts w:asciiTheme="majorHAnsi" w:hAnsiTheme="majorHAnsi" w:cstheme="majorHAnsi"/>
          <w:sz w:val="24"/>
          <w:szCs w:val="24"/>
        </w:rPr>
        <w:t>s</w:t>
      </w:r>
      <w:r w:rsidRPr="006777E3">
        <w:rPr>
          <w:rFonts w:asciiTheme="majorHAnsi" w:hAnsiTheme="majorHAnsi" w:cstheme="majorHAnsi"/>
          <w:sz w:val="24"/>
          <w:szCs w:val="24"/>
        </w:rPr>
        <w:t xml:space="preserve"> producers in 2011</w:t>
      </w:r>
      <w:r w:rsidRPr="006777E3">
        <w:rPr>
          <w:rFonts w:asciiTheme="majorHAnsi" w:hAnsiTheme="majorHAnsi" w:cstheme="majorHAnsi"/>
          <w:b/>
          <w:sz w:val="24"/>
          <w:szCs w:val="24"/>
        </w:rPr>
        <w:t xml:space="preserve">. </w:t>
      </w:r>
      <w:r>
        <w:rPr>
          <w:rFonts w:asciiTheme="majorHAnsi" w:hAnsiTheme="majorHAnsi" w:cstheme="majorHAnsi"/>
          <w:sz w:val="24"/>
          <w:szCs w:val="24"/>
        </w:rPr>
        <w:t xml:space="preserve">The removal of the ESR </w:t>
      </w:r>
      <w:r w:rsidRPr="006777E3">
        <w:rPr>
          <w:rFonts w:asciiTheme="majorHAnsi" w:hAnsiTheme="majorHAnsi" w:cstheme="majorHAnsi"/>
          <w:sz w:val="24"/>
          <w:szCs w:val="24"/>
        </w:rPr>
        <w:t>for firms operating in SEZ</w:t>
      </w:r>
      <w:r>
        <w:rPr>
          <w:rFonts w:asciiTheme="majorHAnsi" w:hAnsiTheme="majorHAnsi" w:cstheme="majorHAnsi"/>
          <w:sz w:val="24"/>
          <w:szCs w:val="24"/>
        </w:rPr>
        <w:t>s</w:t>
      </w:r>
      <w:r w:rsidRPr="006777E3">
        <w:rPr>
          <w:rFonts w:asciiTheme="majorHAnsi" w:hAnsiTheme="majorHAnsi" w:cstheme="majorHAnsi"/>
          <w:sz w:val="24"/>
          <w:szCs w:val="24"/>
        </w:rPr>
        <w:t xml:space="preserve"> without altering the fiscal incentives available to them</w:t>
      </w:r>
      <w:r>
        <w:rPr>
          <w:rFonts w:asciiTheme="majorHAnsi" w:hAnsiTheme="majorHAnsi" w:cstheme="majorHAnsi"/>
          <w:sz w:val="24"/>
          <w:szCs w:val="24"/>
        </w:rPr>
        <w:t>,</w:t>
      </w:r>
      <w:r w:rsidRPr="006777E3">
        <w:rPr>
          <w:rFonts w:asciiTheme="majorHAnsi" w:hAnsiTheme="majorHAnsi" w:cstheme="majorHAnsi"/>
          <w:sz w:val="24"/>
          <w:szCs w:val="24"/>
        </w:rPr>
        <w:t xml:space="preserve"> made SEZ</w:t>
      </w:r>
      <w:r>
        <w:rPr>
          <w:rFonts w:asciiTheme="majorHAnsi" w:hAnsiTheme="majorHAnsi" w:cstheme="majorHAnsi"/>
          <w:sz w:val="24"/>
          <w:szCs w:val="24"/>
        </w:rPr>
        <w:t>s</w:t>
      </w:r>
      <w:r w:rsidRPr="006777E3">
        <w:rPr>
          <w:rFonts w:asciiTheme="majorHAnsi" w:hAnsiTheme="majorHAnsi" w:cstheme="majorHAnsi"/>
          <w:sz w:val="24"/>
          <w:szCs w:val="24"/>
        </w:rPr>
        <w:t xml:space="preserve"> a more attractive location for firms to operate in. </w:t>
      </w:r>
      <w:r>
        <w:rPr>
          <w:rFonts w:asciiTheme="majorHAnsi" w:hAnsiTheme="majorHAnsi" w:cstheme="majorHAnsi"/>
          <w:sz w:val="24"/>
          <w:szCs w:val="24"/>
        </w:rPr>
        <w:t>We find that the pathway to WTO compliance chosen by the Dominican Republic created the condition to support the migration of firms that previously operated under the national regimen, into the SEZ regimen. The fiscal costs of this policy ought to be measured.</w:t>
      </w:r>
    </w:p>
    <w:p w14:paraId="1357B352" w14:textId="31E114D0" w:rsidR="009F6078" w:rsidRPr="003B5148" w:rsidRDefault="001638FA" w:rsidP="00D341EE">
      <w:pPr>
        <w:spacing w:before="240" w:line="276" w:lineRule="auto"/>
        <w:jc w:val="both"/>
        <w:rPr>
          <w:rFonts w:asciiTheme="majorHAnsi" w:hAnsiTheme="majorHAnsi" w:cstheme="majorHAnsi"/>
          <w:sz w:val="24"/>
          <w:szCs w:val="24"/>
        </w:rPr>
      </w:pPr>
      <w:r>
        <w:rPr>
          <w:rFonts w:asciiTheme="majorHAnsi" w:hAnsiTheme="majorHAnsi" w:cstheme="majorHAnsi"/>
          <w:b/>
          <w:sz w:val="24"/>
          <w:szCs w:val="24"/>
        </w:rPr>
        <w:t xml:space="preserve">These findings </w:t>
      </w:r>
      <w:r w:rsidR="00D341EE" w:rsidRPr="00326537">
        <w:rPr>
          <w:rFonts w:asciiTheme="majorHAnsi" w:hAnsiTheme="majorHAnsi" w:cstheme="majorHAnsi"/>
          <w:b/>
          <w:sz w:val="24"/>
          <w:szCs w:val="24"/>
        </w:rPr>
        <w:t>call for new polic</w:t>
      </w:r>
      <w:r w:rsidR="00AA0480">
        <w:rPr>
          <w:rFonts w:asciiTheme="majorHAnsi" w:hAnsiTheme="majorHAnsi" w:cstheme="majorHAnsi"/>
          <w:b/>
          <w:sz w:val="24"/>
          <w:szCs w:val="24"/>
        </w:rPr>
        <w:t>i</w:t>
      </w:r>
      <w:r w:rsidR="00D341EE" w:rsidRPr="00326537">
        <w:rPr>
          <w:rFonts w:asciiTheme="majorHAnsi" w:hAnsiTheme="majorHAnsi" w:cstheme="majorHAnsi"/>
          <w:b/>
          <w:sz w:val="24"/>
          <w:szCs w:val="24"/>
        </w:rPr>
        <w:t>es</w:t>
      </w:r>
      <w:r>
        <w:rPr>
          <w:rFonts w:asciiTheme="majorHAnsi" w:hAnsiTheme="majorHAnsi" w:cstheme="majorHAnsi"/>
          <w:b/>
          <w:sz w:val="24"/>
          <w:szCs w:val="24"/>
        </w:rPr>
        <w:t xml:space="preserve"> </w:t>
      </w:r>
      <w:r w:rsidR="00AA0480">
        <w:rPr>
          <w:rFonts w:asciiTheme="majorHAnsi" w:hAnsiTheme="majorHAnsi" w:cstheme="majorHAnsi"/>
          <w:b/>
          <w:sz w:val="24"/>
          <w:szCs w:val="24"/>
        </w:rPr>
        <w:t xml:space="preserve">aimed at </w:t>
      </w:r>
      <w:r>
        <w:rPr>
          <w:rFonts w:asciiTheme="majorHAnsi" w:hAnsiTheme="majorHAnsi" w:cstheme="majorHAnsi"/>
          <w:b/>
          <w:sz w:val="24"/>
          <w:szCs w:val="24"/>
        </w:rPr>
        <w:t>enhanc</w:t>
      </w:r>
      <w:r w:rsidR="00AA0480">
        <w:rPr>
          <w:rFonts w:asciiTheme="majorHAnsi" w:hAnsiTheme="majorHAnsi" w:cstheme="majorHAnsi"/>
          <w:b/>
          <w:sz w:val="24"/>
          <w:szCs w:val="24"/>
        </w:rPr>
        <w:t>ing</w:t>
      </w:r>
      <w:r>
        <w:rPr>
          <w:rFonts w:asciiTheme="majorHAnsi" w:hAnsiTheme="majorHAnsi" w:cstheme="majorHAnsi"/>
          <w:b/>
          <w:sz w:val="24"/>
          <w:szCs w:val="24"/>
        </w:rPr>
        <w:t xml:space="preserve"> the </w:t>
      </w:r>
      <w:r w:rsidR="00436553">
        <w:rPr>
          <w:rFonts w:asciiTheme="majorHAnsi" w:hAnsiTheme="majorHAnsi" w:cstheme="majorHAnsi"/>
          <w:b/>
          <w:sz w:val="24"/>
          <w:szCs w:val="24"/>
        </w:rPr>
        <w:t xml:space="preserve">ability of SEZs to support a sustainable and inclusive economic growth in </w:t>
      </w:r>
      <w:r>
        <w:rPr>
          <w:rFonts w:asciiTheme="majorHAnsi" w:hAnsiTheme="majorHAnsi" w:cstheme="majorHAnsi"/>
          <w:b/>
          <w:sz w:val="24"/>
          <w:szCs w:val="24"/>
        </w:rPr>
        <w:t>the Dominican Republic</w:t>
      </w:r>
      <w:r w:rsidR="003B5148">
        <w:rPr>
          <w:rFonts w:asciiTheme="majorHAnsi" w:hAnsiTheme="majorHAnsi" w:cstheme="majorHAnsi"/>
          <w:b/>
          <w:sz w:val="24"/>
          <w:szCs w:val="24"/>
        </w:rPr>
        <w:t xml:space="preserve">. </w:t>
      </w:r>
      <w:r w:rsidR="003B5148">
        <w:rPr>
          <w:rFonts w:asciiTheme="majorHAnsi" w:hAnsiTheme="majorHAnsi" w:cstheme="majorHAnsi"/>
          <w:sz w:val="24"/>
          <w:szCs w:val="24"/>
        </w:rPr>
        <w:t>Policies aimed at encourag</w:t>
      </w:r>
      <w:r w:rsidR="00155766">
        <w:rPr>
          <w:rFonts w:asciiTheme="majorHAnsi" w:hAnsiTheme="majorHAnsi" w:cstheme="majorHAnsi"/>
          <w:sz w:val="24"/>
          <w:szCs w:val="24"/>
        </w:rPr>
        <w:t>ing</w:t>
      </w:r>
      <w:r w:rsidR="003B5148">
        <w:rPr>
          <w:rFonts w:asciiTheme="majorHAnsi" w:hAnsiTheme="majorHAnsi" w:cstheme="majorHAnsi"/>
          <w:sz w:val="24"/>
          <w:szCs w:val="24"/>
        </w:rPr>
        <w:t xml:space="preserve"> domestic linkages</w:t>
      </w:r>
      <w:r w:rsidR="003B5148" w:rsidRPr="00155766">
        <w:rPr>
          <w:rFonts w:asciiTheme="majorHAnsi" w:hAnsiTheme="majorHAnsi" w:cstheme="majorHAnsi"/>
          <w:sz w:val="24"/>
          <w:szCs w:val="24"/>
        </w:rPr>
        <w:t xml:space="preserve">, </w:t>
      </w:r>
      <w:r w:rsidR="00D72F5B" w:rsidRPr="00155766">
        <w:rPr>
          <w:rFonts w:asciiTheme="majorHAnsi" w:hAnsiTheme="majorHAnsi" w:cstheme="majorHAnsi"/>
          <w:sz w:val="24"/>
          <w:szCs w:val="24"/>
        </w:rPr>
        <w:t xml:space="preserve">developing </w:t>
      </w:r>
      <w:r w:rsidR="00155766" w:rsidRPr="00155766">
        <w:rPr>
          <w:rFonts w:asciiTheme="majorHAnsi" w:hAnsiTheme="majorHAnsi" w:cstheme="majorHAnsi"/>
          <w:sz w:val="24"/>
          <w:szCs w:val="24"/>
        </w:rPr>
        <w:t>labor adjustment assistance programs</w:t>
      </w:r>
      <w:r w:rsidR="003B5148" w:rsidRPr="00155766">
        <w:rPr>
          <w:rFonts w:asciiTheme="majorHAnsi" w:hAnsiTheme="majorHAnsi" w:cstheme="majorHAnsi"/>
          <w:sz w:val="24"/>
          <w:szCs w:val="24"/>
        </w:rPr>
        <w:t>,</w:t>
      </w:r>
      <w:r w:rsidR="003B5148">
        <w:rPr>
          <w:rFonts w:asciiTheme="majorHAnsi" w:hAnsiTheme="majorHAnsi" w:cstheme="majorHAnsi"/>
          <w:sz w:val="24"/>
          <w:szCs w:val="24"/>
        </w:rPr>
        <w:t xml:space="preserve"> and improvement</w:t>
      </w:r>
      <w:r w:rsidR="00155766">
        <w:rPr>
          <w:rFonts w:asciiTheme="majorHAnsi" w:hAnsiTheme="majorHAnsi" w:cstheme="majorHAnsi"/>
          <w:sz w:val="24"/>
          <w:szCs w:val="24"/>
        </w:rPr>
        <w:t>s</w:t>
      </w:r>
      <w:r w:rsidR="003B5148">
        <w:rPr>
          <w:rFonts w:asciiTheme="majorHAnsi" w:hAnsiTheme="majorHAnsi" w:cstheme="majorHAnsi"/>
          <w:sz w:val="24"/>
          <w:szCs w:val="24"/>
        </w:rPr>
        <w:t xml:space="preserve"> around the </w:t>
      </w:r>
      <w:r w:rsidR="00F652A3">
        <w:rPr>
          <w:rFonts w:asciiTheme="majorHAnsi" w:hAnsiTheme="majorHAnsi" w:cstheme="majorHAnsi"/>
          <w:sz w:val="24"/>
          <w:szCs w:val="24"/>
        </w:rPr>
        <w:t xml:space="preserve">institutional framework supporting export competitiveness and FDI attraction </w:t>
      </w:r>
      <w:r w:rsidR="003B5148">
        <w:rPr>
          <w:rFonts w:asciiTheme="majorHAnsi" w:hAnsiTheme="majorHAnsi" w:cstheme="majorHAnsi"/>
          <w:sz w:val="24"/>
          <w:szCs w:val="24"/>
        </w:rPr>
        <w:t>should be prioritized</w:t>
      </w:r>
      <w:r w:rsidR="00A15487">
        <w:rPr>
          <w:rFonts w:asciiTheme="majorHAnsi" w:hAnsiTheme="majorHAnsi" w:cstheme="majorHAnsi"/>
          <w:b/>
          <w:sz w:val="24"/>
          <w:szCs w:val="24"/>
        </w:rPr>
        <w:t>.</w:t>
      </w:r>
      <w:r w:rsidR="003B5148">
        <w:rPr>
          <w:rFonts w:asciiTheme="majorHAnsi" w:hAnsiTheme="majorHAnsi" w:cstheme="majorHAnsi"/>
          <w:sz w:val="24"/>
          <w:szCs w:val="24"/>
        </w:rPr>
        <w:t xml:space="preserve"> T</w:t>
      </w:r>
      <w:r w:rsidR="008C1266">
        <w:rPr>
          <w:rFonts w:asciiTheme="majorHAnsi" w:hAnsiTheme="majorHAnsi" w:cstheme="majorHAnsi"/>
          <w:sz w:val="24"/>
          <w:szCs w:val="24"/>
        </w:rPr>
        <w:t xml:space="preserve">he first set of policies includes </w:t>
      </w:r>
      <w:r w:rsidR="00765067">
        <w:rPr>
          <w:rFonts w:asciiTheme="majorHAnsi" w:hAnsiTheme="majorHAnsi" w:cstheme="majorHAnsi"/>
          <w:sz w:val="24"/>
          <w:szCs w:val="24"/>
        </w:rPr>
        <w:t xml:space="preserve">the creation of a suppliers’ database, </w:t>
      </w:r>
      <w:r w:rsidR="00155766">
        <w:rPr>
          <w:rFonts w:asciiTheme="majorHAnsi" w:hAnsiTheme="majorHAnsi" w:cstheme="majorHAnsi"/>
          <w:sz w:val="24"/>
          <w:szCs w:val="24"/>
        </w:rPr>
        <w:t>matchmaking</w:t>
      </w:r>
      <w:r w:rsidR="008C1266">
        <w:rPr>
          <w:rFonts w:asciiTheme="majorHAnsi" w:hAnsiTheme="majorHAnsi" w:cstheme="majorHAnsi"/>
          <w:sz w:val="24"/>
          <w:szCs w:val="24"/>
        </w:rPr>
        <w:t xml:space="preserve"> </w:t>
      </w:r>
      <w:r w:rsidR="00765067">
        <w:rPr>
          <w:rFonts w:asciiTheme="majorHAnsi" w:hAnsiTheme="majorHAnsi" w:cstheme="majorHAnsi"/>
          <w:sz w:val="24"/>
          <w:szCs w:val="24"/>
        </w:rPr>
        <w:t>events</w:t>
      </w:r>
      <w:r w:rsidR="008C1266">
        <w:rPr>
          <w:rFonts w:asciiTheme="majorHAnsi" w:hAnsiTheme="majorHAnsi" w:cstheme="majorHAnsi"/>
          <w:sz w:val="24"/>
          <w:szCs w:val="24"/>
        </w:rPr>
        <w:t xml:space="preserve">, the creation of </w:t>
      </w:r>
      <w:r w:rsidR="00765067">
        <w:rPr>
          <w:rFonts w:asciiTheme="majorHAnsi" w:hAnsiTheme="majorHAnsi" w:cstheme="majorHAnsi"/>
          <w:sz w:val="24"/>
          <w:szCs w:val="24"/>
        </w:rPr>
        <w:t xml:space="preserve">local </w:t>
      </w:r>
      <w:r w:rsidR="008C1266">
        <w:rPr>
          <w:rFonts w:asciiTheme="majorHAnsi" w:hAnsiTheme="majorHAnsi" w:cstheme="majorHAnsi"/>
          <w:sz w:val="24"/>
          <w:szCs w:val="24"/>
        </w:rPr>
        <w:t xml:space="preserve">clusters </w:t>
      </w:r>
      <w:r w:rsidR="00765067">
        <w:rPr>
          <w:rFonts w:asciiTheme="majorHAnsi" w:hAnsiTheme="majorHAnsi" w:cstheme="majorHAnsi"/>
          <w:sz w:val="24"/>
          <w:szCs w:val="24"/>
        </w:rPr>
        <w:t xml:space="preserve">around the parks, </w:t>
      </w:r>
      <w:r w:rsidR="000F0F62">
        <w:rPr>
          <w:rFonts w:asciiTheme="majorHAnsi" w:hAnsiTheme="majorHAnsi" w:cstheme="majorHAnsi"/>
          <w:sz w:val="24"/>
          <w:szCs w:val="24"/>
        </w:rPr>
        <w:t xml:space="preserve">the design of FDI incentives that reward </w:t>
      </w:r>
      <w:r w:rsidR="00CA3845">
        <w:rPr>
          <w:rFonts w:asciiTheme="majorHAnsi" w:hAnsiTheme="majorHAnsi" w:cstheme="majorHAnsi"/>
          <w:sz w:val="24"/>
          <w:szCs w:val="24"/>
        </w:rPr>
        <w:t xml:space="preserve">domestic sourcing, </w:t>
      </w:r>
      <w:r w:rsidR="00765067">
        <w:rPr>
          <w:rFonts w:asciiTheme="majorHAnsi" w:hAnsiTheme="majorHAnsi" w:cstheme="majorHAnsi"/>
          <w:sz w:val="24"/>
          <w:szCs w:val="24"/>
        </w:rPr>
        <w:t>and the removal of both formal and informal regulatory barriers for supplying SEZs firms from the domestic territory</w:t>
      </w:r>
      <w:r w:rsidR="008C1266">
        <w:rPr>
          <w:rFonts w:asciiTheme="majorHAnsi" w:hAnsiTheme="majorHAnsi" w:cstheme="majorHAnsi"/>
          <w:sz w:val="24"/>
          <w:szCs w:val="24"/>
        </w:rPr>
        <w:t>. The second set of policies include</w:t>
      </w:r>
      <w:r w:rsidR="00436553">
        <w:rPr>
          <w:rFonts w:asciiTheme="majorHAnsi" w:hAnsiTheme="majorHAnsi" w:cstheme="majorHAnsi"/>
          <w:sz w:val="24"/>
          <w:szCs w:val="24"/>
        </w:rPr>
        <w:t>s</w:t>
      </w:r>
      <w:r w:rsidR="008C1266">
        <w:rPr>
          <w:rFonts w:asciiTheme="majorHAnsi" w:hAnsiTheme="majorHAnsi" w:cstheme="majorHAnsi"/>
          <w:sz w:val="24"/>
          <w:szCs w:val="24"/>
        </w:rPr>
        <w:t xml:space="preserve"> </w:t>
      </w:r>
      <w:r w:rsidR="00F00DC8" w:rsidRPr="00B155ED">
        <w:rPr>
          <w:rFonts w:asciiTheme="majorHAnsi" w:hAnsiTheme="majorHAnsi" w:cstheme="majorHAnsi"/>
          <w:sz w:val="24"/>
          <w:szCs w:val="24"/>
        </w:rPr>
        <w:t>vocational training</w:t>
      </w:r>
      <w:r w:rsidR="00F00DC8">
        <w:rPr>
          <w:rFonts w:asciiTheme="majorHAnsi" w:hAnsiTheme="majorHAnsi" w:cstheme="majorHAnsi"/>
          <w:sz w:val="24"/>
          <w:szCs w:val="24"/>
        </w:rPr>
        <w:t xml:space="preserve"> in new skills demanded by SEZ firms</w:t>
      </w:r>
      <w:r w:rsidR="00F00DC8" w:rsidRPr="00B155ED">
        <w:rPr>
          <w:rFonts w:asciiTheme="majorHAnsi" w:hAnsiTheme="majorHAnsi" w:cstheme="majorHAnsi"/>
          <w:sz w:val="24"/>
          <w:szCs w:val="24"/>
        </w:rPr>
        <w:t xml:space="preserve">, job search assistance, and transitional income support. </w:t>
      </w:r>
      <w:r w:rsidR="002B2C91">
        <w:rPr>
          <w:rFonts w:asciiTheme="majorHAnsi" w:hAnsiTheme="majorHAnsi" w:cstheme="majorHAnsi"/>
          <w:sz w:val="24"/>
          <w:szCs w:val="24"/>
        </w:rPr>
        <w:t xml:space="preserve">The exact intervention should be carefully crafted to maximize limited fiscal resources and, ideally, </w:t>
      </w:r>
      <w:r w:rsidR="00365E01">
        <w:rPr>
          <w:rFonts w:asciiTheme="majorHAnsi" w:hAnsiTheme="majorHAnsi" w:cstheme="majorHAnsi"/>
          <w:sz w:val="24"/>
          <w:szCs w:val="24"/>
        </w:rPr>
        <w:t xml:space="preserve">be </w:t>
      </w:r>
      <w:r w:rsidR="002B2C91">
        <w:rPr>
          <w:rFonts w:asciiTheme="majorHAnsi" w:hAnsiTheme="majorHAnsi" w:cstheme="majorHAnsi"/>
          <w:sz w:val="24"/>
          <w:szCs w:val="24"/>
        </w:rPr>
        <w:t xml:space="preserve">cost-shared </w:t>
      </w:r>
      <w:r w:rsidR="00C60C40">
        <w:rPr>
          <w:rFonts w:asciiTheme="majorHAnsi" w:hAnsiTheme="majorHAnsi" w:cstheme="majorHAnsi"/>
          <w:sz w:val="24"/>
          <w:szCs w:val="24"/>
        </w:rPr>
        <w:t xml:space="preserve">with workers and employers. </w:t>
      </w:r>
      <w:r w:rsidR="00765067">
        <w:rPr>
          <w:rFonts w:asciiTheme="majorHAnsi" w:hAnsiTheme="majorHAnsi" w:cstheme="majorHAnsi"/>
          <w:sz w:val="24"/>
          <w:szCs w:val="24"/>
        </w:rPr>
        <w:t xml:space="preserve">The third set of policies includes </w:t>
      </w:r>
      <w:r w:rsidR="00F652A3">
        <w:rPr>
          <w:rFonts w:asciiTheme="majorHAnsi" w:hAnsiTheme="majorHAnsi" w:cstheme="majorHAnsi"/>
          <w:sz w:val="24"/>
          <w:szCs w:val="24"/>
        </w:rPr>
        <w:t xml:space="preserve">a regulatory and institutional revision of the support framework to encourage consistency and coordination across both </w:t>
      </w:r>
      <w:r w:rsidR="00F810C2">
        <w:rPr>
          <w:rFonts w:asciiTheme="majorHAnsi" w:hAnsiTheme="majorHAnsi" w:cstheme="majorHAnsi"/>
          <w:sz w:val="24"/>
          <w:szCs w:val="24"/>
        </w:rPr>
        <w:t xml:space="preserve">the </w:t>
      </w:r>
      <w:r w:rsidR="00F652A3">
        <w:rPr>
          <w:rFonts w:asciiTheme="majorHAnsi" w:hAnsiTheme="majorHAnsi" w:cstheme="majorHAnsi"/>
          <w:sz w:val="24"/>
          <w:szCs w:val="24"/>
        </w:rPr>
        <w:t xml:space="preserve">public and </w:t>
      </w:r>
      <w:r w:rsidR="00F810C2">
        <w:rPr>
          <w:rFonts w:asciiTheme="majorHAnsi" w:hAnsiTheme="majorHAnsi" w:cstheme="majorHAnsi"/>
          <w:sz w:val="24"/>
          <w:szCs w:val="24"/>
        </w:rPr>
        <w:t xml:space="preserve">the </w:t>
      </w:r>
      <w:r w:rsidR="00F652A3">
        <w:rPr>
          <w:rFonts w:asciiTheme="majorHAnsi" w:hAnsiTheme="majorHAnsi" w:cstheme="majorHAnsi"/>
          <w:sz w:val="24"/>
          <w:szCs w:val="24"/>
        </w:rPr>
        <w:t>private actors involved in promoting SEZs</w:t>
      </w:r>
      <w:r w:rsidR="00765067">
        <w:rPr>
          <w:rFonts w:asciiTheme="majorHAnsi" w:hAnsiTheme="majorHAnsi" w:cstheme="majorHAnsi"/>
          <w:sz w:val="24"/>
          <w:szCs w:val="24"/>
        </w:rPr>
        <w:t xml:space="preserve">. Finally, a robust cost-benefit analysis of the role of </w:t>
      </w:r>
      <w:r w:rsidR="00765067" w:rsidRPr="00765067">
        <w:rPr>
          <w:rFonts w:asciiTheme="majorHAnsi" w:hAnsiTheme="majorHAnsi" w:cstheme="majorHAnsi"/>
          <w:sz w:val="24"/>
          <w:szCs w:val="24"/>
        </w:rPr>
        <w:t>SEZs in terms of economic outcomes (jobs, domestic linkages, etc.) and forgone tax revenue</w:t>
      </w:r>
      <w:r w:rsidR="00765067">
        <w:rPr>
          <w:rFonts w:asciiTheme="majorHAnsi" w:hAnsiTheme="majorHAnsi" w:cstheme="majorHAnsi"/>
          <w:sz w:val="24"/>
          <w:szCs w:val="24"/>
        </w:rPr>
        <w:t xml:space="preserve"> </w:t>
      </w:r>
      <w:r w:rsidR="00F652A3">
        <w:rPr>
          <w:rFonts w:asciiTheme="majorHAnsi" w:hAnsiTheme="majorHAnsi" w:cstheme="majorHAnsi"/>
          <w:sz w:val="24"/>
          <w:szCs w:val="24"/>
        </w:rPr>
        <w:t>would help to inform the policy debate</w:t>
      </w:r>
      <w:r w:rsidR="00765067">
        <w:rPr>
          <w:rFonts w:asciiTheme="majorHAnsi" w:hAnsiTheme="majorHAnsi" w:cstheme="majorHAnsi"/>
          <w:sz w:val="24"/>
          <w:szCs w:val="24"/>
        </w:rPr>
        <w:t>. While the current administration is already implementing some of these recommendation</w:t>
      </w:r>
      <w:r w:rsidR="008F1F8B">
        <w:rPr>
          <w:rFonts w:asciiTheme="majorHAnsi" w:hAnsiTheme="majorHAnsi" w:cstheme="majorHAnsi"/>
          <w:sz w:val="24"/>
          <w:szCs w:val="24"/>
        </w:rPr>
        <w:t>s</w:t>
      </w:r>
      <w:r w:rsidR="00765067">
        <w:rPr>
          <w:rFonts w:asciiTheme="majorHAnsi" w:hAnsiTheme="majorHAnsi" w:cstheme="majorHAnsi"/>
          <w:sz w:val="24"/>
          <w:szCs w:val="24"/>
        </w:rPr>
        <w:t xml:space="preserve"> (mainly on promoting </w:t>
      </w:r>
      <w:r w:rsidR="00F652A3">
        <w:rPr>
          <w:rFonts w:asciiTheme="majorHAnsi" w:hAnsiTheme="majorHAnsi" w:cstheme="majorHAnsi"/>
          <w:sz w:val="24"/>
          <w:szCs w:val="24"/>
        </w:rPr>
        <w:t xml:space="preserve">domestic </w:t>
      </w:r>
      <w:r w:rsidR="00765067">
        <w:rPr>
          <w:rFonts w:asciiTheme="majorHAnsi" w:hAnsiTheme="majorHAnsi" w:cstheme="majorHAnsi"/>
          <w:sz w:val="24"/>
          <w:szCs w:val="24"/>
        </w:rPr>
        <w:t>linkages), these efforts should be deepen</w:t>
      </w:r>
      <w:r w:rsidR="00D14F09">
        <w:rPr>
          <w:rFonts w:asciiTheme="majorHAnsi" w:hAnsiTheme="majorHAnsi" w:cstheme="majorHAnsi"/>
          <w:sz w:val="24"/>
          <w:szCs w:val="24"/>
        </w:rPr>
        <w:t>ed</w:t>
      </w:r>
      <w:r w:rsidR="00765067" w:rsidRPr="00765067">
        <w:rPr>
          <w:rFonts w:asciiTheme="majorHAnsi" w:hAnsiTheme="majorHAnsi" w:cstheme="majorHAnsi"/>
          <w:sz w:val="24"/>
          <w:szCs w:val="24"/>
        </w:rPr>
        <w:t>.</w:t>
      </w:r>
    </w:p>
    <w:p w14:paraId="4C30180E" w14:textId="66655CCC" w:rsidR="00A15487" w:rsidRPr="00A15487" w:rsidRDefault="00765067" w:rsidP="00D341EE">
      <w:pPr>
        <w:spacing w:before="240" w:line="276" w:lineRule="auto"/>
        <w:jc w:val="both"/>
        <w:rPr>
          <w:rFonts w:asciiTheme="majorHAnsi" w:hAnsiTheme="majorHAnsi" w:cstheme="majorHAnsi"/>
          <w:sz w:val="24"/>
          <w:szCs w:val="24"/>
        </w:rPr>
      </w:pPr>
      <w:r>
        <w:rPr>
          <w:rFonts w:asciiTheme="majorHAnsi" w:hAnsiTheme="majorHAnsi" w:cstheme="majorHAnsi"/>
          <w:sz w:val="24"/>
          <w:szCs w:val="24"/>
        </w:rPr>
        <w:t xml:space="preserve">The report is organized as follows: The second section </w:t>
      </w:r>
      <w:r w:rsidR="00B618CC">
        <w:rPr>
          <w:rFonts w:asciiTheme="majorHAnsi" w:hAnsiTheme="majorHAnsi" w:cstheme="majorHAnsi"/>
          <w:sz w:val="24"/>
          <w:szCs w:val="24"/>
        </w:rPr>
        <w:t>presents the historical importance of SEZ as an engine of economic growth in the country. The third section depicts the structural shift in terms of production in SEZs and evaluate</w:t>
      </w:r>
      <w:r w:rsidR="005013C1">
        <w:rPr>
          <w:rFonts w:asciiTheme="majorHAnsi" w:hAnsiTheme="majorHAnsi" w:cstheme="majorHAnsi"/>
          <w:sz w:val="24"/>
          <w:szCs w:val="24"/>
        </w:rPr>
        <w:t>s</w:t>
      </w:r>
      <w:r w:rsidR="00B618CC">
        <w:rPr>
          <w:rFonts w:asciiTheme="majorHAnsi" w:hAnsiTheme="majorHAnsi" w:cstheme="majorHAnsi"/>
          <w:sz w:val="24"/>
          <w:szCs w:val="24"/>
        </w:rPr>
        <w:t xml:space="preserve"> the degree of value addition tak</w:t>
      </w:r>
      <w:r w:rsidR="005013C1">
        <w:rPr>
          <w:rFonts w:asciiTheme="majorHAnsi" w:hAnsiTheme="majorHAnsi" w:cstheme="majorHAnsi"/>
          <w:sz w:val="24"/>
          <w:szCs w:val="24"/>
        </w:rPr>
        <w:t>ing</w:t>
      </w:r>
      <w:r w:rsidR="00B618CC">
        <w:rPr>
          <w:rFonts w:asciiTheme="majorHAnsi" w:hAnsiTheme="majorHAnsi" w:cstheme="majorHAnsi"/>
          <w:sz w:val="24"/>
          <w:szCs w:val="24"/>
        </w:rPr>
        <w:t xml:space="preserve"> place in the Dominica</w:t>
      </w:r>
      <w:r w:rsidR="00FE5896">
        <w:rPr>
          <w:rFonts w:asciiTheme="majorHAnsi" w:hAnsiTheme="majorHAnsi" w:cstheme="majorHAnsi"/>
          <w:sz w:val="24"/>
          <w:szCs w:val="24"/>
        </w:rPr>
        <w:t>n</w:t>
      </w:r>
      <w:r w:rsidR="00B618CC">
        <w:rPr>
          <w:rFonts w:asciiTheme="majorHAnsi" w:hAnsiTheme="majorHAnsi" w:cstheme="majorHAnsi"/>
          <w:sz w:val="24"/>
          <w:szCs w:val="24"/>
        </w:rPr>
        <w:t xml:space="preserve"> Republic. The fourth section </w:t>
      </w:r>
      <w:r w:rsidR="00487EF5">
        <w:rPr>
          <w:rFonts w:asciiTheme="majorHAnsi" w:hAnsiTheme="majorHAnsi" w:cstheme="majorHAnsi"/>
          <w:sz w:val="24"/>
          <w:szCs w:val="24"/>
        </w:rPr>
        <w:t>evaluates the degree and evolution of linkages between SEZs and local firms.</w:t>
      </w:r>
      <w:r w:rsidR="00B618CC">
        <w:rPr>
          <w:rFonts w:asciiTheme="majorHAnsi" w:hAnsiTheme="majorHAnsi" w:cstheme="majorHAnsi"/>
          <w:sz w:val="24"/>
          <w:szCs w:val="24"/>
        </w:rPr>
        <w:t xml:space="preserve"> The fifth section </w:t>
      </w:r>
      <w:r w:rsidR="00487EF5">
        <w:rPr>
          <w:rFonts w:asciiTheme="majorHAnsi" w:hAnsiTheme="majorHAnsi" w:cstheme="majorHAnsi"/>
          <w:sz w:val="24"/>
          <w:szCs w:val="24"/>
        </w:rPr>
        <w:t xml:space="preserve">shows the impact of the regulatory changes in the SEZ regimen undertaken to comply with WTO disciplines. </w:t>
      </w:r>
      <w:r w:rsidR="00B618CC">
        <w:rPr>
          <w:rFonts w:asciiTheme="majorHAnsi" w:hAnsiTheme="majorHAnsi" w:cstheme="majorHAnsi"/>
          <w:sz w:val="24"/>
          <w:szCs w:val="24"/>
        </w:rPr>
        <w:t xml:space="preserve">Finally, some conclusions and policy recommendations are </w:t>
      </w:r>
      <w:r w:rsidR="005013C1">
        <w:rPr>
          <w:rFonts w:asciiTheme="majorHAnsi" w:hAnsiTheme="majorHAnsi" w:cstheme="majorHAnsi"/>
          <w:sz w:val="24"/>
          <w:szCs w:val="24"/>
        </w:rPr>
        <w:t xml:space="preserve">presented </w:t>
      </w:r>
      <w:r w:rsidR="00B618CC">
        <w:rPr>
          <w:rFonts w:asciiTheme="majorHAnsi" w:hAnsiTheme="majorHAnsi" w:cstheme="majorHAnsi"/>
          <w:sz w:val="24"/>
          <w:szCs w:val="24"/>
        </w:rPr>
        <w:t>in section six.</w:t>
      </w:r>
    </w:p>
    <w:p w14:paraId="00308EA8" w14:textId="77777777" w:rsidR="00451406" w:rsidRDefault="00451406">
      <w:pPr>
        <w:spacing w:after="200" w:line="276" w:lineRule="auto"/>
        <w:jc w:val="both"/>
        <w:rPr>
          <w:rFonts w:asciiTheme="majorHAnsi" w:hAnsiTheme="majorHAnsi" w:cstheme="majorHAnsi"/>
          <w:b/>
          <w:spacing w:val="5"/>
          <w:sz w:val="32"/>
          <w:szCs w:val="32"/>
        </w:rPr>
      </w:pPr>
      <w:r>
        <w:rPr>
          <w:rFonts w:asciiTheme="majorHAnsi" w:hAnsiTheme="majorHAnsi" w:cstheme="majorHAnsi"/>
        </w:rPr>
        <w:br w:type="page"/>
      </w:r>
    </w:p>
    <w:p w14:paraId="61DD7CF3" w14:textId="2CACDC2F" w:rsidR="007132DA" w:rsidRPr="0063779B" w:rsidRDefault="00AA4470" w:rsidP="004444EC">
      <w:pPr>
        <w:pStyle w:val="Heading1"/>
        <w:spacing w:after="240"/>
        <w:rPr>
          <w:rFonts w:asciiTheme="majorHAnsi" w:hAnsiTheme="majorHAnsi" w:cstheme="majorHAnsi"/>
        </w:rPr>
      </w:pPr>
      <w:bookmarkStart w:id="2" w:name="_Toc461524378"/>
      <w:r w:rsidRPr="0063779B">
        <w:rPr>
          <w:rFonts w:asciiTheme="majorHAnsi" w:hAnsiTheme="majorHAnsi" w:cstheme="majorHAnsi"/>
        </w:rPr>
        <w:lastRenderedPageBreak/>
        <w:t xml:space="preserve">A </w:t>
      </w:r>
      <w:r w:rsidR="00B94AEA">
        <w:rPr>
          <w:rFonts w:asciiTheme="majorHAnsi" w:hAnsiTheme="majorHAnsi" w:cstheme="majorHAnsi"/>
        </w:rPr>
        <w:t>C</w:t>
      </w:r>
      <w:r w:rsidRPr="0063779B">
        <w:rPr>
          <w:rFonts w:asciiTheme="majorHAnsi" w:hAnsiTheme="majorHAnsi" w:cstheme="majorHAnsi"/>
        </w:rPr>
        <w:t xml:space="preserve">ountry </w:t>
      </w:r>
      <w:r w:rsidR="00B94AEA">
        <w:rPr>
          <w:rFonts w:asciiTheme="majorHAnsi" w:hAnsiTheme="majorHAnsi" w:cstheme="majorHAnsi"/>
        </w:rPr>
        <w:t>R</w:t>
      </w:r>
      <w:r w:rsidR="0004184B" w:rsidRPr="0063779B">
        <w:rPr>
          <w:rFonts w:asciiTheme="majorHAnsi" w:hAnsiTheme="majorHAnsi" w:cstheme="majorHAnsi"/>
        </w:rPr>
        <w:t>unning</w:t>
      </w:r>
      <w:r w:rsidRPr="0063779B">
        <w:rPr>
          <w:rFonts w:asciiTheme="majorHAnsi" w:hAnsiTheme="majorHAnsi" w:cstheme="majorHAnsi"/>
        </w:rPr>
        <w:t xml:space="preserve"> on the </w:t>
      </w:r>
      <w:r w:rsidR="00747759">
        <w:rPr>
          <w:rFonts w:asciiTheme="majorHAnsi" w:hAnsiTheme="majorHAnsi" w:cstheme="majorHAnsi"/>
        </w:rPr>
        <w:t xml:space="preserve">Engine </w:t>
      </w:r>
      <w:r w:rsidRPr="0063779B">
        <w:rPr>
          <w:rFonts w:asciiTheme="majorHAnsi" w:hAnsiTheme="majorHAnsi" w:cstheme="majorHAnsi"/>
        </w:rPr>
        <w:t xml:space="preserve">of </w:t>
      </w:r>
      <w:r w:rsidR="00E54C48">
        <w:rPr>
          <w:rFonts w:asciiTheme="majorHAnsi" w:hAnsiTheme="majorHAnsi" w:cstheme="majorHAnsi"/>
        </w:rPr>
        <w:t xml:space="preserve">its </w:t>
      </w:r>
      <w:r w:rsidRPr="0063779B">
        <w:rPr>
          <w:rFonts w:asciiTheme="majorHAnsi" w:hAnsiTheme="majorHAnsi" w:cstheme="majorHAnsi"/>
        </w:rPr>
        <w:t>Special Economic Zones</w:t>
      </w:r>
      <w:bookmarkEnd w:id="2"/>
    </w:p>
    <w:p w14:paraId="090F5FC8" w14:textId="1F350DFA" w:rsidR="00162C23" w:rsidRPr="00B04A0A" w:rsidRDefault="00326537" w:rsidP="002C24AF">
      <w:pPr>
        <w:spacing w:line="276" w:lineRule="auto"/>
        <w:jc w:val="both"/>
        <w:rPr>
          <w:rFonts w:asciiTheme="majorHAnsi" w:hAnsiTheme="majorHAnsi" w:cstheme="majorHAnsi"/>
          <w:sz w:val="24"/>
          <w:szCs w:val="24"/>
        </w:rPr>
      </w:pPr>
      <w:r>
        <w:rPr>
          <w:rFonts w:asciiTheme="majorHAnsi" w:hAnsiTheme="majorHAnsi" w:cstheme="majorHAnsi"/>
          <w:b/>
          <w:sz w:val="24"/>
          <w:szCs w:val="24"/>
        </w:rPr>
        <w:t xml:space="preserve">SEZs </w:t>
      </w:r>
      <w:r w:rsidR="00B04A0A">
        <w:rPr>
          <w:rFonts w:asciiTheme="majorHAnsi" w:hAnsiTheme="majorHAnsi" w:cstheme="majorHAnsi"/>
          <w:b/>
          <w:sz w:val="24"/>
          <w:szCs w:val="24"/>
        </w:rPr>
        <w:t xml:space="preserve">are </w:t>
      </w:r>
      <w:r w:rsidR="00E74416">
        <w:rPr>
          <w:rFonts w:asciiTheme="majorHAnsi" w:hAnsiTheme="majorHAnsi" w:cstheme="majorHAnsi"/>
          <w:b/>
          <w:sz w:val="24"/>
          <w:szCs w:val="24"/>
        </w:rPr>
        <w:t xml:space="preserve">geographically </w:t>
      </w:r>
      <w:r w:rsidR="00B04A0A" w:rsidRPr="00B04A0A">
        <w:rPr>
          <w:rFonts w:asciiTheme="majorHAnsi" w:hAnsiTheme="majorHAnsi" w:cstheme="majorHAnsi"/>
          <w:b/>
          <w:sz w:val="24"/>
          <w:szCs w:val="24"/>
        </w:rPr>
        <w:t>bounded areas in which customs, tax and investment regulations are more liberal than in the rest of the country</w:t>
      </w:r>
      <w:r w:rsidR="00B04A0A">
        <w:rPr>
          <w:rFonts w:asciiTheme="majorHAnsi" w:hAnsiTheme="majorHAnsi" w:cstheme="majorHAnsi"/>
          <w:b/>
          <w:sz w:val="24"/>
          <w:szCs w:val="24"/>
        </w:rPr>
        <w:t>.</w:t>
      </w:r>
      <w:r w:rsidR="00B04A0A">
        <w:rPr>
          <w:rFonts w:asciiTheme="majorHAnsi" w:hAnsiTheme="majorHAnsi" w:cstheme="majorHAnsi"/>
          <w:sz w:val="24"/>
          <w:szCs w:val="24"/>
        </w:rPr>
        <w:t xml:space="preserve"> These zones are normally established with the goal of attract</w:t>
      </w:r>
      <w:r w:rsidR="004444EC">
        <w:rPr>
          <w:rFonts w:asciiTheme="majorHAnsi" w:hAnsiTheme="majorHAnsi" w:cstheme="majorHAnsi"/>
          <w:sz w:val="24"/>
          <w:szCs w:val="24"/>
        </w:rPr>
        <w:t>ing</w:t>
      </w:r>
      <w:r w:rsidR="00B04A0A">
        <w:rPr>
          <w:rFonts w:asciiTheme="majorHAnsi" w:hAnsiTheme="majorHAnsi" w:cstheme="majorHAnsi"/>
          <w:sz w:val="24"/>
          <w:szCs w:val="24"/>
        </w:rPr>
        <w:t xml:space="preserve"> foreign direct investment (FDI), </w:t>
      </w:r>
      <w:r w:rsidR="004444EC">
        <w:rPr>
          <w:rFonts w:asciiTheme="majorHAnsi" w:hAnsiTheme="majorHAnsi" w:cstheme="majorHAnsi"/>
          <w:sz w:val="24"/>
          <w:szCs w:val="24"/>
        </w:rPr>
        <w:t xml:space="preserve">serving </w:t>
      </w:r>
      <w:r w:rsidR="00B04A0A">
        <w:rPr>
          <w:rFonts w:asciiTheme="majorHAnsi" w:hAnsiTheme="majorHAnsi" w:cstheme="majorHAnsi"/>
          <w:sz w:val="24"/>
          <w:szCs w:val="24"/>
        </w:rPr>
        <w:t xml:space="preserve">as pressure valves to alleviate large-scale unemployment, </w:t>
      </w:r>
      <w:r w:rsidR="004444EC">
        <w:rPr>
          <w:rFonts w:asciiTheme="majorHAnsi" w:hAnsiTheme="majorHAnsi" w:cstheme="majorHAnsi"/>
          <w:sz w:val="24"/>
          <w:szCs w:val="24"/>
        </w:rPr>
        <w:t>promot</w:t>
      </w:r>
      <w:r w:rsidR="00E54C48">
        <w:rPr>
          <w:rFonts w:asciiTheme="majorHAnsi" w:hAnsiTheme="majorHAnsi" w:cstheme="majorHAnsi"/>
          <w:sz w:val="24"/>
          <w:szCs w:val="24"/>
        </w:rPr>
        <w:t>e</w:t>
      </w:r>
      <w:r w:rsidR="004444EC">
        <w:rPr>
          <w:rFonts w:asciiTheme="majorHAnsi" w:hAnsiTheme="majorHAnsi" w:cstheme="majorHAnsi"/>
          <w:sz w:val="24"/>
          <w:szCs w:val="24"/>
        </w:rPr>
        <w:t xml:space="preserve"> </w:t>
      </w:r>
      <w:r w:rsidR="00B04A0A">
        <w:rPr>
          <w:rFonts w:asciiTheme="majorHAnsi" w:hAnsiTheme="majorHAnsi" w:cstheme="majorHAnsi"/>
          <w:sz w:val="24"/>
          <w:szCs w:val="24"/>
        </w:rPr>
        <w:t>exports, and support wider economic reform</w:t>
      </w:r>
      <w:r w:rsidR="00E54C48">
        <w:rPr>
          <w:rFonts w:asciiTheme="majorHAnsi" w:hAnsiTheme="majorHAnsi" w:cstheme="majorHAnsi"/>
          <w:sz w:val="24"/>
          <w:szCs w:val="24"/>
        </w:rPr>
        <w:t>s aimed at</w:t>
      </w:r>
      <w:r w:rsidR="00B04A0A">
        <w:rPr>
          <w:rFonts w:asciiTheme="majorHAnsi" w:hAnsiTheme="majorHAnsi" w:cstheme="majorHAnsi"/>
          <w:sz w:val="24"/>
          <w:szCs w:val="24"/>
        </w:rPr>
        <w:t xml:space="preserve"> </w:t>
      </w:r>
      <w:r w:rsidR="006F3F9A">
        <w:rPr>
          <w:rFonts w:asciiTheme="majorHAnsi" w:hAnsiTheme="majorHAnsi" w:cstheme="majorHAnsi"/>
          <w:sz w:val="24"/>
          <w:szCs w:val="24"/>
        </w:rPr>
        <w:t>diversify</w:t>
      </w:r>
      <w:r w:rsidR="00E54C48">
        <w:rPr>
          <w:rFonts w:asciiTheme="majorHAnsi" w:hAnsiTheme="majorHAnsi" w:cstheme="majorHAnsi"/>
          <w:sz w:val="24"/>
          <w:szCs w:val="24"/>
        </w:rPr>
        <w:t>ing</w:t>
      </w:r>
      <w:r w:rsidR="006F3F9A">
        <w:rPr>
          <w:rFonts w:asciiTheme="majorHAnsi" w:hAnsiTheme="majorHAnsi" w:cstheme="majorHAnsi"/>
          <w:sz w:val="24"/>
          <w:szCs w:val="24"/>
        </w:rPr>
        <w:t xml:space="preserve"> production</w:t>
      </w:r>
      <w:r w:rsidR="00B04A0A">
        <w:rPr>
          <w:rFonts w:asciiTheme="majorHAnsi" w:hAnsiTheme="majorHAnsi" w:cstheme="majorHAnsi"/>
          <w:sz w:val="24"/>
          <w:szCs w:val="24"/>
        </w:rPr>
        <w:t xml:space="preserve"> </w:t>
      </w:r>
      <w:r w:rsidR="00B04A0A" w:rsidRPr="00B04A0A">
        <w:rPr>
          <w:rFonts w:asciiTheme="majorHAnsi" w:hAnsiTheme="majorHAnsi" w:cstheme="majorHAnsi"/>
          <w:sz w:val="24"/>
          <w:szCs w:val="24"/>
        </w:rPr>
        <w:t xml:space="preserve">(Farole and Akinci 2011). </w:t>
      </w:r>
      <w:r w:rsidR="00BB328C">
        <w:rPr>
          <w:rFonts w:asciiTheme="majorHAnsi" w:hAnsiTheme="majorHAnsi" w:cstheme="majorHAnsi"/>
          <w:sz w:val="24"/>
          <w:szCs w:val="24"/>
        </w:rPr>
        <w:t xml:space="preserve">SEZs are pervasive across the developing world and their </w:t>
      </w:r>
      <w:r w:rsidR="002C24AF">
        <w:rPr>
          <w:rFonts w:asciiTheme="majorHAnsi" w:hAnsiTheme="majorHAnsi" w:cstheme="majorHAnsi"/>
          <w:sz w:val="24"/>
          <w:szCs w:val="24"/>
        </w:rPr>
        <w:t xml:space="preserve">performance </w:t>
      </w:r>
      <w:r w:rsidR="00BB328C">
        <w:rPr>
          <w:rFonts w:asciiTheme="majorHAnsi" w:hAnsiTheme="majorHAnsi" w:cstheme="majorHAnsi"/>
          <w:sz w:val="24"/>
          <w:szCs w:val="24"/>
        </w:rPr>
        <w:t>record i</w:t>
      </w:r>
      <w:r w:rsidR="002C24AF">
        <w:rPr>
          <w:rFonts w:asciiTheme="majorHAnsi" w:hAnsiTheme="majorHAnsi" w:cstheme="majorHAnsi"/>
          <w:sz w:val="24"/>
          <w:szCs w:val="24"/>
        </w:rPr>
        <w:t>s</w:t>
      </w:r>
      <w:r w:rsidR="00BB328C">
        <w:rPr>
          <w:rFonts w:asciiTheme="majorHAnsi" w:hAnsiTheme="majorHAnsi" w:cstheme="majorHAnsi"/>
          <w:sz w:val="24"/>
          <w:szCs w:val="24"/>
        </w:rPr>
        <w:t xml:space="preserve"> uneven given the different </w:t>
      </w:r>
      <w:r w:rsidR="002C24AF">
        <w:rPr>
          <w:rFonts w:asciiTheme="majorHAnsi" w:hAnsiTheme="majorHAnsi" w:cstheme="majorHAnsi"/>
          <w:sz w:val="24"/>
          <w:szCs w:val="24"/>
        </w:rPr>
        <w:t xml:space="preserve">regulatory </w:t>
      </w:r>
      <w:r w:rsidR="00BB328C">
        <w:rPr>
          <w:rFonts w:asciiTheme="majorHAnsi" w:hAnsiTheme="majorHAnsi" w:cstheme="majorHAnsi"/>
          <w:sz w:val="24"/>
          <w:szCs w:val="24"/>
        </w:rPr>
        <w:t xml:space="preserve">distortions </w:t>
      </w:r>
      <w:r w:rsidR="002C24AF">
        <w:rPr>
          <w:rFonts w:asciiTheme="majorHAnsi" w:hAnsiTheme="majorHAnsi" w:cstheme="majorHAnsi"/>
          <w:sz w:val="24"/>
          <w:szCs w:val="24"/>
        </w:rPr>
        <w:t>they introduce in</w:t>
      </w:r>
      <w:r w:rsidR="00BF6913">
        <w:rPr>
          <w:rFonts w:asciiTheme="majorHAnsi" w:hAnsiTheme="majorHAnsi" w:cstheme="majorHAnsi"/>
          <w:sz w:val="24"/>
          <w:szCs w:val="24"/>
        </w:rPr>
        <w:t>to</w:t>
      </w:r>
      <w:r w:rsidR="002C24AF">
        <w:rPr>
          <w:rFonts w:asciiTheme="majorHAnsi" w:hAnsiTheme="majorHAnsi" w:cstheme="majorHAnsi"/>
          <w:sz w:val="24"/>
          <w:szCs w:val="24"/>
        </w:rPr>
        <w:t xml:space="preserve"> the market. </w:t>
      </w:r>
    </w:p>
    <w:p w14:paraId="2DDA33EE" w14:textId="77777777" w:rsidR="00970805" w:rsidRDefault="00970805" w:rsidP="002C24AF">
      <w:pPr>
        <w:spacing w:line="276" w:lineRule="auto"/>
        <w:rPr>
          <w:rFonts w:asciiTheme="majorHAnsi" w:hAnsiTheme="majorHAnsi" w:cstheme="majorHAnsi"/>
          <w:sz w:val="24"/>
          <w:szCs w:val="24"/>
        </w:rPr>
      </w:pPr>
    </w:p>
    <w:p w14:paraId="2706F4C0" w14:textId="1926EA44" w:rsidR="002C24AF" w:rsidRDefault="002C24AF" w:rsidP="002C24AF">
      <w:pPr>
        <w:spacing w:line="276" w:lineRule="auto"/>
        <w:jc w:val="both"/>
        <w:rPr>
          <w:rFonts w:asciiTheme="majorHAnsi" w:hAnsiTheme="majorHAnsi" w:cstheme="majorHAnsi"/>
          <w:sz w:val="24"/>
          <w:szCs w:val="24"/>
        </w:rPr>
      </w:pPr>
      <w:r w:rsidRPr="002C24AF">
        <w:rPr>
          <w:rFonts w:asciiTheme="majorHAnsi" w:hAnsiTheme="majorHAnsi" w:cstheme="majorHAnsi"/>
          <w:b/>
          <w:sz w:val="24"/>
          <w:szCs w:val="24"/>
        </w:rPr>
        <w:t>The Dominican Republic is one of the world’s pioneers in the use of SEZ</w:t>
      </w:r>
      <w:r w:rsidR="004444EC">
        <w:rPr>
          <w:rFonts w:asciiTheme="majorHAnsi" w:hAnsiTheme="majorHAnsi" w:cstheme="majorHAnsi"/>
          <w:b/>
          <w:sz w:val="24"/>
          <w:szCs w:val="24"/>
        </w:rPr>
        <w:t>s</w:t>
      </w:r>
      <w:r w:rsidRPr="002C24AF">
        <w:rPr>
          <w:rFonts w:asciiTheme="majorHAnsi" w:hAnsiTheme="majorHAnsi" w:cstheme="majorHAnsi"/>
          <w:b/>
          <w:sz w:val="24"/>
          <w:szCs w:val="24"/>
        </w:rPr>
        <w:t xml:space="preserve"> with a program ongoing for more than 40 years</w:t>
      </w:r>
      <w:r w:rsidR="00E2381A">
        <w:rPr>
          <w:rFonts w:asciiTheme="majorHAnsi" w:hAnsiTheme="majorHAnsi" w:cstheme="majorHAnsi"/>
          <w:b/>
          <w:sz w:val="24"/>
          <w:szCs w:val="24"/>
        </w:rPr>
        <w:t xml:space="preserve">. </w:t>
      </w:r>
      <w:r w:rsidR="00342D5C">
        <w:rPr>
          <w:rFonts w:asciiTheme="majorHAnsi" w:hAnsiTheme="majorHAnsi" w:cstheme="majorHAnsi"/>
          <w:sz w:val="24"/>
          <w:szCs w:val="24"/>
        </w:rPr>
        <w:t>F</w:t>
      </w:r>
      <w:r w:rsidR="00E2381A">
        <w:rPr>
          <w:rFonts w:asciiTheme="majorHAnsi" w:hAnsiTheme="majorHAnsi" w:cstheme="majorHAnsi"/>
          <w:sz w:val="24"/>
          <w:szCs w:val="24"/>
        </w:rPr>
        <w:t xml:space="preserve">ew other countries worldwide have used SEZs as effectively as an engine </w:t>
      </w:r>
      <w:r w:rsidR="004444EC">
        <w:rPr>
          <w:rFonts w:asciiTheme="majorHAnsi" w:hAnsiTheme="majorHAnsi" w:cstheme="majorHAnsi"/>
          <w:sz w:val="24"/>
          <w:szCs w:val="24"/>
        </w:rPr>
        <w:t xml:space="preserve">for attracting </w:t>
      </w:r>
      <w:r w:rsidR="00D44162">
        <w:rPr>
          <w:rFonts w:asciiTheme="majorHAnsi" w:hAnsiTheme="majorHAnsi" w:cstheme="majorHAnsi"/>
          <w:sz w:val="24"/>
          <w:szCs w:val="24"/>
        </w:rPr>
        <w:t>FDI</w:t>
      </w:r>
      <w:r w:rsidR="00E2381A">
        <w:rPr>
          <w:rFonts w:asciiTheme="majorHAnsi" w:hAnsiTheme="majorHAnsi" w:cstheme="majorHAnsi"/>
          <w:sz w:val="24"/>
          <w:szCs w:val="24"/>
        </w:rPr>
        <w:t xml:space="preserve">, job </w:t>
      </w:r>
      <w:r w:rsidR="00E54C48">
        <w:rPr>
          <w:rFonts w:asciiTheme="majorHAnsi" w:hAnsiTheme="majorHAnsi" w:cstheme="majorHAnsi"/>
          <w:sz w:val="24"/>
          <w:szCs w:val="24"/>
        </w:rPr>
        <w:t>creation</w:t>
      </w:r>
      <w:r w:rsidR="00E2381A">
        <w:rPr>
          <w:rFonts w:asciiTheme="majorHAnsi" w:hAnsiTheme="majorHAnsi" w:cstheme="majorHAnsi"/>
          <w:sz w:val="24"/>
          <w:szCs w:val="24"/>
        </w:rPr>
        <w:t xml:space="preserve">, and </w:t>
      </w:r>
      <w:r w:rsidR="00342D5C">
        <w:rPr>
          <w:rFonts w:asciiTheme="majorHAnsi" w:hAnsiTheme="majorHAnsi" w:cstheme="majorHAnsi"/>
          <w:sz w:val="24"/>
          <w:szCs w:val="24"/>
        </w:rPr>
        <w:t xml:space="preserve">economic </w:t>
      </w:r>
      <w:r w:rsidR="00E2381A">
        <w:rPr>
          <w:rFonts w:asciiTheme="majorHAnsi" w:hAnsiTheme="majorHAnsi" w:cstheme="majorHAnsi"/>
          <w:sz w:val="24"/>
          <w:szCs w:val="24"/>
        </w:rPr>
        <w:t>growt</w:t>
      </w:r>
      <w:r w:rsidR="0017293A">
        <w:rPr>
          <w:rFonts w:asciiTheme="majorHAnsi" w:hAnsiTheme="majorHAnsi" w:cstheme="majorHAnsi"/>
          <w:sz w:val="24"/>
          <w:szCs w:val="24"/>
        </w:rPr>
        <w:t>h</w:t>
      </w:r>
      <w:r w:rsidRPr="002C24AF">
        <w:rPr>
          <w:rFonts w:asciiTheme="majorHAnsi" w:hAnsiTheme="majorHAnsi" w:cstheme="majorHAnsi"/>
          <w:b/>
          <w:sz w:val="24"/>
          <w:szCs w:val="24"/>
        </w:rPr>
        <w:t xml:space="preserve"> </w:t>
      </w:r>
      <w:r w:rsidRPr="002C24AF">
        <w:rPr>
          <w:rFonts w:asciiTheme="majorHAnsi" w:hAnsiTheme="majorHAnsi" w:cstheme="majorHAnsi"/>
          <w:sz w:val="24"/>
          <w:szCs w:val="24"/>
        </w:rPr>
        <w:t xml:space="preserve">(Burgaud and Farole 2011). </w:t>
      </w:r>
      <w:r w:rsidR="00755E31">
        <w:rPr>
          <w:rFonts w:asciiTheme="majorHAnsi" w:hAnsiTheme="majorHAnsi" w:cstheme="majorHAnsi"/>
          <w:sz w:val="24"/>
          <w:szCs w:val="24"/>
        </w:rPr>
        <w:t xml:space="preserve">SEZs </w:t>
      </w:r>
      <w:r w:rsidR="00F55F41" w:rsidRPr="00F55F41">
        <w:rPr>
          <w:rFonts w:asciiTheme="majorHAnsi" w:hAnsiTheme="majorHAnsi" w:cstheme="majorHAnsi"/>
          <w:sz w:val="24"/>
          <w:szCs w:val="24"/>
        </w:rPr>
        <w:t>fueled economic growth during the 1990s and</w:t>
      </w:r>
      <w:r w:rsidR="00AA67A1">
        <w:rPr>
          <w:rFonts w:asciiTheme="majorHAnsi" w:hAnsiTheme="majorHAnsi" w:cstheme="majorHAnsi"/>
          <w:sz w:val="24"/>
          <w:szCs w:val="24"/>
        </w:rPr>
        <w:t xml:space="preserve"> the beginning of the 2000s. After the elimination of trade preferences in textiles and apparel in 200</w:t>
      </w:r>
      <w:r w:rsidR="00D14F09">
        <w:rPr>
          <w:rFonts w:asciiTheme="majorHAnsi" w:hAnsiTheme="majorHAnsi" w:cstheme="majorHAnsi"/>
          <w:sz w:val="24"/>
          <w:szCs w:val="24"/>
        </w:rPr>
        <w:t>5</w:t>
      </w:r>
      <w:r w:rsidR="00AA67A1">
        <w:rPr>
          <w:rFonts w:asciiTheme="majorHAnsi" w:hAnsiTheme="majorHAnsi" w:cstheme="majorHAnsi"/>
          <w:sz w:val="24"/>
          <w:szCs w:val="24"/>
        </w:rPr>
        <w:t xml:space="preserve">, the sector </w:t>
      </w:r>
      <w:r w:rsidR="00F55F41" w:rsidRPr="00F55F41">
        <w:rPr>
          <w:rFonts w:asciiTheme="majorHAnsi" w:hAnsiTheme="majorHAnsi" w:cstheme="majorHAnsi"/>
          <w:sz w:val="24"/>
          <w:szCs w:val="24"/>
        </w:rPr>
        <w:t>experienced a sharp decline in employment</w:t>
      </w:r>
      <w:r w:rsidR="00D44162">
        <w:rPr>
          <w:rFonts w:asciiTheme="majorHAnsi" w:hAnsiTheme="majorHAnsi" w:cstheme="majorHAnsi"/>
          <w:sz w:val="24"/>
          <w:szCs w:val="24"/>
        </w:rPr>
        <w:t>;</w:t>
      </w:r>
      <w:r w:rsidR="00F55F41" w:rsidRPr="00F55F41">
        <w:rPr>
          <w:rFonts w:asciiTheme="majorHAnsi" w:hAnsiTheme="majorHAnsi" w:cstheme="majorHAnsi"/>
          <w:sz w:val="24"/>
          <w:szCs w:val="24"/>
        </w:rPr>
        <w:t xml:space="preserve"> signs of recovery have been observed since 2009.</w:t>
      </w:r>
      <w:r w:rsidR="00F55F41">
        <w:rPr>
          <w:rFonts w:asciiTheme="majorHAnsi" w:hAnsiTheme="majorHAnsi" w:cstheme="majorHAnsi"/>
          <w:sz w:val="24"/>
          <w:szCs w:val="24"/>
        </w:rPr>
        <w:t xml:space="preserve"> </w:t>
      </w:r>
      <w:r w:rsidRPr="002C24AF">
        <w:rPr>
          <w:rFonts w:asciiTheme="majorHAnsi" w:hAnsiTheme="majorHAnsi" w:cstheme="majorHAnsi"/>
          <w:sz w:val="24"/>
          <w:szCs w:val="24"/>
        </w:rPr>
        <w:t xml:space="preserve">Exports originating in </w:t>
      </w:r>
      <w:r w:rsidR="008146A2">
        <w:rPr>
          <w:rFonts w:asciiTheme="majorHAnsi" w:hAnsiTheme="majorHAnsi" w:cstheme="majorHAnsi"/>
          <w:sz w:val="24"/>
          <w:szCs w:val="24"/>
        </w:rPr>
        <w:t xml:space="preserve">SEZs </w:t>
      </w:r>
      <w:r w:rsidRPr="002C24AF">
        <w:rPr>
          <w:rFonts w:asciiTheme="majorHAnsi" w:hAnsiTheme="majorHAnsi" w:cstheme="majorHAnsi"/>
          <w:sz w:val="24"/>
          <w:szCs w:val="24"/>
        </w:rPr>
        <w:t xml:space="preserve">account for more than half of aggregate export value between 2006 and 2014 —although their importance has dwindled both in terms of value and </w:t>
      </w:r>
      <w:r w:rsidR="00E54C48">
        <w:rPr>
          <w:rFonts w:asciiTheme="majorHAnsi" w:hAnsiTheme="majorHAnsi" w:cstheme="majorHAnsi"/>
          <w:sz w:val="24"/>
          <w:szCs w:val="24"/>
        </w:rPr>
        <w:t xml:space="preserve">the total </w:t>
      </w:r>
      <w:r w:rsidRPr="002C24AF">
        <w:rPr>
          <w:rFonts w:asciiTheme="majorHAnsi" w:hAnsiTheme="majorHAnsi" w:cstheme="majorHAnsi"/>
          <w:sz w:val="24"/>
          <w:szCs w:val="24"/>
        </w:rPr>
        <w:t xml:space="preserve">number of </w:t>
      </w:r>
      <w:r w:rsidR="00E54C48" w:rsidRPr="002C24AF">
        <w:rPr>
          <w:rFonts w:asciiTheme="majorHAnsi" w:hAnsiTheme="majorHAnsi" w:cstheme="majorHAnsi"/>
          <w:sz w:val="24"/>
          <w:szCs w:val="24"/>
        </w:rPr>
        <w:t>export</w:t>
      </w:r>
      <w:r w:rsidR="00E54C48">
        <w:rPr>
          <w:rFonts w:asciiTheme="majorHAnsi" w:hAnsiTheme="majorHAnsi" w:cstheme="majorHAnsi"/>
          <w:sz w:val="24"/>
          <w:szCs w:val="24"/>
        </w:rPr>
        <w:t>ing firms relative to the total number of SEZ and non-SEZ firms exporting from the DR</w:t>
      </w:r>
      <w:r w:rsidRPr="002C24AF">
        <w:rPr>
          <w:rFonts w:asciiTheme="majorHAnsi" w:hAnsiTheme="majorHAnsi" w:cstheme="majorHAnsi"/>
          <w:sz w:val="24"/>
          <w:szCs w:val="24"/>
        </w:rPr>
        <w:t xml:space="preserve">. Conversely, firms based in </w:t>
      </w:r>
      <w:r w:rsidR="008146A2">
        <w:rPr>
          <w:rFonts w:asciiTheme="majorHAnsi" w:hAnsiTheme="majorHAnsi" w:cstheme="majorHAnsi"/>
          <w:sz w:val="24"/>
          <w:szCs w:val="24"/>
        </w:rPr>
        <w:t xml:space="preserve">SEZs </w:t>
      </w:r>
      <w:r w:rsidRPr="002C24AF">
        <w:rPr>
          <w:rFonts w:asciiTheme="majorHAnsi" w:hAnsiTheme="majorHAnsi" w:cstheme="majorHAnsi"/>
          <w:sz w:val="24"/>
          <w:szCs w:val="24"/>
        </w:rPr>
        <w:t xml:space="preserve">are less important in terms of </w:t>
      </w:r>
      <w:r w:rsidR="008146A2">
        <w:rPr>
          <w:rFonts w:asciiTheme="majorHAnsi" w:hAnsiTheme="majorHAnsi" w:cstheme="majorHAnsi"/>
          <w:sz w:val="24"/>
          <w:szCs w:val="24"/>
        </w:rPr>
        <w:t xml:space="preserve">total </w:t>
      </w:r>
      <w:r w:rsidRPr="002C24AF">
        <w:rPr>
          <w:rFonts w:asciiTheme="majorHAnsi" w:hAnsiTheme="majorHAnsi" w:cstheme="majorHAnsi"/>
          <w:sz w:val="24"/>
          <w:szCs w:val="24"/>
        </w:rPr>
        <w:t>imports</w:t>
      </w:r>
      <w:r w:rsidR="008146A2">
        <w:rPr>
          <w:rFonts w:asciiTheme="majorHAnsi" w:hAnsiTheme="majorHAnsi" w:cstheme="majorHAnsi"/>
          <w:sz w:val="24"/>
          <w:szCs w:val="24"/>
        </w:rPr>
        <w:t xml:space="preserve">; during the same period of time they </w:t>
      </w:r>
      <w:r w:rsidRPr="002C24AF">
        <w:rPr>
          <w:rFonts w:asciiTheme="majorHAnsi" w:hAnsiTheme="majorHAnsi" w:cstheme="majorHAnsi"/>
          <w:sz w:val="24"/>
          <w:szCs w:val="24"/>
        </w:rPr>
        <w:t>account</w:t>
      </w:r>
      <w:r w:rsidR="008146A2">
        <w:rPr>
          <w:rFonts w:asciiTheme="majorHAnsi" w:hAnsiTheme="majorHAnsi" w:cstheme="majorHAnsi"/>
          <w:sz w:val="24"/>
          <w:szCs w:val="24"/>
        </w:rPr>
        <w:t>ed</w:t>
      </w:r>
      <w:r w:rsidRPr="002C24AF">
        <w:rPr>
          <w:rFonts w:asciiTheme="majorHAnsi" w:hAnsiTheme="majorHAnsi" w:cstheme="majorHAnsi"/>
          <w:sz w:val="24"/>
          <w:szCs w:val="24"/>
        </w:rPr>
        <w:t xml:space="preserve"> for 20% of </w:t>
      </w:r>
      <w:r w:rsidR="008146A2">
        <w:rPr>
          <w:rFonts w:asciiTheme="majorHAnsi" w:hAnsiTheme="majorHAnsi" w:cstheme="majorHAnsi"/>
          <w:sz w:val="24"/>
          <w:szCs w:val="24"/>
        </w:rPr>
        <w:t xml:space="preserve">total import </w:t>
      </w:r>
      <w:r w:rsidRPr="002C24AF">
        <w:rPr>
          <w:rFonts w:asciiTheme="majorHAnsi" w:hAnsiTheme="majorHAnsi" w:cstheme="majorHAnsi"/>
          <w:sz w:val="24"/>
          <w:szCs w:val="24"/>
        </w:rPr>
        <w:t>value and constitute less than 2% of all importing firms between 2006 and 2014.</w:t>
      </w:r>
    </w:p>
    <w:p w14:paraId="50E82192" w14:textId="77777777" w:rsidR="008146A2" w:rsidRDefault="008146A2" w:rsidP="002C24AF">
      <w:pPr>
        <w:spacing w:line="276" w:lineRule="auto"/>
        <w:jc w:val="both"/>
        <w:rPr>
          <w:rFonts w:asciiTheme="majorHAnsi" w:hAnsiTheme="majorHAnsi" w:cstheme="majorHAnsi"/>
          <w:sz w:val="24"/>
          <w:szCs w:val="24"/>
        </w:rPr>
      </w:pPr>
    </w:p>
    <w:p w14:paraId="745CC43D" w14:textId="79927338" w:rsidR="00C95359" w:rsidRDefault="00C95359" w:rsidP="002C24AF">
      <w:pPr>
        <w:spacing w:line="276" w:lineRule="auto"/>
        <w:jc w:val="both"/>
        <w:rPr>
          <w:rFonts w:asciiTheme="majorHAnsi" w:hAnsiTheme="majorHAnsi" w:cstheme="majorHAnsi"/>
          <w:sz w:val="24"/>
          <w:szCs w:val="24"/>
        </w:rPr>
      </w:pPr>
      <w:r w:rsidRPr="00D44162">
        <w:rPr>
          <w:rFonts w:asciiTheme="majorHAnsi" w:hAnsiTheme="majorHAnsi" w:cstheme="majorHAnsi"/>
          <w:b/>
          <w:sz w:val="24"/>
          <w:szCs w:val="24"/>
        </w:rPr>
        <w:t>The success of SEZ</w:t>
      </w:r>
      <w:r w:rsidR="00AA67A1" w:rsidRPr="00D44162">
        <w:rPr>
          <w:rFonts w:asciiTheme="majorHAnsi" w:hAnsiTheme="majorHAnsi" w:cstheme="majorHAnsi"/>
          <w:b/>
          <w:sz w:val="24"/>
          <w:szCs w:val="24"/>
        </w:rPr>
        <w:t>s</w:t>
      </w:r>
      <w:r w:rsidRPr="00D44162">
        <w:rPr>
          <w:rFonts w:asciiTheme="majorHAnsi" w:hAnsiTheme="majorHAnsi" w:cstheme="majorHAnsi"/>
          <w:b/>
          <w:sz w:val="24"/>
          <w:szCs w:val="24"/>
        </w:rPr>
        <w:t xml:space="preserve"> </w:t>
      </w:r>
      <w:r w:rsidR="004748E6">
        <w:rPr>
          <w:rFonts w:asciiTheme="majorHAnsi" w:hAnsiTheme="majorHAnsi" w:cstheme="majorHAnsi"/>
          <w:b/>
          <w:sz w:val="24"/>
          <w:szCs w:val="24"/>
        </w:rPr>
        <w:t xml:space="preserve">in attracting </w:t>
      </w:r>
      <w:r w:rsidR="00D44162" w:rsidRPr="00D44162">
        <w:rPr>
          <w:rFonts w:asciiTheme="majorHAnsi" w:hAnsiTheme="majorHAnsi" w:cstheme="majorHAnsi"/>
          <w:b/>
          <w:sz w:val="24"/>
          <w:szCs w:val="24"/>
        </w:rPr>
        <w:t xml:space="preserve">FDI has been </w:t>
      </w:r>
      <w:r w:rsidR="00AA67A1" w:rsidRPr="00D44162">
        <w:rPr>
          <w:rFonts w:asciiTheme="majorHAnsi" w:hAnsiTheme="majorHAnsi" w:cstheme="majorHAnsi"/>
          <w:b/>
          <w:sz w:val="24"/>
          <w:szCs w:val="24"/>
        </w:rPr>
        <w:t xml:space="preserve">linked to the </w:t>
      </w:r>
      <w:r w:rsidR="00D44162" w:rsidRPr="00D44162">
        <w:rPr>
          <w:rFonts w:asciiTheme="majorHAnsi" w:hAnsiTheme="majorHAnsi" w:cstheme="majorHAnsi"/>
          <w:b/>
          <w:sz w:val="24"/>
          <w:szCs w:val="24"/>
        </w:rPr>
        <w:t xml:space="preserve">type of trade preferences the Dominican Republic receives from the US. </w:t>
      </w:r>
      <w:r w:rsidR="00D44162">
        <w:rPr>
          <w:rFonts w:asciiTheme="majorHAnsi" w:hAnsiTheme="majorHAnsi" w:cstheme="majorHAnsi"/>
          <w:sz w:val="24"/>
          <w:szCs w:val="24"/>
        </w:rPr>
        <w:t xml:space="preserve">Because of the small size of the domestic market, the majority of FDI </w:t>
      </w:r>
      <w:r w:rsidR="00451406">
        <w:rPr>
          <w:rFonts w:asciiTheme="majorHAnsi" w:hAnsiTheme="majorHAnsi" w:cstheme="majorHAnsi"/>
          <w:sz w:val="24"/>
          <w:szCs w:val="24"/>
        </w:rPr>
        <w:t xml:space="preserve">sought </w:t>
      </w:r>
      <w:r w:rsidR="00D44162">
        <w:rPr>
          <w:rFonts w:asciiTheme="majorHAnsi" w:hAnsiTheme="majorHAnsi" w:cstheme="majorHAnsi"/>
          <w:sz w:val="24"/>
          <w:szCs w:val="24"/>
        </w:rPr>
        <w:t xml:space="preserve">to </w:t>
      </w:r>
      <w:r w:rsidR="00451406">
        <w:rPr>
          <w:rFonts w:asciiTheme="majorHAnsi" w:hAnsiTheme="majorHAnsi" w:cstheme="majorHAnsi"/>
          <w:sz w:val="24"/>
          <w:szCs w:val="24"/>
        </w:rPr>
        <w:t xml:space="preserve">benefit from tax </w:t>
      </w:r>
      <w:r w:rsidR="00D44162">
        <w:rPr>
          <w:rFonts w:asciiTheme="majorHAnsi" w:hAnsiTheme="majorHAnsi" w:cstheme="majorHAnsi"/>
          <w:sz w:val="24"/>
          <w:szCs w:val="24"/>
        </w:rPr>
        <w:t xml:space="preserve">incentives provided </w:t>
      </w:r>
      <w:r w:rsidR="00786803">
        <w:rPr>
          <w:rFonts w:asciiTheme="majorHAnsi" w:hAnsiTheme="majorHAnsi" w:cstheme="majorHAnsi"/>
          <w:sz w:val="24"/>
          <w:szCs w:val="24"/>
        </w:rPr>
        <w:t xml:space="preserve">in </w:t>
      </w:r>
      <w:r w:rsidR="00D44162">
        <w:rPr>
          <w:rFonts w:asciiTheme="majorHAnsi" w:hAnsiTheme="majorHAnsi" w:cstheme="majorHAnsi"/>
          <w:sz w:val="24"/>
          <w:szCs w:val="24"/>
        </w:rPr>
        <w:t xml:space="preserve">SEZs </w:t>
      </w:r>
      <w:r w:rsidR="00451406">
        <w:rPr>
          <w:rFonts w:asciiTheme="majorHAnsi" w:hAnsiTheme="majorHAnsi" w:cstheme="majorHAnsi"/>
          <w:sz w:val="24"/>
          <w:szCs w:val="24"/>
        </w:rPr>
        <w:t xml:space="preserve">and </w:t>
      </w:r>
      <w:r w:rsidR="00D44162">
        <w:rPr>
          <w:rFonts w:asciiTheme="majorHAnsi" w:hAnsiTheme="majorHAnsi" w:cstheme="majorHAnsi"/>
          <w:sz w:val="24"/>
          <w:szCs w:val="24"/>
        </w:rPr>
        <w:t xml:space="preserve">low labor costs to assemble </w:t>
      </w:r>
      <w:r w:rsidR="00B26740">
        <w:rPr>
          <w:rFonts w:asciiTheme="majorHAnsi" w:hAnsiTheme="majorHAnsi" w:cstheme="majorHAnsi"/>
          <w:sz w:val="24"/>
          <w:szCs w:val="24"/>
        </w:rPr>
        <w:t xml:space="preserve">labor-intensive </w:t>
      </w:r>
      <w:r w:rsidR="00D44162">
        <w:rPr>
          <w:rFonts w:asciiTheme="majorHAnsi" w:hAnsiTheme="majorHAnsi" w:cstheme="majorHAnsi"/>
          <w:sz w:val="24"/>
          <w:szCs w:val="24"/>
        </w:rPr>
        <w:t xml:space="preserve">products and ship </w:t>
      </w:r>
      <w:r w:rsidR="00E54C48">
        <w:rPr>
          <w:rFonts w:asciiTheme="majorHAnsi" w:hAnsiTheme="majorHAnsi" w:cstheme="majorHAnsi"/>
          <w:sz w:val="24"/>
          <w:szCs w:val="24"/>
        </w:rPr>
        <w:t xml:space="preserve">these </w:t>
      </w:r>
      <w:r w:rsidR="00D44162">
        <w:rPr>
          <w:rFonts w:asciiTheme="majorHAnsi" w:hAnsiTheme="majorHAnsi" w:cstheme="majorHAnsi"/>
          <w:sz w:val="24"/>
          <w:szCs w:val="24"/>
        </w:rPr>
        <w:t xml:space="preserve">to the US </w:t>
      </w:r>
      <w:r w:rsidR="00D44162">
        <w:rPr>
          <w:rFonts w:ascii="Times New Roman" w:hAnsi="Times New Roman"/>
          <w:sz w:val="24"/>
          <w:szCs w:val="24"/>
        </w:rPr>
        <w:t>–</w:t>
      </w:r>
      <w:r w:rsidR="00E54C48">
        <w:rPr>
          <w:rFonts w:ascii="Times New Roman" w:hAnsi="Times New Roman"/>
          <w:sz w:val="24"/>
          <w:szCs w:val="24"/>
        </w:rPr>
        <w:t xml:space="preserve"> </w:t>
      </w:r>
      <w:r w:rsidR="00D44162">
        <w:rPr>
          <w:rFonts w:ascii="Times New Roman" w:hAnsi="Times New Roman"/>
          <w:sz w:val="24"/>
          <w:szCs w:val="24"/>
        </w:rPr>
        <w:t>so called efficiency seeking FDI.</w:t>
      </w:r>
      <w:r w:rsidR="00D44162">
        <w:rPr>
          <w:rStyle w:val="FootnoteReference"/>
          <w:rFonts w:ascii="Times New Roman" w:hAnsi="Times New Roman"/>
          <w:sz w:val="24"/>
          <w:szCs w:val="24"/>
        </w:rPr>
        <w:footnoteReference w:id="1"/>
      </w:r>
      <w:r w:rsidR="00D44162">
        <w:rPr>
          <w:rFonts w:asciiTheme="majorHAnsi" w:hAnsiTheme="majorHAnsi" w:cstheme="majorHAnsi"/>
          <w:sz w:val="24"/>
          <w:szCs w:val="24"/>
        </w:rPr>
        <w:t xml:space="preserve"> The geographic proximity to the US is the main </w:t>
      </w:r>
      <w:r w:rsidR="00786803">
        <w:rPr>
          <w:rFonts w:asciiTheme="majorHAnsi" w:hAnsiTheme="majorHAnsi" w:cstheme="majorHAnsi"/>
          <w:sz w:val="24"/>
          <w:szCs w:val="24"/>
        </w:rPr>
        <w:t xml:space="preserve">source of </w:t>
      </w:r>
      <w:r w:rsidR="00D44162">
        <w:rPr>
          <w:rFonts w:asciiTheme="majorHAnsi" w:hAnsiTheme="majorHAnsi" w:cstheme="majorHAnsi"/>
          <w:sz w:val="24"/>
          <w:szCs w:val="24"/>
        </w:rPr>
        <w:t xml:space="preserve">comparative advantage of the Dominican Republic. </w:t>
      </w:r>
      <w:r w:rsidR="00451406">
        <w:rPr>
          <w:rFonts w:asciiTheme="majorHAnsi" w:hAnsiTheme="majorHAnsi" w:cstheme="majorHAnsi"/>
          <w:sz w:val="24"/>
          <w:szCs w:val="24"/>
        </w:rPr>
        <w:t xml:space="preserve">The type of production taking place in SEZs was defined, to a large extent, by the type of preferential market access the U.S. granted to the country. Under the </w:t>
      </w:r>
      <w:r w:rsidR="00765C07">
        <w:rPr>
          <w:rFonts w:asciiTheme="majorHAnsi" w:hAnsiTheme="majorHAnsi" w:cstheme="majorHAnsi"/>
          <w:sz w:val="24"/>
          <w:szCs w:val="24"/>
        </w:rPr>
        <w:t xml:space="preserve">Multi-Fiber </w:t>
      </w:r>
      <w:r w:rsidR="000B30E7">
        <w:rPr>
          <w:rFonts w:asciiTheme="majorHAnsi" w:hAnsiTheme="majorHAnsi" w:cstheme="majorHAnsi"/>
          <w:sz w:val="24"/>
          <w:szCs w:val="24"/>
        </w:rPr>
        <w:t>Arrangement</w:t>
      </w:r>
      <w:r w:rsidR="00765C07">
        <w:rPr>
          <w:rFonts w:asciiTheme="majorHAnsi" w:hAnsiTheme="majorHAnsi" w:cstheme="majorHAnsi"/>
          <w:sz w:val="24"/>
          <w:szCs w:val="24"/>
        </w:rPr>
        <w:t xml:space="preserve"> (MFA)</w:t>
      </w:r>
      <w:r w:rsidR="00451406">
        <w:rPr>
          <w:rFonts w:asciiTheme="majorHAnsi" w:hAnsiTheme="majorHAnsi" w:cstheme="majorHAnsi"/>
          <w:sz w:val="24"/>
          <w:szCs w:val="24"/>
        </w:rPr>
        <w:t xml:space="preserve">, </w:t>
      </w:r>
      <w:r w:rsidR="00765C07">
        <w:rPr>
          <w:rFonts w:asciiTheme="majorHAnsi" w:hAnsiTheme="majorHAnsi" w:cstheme="majorHAnsi"/>
          <w:sz w:val="24"/>
          <w:szCs w:val="24"/>
        </w:rPr>
        <w:t>the US assigned a specific import quota of clothing and textile to the Dominican Republic, which create</w:t>
      </w:r>
      <w:r w:rsidR="004748E6">
        <w:rPr>
          <w:rFonts w:asciiTheme="majorHAnsi" w:hAnsiTheme="majorHAnsi" w:cstheme="majorHAnsi"/>
          <w:sz w:val="24"/>
          <w:szCs w:val="24"/>
        </w:rPr>
        <w:t>d</w:t>
      </w:r>
      <w:r w:rsidR="00765C07">
        <w:rPr>
          <w:rFonts w:asciiTheme="majorHAnsi" w:hAnsiTheme="majorHAnsi" w:cstheme="majorHAnsi"/>
          <w:sz w:val="24"/>
          <w:szCs w:val="24"/>
        </w:rPr>
        <w:t xml:space="preserve"> a </w:t>
      </w:r>
      <w:r w:rsidR="00E54C48">
        <w:rPr>
          <w:rFonts w:asciiTheme="majorHAnsi" w:hAnsiTheme="majorHAnsi" w:cstheme="majorHAnsi"/>
          <w:sz w:val="24"/>
          <w:szCs w:val="24"/>
        </w:rPr>
        <w:t xml:space="preserve">mushrooming </w:t>
      </w:r>
      <w:r w:rsidR="00765C07">
        <w:rPr>
          <w:rFonts w:asciiTheme="majorHAnsi" w:hAnsiTheme="majorHAnsi" w:cstheme="majorHAnsi"/>
          <w:sz w:val="24"/>
          <w:szCs w:val="24"/>
        </w:rPr>
        <w:t xml:space="preserve">of </w:t>
      </w:r>
      <w:r w:rsidR="00765C07" w:rsidRPr="00786803">
        <w:rPr>
          <w:rFonts w:asciiTheme="majorHAnsi" w:hAnsiTheme="majorHAnsi" w:cstheme="majorHAnsi"/>
          <w:i/>
          <w:sz w:val="24"/>
          <w:szCs w:val="24"/>
        </w:rPr>
        <w:t>maquilas</w:t>
      </w:r>
      <w:r w:rsidR="00765C07">
        <w:rPr>
          <w:rFonts w:asciiTheme="majorHAnsi" w:hAnsiTheme="majorHAnsi" w:cstheme="majorHAnsi"/>
          <w:sz w:val="24"/>
          <w:szCs w:val="24"/>
        </w:rPr>
        <w:t xml:space="preserve"> operating under the special </w:t>
      </w:r>
      <w:r w:rsidR="00765C07">
        <w:rPr>
          <w:rFonts w:asciiTheme="majorHAnsi" w:hAnsiTheme="majorHAnsi" w:cstheme="majorHAnsi"/>
          <w:sz w:val="24"/>
          <w:szCs w:val="24"/>
        </w:rPr>
        <w:lastRenderedPageBreak/>
        <w:t>regim</w:t>
      </w:r>
      <w:r w:rsidR="004748E6">
        <w:rPr>
          <w:rFonts w:asciiTheme="majorHAnsi" w:hAnsiTheme="majorHAnsi" w:cstheme="majorHAnsi"/>
          <w:sz w:val="24"/>
          <w:szCs w:val="24"/>
        </w:rPr>
        <w:t>e</w:t>
      </w:r>
      <w:r w:rsidR="00765C07">
        <w:rPr>
          <w:rFonts w:asciiTheme="majorHAnsi" w:hAnsiTheme="majorHAnsi" w:cstheme="majorHAnsi"/>
          <w:sz w:val="24"/>
          <w:szCs w:val="24"/>
        </w:rPr>
        <w:t>n. After the abolition of the MFA</w:t>
      </w:r>
      <w:r w:rsidR="00E54C48">
        <w:rPr>
          <w:rFonts w:asciiTheme="majorHAnsi" w:hAnsiTheme="majorHAnsi" w:cstheme="majorHAnsi"/>
          <w:sz w:val="24"/>
          <w:szCs w:val="24"/>
        </w:rPr>
        <w:t xml:space="preserve"> in 2005</w:t>
      </w:r>
      <w:r w:rsidR="00765C07">
        <w:rPr>
          <w:rFonts w:asciiTheme="majorHAnsi" w:hAnsiTheme="majorHAnsi" w:cstheme="majorHAnsi"/>
          <w:sz w:val="24"/>
          <w:szCs w:val="24"/>
        </w:rPr>
        <w:t xml:space="preserve"> and the creation of the CAFTA-DR</w:t>
      </w:r>
      <w:r w:rsidR="00E54C48">
        <w:rPr>
          <w:rFonts w:asciiTheme="majorHAnsi" w:hAnsiTheme="majorHAnsi" w:cstheme="majorHAnsi"/>
          <w:sz w:val="24"/>
          <w:szCs w:val="24"/>
        </w:rPr>
        <w:t xml:space="preserve"> free trade agreem</w:t>
      </w:r>
      <w:r w:rsidR="00786803">
        <w:rPr>
          <w:rFonts w:asciiTheme="majorHAnsi" w:hAnsiTheme="majorHAnsi" w:cstheme="majorHAnsi"/>
          <w:sz w:val="24"/>
          <w:szCs w:val="24"/>
        </w:rPr>
        <w:t>e</w:t>
      </w:r>
      <w:r w:rsidR="00E54C48">
        <w:rPr>
          <w:rFonts w:asciiTheme="majorHAnsi" w:hAnsiTheme="majorHAnsi" w:cstheme="majorHAnsi"/>
          <w:sz w:val="24"/>
          <w:szCs w:val="24"/>
        </w:rPr>
        <w:t>nt</w:t>
      </w:r>
      <w:r w:rsidR="00765C07">
        <w:rPr>
          <w:rFonts w:asciiTheme="majorHAnsi" w:hAnsiTheme="majorHAnsi" w:cstheme="majorHAnsi"/>
          <w:sz w:val="24"/>
          <w:szCs w:val="24"/>
        </w:rPr>
        <w:t>, the US provide</w:t>
      </w:r>
      <w:r w:rsidR="004748E6">
        <w:rPr>
          <w:rFonts w:asciiTheme="majorHAnsi" w:hAnsiTheme="majorHAnsi" w:cstheme="majorHAnsi"/>
          <w:sz w:val="24"/>
          <w:szCs w:val="24"/>
        </w:rPr>
        <w:t>d</w:t>
      </w:r>
      <w:r w:rsidR="00765C07">
        <w:rPr>
          <w:rFonts w:asciiTheme="majorHAnsi" w:hAnsiTheme="majorHAnsi" w:cstheme="majorHAnsi"/>
          <w:sz w:val="24"/>
          <w:szCs w:val="24"/>
        </w:rPr>
        <w:t xml:space="preserve"> transversal preferences that were central to the emergence of other </w:t>
      </w:r>
      <w:r w:rsidR="004748E6">
        <w:rPr>
          <w:rFonts w:asciiTheme="majorHAnsi" w:hAnsiTheme="majorHAnsi" w:cstheme="majorHAnsi"/>
          <w:sz w:val="24"/>
          <w:szCs w:val="24"/>
        </w:rPr>
        <w:t xml:space="preserve">economic </w:t>
      </w:r>
      <w:r w:rsidR="00765C07">
        <w:rPr>
          <w:rFonts w:asciiTheme="majorHAnsi" w:hAnsiTheme="majorHAnsi" w:cstheme="majorHAnsi"/>
          <w:sz w:val="24"/>
          <w:szCs w:val="24"/>
        </w:rPr>
        <w:t>sectors in SEZs.</w:t>
      </w:r>
    </w:p>
    <w:p w14:paraId="58B509C8" w14:textId="77777777" w:rsidR="0005776E" w:rsidRPr="00D44162" w:rsidRDefault="0005776E" w:rsidP="002C24AF">
      <w:pPr>
        <w:spacing w:line="276" w:lineRule="auto"/>
        <w:jc w:val="both"/>
        <w:rPr>
          <w:rFonts w:asciiTheme="majorHAnsi" w:hAnsiTheme="majorHAnsi" w:cstheme="majorHAnsi"/>
          <w:sz w:val="24"/>
          <w:szCs w:val="24"/>
        </w:rPr>
      </w:pPr>
    </w:p>
    <w:p w14:paraId="25E14F13" w14:textId="3CE9A339" w:rsidR="00D44162" w:rsidRDefault="00765C07" w:rsidP="002C24AF">
      <w:pPr>
        <w:spacing w:line="276" w:lineRule="auto"/>
        <w:jc w:val="both"/>
        <w:rPr>
          <w:rFonts w:asciiTheme="majorHAnsi" w:hAnsiTheme="majorHAnsi" w:cstheme="majorHAnsi"/>
          <w:sz w:val="24"/>
          <w:szCs w:val="24"/>
        </w:rPr>
      </w:pPr>
      <w:r>
        <w:rPr>
          <w:rFonts w:asciiTheme="majorHAnsi" w:hAnsiTheme="majorHAnsi" w:cstheme="majorHAnsi"/>
          <w:b/>
          <w:sz w:val="24"/>
          <w:szCs w:val="24"/>
        </w:rPr>
        <w:t xml:space="preserve">Currently, the SEZs are still a powerful engine of job generation, exports, and </w:t>
      </w:r>
      <w:r w:rsidR="005B71FD">
        <w:rPr>
          <w:rFonts w:asciiTheme="majorHAnsi" w:hAnsiTheme="majorHAnsi" w:cstheme="majorHAnsi"/>
          <w:b/>
          <w:sz w:val="24"/>
          <w:szCs w:val="24"/>
        </w:rPr>
        <w:t xml:space="preserve">productive </w:t>
      </w:r>
      <w:r>
        <w:rPr>
          <w:rFonts w:asciiTheme="majorHAnsi" w:hAnsiTheme="majorHAnsi" w:cstheme="majorHAnsi"/>
          <w:b/>
          <w:sz w:val="24"/>
          <w:szCs w:val="24"/>
        </w:rPr>
        <w:t xml:space="preserve">diversification. </w:t>
      </w:r>
      <w:r w:rsidR="005A7DC1" w:rsidRPr="005A7DC1">
        <w:rPr>
          <w:rFonts w:asciiTheme="majorHAnsi" w:hAnsiTheme="majorHAnsi" w:cstheme="majorHAnsi"/>
          <w:sz w:val="24"/>
          <w:szCs w:val="24"/>
        </w:rPr>
        <w:t>The nu</w:t>
      </w:r>
      <w:r w:rsidR="005A7DC1">
        <w:rPr>
          <w:rFonts w:asciiTheme="majorHAnsi" w:hAnsiTheme="majorHAnsi" w:cstheme="majorHAnsi"/>
          <w:sz w:val="24"/>
          <w:szCs w:val="24"/>
        </w:rPr>
        <w:t xml:space="preserve">mber of </w:t>
      </w:r>
      <w:r>
        <w:rPr>
          <w:rFonts w:asciiTheme="majorHAnsi" w:hAnsiTheme="majorHAnsi" w:cstheme="majorHAnsi"/>
          <w:sz w:val="24"/>
          <w:szCs w:val="24"/>
        </w:rPr>
        <w:t>industrial parks</w:t>
      </w:r>
      <w:r w:rsidR="005A7DC1">
        <w:rPr>
          <w:rFonts w:asciiTheme="majorHAnsi" w:hAnsiTheme="majorHAnsi" w:cstheme="majorHAnsi"/>
          <w:sz w:val="24"/>
          <w:szCs w:val="24"/>
        </w:rPr>
        <w:t xml:space="preserve"> has grown 25% over the last 5 years</w:t>
      </w:r>
      <w:r>
        <w:rPr>
          <w:rFonts w:asciiTheme="majorHAnsi" w:hAnsiTheme="majorHAnsi" w:cstheme="majorHAnsi"/>
          <w:sz w:val="24"/>
          <w:szCs w:val="24"/>
        </w:rPr>
        <w:t xml:space="preserve">, </w:t>
      </w:r>
      <w:r w:rsidR="005A7DC1">
        <w:rPr>
          <w:rFonts w:asciiTheme="majorHAnsi" w:hAnsiTheme="majorHAnsi" w:cstheme="majorHAnsi"/>
          <w:sz w:val="24"/>
          <w:szCs w:val="24"/>
        </w:rPr>
        <w:t xml:space="preserve">standing at 60 parks in 2014 with an average of 11 firms in each park (See Adozona 2014). The number of parks </w:t>
      </w:r>
      <w:r w:rsidR="004748E6">
        <w:rPr>
          <w:rFonts w:asciiTheme="majorHAnsi" w:hAnsiTheme="majorHAnsi" w:cstheme="majorHAnsi"/>
          <w:sz w:val="24"/>
          <w:szCs w:val="24"/>
        </w:rPr>
        <w:t xml:space="preserve">in operation </w:t>
      </w:r>
      <w:r w:rsidR="005A7DC1">
        <w:rPr>
          <w:rFonts w:asciiTheme="majorHAnsi" w:hAnsiTheme="majorHAnsi" w:cstheme="majorHAnsi"/>
          <w:sz w:val="24"/>
          <w:szCs w:val="24"/>
        </w:rPr>
        <w:t xml:space="preserve">now is the same </w:t>
      </w:r>
      <w:r w:rsidR="004748E6">
        <w:rPr>
          <w:rFonts w:asciiTheme="majorHAnsi" w:hAnsiTheme="majorHAnsi" w:cstheme="majorHAnsi"/>
          <w:sz w:val="24"/>
          <w:szCs w:val="24"/>
        </w:rPr>
        <w:t xml:space="preserve">as </w:t>
      </w:r>
      <w:r w:rsidR="00E54C48">
        <w:rPr>
          <w:rFonts w:asciiTheme="majorHAnsi" w:hAnsiTheme="majorHAnsi" w:cstheme="majorHAnsi"/>
          <w:sz w:val="24"/>
          <w:szCs w:val="24"/>
        </w:rPr>
        <w:t xml:space="preserve">it was </w:t>
      </w:r>
      <w:r w:rsidR="005A7DC1">
        <w:rPr>
          <w:rFonts w:asciiTheme="majorHAnsi" w:hAnsiTheme="majorHAnsi" w:cstheme="majorHAnsi"/>
          <w:sz w:val="24"/>
          <w:szCs w:val="24"/>
        </w:rPr>
        <w:t xml:space="preserve">in 2004 when the clothing sector was buoyant. </w:t>
      </w:r>
      <w:r w:rsidR="00502EDE">
        <w:rPr>
          <w:rFonts w:asciiTheme="majorHAnsi" w:hAnsiTheme="majorHAnsi" w:cstheme="majorHAnsi"/>
          <w:sz w:val="24"/>
          <w:szCs w:val="24"/>
        </w:rPr>
        <w:t xml:space="preserve">The administration of industrial parks </w:t>
      </w:r>
      <w:r w:rsidR="00B82C34">
        <w:rPr>
          <w:rFonts w:asciiTheme="majorHAnsi" w:hAnsiTheme="majorHAnsi" w:cstheme="majorHAnsi"/>
          <w:sz w:val="24"/>
          <w:szCs w:val="24"/>
        </w:rPr>
        <w:t xml:space="preserve">is </w:t>
      </w:r>
      <w:r w:rsidR="00E54C48">
        <w:rPr>
          <w:rFonts w:asciiTheme="majorHAnsi" w:hAnsiTheme="majorHAnsi" w:cstheme="majorHAnsi"/>
          <w:sz w:val="24"/>
          <w:szCs w:val="24"/>
        </w:rPr>
        <w:t xml:space="preserve">primarily </w:t>
      </w:r>
      <w:r w:rsidR="00502EDE">
        <w:rPr>
          <w:rFonts w:asciiTheme="majorHAnsi" w:hAnsiTheme="majorHAnsi" w:cstheme="majorHAnsi"/>
          <w:sz w:val="24"/>
          <w:szCs w:val="24"/>
        </w:rPr>
        <w:t xml:space="preserve">private (70%), </w:t>
      </w:r>
      <w:r w:rsidR="00E54C48">
        <w:rPr>
          <w:rFonts w:asciiTheme="majorHAnsi" w:hAnsiTheme="majorHAnsi" w:cstheme="majorHAnsi"/>
          <w:sz w:val="24"/>
          <w:szCs w:val="24"/>
        </w:rPr>
        <w:t xml:space="preserve">with the remainder either </w:t>
      </w:r>
      <w:r w:rsidR="00502EDE">
        <w:rPr>
          <w:rFonts w:asciiTheme="majorHAnsi" w:hAnsiTheme="majorHAnsi" w:cstheme="majorHAnsi"/>
          <w:sz w:val="24"/>
          <w:szCs w:val="24"/>
        </w:rPr>
        <w:t xml:space="preserve">public (25%), </w:t>
      </w:r>
      <w:r w:rsidR="00E54C48">
        <w:rPr>
          <w:rFonts w:asciiTheme="majorHAnsi" w:hAnsiTheme="majorHAnsi" w:cstheme="majorHAnsi"/>
          <w:sz w:val="24"/>
          <w:szCs w:val="24"/>
        </w:rPr>
        <w:t xml:space="preserve">or </w:t>
      </w:r>
      <w:r w:rsidR="00502EDE">
        <w:rPr>
          <w:rFonts w:asciiTheme="majorHAnsi" w:hAnsiTheme="majorHAnsi" w:cstheme="majorHAnsi"/>
          <w:sz w:val="24"/>
          <w:szCs w:val="24"/>
        </w:rPr>
        <w:t>both</w:t>
      </w:r>
      <w:r w:rsidR="00E54C48">
        <w:rPr>
          <w:rFonts w:asciiTheme="majorHAnsi" w:hAnsiTheme="majorHAnsi" w:cstheme="majorHAnsi"/>
          <w:sz w:val="24"/>
          <w:szCs w:val="24"/>
        </w:rPr>
        <w:t xml:space="preserve"> private and public</w:t>
      </w:r>
      <w:r w:rsidR="00502EDE">
        <w:rPr>
          <w:rFonts w:asciiTheme="majorHAnsi" w:hAnsiTheme="majorHAnsi" w:cstheme="majorHAnsi"/>
          <w:sz w:val="24"/>
          <w:szCs w:val="24"/>
        </w:rPr>
        <w:t xml:space="preserve"> (5%).</w:t>
      </w:r>
      <w:r w:rsidR="00502EDE">
        <w:rPr>
          <w:rStyle w:val="FootnoteReference"/>
          <w:rFonts w:asciiTheme="majorHAnsi" w:hAnsiTheme="majorHAnsi" w:cstheme="majorHAnsi"/>
          <w:sz w:val="24"/>
          <w:szCs w:val="24"/>
        </w:rPr>
        <w:footnoteReference w:id="2"/>
      </w:r>
      <w:r w:rsidR="00502EDE">
        <w:rPr>
          <w:rFonts w:asciiTheme="majorHAnsi" w:hAnsiTheme="majorHAnsi" w:cstheme="majorHAnsi"/>
          <w:sz w:val="24"/>
          <w:szCs w:val="24"/>
        </w:rPr>
        <w:t xml:space="preserve"> </w:t>
      </w:r>
      <w:r w:rsidR="00B82C34">
        <w:rPr>
          <w:rFonts w:asciiTheme="majorHAnsi" w:hAnsiTheme="majorHAnsi" w:cstheme="majorHAnsi"/>
          <w:sz w:val="24"/>
          <w:szCs w:val="24"/>
        </w:rPr>
        <w:t>Services</w:t>
      </w:r>
      <w:r w:rsidR="007A62C6">
        <w:rPr>
          <w:rFonts w:asciiTheme="majorHAnsi" w:hAnsiTheme="majorHAnsi" w:cstheme="majorHAnsi"/>
          <w:sz w:val="24"/>
          <w:szCs w:val="24"/>
        </w:rPr>
        <w:t>, textiles, medical instruments, tobacco, and agroindustry are the main activities taking place in SEZs. Currently, SEZs provide around 1</w:t>
      </w:r>
      <w:r w:rsidR="00950399">
        <w:rPr>
          <w:rFonts w:asciiTheme="majorHAnsi" w:hAnsiTheme="majorHAnsi" w:cstheme="majorHAnsi"/>
          <w:sz w:val="24"/>
          <w:szCs w:val="24"/>
        </w:rPr>
        <w:t>4</w:t>
      </w:r>
      <w:r w:rsidR="007A62C6">
        <w:rPr>
          <w:rFonts w:asciiTheme="majorHAnsi" w:hAnsiTheme="majorHAnsi" w:cstheme="majorHAnsi"/>
          <w:sz w:val="24"/>
          <w:szCs w:val="24"/>
        </w:rPr>
        <w:t xml:space="preserve">0,000 direct jobs </w:t>
      </w:r>
      <w:r w:rsidR="004748E6">
        <w:rPr>
          <w:rFonts w:asciiTheme="majorHAnsi" w:hAnsiTheme="majorHAnsi" w:cstheme="majorHAnsi"/>
          <w:sz w:val="24"/>
          <w:szCs w:val="24"/>
        </w:rPr>
        <w:t xml:space="preserve">of </w:t>
      </w:r>
      <w:r w:rsidR="007A62C6">
        <w:rPr>
          <w:rFonts w:asciiTheme="majorHAnsi" w:hAnsiTheme="majorHAnsi" w:cstheme="majorHAnsi"/>
          <w:sz w:val="24"/>
          <w:szCs w:val="24"/>
        </w:rPr>
        <w:t>which the majority</w:t>
      </w:r>
      <w:r w:rsidR="000A39B7">
        <w:rPr>
          <w:rFonts w:asciiTheme="majorHAnsi" w:hAnsiTheme="majorHAnsi" w:cstheme="majorHAnsi"/>
          <w:sz w:val="24"/>
          <w:szCs w:val="24"/>
        </w:rPr>
        <w:t xml:space="preserve"> are held by low-skill</w:t>
      </w:r>
      <w:r w:rsidR="004748E6">
        <w:rPr>
          <w:rFonts w:asciiTheme="majorHAnsi" w:hAnsiTheme="majorHAnsi" w:cstheme="majorHAnsi"/>
          <w:sz w:val="24"/>
          <w:szCs w:val="24"/>
        </w:rPr>
        <w:t>ed</w:t>
      </w:r>
      <w:r w:rsidR="000A39B7">
        <w:rPr>
          <w:rFonts w:asciiTheme="majorHAnsi" w:hAnsiTheme="majorHAnsi" w:cstheme="majorHAnsi"/>
          <w:sz w:val="24"/>
          <w:szCs w:val="24"/>
        </w:rPr>
        <w:t xml:space="preserve"> workers</w:t>
      </w:r>
      <w:r w:rsidR="00D20E8E">
        <w:rPr>
          <w:rFonts w:asciiTheme="majorHAnsi" w:hAnsiTheme="majorHAnsi" w:cstheme="majorHAnsi"/>
          <w:sz w:val="24"/>
          <w:szCs w:val="24"/>
        </w:rPr>
        <w:t>,</w:t>
      </w:r>
      <w:r w:rsidR="000A39B7">
        <w:rPr>
          <w:rFonts w:asciiTheme="majorHAnsi" w:hAnsiTheme="majorHAnsi" w:cstheme="majorHAnsi"/>
          <w:sz w:val="24"/>
          <w:szCs w:val="24"/>
        </w:rPr>
        <w:t xml:space="preserve"> although the share of technical workers has steadily </w:t>
      </w:r>
      <w:r w:rsidR="004748E6">
        <w:rPr>
          <w:rFonts w:asciiTheme="majorHAnsi" w:hAnsiTheme="majorHAnsi" w:cstheme="majorHAnsi"/>
          <w:sz w:val="24"/>
          <w:szCs w:val="24"/>
        </w:rPr>
        <w:t xml:space="preserve">grown </w:t>
      </w:r>
      <w:r w:rsidR="000A39B7">
        <w:rPr>
          <w:rFonts w:asciiTheme="majorHAnsi" w:hAnsiTheme="majorHAnsi" w:cstheme="majorHAnsi"/>
          <w:sz w:val="24"/>
          <w:szCs w:val="24"/>
        </w:rPr>
        <w:t>since 2011 (</w:t>
      </w:r>
      <w:r w:rsidR="00CB0442" w:rsidRPr="00CB0442">
        <w:rPr>
          <w:rFonts w:asciiTheme="majorHAnsi" w:hAnsiTheme="majorHAnsi" w:cstheme="majorHAnsi"/>
          <w:sz w:val="24"/>
          <w:szCs w:val="24"/>
        </w:rPr>
        <w:fldChar w:fldCharType="begin"/>
      </w:r>
      <w:r w:rsidR="00CB0442" w:rsidRPr="00CB0442">
        <w:rPr>
          <w:rFonts w:asciiTheme="majorHAnsi" w:hAnsiTheme="majorHAnsi" w:cstheme="majorHAnsi"/>
          <w:sz w:val="24"/>
          <w:szCs w:val="24"/>
        </w:rPr>
        <w:instrText xml:space="preserve"> REF _Ref450228189 \h  \* MERGEFORMAT </w:instrText>
      </w:r>
      <w:r w:rsidR="00CB0442" w:rsidRPr="00CB0442">
        <w:rPr>
          <w:rFonts w:asciiTheme="majorHAnsi" w:hAnsiTheme="majorHAnsi" w:cstheme="majorHAnsi"/>
          <w:sz w:val="24"/>
          <w:szCs w:val="24"/>
        </w:rPr>
      </w:r>
      <w:r w:rsidR="00CB0442" w:rsidRPr="00CB0442">
        <w:rPr>
          <w:rFonts w:asciiTheme="majorHAnsi" w:hAnsiTheme="majorHAnsi" w:cstheme="majorHAnsi"/>
          <w:sz w:val="24"/>
          <w:szCs w:val="24"/>
        </w:rPr>
        <w:fldChar w:fldCharType="separate"/>
      </w:r>
      <w:r w:rsidR="00893CAD" w:rsidRPr="00893CAD">
        <w:rPr>
          <w:rFonts w:asciiTheme="majorHAnsi" w:hAnsiTheme="majorHAnsi" w:cstheme="majorHAnsi"/>
          <w:sz w:val="24"/>
          <w:szCs w:val="24"/>
        </w:rPr>
        <w:t xml:space="preserve">Figure </w:t>
      </w:r>
      <w:r w:rsidR="00893CAD" w:rsidRPr="00893CAD">
        <w:rPr>
          <w:rFonts w:asciiTheme="majorHAnsi" w:hAnsiTheme="majorHAnsi" w:cstheme="majorHAnsi"/>
          <w:noProof/>
          <w:sz w:val="24"/>
          <w:szCs w:val="24"/>
        </w:rPr>
        <w:t>1</w:t>
      </w:r>
      <w:r w:rsidR="00CB0442" w:rsidRPr="00CB0442">
        <w:rPr>
          <w:rFonts w:asciiTheme="majorHAnsi" w:hAnsiTheme="majorHAnsi" w:cstheme="majorHAnsi"/>
          <w:sz w:val="24"/>
          <w:szCs w:val="24"/>
        </w:rPr>
        <w:fldChar w:fldCharType="end"/>
      </w:r>
      <w:r w:rsidR="000A39B7">
        <w:rPr>
          <w:rFonts w:asciiTheme="majorHAnsi" w:hAnsiTheme="majorHAnsi" w:cstheme="majorHAnsi"/>
          <w:sz w:val="24"/>
          <w:szCs w:val="24"/>
        </w:rPr>
        <w:t xml:space="preserve">). These jobs are </w:t>
      </w:r>
      <w:r w:rsidR="004748E6">
        <w:rPr>
          <w:rFonts w:asciiTheme="majorHAnsi" w:hAnsiTheme="majorHAnsi" w:cstheme="majorHAnsi"/>
          <w:sz w:val="24"/>
          <w:szCs w:val="24"/>
        </w:rPr>
        <w:t xml:space="preserve">held </w:t>
      </w:r>
      <w:r w:rsidR="000A39B7">
        <w:rPr>
          <w:rFonts w:asciiTheme="majorHAnsi" w:hAnsiTheme="majorHAnsi" w:cstheme="majorHAnsi"/>
          <w:sz w:val="24"/>
          <w:szCs w:val="24"/>
        </w:rPr>
        <w:t xml:space="preserve">almost equally by men and women. It is important to note that the share of </w:t>
      </w:r>
      <w:r w:rsidR="004748E6">
        <w:rPr>
          <w:rFonts w:asciiTheme="majorHAnsi" w:hAnsiTheme="majorHAnsi" w:cstheme="majorHAnsi"/>
          <w:sz w:val="24"/>
          <w:szCs w:val="24"/>
        </w:rPr>
        <w:t xml:space="preserve">female </w:t>
      </w:r>
      <w:r w:rsidR="00D20E8E">
        <w:rPr>
          <w:rFonts w:asciiTheme="majorHAnsi" w:hAnsiTheme="majorHAnsi" w:cstheme="majorHAnsi"/>
          <w:sz w:val="24"/>
          <w:szCs w:val="24"/>
        </w:rPr>
        <w:t xml:space="preserve">labor </w:t>
      </w:r>
      <w:r w:rsidR="004748E6">
        <w:rPr>
          <w:rFonts w:asciiTheme="majorHAnsi" w:hAnsiTheme="majorHAnsi" w:cstheme="majorHAnsi"/>
          <w:sz w:val="24"/>
          <w:szCs w:val="24"/>
        </w:rPr>
        <w:t xml:space="preserve">force participation </w:t>
      </w:r>
      <w:r w:rsidR="000A39B7">
        <w:rPr>
          <w:rFonts w:asciiTheme="majorHAnsi" w:hAnsiTheme="majorHAnsi" w:cstheme="majorHAnsi"/>
          <w:sz w:val="24"/>
          <w:szCs w:val="24"/>
        </w:rPr>
        <w:t>in SEZs has steadily drop</w:t>
      </w:r>
      <w:r w:rsidR="004748E6">
        <w:rPr>
          <w:rFonts w:asciiTheme="majorHAnsi" w:hAnsiTheme="majorHAnsi" w:cstheme="majorHAnsi"/>
          <w:sz w:val="24"/>
          <w:szCs w:val="24"/>
        </w:rPr>
        <w:t>ped</w:t>
      </w:r>
      <w:r w:rsidR="000A39B7">
        <w:rPr>
          <w:rFonts w:asciiTheme="majorHAnsi" w:hAnsiTheme="majorHAnsi" w:cstheme="majorHAnsi"/>
          <w:sz w:val="24"/>
          <w:szCs w:val="24"/>
        </w:rPr>
        <w:t xml:space="preserve"> since 2011, indicating the decline of the textile industry</w:t>
      </w:r>
      <w:r w:rsidR="00C465CF">
        <w:rPr>
          <w:rFonts w:asciiTheme="majorHAnsi" w:hAnsiTheme="majorHAnsi" w:cstheme="majorHAnsi"/>
          <w:sz w:val="24"/>
          <w:szCs w:val="24"/>
        </w:rPr>
        <w:t xml:space="preserve"> and the growth of more sophisticated industries in SEZ demanding more skill</w:t>
      </w:r>
      <w:r w:rsidR="00C53AA0">
        <w:rPr>
          <w:rFonts w:asciiTheme="majorHAnsi" w:hAnsiTheme="majorHAnsi" w:cstheme="majorHAnsi"/>
          <w:sz w:val="24"/>
          <w:szCs w:val="24"/>
        </w:rPr>
        <w:t>ed</w:t>
      </w:r>
      <w:r w:rsidR="00C465CF">
        <w:rPr>
          <w:rFonts w:asciiTheme="majorHAnsi" w:hAnsiTheme="majorHAnsi" w:cstheme="majorHAnsi"/>
          <w:sz w:val="24"/>
          <w:szCs w:val="24"/>
        </w:rPr>
        <w:t xml:space="preserve"> workers</w:t>
      </w:r>
      <w:r w:rsidR="000A39B7">
        <w:rPr>
          <w:rFonts w:asciiTheme="majorHAnsi" w:hAnsiTheme="majorHAnsi" w:cstheme="majorHAnsi"/>
          <w:sz w:val="24"/>
          <w:szCs w:val="24"/>
        </w:rPr>
        <w:t>.</w:t>
      </w:r>
    </w:p>
    <w:p w14:paraId="4FA34991" w14:textId="77777777" w:rsidR="000A39B7" w:rsidRDefault="000A39B7" w:rsidP="002C24AF">
      <w:pPr>
        <w:spacing w:line="276" w:lineRule="auto"/>
        <w:jc w:val="both"/>
        <w:rPr>
          <w:rFonts w:asciiTheme="majorHAnsi" w:hAnsiTheme="majorHAnsi" w:cs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3CAA" w14:paraId="26932E2B" w14:textId="77777777" w:rsidTr="00E74416">
        <w:tc>
          <w:tcPr>
            <w:tcW w:w="9350" w:type="dxa"/>
          </w:tcPr>
          <w:p w14:paraId="464A2C52" w14:textId="39469CA8" w:rsidR="009A3CAA" w:rsidRPr="00963C93" w:rsidRDefault="009A3CAA" w:rsidP="009A3CAA">
            <w:pPr>
              <w:spacing w:after="120"/>
              <w:jc w:val="center"/>
              <w:rPr>
                <w:rFonts w:ascii="Times New Roman" w:hAnsi="Times New Roman"/>
                <w:b/>
                <w:sz w:val="24"/>
                <w:szCs w:val="24"/>
              </w:rPr>
            </w:pPr>
            <w:bookmarkStart w:id="3" w:name="_Ref450228189"/>
            <w:r w:rsidRPr="00982224">
              <w:rPr>
                <w:rFonts w:asciiTheme="majorHAnsi" w:hAnsiTheme="majorHAnsi" w:cstheme="majorHAnsi"/>
                <w:b/>
                <w:sz w:val="24"/>
                <w:szCs w:val="24"/>
              </w:rPr>
              <w:t xml:space="preserve">Figure </w:t>
            </w:r>
            <w:r w:rsidRPr="00982224">
              <w:rPr>
                <w:rFonts w:asciiTheme="majorHAnsi" w:hAnsiTheme="majorHAnsi" w:cstheme="majorHAnsi"/>
                <w:b/>
                <w:sz w:val="24"/>
                <w:szCs w:val="24"/>
              </w:rPr>
              <w:fldChar w:fldCharType="begin"/>
            </w:r>
            <w:r w:rsidRPr="00982224">
              <w:rPr>
                <w:rFonts w:asciiTheme="majorHAnsi" w:hAnsiTheme="majorHAnsi" w:cstheme="majorHAnsi"/>
                <w:b/>
                <w:sz w:val="24"/>
                <w:szCs w:val="24"/>
              </w:rPr>
              <w:instrText xml:space="preserve"> SEQ Figure \* ARABIC </w:instrText>
            </w:r>
            <w:r w:rsidRPr="0098222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1</w:t>
            </w:r>
            <w:r w:rsidRPr="00982224">
              <w:rPr>
                <w:rFonts w:asciiTheme="majorHAnsi" w:hAnsiTheme="majorHAnsi" w:cstheme="majorHAnsi"/>
                <w:b/>
                <w:sz w:val="24"/>
                <w:szCs w:val="24"/>
              </w:rPr>
              <w:fldChar w:fldCharType="end"/>
            </w:r>
            <w:bookmarkEnd w:id="3"/>
            <w:r w:rsidRPr="002A29FB">
              <w:rPr>
                <w:rFonts w:ascii="Times New Roman" w:hAnsi="Times New Roman"/>
                <w:b/>
                <w:sz w:val="24"/>
                <w:szCs w:val="24"/>
              </w:rPr>
              <w:t xml:space="preserve">: </w:t>
            </w:r>
            <w:r>
              <w:rPr>
                <w:rFonts w:ascii="Times New Roman" w:hAnsi="Times New Roman"/>
                <w:b/>
                <w:sz w:val="24"/>
                <w:szCs w:val="24"/>
              </w:rPr>
              <w:t>Direct Jobs Created by SEZs in the Dominica</w:t>
            </w:r>
            <w:r w:rsidR="00E54C48">
              <w:rPr>
                <w:rFonts w:ascii="Times New Roman" w:hAnsi="Times New Roman"/>
                <w:b/>
                <w:sz w:val="24"/>
                <w:szCs w:val="24"/>
              </w:rPr>
              <w:t>n</w:t>
            </w:r>
            <w:r>
              <w:rPr>
                <w:rFonts w:ascii="Times New Roman" w:hAnsi="Times New Roman"/>
                <w:b/>
                <w:sz w:val="24"/>
                <w:szCs w:val="24"/>
              </w:rPr>
              <w:t xml:space="preserve"> Republic</w:t>
            </w:r>
            <w:r>
              <w:rPr>
                <w:rFonts w:ascii="Times New Roman" w:hAnsi="Times New Roman"/>
                <w:b/>
                <w:sz w:val="24"/>
                <w:szCs w:val="24"/>
              </w:rPr>
              <w:br/>
              <w:t>(2002-2014)</w:t>
            </w:r>
          </w:p>
        </w:tc>
      </w:tr>
      <w:tr w:rsidR="009A3CAA" w14:paraId="0D2D7E13" w14:textId="77777777" w:rsidTr="00950399">
        <w:tc>
          <w:tcPr>
            <w:tcW w:w="9350" w:type="dxa"/>
          </w:tcPr>
          <w:p w14:paraId="775EDC11" w14:textId="6F88B410" w:rsidR="009A3CAA" w:rsidRDefault="00950399" w:rsidP="00E74416">
            <w:pPr>
              <w:spacing w:after="120" w:line="276" w:lineRule="auto"/>
              <w:jc w:val="center"/>
              <w:rPr>
                <w:rFonts w:ascii="Times New Roman" w:hAnsi="Times New Roman"/>
                <w:sz w:val="24"/>
                <w:szCs w:val="24"/>
              </w:rPr>
            </w:pPr>
            <w:r>
              <w:rPr>
                <w:noProof/>
              </w:rPr>
              <w:drawing>
                <wp:inline distT="0" distB="0" distL="0" distR="0" wp14:anchorId="6A70CCDC" wp14:editId="58FAB5BB">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9A3CAA" w14:paraId="4AFD96CC" w14:textId="77777777" w:rsidTr="00E74416">
        <w:tc>
          <w:tcPr>
            <w:tcW w:w="9350" w:type="dxa"/>
          </w:tcPr>
          <w:p w14:paraId="254A6929" w14:textId="77777777" w:rsidR="009A3CAA" w:rsidRDefault="009A3CAA" w:rsidP="009A3CAA">
            <w:pPr>
              <w:ind w:left="1152" w:right="1142"/>
              <w:jc w:val="both"/>
              <w:rPr>
                <w:rFonts w:ascii="Times New Roman" w:hAnsi="Times New Roman"/>
                <w:sz w:val="20"/>
                <w:szCs w:val="20"/>
              </w:rPr>
            </w:pPr>
            <w:r>
              <w:rPr>
                <w:rFonts w:ascii="Times New Roman" w:hAnsi="Times New Roman"/>
                <w:sz w:val="20"/>
                <w:szCs w:val="20"/>
              </w:rPr>
              <w:t xml:space="preserve">Note: This figure shows the evolution of direct jobs, by type, in SEZs in the Dominican Republic.  </w:t>
            </w:r>
          </w:p>
          <w:p w14:paraId="32B0FD99" w14:textId="77777777" w:rsidR="009A3CAA" w:rsidRDefault="009A3CAA" w:rsidP="009A3CAA">
            <w:pPr>
              <w:ind w:left="1152" w:right="1142"/>
              <w:jc w:val="both"/>
              <w:rPr>
                <w:rFonts w:ascii="Times New Roman" w:hAnsi="Times New Roman"/>
                <w:sz w:val="24"/>
                <w:szCs w:val="24"/>
              </w:rPr>
            </w:pPr>
            <w:r>
              <w:rPr>
                <w:rFonts w:ascii="Times New Roman" w:hAnsi="Times New Roman"/>
                <w:sz w:val="20"/>
                <w:szCs w:val="20"/>
              </w:rPr>
              <w:t>Source: National commission for Special Economic Zones (CNZFE).</w:t>
            </w:r>
          </w:p>
        </w:tc>
      </w:tr>
    </w:tbl>
    <w:p w14:paraId="7D8EDD22" w14:textId="77777777" w:rsidR="000A39B7" w:rsidRDefault="000A39B7" w:rsidP="002C24AF">
      <w:pPr>
        <w:spacing w:line="276" w:lineRule="auto"/>
        <w:jc w:val="both"/>
        <w:rPr>
          <w:rFonts w:asciiTheme="majorHAnsi" w:hAnsiTheme="majorHAnsi" w:cstheme="majorHAnsi"/>
          <w:sz w:val="24"/>
          <w:szCs w:val="24"/>
        </w:rPr>
      </w:pPr>
    </w:p>
    <w:tbl>
      <w:tblPr>
        <w:tblStyle w:val="TableGrid"/>
        <w:tblW w:w="0" w:type="auto"/>
        <w:shd w:val="clear" w:color="auto" w:fill="DFECEB" w:themeFill="accent6" w:themeFillTint="33"/>
        <w:tblLook w:val="04A0" w:firstRow="1" w:lastRow="0" w:firstColumn="1" w:lastColumn="0" w:noHBand="0" w:noVBand="1"/>
      </w:tblPr>
      <w:tblGrid>
        <w:gridCol w:w="9576"/>
      </w:tblGrid>
      <w:tr w:rsidR="007D65C4" w14:paraId="14FD38F2" w14:textId="77777777" w:rsidTr="008D6919">
        <w:tc>
          <w:tcPr>
            <w:tcW w:w="9576" w:type="dxa"/>
            <w:shd w:val="clear" w:color="auto" w:fill="DFECEB" w:themeFill="accent6" w:themeFillTint="33"/>
          </w:tcPr>
          <w:p w14:paraId="57C68825" w14:textId="06E13B09" w:rsidR="007D65C4" w:rsidRPr="007D65C4" w:rsidRDefault="007D65C4" w:rsidP="006C0F61">
            <w:pPr>
              <w:spacing w:after="240"/>
              <w:jc w:val="center"/>
              <w:rPr>
                <w:rFonts w:asciiTheme="majorHAnsi" w:hAnsiTheme="majorHAnsi" w:cstheme="majorHAnsi"/>
                <w:b/>
                <w:sz w:val="24"/>
                <w:szCs w:val="24"/>
              </w:rPr>
            </w:pPr>
            <w:r w:rsidRPr="007D65C4">
              <w:rPr>
                <w:rFonts w:asciiTheme="majorHAnsi" w:hAnsiTheme="majorHAnsi" w:cstheme="majorHAnsi"/>
                <w:b/>
                <w:sz w:val="24"/>
                <w:szCs w:val="24"/>
              </w:rPr>
              <w:lastRenderedPageBreak/>
              <w:t xml:space="preserve">Box </w:t>
            </w:r>
            <w:r w:rsidRPr="007D65C4">
              <w:rPr>
                <w:rFonts w:asciiTheme="majorHAnsi" w:hAnsiTheme="majorHAnsi" w:cstheme="majorHAnsi"/>
                <w:b/>
                <w:sz w:val="24"/>
                <w:szCs w:val="24"/>
              </w:rPr>
              <w:fldChar w:fldCharType="begin"/>
            </w:r>
            <w:r w:rsidRPr="007D65C4">
              <w:rPr>
                <w:rFonts w:asciiTheme="majorHAnsi" w:hAnsiTheme="majorHAnsi" w:cstheme="majorHAnsi"/>
                <w:b/>
                <w:sz w:val="24"/>
                <w:szCs w:val="24"/>
              </w:rPr>
              <w:instrText xml:space="preserve"> SEQ Box \* ARABIC </w:instrText>
            </w:r>
            <w:r w:rsidRPr="007D65C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1</w:t>
            </w:r>
            <w:r w:rsidRPr="007D65C4">
              <w:rPr>
                <w:rFonts w:asciiTheme="majorHAnsi" w:hAnsiTheme="majorHAnsi" w:cstheme="majorHAnsi"/>
                <w:b/>
                <w:sz w:val="24"/>
                <w:szCs w:val="24"/>
              </w:rPr>
              <w:fldChar w:fldCharType="end"/>
            </w:r>
            <w:r>
              <w:rPr>
                <w:rFonts w:asciiTheme="majorHAnsi" w:hAnsiTheme="majorHAnsi" w:cstheme="majorHAnsi"/>
                <w:b/>
                <w:sz w:val="24"/>
                <w:szCs w:val="24"/>
              </w:rPr>
              <w:t xml:space="preserve">. </w:t>
            </w:r>
            <w:r w:rsidRPr="007D65C4">
              <w:rPr>
                <w:rFonts w:asciiTheme="majorHAnsi" w:hAnsiTheme="majorHAnsi" w:cstheme="majorHAnsi"/>
                <w:b/>
                <w:sz w:val="24"/>
                <w:szCs w:val="24"/>
              </w:rPr>
              <w:t xml:space="preserve">Lessons </w:t>
            </w:r>
            <w:r w:rsidR="0075217C">
              <w:rPr>
                <w:rFonts w:asciiTheme="majorHAnsi" w:hAnsiTheme="majorHAnsi" w:cstheme="majorHAnsi"/>
                <w:b/>
                <w:sz w:val="24"/>
                <w:szCs w:val="24"/>
              </w:rPr>
              <w:t xml:space="preserve">and Challenges </w:t>
            </w:r>
            <w:r>
              <w:rPr>
                <w:rFonts w:asciiTheme="majorHAnsi" w:hAnsiTheme="majorHAnsi" w:cstheme="majorHAnsi"/>
                <w:b/>
                <w:sz w:val="24"/>
                <w:szCs w:val="24"/>
              </w:rPr>
              <w:t>on Setting up Successful SEZs</w:t>
            </w:r>
            <w:r w:rsidR="0075217C">
              <w:rPr>
                <w:rFonts w:asciiTheme="majorHAnsi" w:hAnsiTheme="majorHAnsi" w:cstheme="majorHAnsi"/>
                <w:b/>
                <w:sz w:val="24"/>
                <w:szCs w:val="24"/>
              </w:rPr>
              <w:t xml:space="preserve">. The </w:t>
            </w:r>
            <w:r w:rsidR="0075217C" w:rsidRPr="007D65C4">
              <w:rPr>
                <w:rFonts w:asciiTheme="majorHAnsi" w:hAnsiTheme="majorHAnsi" w:cstheme="majorHAnsi"/>
                <w:b/>
                <w:sz w:val="24"/>
                <w:szCs w:val="24"/>
              </w:rPr>
              <w:t>Dominican Republic</w:t>
            </w:r>
            <w:r w:rsidR="0075217C">
              <w:rPr>
                <w:rFonts w:asciiTheme="majorHAnsi" w:hAnsiTheme="majorHAnsi" w:cstheme="majorHAnsi"/>
                <w:b/>
                <w:sz w:val="24"/>
                <w:szCs w:val="24"/>
              </w:rPr>
              <w:t xml:space="preserve"> case.</w:t>
            </w:r>
          </w:p>
          <w:p w14:paraId="44F1887E" w14:textId="1604EC4F" w:rsidR="007D65C4" w:rsidRPr="00E072DD" w:rsidRDefault="007D65C4" w:rsidP="006C0F61">
            <w:pPr>
              <w:keepNext/>
              <w:spacing w:after="240" w:line="276" w:lineRule="auto"/>
              <w:jc w:val="both"/>
              <w:rPr>
                <w:rFonts w:asciiTheme="majorHAnsi" w:hAnsiTheme="majorHAnsi" w:cstheme="majorHAnsi"/>
                <w:sz w:val="20"/>
                <w:szCs w:val="20"/>
              </w:rPr>
            </w:pPr>
            <w:r w:rsidRPr="00E072DD">
              <w:rPr>
                <w:rFonts w:asciiTheme="majorHAnsi" w:hAnsiTheme="majorHAnsi" w:cstheme="majorHAnsi"/>
                <w:sz w:val="20"/>
                <w:szCs w:val="20"/>
              </w:rPr>
              <w:t xml:space="preserve">The Dominican Republic is a renowned case of positive SEZ experience in the Americas. </w:t>
            </w:r>
            <w:r w:rsidR="00346B07" w:rsidRPr="00E072DD">
              <w:rPr>
                <w:rFonts w:asciiTheme="majorHAnsi" w:hAnsiTheme="majorHAnsi" w:cstheme="majorHAnsi"/>
                <w:sz w:val="20"/>
                <w:szCs w:val="20"/>
              </w:rPr>
              <w:t>Since their inception in 1969 and d</w:t>
            </w:r>
            <w:r w:rsidRPr="00E072DD">
              <w:rPr>
                <w:rFonts w:asciiTheme="majorHAnsi" w:hAnsiTheme="majorHAnsi" w:cstheme="majorHAnsi"/>
                <w:sz w:val="20"/>
                <w:szCs w:val="20"/>
              </w:rPr>
              <w:t xml:space="preserve">rawing from its proximity to the US, preferential trade </w:t>
            </w:r>
            <w:r w:rsidR="008A12F3" w:rsidRPr="00E072DD">
              <w:rPr>
                <w:rFonts w:asciiTheme="majorHAnsi" w:hAnsiTheme="majorHAnsi" w:cstheme="majorHAnsi"/>
                <w:sz w:val="20"/>
                <w:szCs w:val="20"/>
              </w:rPr>
              <w:t>agreements</w:t>
            </w:r>
            <w:r w:rsidRPr="00E072DD">
              <w:rPr>
                <w:rFonts w:asciiTheme="majorHAnsi" w:hAnsiTheme="majorHAnsi" w:cstheme="majorHAnsi"/>
                <w:sz w:val="20"/>
                <w:szCs w:val="20"/>
              </w:rPr>
              <w:t xml:space="preserve">, and investment incentives, SEZs in the country were able to attract garment manufacturers that were offshoring production. The dynamism of this sector boosted exports and helped the Dominican Republic to being the top performer economy in Latin America and the Caribbean during the nineties, with an average growth rate of 6.7 percent in 1992-2000. While the garment sector was severely hit by the end of the Multi-Fiber </w:t>
            </w:r>
            <w:r w:rsidR="00346B07" w:rsidRPr="00E072DD">
              <w:rPr>
                <w:rFonts w:asciiTheme="majorHAnsi" w:hAnsiTheme="majorHAnsi" w:cstheme="majorHAnsi"/>
                <w:sz w:val="20"/>
                <w:szCs w:val="20"/>
              </w:rPr>
              <w:t xml:space="preserve">Arrangement </w:t>
            </w:r>
            <w:r w:rsidRPr="00E072DD">
              <w:rPr>
                <w:rFonts w:asciiTheme="majorHAnsi" w:hAnsiTheme="majorHAnsi" w:cstheme="majorHAnsi"/>
                <w:sz w:val="20"/>
                <w:szCs w:val="20"/>
              </w:rPr>
              <w:t xml:space="preserve">in 2005, SEZs </w:t>
            </w:r>
            <w:r w:rsidR="00346B07" w:rsidRPr="00E072DD">
              <w:rPr>
                <w:rFonts w:asciiTheme="majorHAnsi" w:hAnsiTheme="majorHAnsi" w:cstheme="majorHAnsi"/>
                <w:sz w:val="20"/>
                <w:szCs w:val="20"/>
              </w:rPr>
              <w:t xml:space="preserve">were </w:t>
            </w:r>
            <w:r w:rsidRPr="00E072DD">
              <w:rPr>
                <w:rFonts w:asciiTheme="majorHAnsi" w:hAnsiTheme="majorHAnsi" w:cstheme="majorHAnsi"/>
                <w:sz w:val="20"/>
                <w:szCs w:val="20"/>
              </w:rPr>
              <w:t xml:space="preserve">able to attract investment in new sectors, positioning the </w:t>
            </w:r>
            <w:r w:rsidR="00346B07" w:rsidRPr="00E072DD">
              <w:rPr>
                <w:rFonts w:asciiTheme="majorHAnsi" w:hAnsiTheme="majorHAnsi" w:cstheme="majorHAnsi"/>
                <w:sz w:val="20"/>
                <w:szCs w:val="20"/>
              </w:rPr>
              <w:t xml:space="preserve">country </w:t>
            </w:r>
            <w:r w:rsidRPr="00E072DD">
              <w:rPr>
                <w:rFonts w:asciiTheme="majorHAnsi" w:hAnsiTheme="majorHAnsi" w:cstheme="majorHAnsi"/>
                <w:sz w:val="20"/>
                <w:szCs w:val="20"/>
              </w:rPr>
              <w:t xml:space="preserve">in a number global value chains, and leading the way towards economic diversification and increasing export sophistication. </w:t>
            </w:r>
          </w:p>
          <w:p w14:paraId="010E2AF6" w14:textId="6AC7F14D" w:rsidR="007D65C4" w:rsidRPr="00E072DD" w:rsidRDefault="00346B07" w:rsidP="006C0F61">
            <w:pPr>
              <w:keepNext/>
              <w:spacing w:after="240" w:line="276" w:lineRule="auto"/>
              <w:jc w:val="both"/>
              <w:rPr>
                <w:rFonts w:asciiTheme="majorHAnsi" w:hAnsiTheme="majorHAnsi" w:cstheme="majorHAnsi"/>
                <w:sz w:val="20"/>
                <w:szCs w:val="20"/>
              </w:rPr>
            </w:pPr>
            <w:r w:rsidRPr="00E072DD">
              <w:rPr>
                <w:rFonts w:asciiTheme="majorHAnsi" w:hAnsiTheme="majorHAnsi" w:cstheme="majorHAnsi"/>
                <w:sz w:val="20"/>
                <w:szCs w:val="20"/>
              </w:rPr>
              <w:t xml:space="preserve">Special Economic Zones’ </w:t>
            </w:r>
            <w:r w:rsidR="007D65C4" w:rsidRPr="00E072DD">
              <w:rPr>
                <w:rFonts w:asciiTheme="majorHAnsi" w:hAnsiTheme="majorHAnsi" w:cstheme="majorHAnsi"/>
                <w:sz w:val="20"/>
                <w:szCs w:val="20"/>
              </w:rPr>
              <w:t xml:space="preserve">expansion has been led by both the private and the public sector. In fact, the first SEZ was established by a private investor, Gulf and Western. As of 2015, there are 47 private SEZ parks, 15 public parks and 3 parks featuring joint administration. Through the association of SEZ entrepreneurs (ADOZONA), the private sector actively participates in the policy discussion and fosters a series of initiatives, including the creation of an export promotion and investment fund. </w:t>
            </w:r>
          </w:p>
          <w:p w14:paraId="1792C309" w14:textId="1199C05F" w:rsidR="007D65C4" w:rsidRPr="00E072DD" w:rsidRDefault="007D65C4" w:rsidP="00F74C1C">
            <w:pPr>
              <w:keepNext/>
              <w:spacing w:after="240" w:line="276" w:lineRule="auto"/>
              <w:jc w:val="both"/>
              <w:rPr>
                <w:rFonts w:asciiTheme="majorHAnsi" w:hAnsiTheme="majorHAnsi" w:cstheme="majorHAnsi"/>
                <w:sz w:val="20"/>
                <w:szCs w:val="20"/>
              </w:rPr>
            </w:pPr>
            <w:r w:rsidRPr="00E072DD">
              <w:rPr>
                <w:rFonts w:asciiTheme="majorHAnsi" w:hAnsiTheme="majorHAnsi" w:cstheme="majorHAnsi"/>
                <w:sz w:val="20"/>
                <w:szCs w:val="20"/>
              </w:rPr>
              <w:t xml:space="preserve">Dominican SEZs are </w:t>
            </w:r>
            <w:r w:rsidR="00B51F16" w:rsidRPr="00E072DD">
              <w:rPr>
                <w:rFonts w:asciiTheme="majorHAnsi" w:hAnsiTheme="majorHAnsi" w:cstheme="majorHAnsi"/>
                <w:sz w:val="20"/>
                <w:szCs w:val="20"/>
              </w:rPr>
              <w:t xml:space="preserve">also </w:t>
            </w:r>
            <w:r w:rsidRPr="00E072DD">
              <w:rPr>
                <w:rFonts w:asciiTheme="majorHAnsi" w:hAnsiTheme="majorHAnsi" w:cstheme="majorHAnsi"/>
                <w:sz w:val="20"/>
                <w:szCs w:val="20"/>
              </w:rPr>
              <w:t>open to domestic exporters and suppliers. While SEZs’ main motivation is often attracting foreign direct investment, Dominican SEZs have also favored the presence of domestic exporters and, more recently, domestic suppliers. The agglomeration economies, know how, and enhanced business environment enjoyed in the SEZs have facilitated the emergence of Dominican exporters, which represent nowadays about a quarter of the total firms established in SEZs, including the notable case of Grupo M, one of the largest employers in both the</w:t>
            </w:r>
            <w:r w:rsidR="006C0F61">
              <w:rPr>
                <w:rFonts w:asciiTheme="majorHAnsi" w:hAnsiTheme="majorHAnsi" w:cstheme="majorHAnsi"/>
                <w:sz w:val="20"/>
                <w:szCs w:val="20"/>
              </w:rPr>
              <w:t xml:space="preserve"> Dominican Republic and Haiti. </w:t>
            </w:r>
          </w:p>
          <w:p w14:paraId="7450F56D" w14:textId="55EA5E4D" w:rsidR="007D65C4" w:rsidRPr="00E072DD" w:rsidRDefault="007D65C4" w:rsidP="00F74C1C">
            <w:pPr>
              <w:keepNext/>
              <w:spacing w:after="240" w:line="276" w:lineRule="auto"/>
              <w:jc w:val="both"/>
              <w:rPr>
                <w:rFonts w:asciiTheme="majorHAnsi" w:hAnsiTheme="majorHAnsi" w:cstheme="majorHAnsi"/>
                <w:sz w:val="20"/>
                <w:szCs w:val="20"/>
              </w:rPr>
            </w:pPr>
            <w:r w:rsidRPr="00E072DD">
              <w:rPr>
                <w:rFonts w:asciiTheme="majorHAnsi" w:hAnsiTheme="majorHAnsi" w:cstheme="majorHAnsi"/>
                <w:sz w:val="20"/>
                <w:szCs w:val="20"/>
              </w:rPr>
              <w:t xml:space="preserve">Dominican SEZs count with a strong regulator that is also an efficient investment attraction agency. The Consejo Nacional de Zonas Francas Especiales (CNZFE), comprising public and private actors, has a double mandate: (i) regulate the Law 8-90 on the establishment and functioning of SEZs and (ii) design an integrated policy for promoting free zones, attracting new companies, and developing existing SEZs. Over the years, the CNZFE has established a Statistical Department, an Economic Analysis and Competitiveness division, and a Promotion Department, intelligentsia that helps identify potential value chains and investors. Through a series of economic ambassadors, the CNZFE is </w:t>
            </w:r>
            <w:r w:rsidR="008A12F3" w:rsidRPr="00E072DD">
              <w:rPr>
                <w:rFonts w:asciiTheme="majorHAnsi" w:hAnsiTheme="majorHAnsi" w:cstheme="majorHAnsi"/>
                <w:sz w:val="20"/>
                <w:szCs w:val="20"/>
              </w:rPr>
              <w:t xml:space="preserve">also </w:t>
            </w:r>
            <w:r w:rsidRPr="00E072DD">
              <w:rPr>
                <w:rFonts w:asciiTheme="majorHAnsi" w:hAnsiTheme="majorHAnsi" w:cstheme="majorHAnsi"/>
                <w:sz w:val="20"/>
                <w:szCs w:val="20"/>
              </w:rPr>
              <w:t>present in a number of international exhibitions, and has been successful in attracting investors from a number of emerging industries, including surgical equipment, pharmaceuticals, jewelry or electrical appliances.</w:t>
            </w:r>
          </w:p>
          <w:p w14:paraId="60E4550A" w14:textId="7FC0CD6D" w:rsidR="007D65C4" w:rsidRPr="00E072DD" w:rsidRDefault="007D65C4" w:rsidP="00F74C1C">
            <w:pPr>
              <w:keepNext/>
              <w:spacing w:after="240" w:line="276" w:lineRule="auto"/>
              <w:jc w:val="both"/>
              <w:rPr>
                <w:rFonts w:asciiTheme="majorHAnsi" w:hAnsiTheme="majorHAnsi" w:cstheme="majorHAnsi"/>
                <w:sz w:val="20"/>
                <w:szCs w:val="20"/>
              </w:rPr>
            </w:pPr>
            <w:r w:rsidRPr="00E072DD">
              <w:rPr>
                <w:rFonts w:asciiTheme="majorHAnsi" w:hAnsiTheme="majorHAnsi" w:cstheme="majorHAnsi"/>
                <w:sz w:val="20"/>
                <w:szCs w:val="20"/>
              </w:rPr>
              <w:t xml:space="preserve">Authorities have been proactive in the negotiation </w:t>
            </w:r>
            <w:r w:rsidR="00AF74BE" w:rsidRPr="00E072DD">
              <w:rPr>
                <w:rFonts w:asciiTheme="majorHAnsi" w:hAnsiTheme="majorHAnsi" w:cstheme="majorHAnsi"/>
                <w:sz w:val="20"/>
                <w:szCs w:val="20"/>
              </w:rPr>
              <w:t xml:space="preserve">of </w:t>
            </w:r>
            <w:r w:rsidRPr="00E072DD">
              <w:rPr>
                <w:rFonts w:asciiTheme="majorHAnsi" w:hAnsiTheme="majorHAnsi" w:cstheme="majorHAnsi"/>
                <w:sz w:val="20"/>
                <w:szCs w:val="20"/>
              </w:rPr>
              <w:t>trade agreements</w:t>
            </w:r>
            <w:r w:rsidR="00B51F16" w:rsidRPr="00E072DD">
              <w:rPr>
                <w:rFonts w:asciiTheme="majorHAnsi" w:hAnsiTheme="majorHAnsi" w:cstheme="majorHAnsi"/>
                <w:sz w:val="20"/>
                <w:szCs w:val="20"/>
              </w:rPr>
              <w:t xml:space="preserve"> that increase </w:t>
            </w:r>
            <w:r w:rsidR="00AF74BE" w:rsidRPr="00E072DD">
              <w:rPr>
                <w:rFonts w:asciiTheme="majorHAnsi" w:hAnsiTheme="majorHAnsi" w:cstheme="majorHAnsi"/>
                <w:sz w:val="20"/>
                <w:szCs w:val="20"/>
              </w:rPr>
              <w:t xml:space="preserve">preferential market access in key export markets. </w:t>
            </w:r>
            <w:r w:rsidRPr="00E072DD">
              <w:rPr>
                <w:rFonts w:asciiTheme="majorHAnsi" w:hAnsiTheme="majorHAnsi" w:cstheme="majorHAnsi"/>
                <w:sz w:val="20"/>
                <w:szCs w:val="20"/>
              </w:rPr>
              <w:t xml:space="preserve">In the aftermath of the expiration of the MFA, Dominican Republic joined the CAFTA-DR in 2007, and became a member of the Economic Partnership Agreement between the Caribbean </w:t>
            </w:r>
            <w:r w:rsidR="008A12F3" w:rsidRPr="00E072DD">
              <w:rPr>
                <w:rFonts w:asciiTheme="majorHAnsi" w:hAnsiTheme="majorHAnsi" w:cstheme="majorHAnsi"/>
                <w:sz w:val="20"/>
                <w:szCs w:val="20"/>
              </w:rPr>
              <w:t xml:space="preserve">and the EU </w:t>
            </w:r>
            <w:r w:rsidRPr="00E072DD">
              <w:rPr>
                <w:rFonts w:asciiTheme="majorHAnsi" w:hAnsiTheme="majorHAnsi" w:cstheme="majorHAnsi"/>
                <w:sz w:val="20"/>
                <w:szCs w:val="20"/>
              </w:rPr>
              <w:t>in October 2008</w:t>
            </w:r>
            <w:r w:rsidR="00B51F16" w:rsidRPr="00E072DD">
              <w:rPr>
                <w:rFonts w:asciiTheme="majorHAnsi" w:hAnsiTheme="majorHAnsi" w:cstheme="majorHAnsi"/>
                <w:sz w:val="20"/>
                <w:szCs w:val="20"/>
              </w:rPr>
              <w:t xml:space="preserve">. These agreements </w:t>
            </w:r>
            <w:r w:rsidRPr="00E072DD">
              <w:rPr>
                <w:rFonts w:asciiTheme="majorHAnsi" w:hAnsiTheme="majorHAnsi" w:cstheme="majorHAnsi"/>
                <w:sz w:val="20"/>
                <w:szCs w:val="20"/>
              </w:rPr>
              <w:t xml:space="preserve">facilitated the recovery and diversification of the SEZs in the aftermath of the global crisis. </w:t>
            </w:r>
            <w:r w:rsidR="008A12F3" w:rsidRPr="00E072DD">
              <w:rPr>
                <w:rFonts w:asciiTheme="majorHAnsi" w:hAnsiTheme="majorHAnsi" w:cstheme="majorHAnsi"/>
                <w:sz w:val="20"/>
                <w:szCs w:val="20"/>
              </w:rPr>
              <w:t xml:space="preserve">In 2007 and 2011 the country reformed its SEZ regimen to remove incentives conditioned on export performance, a practice </w:t>
            </w:r>
            <w:r w:rsidR="008D6919" w:rsidRPr="00E072DD">
              <w:rPr>
                <w:rFonts w:asciiTheme="majorHAnsi" w:hAnsiTheme="majorHAnsi" w:cstheme="majorHAnsi"/>
                <w:sz w:val="20"/>
                <w:szCs w:val="20"/>
              </w:rPr>
              <w:t xml:space="preserve">forbidden by the WTO </w:t>
            </w:r>
            <w:r w:rsidRPr="00E072DD">
              <w:rPr>
                <w:rFonts w:asciiTheme="majorHAnsi" w:hAnsiTheme="majorHAnsi" w:cstheme="majorHAnsi"/>
                <w:sz w:val="20"/>
                <w:szCs w:val="20"/>
              </w:rPr>
              <w:t xml:space="preserve">Agreement on Subsidies and Countervailing </w:t>
            </w:r>
          </w:p>
          <w:p w14:paraId="329F3B39" w14:textId="7806229F" w:rsidR="007D65C4" w:rsidRPr="00E072DD" w:rsidRDefault="007D65C4" w:rsidP="00F74C1C">
            <w:pPr>
              <w:keepNext/>
              <w:spacing w:after="240" w:line="276" w:lineRule="auto"/>
              <w:jc w:val="both"/>
              <w:rPr>
                <w:rFonts w:asciiTheme="majorHAnsi" w:hAnsiTheme="majorHAnsi" w:cstheme="majorHAnsi"/>
                <w:sz w:val="20"/>
                <w:szCs w:val="20"/>
              </w:rPr>
            </w:pPr>
            <w:r w:rsidRPr="00E072DD">
              <w:rPr>
                <w:rFonts w:asciiTheme="majorHAnsi" w:hAnsiTheme="majorHAnsi" w:cstheme="majorHAnsi"/>
                <w:sz w:val="20"/>
                <w:szCs w:val="20"/>
              </w:rPr>
              <w:t>Nonetheless, it is worth noting some of the limitations and challenges facing the SEZ model</w:t>
            </w:r>
            <w:r w:rsidR="00AF74BE" w:rsidRPr="00E072DD">
              <w:rPr>
                <w:rFonts w:asciiTheme="majorHAnsi" w:hAnsiTheme="majorHAnsi" w:cstheme="majorHAnsi"/>
                <w:sz w:val="20"/>
                <w:szCs w:val="20"/>
              </w:rPr>
              <w:t xml:space="preserve"> in the Dominican Republic</w:t>
            </w:r>
            <w:r w:rsidRPr="00E072DD">
              <w:rPr>
                <w:rFonts w:asciiTheme="majorHAnsi" w:hAnsiTheme="majorHAnsi" w:cstheme="majorHAnsi"/>
                <w:sz w:val="20"/>
                <w:szCs w:val="20"/>
              </w:rPr>
              <w:t>. The strength of SEZ related stakeholders has placed the focus of policy interventions in the preservation of sources of competitiveness that nay not remain sustainable in the long run —low wages, trade preferences and tax incentives— which may have distracted policy makers from the need to address fundamental challenges to external competitiveness through structural reforms (e.g. on electricity</w:t>
            </w:r>
            <w:r w:rsidR="00AF74BE" w:rsidRPr="00E072DD">
              <w:rPr>
                <w:rFonts w:asciiTheme="majorHAnsi" w:hAnsiTheme="majorHAnsi" w:cstheme="majorHAnsi"/>
                <w:sz w:val="20"/>
                <w:szCs w:val="20"/>
              </w:rPr>
              <w:t xml:space="preserve">, </w:t>
            </w:r>
            <w:r w:rsidRPr="00E072DD">
              <w:rPr>
                <w:rFonts w:asciiTheme="majorHAnsi" w:hAnsiTheme="majorHAnsi" w:cstheme="majorHAnsi"/>
                <w:sz w:val="20"/>
                <w:szCs w:val="20"/>
              </w:rPr>
              <w:t>transportation costs</w:t>
            </w:r>
            <w:r w:rsidR="00AF74BE" w:rsidRPr="00E072DD">
              <w:rPr>
                <w:rFonts w:asciiTheme="majorHAnsi" w:hAnsiTheme="majorHAnsi" w:cstheme="majorHAnsi"/>
                <w:sz w:val="20"/>
                <w:szCs w:val="20"/>
              </w:rPr>
              <w:t>,</w:t>
            </w:r>
            <w:r w:rsidRPr="00E072DD">
              <w:rPr>
                <w:rFonts w:asciiTheme="majorHAnsi" w:hAnsiTheme="majorHAnsi" w:cstheme="majorHAnsi"/>
                <w:sz w:val="20"/>
                <w:szCs w:val="20"/>
              </w:rPr>
              <w:t xml:space="preserve"> and overall business environment). In addition, there is evidence that introduced policies have not significantly fostered backward and forward linkages between SEZs and the rest of the economy, which limits the scope for further positive externalities </w:t>
            </w:r>
            <w:r w:rsidRPr="00E072DD">
              <w:rPr>
                <w:rFonts w:asciiTheme="majorHAnsi" w:hAnsiTheme="majorHAnsi" w:cstheme="majorHAnsi"/>
                <w:sz w:val="20"/>
                <w:szCs w:val="20"/>
              </w:rPr>
              <w:lastRenderedPageBreak/>
              <w:t xml:space="preserve">and overall economic upgrading. </w:t>
            </w:r>
          </w:p>
          <w:p w14:paraId="2DB1B1C2" w14:textId="21AFC456" w:rsidR="007D65C4" w:rsidRPr="007D65C4" w:rsidRDefault="007D65C4" w:rsidP="00F74C1C">
            <w:pPr>
              <w:keepNext/>
              <w:spacing w:after="240" w:line="276" w:lineRule="auto"/>
              <w:jc w:val="both"/>
              <w:rPr>
                <w:rFonts w:asciiTheme="majorHAnsi" w:hAnsiTheme="majorHAnsi" w:cstheme="majorHAnsi"/>
                <w:highlight w:val="yellow"/>
              </w:rPr>
            </w:pPr>
            <w:r w:rsidRPr="00E072DD">
              <w:rPr>
                <w:rFonts w:asciiTheme="majorHAnsi" w:hAnsiTheme="majorHAnsi" w:cstheme="majorHAnsi"/>
                <w:sz w:val="20"/>
                <w:szCs w:val="20"/>
              </w:rPr>
              <w:t>Sources: Farole and Akinci (2011). World Bank (2015).</w:t>
            </w:r>
          </w:p>
        </w:tc>
      </w:tr>
    </w:tbl>
    <w:p w14:paraId="7FC3DFA6" w14:textId="77777777" w:rsidR="004B0BF8" w:rsidRDefault="004B0BF8" w:rsidP="00470377">
      <w:pPr>
        <w:spacing w:after="240" w:line="276" w:lineRule="auto"/>
        <w:jc w:val="both"/>
        <w:rPr>
          <w:rFonts w:asciiTheme="majorHAnsi" w:hAnsiTheme="majorHAnsi" w:cstheme="majorHAnsi"/>
          <w:b/>
          <w:sz w:val="24"/>
          <w:szCs w:val="24"/>
        </w:rPr>
      </w:pPr>
    </w:p>
    <w:p w14:paraId="6CC65710" w14:textId="50D8008A" w:rsidR="002702B3" w:rsidRPr="00CB0442" w:rsidRDefault="00CB0442" w:rsidP="00470377">
      <w:pPr>
        <w:spacing w:after="240" w:line="276" w:lineRule="auto"/>
        <w:jc w:val="both"/>
        <w:rPr>
          <w:rFonts w:ascii="Times New Roman" w:hAnsi="Times New Roman"/>
          <w:sz w:val="24"/>
          <w:szCs w:val="24"/>
        </w:rPr>
      </w:pPr>
      <w:r w:rsidRPr="00CB0442">
        <w:rPr>
          <w:rFonts w:asciiTheme="majorHAnsi" w:hAnsiTheme="majorHAnsi" w:cstheme="majorHAnsi"/>
          <w:b/>
          <w:sz w:val="24"/>
          <w:szCs w:val="24"/>
        </w:rPr>
        <w:t>While the SEZ scheme ha</w:t>
      </w:r>
      <w:r w:rsidR="00E74416">
        <w:rPr>
          <w:rFonts w:asciiTheme="majorHAnsi" w:hAnsiTheme="majorHAnsi" w:cstheme="majorHAnsi"/>
          <w:b/>
          <w:sz w:val="24"/>
          <w:szCs w:val="24"/>
        </w:rPr>
        <w:t>s</w:t>
      </w:r>
      <w:r w:rsidRPr="00CB0442">
        <w:rPr>
          <w:rFonts w:asciiTheme="majorHAnsi" w:hAnsiTheme="majorHAnsi" w:cstheme="majorHAnsi"/>
          <w:b/>
          <w:sz w:val="24"/>
          <w:szCs w:val="24"/>
        </w:rPr>
        <w:t xml:space="preserve"> been </w:t>
      </w:r>
      <w:r w:rsidR="004748E6">
        <w:rPr>
          <w:rFonts w:asciiTheme="majorHAnsi" w:hAnsiTheme="majorHAnsi" w:cstheme="majorHAnsi"/>
          <w:b/>
          <w:sz w:val="24"/>
          <w:szCs w:val="24"/>
        </w:rPr>
        <w:t xml:space="preserve">a </w:t>
      </w:r>
      <w:r w:rsidRPr="00CB0442">
        <w:rPr>
          <w:rFonts w:asciiTheme="majorHAnsi" w:hAnsiTheme="majorHAnsi" w:cstheme="majorHAnsi"/>
          <w:b/>
          <w:sz w:val="24"/>
          <w:szCs w:val="24"/>
        </w:rPr>
        <w:t xml:space="preserve">determinant in the development strategy of the country, it has also created a duality in </w:t>
      </w:r>
      <w:r>
        <w:rPr>
          <w:rFonts w:asciiTheme="majorHAnsi" w:hAnsiTheme="majorHAnsi" w:cstheme="majorHAnsi"/>
          <w:b/>
          <w:sz w:val="24"/>
          <w:szCs w:val="24"/>
        </w:rPr>
        <w:t xml:space="preserve">its </w:t>
      </w:r>
      <w:r w:rsidRPr="00CB0442">
        <w:rPr>
          <w:rFonts w:asciiTheme="majorHAnsi" w:hAnsiTheme="majorHAnsi" w:cstheme="majorHAnsi"/>
          <w:b/>
          <w:sz w:val="24"/>
          <w:szCs w:val="24"/>
        </w:rPr>
        <w:t xml:space="preserve">production </w:t>
      </w:r>
      <w:r w:rsidR="004748E6">
        <w:rPr>
          <w:rFonts w:asciiTheme="majorHAnsi" w:hAnsiTheme="majorHAnsi" w:cstheme="majorHAnsi"/>
          <w:b/>
          <w:sz w:val="24"/>
          <w:szCs w:val="24"/>
        </w:rPr>
        <w:t>structure</w:t>
      </w:r>
      <w:r>
        <w:rPr>
          <w:rFonts w:asciiTheme="majorHAnsi" w:hAnsiTheme="majorHAnsi" w:cstheme="majorHAnsi"/>
          <w:b/>
          <w:sz w:val="24"/>
          <w:szCs w:val="24"/>
        </w:rPr>
        <w:t xml:space="preserve">. </w:t>
      </w:r>
      <w:r>
        <w:rPr>
          <w:rFonts w:asciiTheme="majorHAnsi" w:hAnsiTheme="majorHAnsi" w:cstheme="majorHAnsi"/>
          <w:sz w:val="24"/>
          <w:szCs w:val="24"/>
        </w:rPr>
        <w:t xml:space="preserve">Products manufactured within SEZs tend to be more technologically sophisticated than products </w:t>
      </w:r>
      <w:r w:rsidR="004748E6">
        <w:rPr>
          <w:rFonts w:asciiTheme="majorHAnsi" w:hAnsiTheme="majorHAnsi" w:cstheme="majorHAnsi"/>
          <w:sz w:val="24"/>
          <w:szCs w:val="24"/>
        </w:rPr>
        <w:t xml:space="preserve">manufactured </w:t>
      </w:r>
      <w:r>
        <w:rPr>
          <w:rFonts w:asciiTheme="majorHAnsi" w:hAnsiTheme="majorHAnsi" w:cstheme="majorHAnsi"/>
          <w:sz w:val="24"/>
          <w:szCs w:val="24"/>
        </w:rPr>
        <w:t>under the national tax regimen, which are mostly resource-based goods</w:t>
      </w:r>
      <w:r w:rsidRPr="00CB0442">
        <w:rPr>
          <w:rFonts w:asciiTheme="majorHAnsi" w:hAnsiTheme="majorHAnsi" w:cstheme="majorHAnsi"/>
          <w:sz w:val="24"/>
          <w:szCs w:val="24"/>
        </w:rPr>
        <w:t xml:space="preserve">. </w:t>
      </w:r>
      <w:r w:rsidR="002702B3" w:rsidRPr="00CB0442">
        <w:rPr>
          <w:rFonts w:ascii="Times New Roman" w:hAnsi="Times New Roman"/>
          <w:sz w:val="24"/>
          <w:szCs w:val="24"/>
        </w:rPr>
        <w:t xml:space="preserve">Firms based in </w:t>
      </w:r>
      <w:r w:rsidRPr="00CB0442">
        <w:rPr>
          <w:rFonts w:ascii="Times New Roman" w:hAnsi="Times New Roman"/>
          <w:sz w:val="24"/>
          <w:szCs w:val="24"/>
        </w:rPr>
        <w:t xml:space="preserve">SEZs </w:t>
      </w:r>
      <w:r w:rsidR="002702B3" w:rsidRPr="00CB0442">
        <w:rPr>
          <w:rFonts w:ascii="Times New Roman" w:hAnsi="Times New Roman"/>
          <w:sz w:val="24"/>
          <w:szCs w:val="24"/>
        </w:rPr>
        <w:t xml:space="preserve">are </w:t>
      </w:r>
      <w:r w:rsidRPr="00CB0442">
        <w:rPr>
          <w:rFonts w:ascii="Times New Roman" w:hAnsi="Times New Roman"/>
          <w:sz w:val="24"/>
          <w:szCs w:val="24"/>
        </w:rPr>
        <w:t xml:space="preserve">fundamentally </w:t>
      </w:r>
      <w:r w:rsidR="00B5171E">
        <w:rPr>
          <w:rFonts w:ascii="Times New Roman" w:hAnsi="Times New Roman"/>
          <w:sz w:val="24"/>
          <w:szCs w:val="24"/>
        </w:rPr>
        <w:t xml:space="preserve">different than their peers outside the zones </w:t>
      </w:r>
      <w:r w:rsidR="002702B3" w:rsidRPr="00CB0442">
        <w:rPr>
          <w:rFonts w:ascii="Times New Roman" w:hAnsi="Times New Roman"/>
          <w:sz w:val="24"/>
          <w:szCs w:val="24"/>
        </w:rPr>
        <w:t>in terms of the average size of their export and import transactions</w:t>
      </w:r>
      <w:r w:rsidR="00B5171E">
        <w:rPr>
          <w:rFonts w:ascii="Times New Roman" w:hAnsi="Times New Roman"/>
          <w:sz w:val="24"/>
          <w:szCs w:val="24"/>
        </w:rPr>
        <w:t>,</w:t>
      </w:r>
      <w:r w:rsidR="002702B3" w:rsidRPr="00CB0442">
        <w:rPr>
          <w:rFonts w:ascii="Times New Roman" w:hAnsi="Times New Roman"/>
          <w:sz w:val="24"/>
          <w:szCs w:val="24"/>
        </w:rPr>
        <w:t xml:space="preserve"> </w:t>
      </w:r>
      <w:r w:rsidR="00B5171E">
        <w:rPr>
          <w:rFonts w:ascii="Times New Roman" w:hAnsi="Times New Roman"/>
          <w:sz w:val="24"/>
          <w:szCs w:val="24"/>
        </w:rPr>
        <w:t>number of traded products, and number of destination</w:t>
      </w:r>
      <w:r w:rsidR="004748E6">
        <w:rPr>
          <w:rFonts w:ascii="Times New Roman" w:hAnsi="Times New Roman"/>
          <w:sz w:val="24"/>
          <w:szCs w:val="24"/>
        </w:rPr>
        <w:t>s</w:t>
      </w:r>
      <w:r w:rsidR="00B5171E">
        <w:rPr>
          <w:rFonts w:ascii="Times New Roman" w:hAnsi="Times New Roman"/>
          <w:sz w:val="24"/>
          <w:szCs w:val="24"/>
        </w:rPr>
        <w:t xml:space="preserve"> or source countries (</w:t>
      </w:r>
      <w:r w:rsidR="00266A5B" w:rsidRPr="00266A5B">
        <w:rPr>
          <w:rFonts w:ascii="Times New Roman" w:hAnsi="Times New Roman"/>
          <w:sz w:val="24"/>
          <w:szCs w:val="24"/>
        </w:rPr>
        <w:fldChar w:fldCharType="begin"/>
      </w:r>
      <w:r w:rsidR="00266A5B" w:rsidRPr="00266A5B">
        <w:rPr>
          <w:rFonts w:ascii="Times New Roman" w:hAnsi="Times New Roman"/>
          <w:sz w:val="24"/>
          <w:szCs w:val="24"/>
        </w:rPr>
        <w:instrText xml:space="preserve"> REF _Ref450229065 \h  \* MERGEFORMAT </w:instrText>
      </w:r>
      <w:r w:rsidR="00266A5B" w:rsidRPr="00266A5B">
        <w:rPr>
          <w:rFonts w:ascii="Times New Roman" w:hAnsi="Times New Roman"/>
          <w:sz w:val="24"/>
          <w:szCs w:val="24"/>
        </w:rPr>
      </w:r>
      <w:r w:rsidR="00266A5B" w:rsidRPr="00266A5B">
        <w:rPr>
          <w:rFonts w:ascii="Times New Roman" w:hAnsi="Times New Roman"/>
          <w:sz w:val="24"/>
          <w:szCs w:val="24"/>
        </w:rPr>
        <w:fldChar w:fldCharType="separate"/>
      </w:r>
      <w:r w:rsidR="00893CAD" w:rsidRPr="00893CAD">
        <w:rPr>
          <w:rFonts w:asciiTheme="majorHAnsi" w:hAnsiTheme="majorHAnsi" w:cstheme="majorHAnsi"/>
          <w:sz w:val="24"/>
          <w:szCs w:val="24"/>
        </w:rPr>
        <w:t xml:space="preserve">Table </w:t>
      </w:r>
      <w:r w:rsidR="00893CAD" w:rsidRPr="00893CAD">
        <w:rPr>
          <w:rFonts w:asciiTheme="majorHAnsi" w:hAnsiTheme="majorHAnsi" w:cstheme="majorHAnsi"/>
          <w:noProof/>
          <w:sz w:val="24"/>
          <w:szCs w:val="24"/>
        </w:rPr>
        <w:t>1</w:t>
      </w:r>
      <w:r w:rsidR="00266A5B" w:rsidRPr="00266A5B">
        <w:rPr>
          <w:rFonts w:ascii="Times New Roman" w:hAnsi="Times New Roman"/>
          <w:sz w:val="24"/>
          <w:szCs w:val="24"/>
        </w:rPr>
        <w:fldChar w:fldCharType="end"/>
      </w:r>
      <w:r w:rsidR="00B5171E">
        <w:rPr>
          <w:rFonts w:ascii="Times New Roman" w:hAnsi="Times New Roman"/>
          <w:sz w:val="24"/>
          <w:szCs w:val="24"/>
        </w:rPr>
        <w:t>).</w:t>
      </w:r>
    </w:p>
    <w:p w14:paraId="740FF29E" w14:textId="77777777" w:rsidR="00633D18" w:rsidRDefault="00633D18" w:rsidP="00633D18">
      <w:pPr>
        <w:jc w:val="center"/>
        <w:rPr>
          <w:rFonts w:ascii="Times New Roman" w:hAnsi="Times New Roman"/>
          <w:b/>
          <w:noProof/>
          <w:sz w:val="24"/>
          <w:szCs w:val="24"/>
        </w:rPr>
      </w:pPr>
      <w:bookmarkStart w:id="4" w:name="_Ref450229065"/>
      <w:r w:rsidRPr="0035774E">
        <w:rPr>
          <w:rFonts w:asciiTheme="majorHAnsi" w:hAnsiTheme="majorHAnsi" w:cstheme="majorHAnsi"/>
          <w:b/>
          <w:sz w:val="24"/>
          <w:szCs w:val="24"/>
        </w:rPr>
        <w:t xml:space="preserve">Table </w:t>
      </w:r>
      <w:r w:rsidRPr="0035774E">
        <w:rPr>
          <w:rFonts w:asciiTheme="majorHAnsi" w:hAnsiTheme="majorHAnsi" w:cstheme="majorHAnsi"/>
          <w:b/>
          <w:sz w:val="24"/>
          <w:szCs w:val="24"/>
        </w:rPr>
        <w:fldChar w:fldCharType="begin"/>
      </w:r>
      <w:r w:rsidRPr="0035774E">
        <w:rPr>
          <w:rFonts w:asciiTheme="majorHAnsi" w:hAnsiTheme="majorHAnsi" w:cstheme="majorHAnsi"/>
          <w:b/>
          <w:sz w:val="24"/>
          <w:szCs w:val="24"/>
        </w:rPr>
        <w:instrText xml:space="preserve"> SEQ Table \* ARABIC </w:instrText>
      </w:r>
      <w:r w:rsidRPr="0035774E">
        <w:rPr>
          <w:rFonts w:asciiTheme="majorHAnsi" w:hAnsiTheme="majorHAnsi" w:cstheme="majorHAnsi"/>
          <w:b/>
          <w:sz w:val="24"/>
          <w:szCs w:val="24"/>
        </w:rPr>
        <w:fldChar w:fldCharType="separate"/>
      </w:r>
      <w:r w:rsidR="00893CAD">
        <w:rPr>
          <w:rFonts w:asciiTheme="majorHAnsi" w:hAnsiTheme="majorHAnsi" w:cstheme="majorHAnsi"/>
          <w:b/>
          <w:noProof/>
          <w:sz w:val="24"/>
          <w:szCs w:val="24"/>
        </w:rPr>
        <w:t>1</w:t>
      </w:r>
      <w:r w:rsidRPr="0035774E">
        <w:rPr>
          <w:rFonts w:asciiTheme="majorHAnsi" w:hAnsiTheme="majorHAnsi" w:cstheme="majorHAnsi"/>
          <w:b/>
          <w:sz w:val="24"/>
          <w:szCs w:val="24"/>
        </w:rPr>
        <w:fldChar w:fldCharType="end"/>
      </w:r>
      <w:bookmarkEnd w:id="4"/>
      <w:r w:rsidRPr="0035774E">
        <w:rPr>
          <w:rFonts w:asciiTheme="majorHAnsi" w:hAnsiTheme="majorHAnsi" w:cstheme="majorHAnsi"/>
          <w:b/>
          <w:sz w:val="24"/>
          <w:szCs w:val="24"/>
        </w:rPr>
        <w:t xml:space="preserve">: </w:t>
      </w:r>
      <w:r w:rsidRPr="00B5171E">
        <w:rPr>
          <w:rFonts w:ascii="Times New Roman" w:hAnsi="Times New Roman"/>
          <w:b/>
          <w:noProof/>
          <w:sz w:val="24"/>
          <w:szCs w:val="24"/>
        </w:rPr>
        <w:t>Export and Import Outcomes at the Firm-level</w:t>
      </w:r>
    </w:p>
    <w:p w14:paraId="1D66EDD7" w14:textId="328BA353" w:rsidR="0017182D" w:rsidRPr="0035774E" w:rsidRDefault="0017182D" w:rsidP="00633D18">
      <w:pPr>
        <w:jc w:val="center"/>
        <w:rPr>
          <w:rFonts w:asciiTheme="majorHAnsi" w:hAnsiTheme="majorHAnsi" w:cstheme="majorHAnsi"/>
          <w:b/>
          <w:sz w:val="24"/>
          <w:szCs w:val="24"/>
        </w:rPr>
      </w:pPr>
      <w:r>
        <w:rPr>
          <w:rFonts w:ascii="Times New Roman" w:hAnsi="Times New Roman"/>
          <w:b/>
          <w:noProof/>
          <w:sz w:val="24"/>
          <w:szCs w:val="24"/>
        </w:rPr>
        <w:t>(2006-2014)</w:t>
      </w:r>
    </w:p>
    <w:tbl>
      <w:tblPr>
        <w:tblW w:w="8965" w:type="dxa"/>
        <w:jc w:val="center"/>
        <w:tblLook w:val="04A0" w:firstRow="1" w:lastRow="0" w:firstColumn="1" w:lastColumn="0" w:noHBand="0" w:noVBand="1"/>
      </w:tblPr>
      <w:tblGrid>
        <w:gridCol w:w="2378"/>
        <w:gridCol w:w="1261"/>
        <w:gridCol w:w="1247"/>
        <w:gridCol w:w="1276"/>
        <w:gridCol w:w="280"/>
        <w:gridCol w:w="1247"/>
        <w:gridCol w:w="1276"/>
      </w:tblGrid>
      <w:tr w:rsidR="002702B3" w:rsidRPr="00B5171E" w14:paraId="56145ED9" w14:textId="77777777" w:rsidTr="00633D18">
        <w:trPr>
          <w:trHeight w:val="585"/>
          <w:jc w:val="center"/>
        </w:trPr>
        <w:tc>
          <w:tcPr>
            <w:tcW w:w="2378" w:type="dxa"/>
            <w:tcBorders>
              <w:top w:val="single" w:sz="12" w:space="0" w:color="auto"/>
              <w:left w:val="nil"/>
              <w:bottom w:val="nil"/>
              <w:right w:val="nil"/>
            </w:tcBorders>
            <w:noWrap/>
            <w:vAlign w:val="bottom"/>
            <w:hideMark/>
          </w:tcPr>
          <w:p w14:paraId="22DB80C0" w14:textId="77777777" w:rsidR="002702B3" w:rsidRPr="00B5171E" w:rsidRDefault="002702B3" w:rsidP="00B5171E">
            <w:pPr>
              <w:ind w:left="360"/>
              <w:rPr>
                <w:rFonts w:eastAsia="Times New Roman"/>
                <w:color w:val="000000"/>
                <w:lang w:val="en-GB" w:eastAsia="en-GB"/>
              </w:rPr>
            </w:pPr>
          </w:p>
        </w:tc>
        <w:tc>
          <w:tcPr>
            <w:tcW w:w="1261" w:type="dxa"/>
            <w:tcBorders>
              <w:top w:val="single" w:sz="12" w:space="0" w:color="auto"/>
              <w:left w:val="nil"/>
              <w:bottom w:val="nil"/>
              <w:right w:val="nil"/>
            </w:tcBorders>
            <w:noWrap/>
            <w:vAlign w:val="bottom"/>
            <w:hideMark/>
          </w:tcPr>
          <w:p w14:paraId="59E70836" w14:textId="77777777" w:rsidR="002702B3" w:rsidRPr="00B5171E" w:rsidRDefault="002702B3" w:rsidP="00B5171E">
            <w:pPr>
              <w:ind w:left="360"/>
              <w:jc w:val="center"/>
              <w:rPr>
                <w:rFonts w:eastAsia="Times New Roman"/>
                <w:color w:val="000000"/>
                <w:lang w:val="en-GB" w:eastAsia="en-GB"/>
              </w:rPr>
            </w:pPr>
          </w:p>
        </w:tc>
        <w:tc>
          <w:tcPr>
            <w:tcW w:w="2523" w:type="dxa"/>
            <w:gridSpan w:val="2"/>
            <w:tcBorders>
              <w:top w:val="single" w:sz="12" w:space="0" w:color="auto"/>
              <w:left w:val="nil"/>
              <w:bottom w:val="single" w:sz="4" w:space="0" w:color="auto"/>
              <w:right w:val="nil"/>
            </w:tcBorders>
            <w:vAlign w:val="center"/>
            <w:hideMark/>
          </w:tcPr>
          <w:p w14:paraId="0F32DDE1"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Special Economic Zones</w:t>
            </w:r>
          </w:p>
        </w:tc>
        <w:tc>
          <w:tcPr>
            <w:tcW w:w="280" w:type="dxa"/>
            <w:tcBorders>
              <w:top w:val="single" w:sz="12" w:space="0" w:color="auto"/>
              <w:left w:val="nil"/>
              <w:bottom w:val="nil"/>
              <w:right w:val="nil"/>
            </w:tcBorders>
            <w:vAlign w:val="center"/>
            <w:hideMark/>
          </w:tcPr>
          <w:p w14:paraId="2D76C78C" w14:textId="77777777" w:rsidR="002702B3" w:rsidRPr="00B5171E" w:rsidRDefault="002702B3" w:rsidP="00B5171E">
            <w:pPr>
              <w:ind w:left="360"/>
              <w:jc w:val="center"/>
              <w:rPr>
                <w:rFonts w:eastAsia="Times New Roman"/>
                <w:color w:val="000000"/>
                <w:lang w:val="en-GB" w:eastAsia="en-GB"/>
              </w:rPr>
            </w:pPr>
          </w:p>
        </w:tc>
        <w:tc>
          <w:tcPr>
            <w:tcW w:w="2523" w:type="dxa"/>
            <w:gridSpan w:val="2"/>
            <w:tcBorders>
              <w:top w:val="single" w:sz="12" w:space="0" w:color="auto"/>
              <w:left w:val="nil"/>
              <w:bottom w:val="nil"/>
              <w:right w:val="nil"/>
            </w:tcBorders>
            <w:noWrap/>
            <w:vAlign w:val="center"/>
            <w:hideMark/>
          </w:tcPr>
          <w:p w14:paraId="40D21249"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National Regime</w:t>
            </w:r>
          </w:p>
        </w:tc>
      </w:tr>
      <w:tr w:rsidR="002702B3" w:rsidRPr="00B5171E" w14:paraId="02CB1DFC" w14:textId="77777777" w:rsidTr="00633D18">
        <w:trPr>
          <w:trHeight w:val="315"/>
          <w:jc w:val="center"/>
        </w:trPr>
        <w:tc>
          <w:tcPr>
            <w:tcW w:w="2378" w:type="dxa"/>
            <w:tcBorders>
              <w:top w:val="nil"/>
              <w:left w:val="nil"/>
              <w:bottom w:val="single" w:sz="12" w:space="0" w:color="auto"/>
              <w:right w:val="nil"/>
            </w:tcBorders>
            <w:noWrap/>
            <w:vAlign w:val="bottom"/>
            <w:hideMark/>
          </w:tcPr>
          <w:p w14:paraId="66878CFC" w14:textId="77777777" w:rsidR="002702B3" w:rsidRPr="00B5171E" w:rsidRDefault="002702B3" w:rsidP="00B5171E">
            <w:pPr>
              <w:ind w:left="360"/>
              <w:rPr>
                <w:rFonts w:eastAsia="Times New Roman"/>
                <w:color w:val="000000"/>
                <w:lang w:val="en-GB" w:eastAsia="en-GB"/>
              </w:rPr>
            </w:pPr>
          </w:p>
        </w:tc>
        <w:tc>
          <w:tcPr>
            <w:tcW w:w="1261" w:type="dxa"/>
            <w:tcBorders>
              <w:top w:val="nil"/>
              <w:left w:val="nil"/>
              <w:bottom w:val="single" w:sz="12" w:space="0" w:color="auto"/>
              <w:right w:val="nil"/>
            </w:tcBorders>
            <w:noWrap/>
            <w:vAlign w:val="bottom"/>
            <w:hideMark/>
          </w:tcPr>
          <w:p w14:paraId="79389DCC" w14:textId="77777777" w:rsidR="002702B3" w:rsidRPr="00B5171E" w:rsidRDefault="002702B3" w:rsidP="00B5171E">
            <w:pPr>
              <w:ind w:left="360"/>
              <w:jc w:val="center"/>
              <w:rPr>
                <w:rFonts w:eastAsia="Times New Roman"/>
                <w:color w:val="000000"/>
                <w:lang w:val="en-GB" w:eastAsia="en-GB"/>
              </w:rPr>
            </w:pPr>
          </w:p>
        </w:tc>
        <w:tc>
          <w:tcPr>
            <w:tcW w:w="1247" w:type="dxa"/>
            <w:tcBorders>
              <w:top w:val="nil"/>
              <w:left w:val="nil"/>
              <w:bottom w:val="single" w:sz="12" w:space="0" w:color="auto"/>
              <w:right w:val="nil"/>
            </w:tcBorders>
            <w:noWrap/>
            <w:vAlign w:val="bottom"/>
            <w:hideMark/>
          </w:tcPr>
          <w:p w14:paraId="0C0A9DCA"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Exports</w:t>
            </w:r>
          </w:p>
        </w:tc>
        <w:tc>
          <w:tcPr>
            <w:tcW w:w="1276" w:type="dxa"/>
            <w:tcBorders>
              <w:top w:val="nil"/>
              <w:left w:val="nil"/>
              <w:bottom w:val="single" w:sz="12" w:space="0" w:color="auto"/>
              <w:right w:val="nil"/>
            </w:tcBorders>
            <w:noWrap/>
            <w:vAlign w:val="bottom"/>
            <w:hideMark/>
          </w:tcPr>
          <w:p w14:paraId="0E53F978"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Imports</w:t>
            </w:r>
          </w:p>
        </w:tc>
        <w:tc>
          <w:tcPr>
            <w:tcW w:w="280" w:type="dxa"/>
            <w:tcBorders>
              <w:top w:val="nil"/>
              <w:left w:val="nil"/>
              <w:bottom w:val="single" w:sz="12" w:space="0" w:color="auto"/>
              <w:right w:val="nil"/>
            </w:tcBorders>
            <w:noWrap/>
            <w:vAlign w:val="bottom"/>
            <w:hideMark/>
          </w:tcPr>
          <w:p w14:paraId="46963514" w14:textId="77777777" w:rsidR="002702B3" w:rsidRPr="00B5171E" w:rsidRDefault="002702B3" w:rsidP="00B5171E">
            <w:pPr>
              <w:ind w:left="360"/>
              <w:jc w:val="center"/>
              <w:rPr>
                <w:rFonts w:eastAsia="Times New Roman"/>
                <w:color w:val="000000"/>
                <w:lang w:val="en-GB" w:eastAsia="en-GB"/>
              </w:rPr>
            </w:pPr>
          </w:p>
        </w:tc>
        <w:tc>
          <w:tcPr>
            <w:tcW w:w="1247" w:type="dxa"/>
            <w:tcBorders>
              <w:top w:val="single" w:sz="4" w:space="0" w:color="auto"/>
              <w:left w:val="nil"/>
              <w:bottom w:val="single" w:sz="12" w:space="0" w:color="auto"/>
              <w:right w:val="nil"/>
            </w:tcBorders>
            <w:noWrap/>
            <w:vAlign w:val="bottom"/>
            <w:hideMark/>
          </w:tcPr>
          <w:p w14:paraId="0B7F1ADC"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Exports</w:t>
            </w:r>
          </w:p>
        </w:tc>
        <w:tc>
          <w:tcPr>
            <w:tcW w:w="1276" w:type="dxa"/>
            <w:tcBorders>
              <w:top w:val="single" w:sz="4" w:space="0" w:color="auto"/>
              <w:left w:val="nil"/>
              <w:bottom w:val="single" w:sz="12" w:space="0" w:color="auto"/>
              <w:right w:val="nil"/>
            </w:tcBorders>
            <w:noWrap/>
            <w:vAlign w:val="bottom"/>
            <w:hideMark/>
          </w:tcPr>
          <w:p w14:paraId="26360E30"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Imports</w:t>
            </w:r>
          </w:p>
        </w:tc>
      </w:tr>
      <w:tr w:rsidR="002702B3" w:rsidRPr="00B5171E" w14:paraId="4F7EC124" w14:textId="77777777" w:rsidTr="00633D18">
        <w:trPr>
          <w:trHeight w:val="315"/>
          <w:jc w:val="center"/>
        </w:trPr>
        <w:tc>
          <w:tcPr>
            <w:tcW w:w="2378" w:type="dxa"/>
            <w:noWrap/>
            <w:vAlign w:val="bottom"/>
            <w:hideMark/>
          </w:tcPr>
          <w:p w14:paraId="4549F828" w14:textId="77777777" w:rsidR="002702B3" w:rsidRPr="00B5171E" w:rsidRDefault="002702B3" w:rsidP="00B5171E">
            <w:pPr>
              <w:ind w:left="360"/>
              <w:rPr>
                <w:rFonts w:eastAsia="Times New Roman"/>
                <w:color w:val="000000"/>
                <w:lang w:val="en-GB" w:eastAsia="en-GB"/>
              </w:rPr>
            </w:pPr>
            <w:r w:rsidRPr="00B5171E">
              <w:rPr>
                <w:rFonts w:eastAsia="Times New Roman"/>
                <w:color w:val="000000"/>
                <w:lang w:val="en-GB" w:eastAsia="en-GB"/>
              </w:rPr>
              <w:t>Transaction value/firm</w:t>
            </w:r>
          </w:p>
        </w:tc>
        <w:tc>
          <w:tcPr>
            <w:tcW w:w="1261" w:type="dxa"/>
            <w:noWrap/>
            <w:vAlign w:val="bottom"/>
            <w:hideMark/>
          </w:tcPr>
          <w:p w14:paraId="41C1E56F"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 xml:space="preserve">Mean </w:t>
            </w:r>
          </w:p>
        </w:tc>
        <w:tc>
          <w:tcPr>
            <w:tcW w:w="1247" w:type="dxa"/>
            <w:noWrap/>
            <w:vAlign w:val="bottom"/>
            <w:hideMark/>
          </w:tcPr>
          <w:p w14:paraId="468BA811"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44.98</w:t>
            </w:r>
          </w:p>
        </w:tc>
        <w:tc>
          <w:tcPr>
            <w:tcW w:w="1276" w:type="dxa"/>
            <w:noWrap/>
            <w:vAlign w:val="bottom"/>
            <w:hideMark/>
          </w:tcPr>
          <w:p w14:paraId="76BB7EB9"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54.05</w:t>
            </w:r>
          </w:p>
        </w:tc>
        <w:tc>
          <w:tcPr>
            <w:tcW w:w="280" w:type="dxa"/>
            <w:noWrap/>
            <w:vAlign w:val="bottom"/>
            <w:hideMark/>
          </w:tcPr>
          <w:p w14:paraId="11F9644A" w14:textId="77777777" w:rsidR="002702B3" w:rsidRPr="00B5171E" w:rsidRDefault="002702B3" w:rsidP="00B5171E">
            <w:pPr>
              <w:ind w:left="360"/>
              <w:rPr>
                <w:rFonts w:eastAsia="Times New Roman"/>
                <w:color w:val="000000"/>
                <w:lang w:val="en-GB" w:eastAsia="en-GB"/>
              </w:rPr>
            </w:pPr>
          </w:p>
        </w:tc>
        <w:tc>
          <w:tcPr>
            <w:tcW w:w="1247" w:type="dxa"/>
            <w:noWrap/>
            <w:vAlign w:val="bottom"/>
            <w:hideMark/>
          </w:tcPr>
          <w:p w14:paraId="27891FB6"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5.62</w:t>
            </w:r>
          </w:p>
        </w:tc>
        <w:tc>
          <w:tcPr>
            <w:tcW w:w="1276" w:type="dxa"/>
            <w:noWrap/>
            <w:vAlign w:val="bottom"/>
            <w:hideMark/>
          </w:tcPr>
          <w:p w14:paraId="52923EC4"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3.32</w:t>
            </w:r>
          </w:p>
        </w:tc>
      </w:tr>
      <w:tr w:rsidR="002702B3" w:rsidRPr="00B5171E" w14:paraId="47EE54AE" w14:textId="77777777" w:rsidTr="00633D18">
        <w:trPr>
          <w:trHeight w:val="300"/>
          <w:jc w:val="center"/>
        </w:trPr>
        <w:tc>
          <w:tcPr>
            <w:tcW w:w="2378" w:type="dxa"/>
            <w:noWrap/>
            <w:vAlign w:val="bottom"/>
            <w:hideMark/>
          </w:tcPr>
          <w:p w14:paraId="4CC4570C" w14:textId="77777777" w:rsidR="002702B3" w:rsidRPr="00B5171E" w:rsidRDefault="002702B3" w:rsidP="00B5171E">
            <w:pPr>
              <w:ind w:left="360"/>
              <w:rPr>
                <w:rFonts w:eastAsia="Times New Roman"/>
                <w:color w:val="000000"/>
                <w:lang w:val="en-GB" w:eastAsia="en-GB"/>
              </w:rPr>
            </w:pPr>
          </w:p>
        </w:tc>
        <w:tc>
          <w:tcPr>
            <w:tcW w:w="1261" w:type="dxa"/>
            <w:noWrap/>
            <w:vAlign w:val="bottom"/>
            <w:hideMark/>
          </w:tcPr>
          <w:p w14:paraId="234C4074"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Median</w:t>
            </w:r>
          </w:p>
        </w:tc>
        <w:tc>
          <w:tcPr>
            <w:tcW w:w="1247" w:type="dxa"/>
            <w:noWrap/>
            <w:vAlign w:val="bottom"/>
            <w:hideMark/>
          </w:tcPr>
          <w:p w14:paraId="3F51547E"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0.27</w:t>
            </w:r>
          </w:p>
        </w:tc>
        <w:tc>
          <w:tcPr>
            <w:tcW w:w="1276" w:type="dxa"/>
            <w:noWrap/>
            <w:vAlign w:val="bottom"/>
            <w:hideMark/>
          </w:tcPr>
          <w:p w14:paraId="2E234203"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4.99</w:t>
            </w:r>
          </w:p>
        </w:tc>
        <w:tc>
          <w:tcPr>
            <w:tcW w:w="280" w:type="dxa"/>
            <w:noWrap/>
            <w:vAlign w:val="bottom"/>
            <w:hideMark/>
          </w:tcPr>
          <w:p w14:paraId="19A83792" w14:textId="77777777" w:rsidR="002702B3" w:rsidRPr="00B5171E" w:rsidRDefault="002702B3" w:rsidP="00B5171E">
            <w:pPr>
              <w:ind w:left="360"/>
              <w:rPr>
                <w:rFonts w:eastAsia="Times New Roman"/>
                <w:color w:val="000000"/>
                <w:lang w:val="en-GB" w:eastAsia="en-GB"/>
              </w:rPr>
            </w:pPr>
          </w:p>
        </w:tc>
        <w:tc>
          <w:tcPr>
            <w:tcW w:w="1247" w:type="dxa"/>
            <w:noWrap/>
            <w:vAlign w:val="bottom"/>
            <w:hideMark/>
          </w:tcPr>
          <w:p w14:paraId="6568A4A5"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0.05</w:t>
            </w:r>
          </w:p>
        </w:tc>
        <w:tc>
          <w:tcPr>
            <w:tcW w:w="1276" w:type="dxa"/>
            <w:noWrap/>
            <w:vAlign w:val="bottom"/>
            <w:hideMark/>
          </w:tcPr>
          <w:p w14:paraId="7A812827"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0.04</w:t>
            </w:r>
          </w:p>
        </w:tc>
      </w:tr>
      <w:tr w:rsidR="002702B3" w:rsidRPr="00B5171E" w14:paraId="40C02CB5" w14:textId="77777777" w:rsidTr="00633D18">
        <w:trPr>
          <w:trHeight w:val="300"/>
          <w:jc w:val="center"/>
        </w:trPr>
        <w:tc>
          <w:tcPr>
            <w:tcW w:w="2378" w:type="dxa"/>
            <w:noWrap/>
            <w:vAlign w:val="bottom"/>
            <w:hideMark/>
          </w:tcPr>
          <w:p w14:paraId="1D338270" w14:textId="77777777" w:rsidR="002702B3" w:rsidRPr="00B5171E" w:rsidRDefault="002702B3" w:rsidP="00B5171E">
            <w:pPr>
              <w:ind w:left="360"/>
              <w:rPr>
                <w:rFonts w:eastAsia="Times New Roman"/>
                <w:color w:val="000000"/>
                <w:lang w:val="en-GB" w:eastAsia="en-GB"/>
              </w:rPr>
            </w:pPr>
            <w:r w:rsidRPr="00B5171E">
              <w:rPr>
                <w:rFonts w:eastAsia="Times New Roman"/>
                <w:color w:val="000000"/>
                <w:lang w:val="en-GB" w:eastAsia="en-GB"/>
              </w:rPr>
              <w:t>Products/firm</w:t>
            </w:r>
          </w:p>
        </w:tc>
        <w:tc>
          <w:tcPr>
            <w:tcW w:w="1261" w:type="dxa"/>
            <w:noWrap/>
            <w:vAlign w:val="bottom"/>
            <w:hideMark/>
          </w:tcPr>
          <w:p w14:paraId="5C1FB364"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 xml:space="preserve">Mean </w:t>
            </w:r>
          </w:p>
        </w:tc>
        <w:tc>
          <w:tcPr>
            <w:tcW w:w="1247" w:type="dxa"/>
            <w:noWrap/>
            <w:vAlign w:val="bottom"/>
            <w:hideMark/>
          </w:tcPr>
          <w:p w14:paraId="4731DFB7"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6.38</w:t>
            </w:r>
          </w:p>
        </w:tc>
        <w:tc>
          <w:tcPr>
            <w:tcW w:w="1276" w:type="dxa"/>
            <w:noWrap/>
            <w:vAlign w:val="bottom"/>
            <w:hideMark/>
          </w:tcPr>
          <w:p w14:paraId="5F6047E5"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46.32</w:t>
            </w:r>
          </w:p>
        </w:tc>
        <w:tc>
          <w:tcPr>
            <w:tcW w:w="280" w:type="dxa"/>
            <w:noWrap/>
            <w:vAlign w:val="bottom"/>
            <w:hideMark/>
          </w:tcPr>
          <w:p w14:paraId="0BB302EC" w14:textId="77777777" w:rsidR="002702B3" w:rsidRPr="00B5171E" w:rsidRDefault="002702B3" w:rsidP="00B5171E">
            <w:pPr>
              <w:ind w:left="360"/>
              <w:rPr>
                <w:rFonts w:eastAsia="Times New Roman"/>
                <w:color w:val="000000"/>
                <w:lang w:val="en-GB" w:eastAsia="en-GB"/>
              </w:rPr>
            </w:pPr>
          </w:p>
        </w:tc>
        <w:tc>
          <w:tcPr>
            <w:tcW w:w="1247" w:type="dxa"/>
            <w:noWrap/>
            <w:vAlign w:val="bottom"/>
            <w:hideMark/>
          </w:tcPr>
          <w:p w14:paraId="6D83CC55"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4.03</w:t>
            </w:r>
          </w:p>
        </w:tc>
        <w:tc>
          <w:tcPr>
            <w:tcW w:w="1276" w:type="dxa"/>
            <w:noWrap/>
            <w:vAlign w:val="bottom"/>
            <w:hideMark/>
          </w:tcPr>
          <w:p w14:paraId="7442C659"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9.91</w:t>
            </w:r>
          </w:p>
        </w:tc>
      </w:tr>
      <w:tr w:rsidR="002702B3" w:rsidRPr="00B5171E" w14:paraId="59B86709" w14:textId="77777777" w:rsidTr="00633D18">
        <w:trPr>
          <w:trHeight w:val="300"/>
          <w:jc w:val="center"/>
        </w:trPr>
        <w:tc>
          <w:tcPr>
            <w:tcW w:w="2378" w:type="dxa"/>
            <w:noWrap/>
            <w:vAlign w:val="bottom"/>
            <w:hideMark/>
          </w:tcPr>
          <w:p w14:paraId="277FF6A5" w14:textId="77777777" w:rsidR="002702B3" w:rsidRPr="00B5171E" w:rsidRDefault="002702B3" w:rsidP="00B5171E">
            <w:pPr>
              <w:ind w:left="360"/>
              <w:rPr>
                <w:rFonts w:eastAsia="Times New Roman"/>
                <w:color w:val="000000"/>
                <w:lang w:val="en-GB" w:eastAsia="en-GB"/>
              </w:rPr>
            </w:pPr>
          </w:p>
        </w:tc>
        <w:tc>
          <w:tcPr>
            <w:tcW w:w="1261" w:type="dxa"/>
            <w:noWrap/>
            <w:vAlign w:val="bottom"/>
            <w:hideMark/>
          </w:tcPr>
          <w:p w14:paraId="7325D814"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Median</w:t>
            </w:r>
          </w:p>
        </w:tc>
        <w:tc>
          <w:tcPr>
            <w:tcW w:w="1247" w:type="dxa"/>
            <w:noWrap/>
            <w:vAlign w:val="bottom"/>
            <w:hideMark/>
          </w:tcPr>
          <w:p w14:paraId="0DDF63B1"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1</w:t>
            </w:r>
          </w:p>
        </w:tc>
        <w:tc>
          <w:tcPr>
            <w:tcW w:w="1276" w:type="dxa"/>
            <w:noWrap/>
            <w:vAlign w:val="bottom"/>
            <w:hideMark/>
          </w:tcPr>
          <w:p w14:paraId="4E002A7B"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20</w:t>
            </w:r>
          </w:p>
        </w:tc>
        <w:tc>
          <w:tcPr>
            <w:tcW w:w="280" w:type="dxa"/>
            <w:noWrap/>
            <w:vAlign w:val="bottom"/>
            <w:hideMark/>
          </w:tcPr>
          <w:p w14:paraId="776A9ED3" w14:textId="77777777" w:rsidR="002702B3" w:rsidRPr="00B5171E" w:rsidRDefault="002702B3" w:rsidP="00B5171E">
            <w:pPr>
              <w:ind w:left="360"/>
              <w:rPr>
                <w:rFonts w:eastAsia="Times New Roman"/>
                <w:color w:val="000000"/>
                <w:lang w:val="en-GB" w:eastAsia="en-GB"/>
              </w:rPr>
            </w:pPr>
          </w:p>
        </w:tc>
        <w:tc>
          <w:tcPr>
            <w:tcW w:w="1247" w:type="dxa"/>
            <w:noWrap/>
            <w:vAlign w:val="bottom"/>
            <w:hideMark/>
          </w:tcPr>
          <w:p w14:paraId="505C054E"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1</w:t>
            </w:r>
          </w:p>
        </w:tc>
        <w:tc>
          <w:tcPr>
            <w:tcW w:w="1276" w:type="dxa"/>
            <w:noWrap/>
            <w:vAlign w:val="bottom"/>
            <w:hideMark/>
          </w:tcPr>
          <w:p w14:paraId="75445687"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2</w:t>
            </w:r>
          </w:p>
        </w:tc>
      </w:tr>
      <w:tr w:rsidR="002702B3" w:rsidRPr="00B5171E" w14:paraId="21489DA3" w14:textId="77777777" w:rsidTr="00633D18">
        <w:trPr>
          <w:trHeight w:val="300"/>
          <w:jc w:val="center"/>
        </w:trPr>
        <w:tc>
          <w:tcPr>
            <w:tcW w:w="2378" w:type="dxa"/>
            <w:noWrap/>
            <w:vAlign w:val="bottom"/>
            <w:hideMark/>
          </w:tcPr>
          <w:p w14:paraId="1255B6FD" w14:textId="77777777" w:rsidR="002702B3" w:rsidRPr="00B5171E" w:rsidRDefault="002702B3" w:rsidP="00B5171E">
            <w:pPr>
              <w:ind w:left="360"/>
              <w:rPr>
                <w:rFonts w:eastAsia="Times New Roman"/>
                <w:color w:val="000000"/>
                <w:lang w:val="en-GB" w:eastAsia="en-GB"/>
              </w:rPr>
            </w:pPr>
            <w:r w:rsidRPr="00B5171E">
              <w:rPr>
                <w:rFonts w:eastAsia="Times New Roman"/>
                <w:color w:val="000000"/>
                <w:lang w:val="en-GB" w:eastAsia="en-GB"/>
              </w:rPr>
              <w:t>Destinations/origins</w:t>
            </w:r>
          </w:p>
        </w:tc>
        <w:tc>
          <w:tcPr>
            <w:tcW w:w="1261" w:type="dxa"/>
            <w:noWrap/>
            <w:vAlign w:val="bottom"/>
            <w:hideMark/>
          </w:tcPr>
          <w:p w14:paraId="7D59BEE7"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 xml:space="preserve">Mean </w:t>
            </w:r>
          </w:p>
        </w:tc>
        <w:tc>
          <w:tcPr>
            <w:tcW w:w="1247" w:type="dxa"/>
            <w:noWrap/>
            <w:vAlign w:val="bottom"/>
            <w:hideMark/>
          </w:tcPr>
          <w:p w14:paraId="76FDB08E"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2.58</w:t>
            </w:r>
          </w:p>
        </w:tc>
        <w:tc>
          <w:tcPr>
            <w:tcW w:w="1276" w:type="dxa"/>
            <w:noWrap/>
            <w:vAlign w:val="bottom"/>
            <w:hideMark/>
          </w:tcPr>
          <w:p w14:paraId="7D6B3589"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4.82</w:t>
            </w:r>
          </w:p>
        </w:tc>
        <w:tc>
          <w:tcPr>
            <w:tcW w:w="280" w:type="dxa"/>
            <w:noWrap/>
            <w:vAlign w:val="bottom"/>
            <w:hideMark/>
          </w:tcPr>
          <w:p w14:paraId="14F1D603" w14:textId="77777777" w:rsidR="002702B3" w:rsidRPr="00B5171E" w:rsidRDefault="002702B3" w:rsidP="00B5171E">
            <w:pPr>
              <w:ind w:left="360"/>
              <w:rPr>
                <w:rFonts w:eastAsia="Times New Roman"/>
                <w:color w:val="000000"/>
                <w:lang w:val="en-GB" w:eastAsia="en-GB"/>
              </w:rPr>
            </w:pPr>
          </w:p>
        </w:tc>
        <w:tc>
          <w:tcPr>
            <w:tcW w:w="1247" w:type="dxa"/>
            <w:noWrap/>
            <w:vAlign w:val="bottom"/>
            <w:hideMark/>
          </w:tcPr>
          <w:p w14:paraId="1CABF3B4"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1.61</w:t>
            </w:r>
          </w:p>
        </w:tc>
        <w:tc>
          <w:tcPr>
            <w:tcW w:w="1276" w:type="dxa"/>
            <w:noWrap/>
            <w:vAlign w:val="bottom"/>
            <w:hideMark/>
          </w:tcPr>
          <w:p w14:paraId="0BB1063A"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1.47</w:t>
            </w:r>
          </w:p>
        </w:tc>
      </w:tr>
      <w:tr w:rsidR="002702B3" w:rsidRPr="00B5171E" w14:paraId="5D1C2B74" w14:textId="77777777" w:rsidTr="00633D18">
        <w:trPr>
          <w:trHeight w:val="315"/>
          <w:jc w:val="center"/>
        </w:trPr>
        <w:tc>
          <w:tcPr>
            <w:tcW w:w="2378" w:type="dxa"/>
            <w:tcBorders>
              <w:top w:val="nil"/>
              <w:left w:val="nil"/>
              <w:bottom w:val="single" w:sz="12" w:space="0" w:color="auto"/>
              <w:right w:val="nil"/>
            </w:tcBorders>
            <w:noWrap/>
            <w:vAlign w:val="bottom"/>
            <w:hideMark/>
          </w:tcPr>
          <w:p w14:paraId="79D44363" w14:textId="77777777" w:rsidR="002702B3" w:rsidRPr="00B5171E" w:rsidRDefault="002702B3" w:rsidP="00B5171E">
            <w:pPr>
              <w:ind w:left="360"/>
              <w:rPr>
                <w:rFonts w:eastAsia="Times New Roman"/>
                <w:color w:val="000000"/>
                <w:lang w:val="en-GB" w:eastAsia="en-GB"/>
              </w:rPr>
            </w:pPr>
            <w:r w:rsidRPr="00B5171E">
              <w:rPr>
                <w:rFonts w:eastAsia="Times New Roman"/>
                <w:color w:val="000000"/>
                <w:lang w:val="en-GB" w:eastAsia="en-GB"/>
              </w:rPr>
              <w:t>/firm</w:t>
            </w:r>
          </w:p>
        </w:tc>
        <w:tc>
          <w:tcPr>
            <w:tcW w:w="1261" w:type="dxa"/>
            <w:tcBorders>
              <w:top w:val="nil"/>
              <w:left w:val="nil"/>
              <w:bottom w:val="single" w:sz="12" w:space="0" w:color="auto"/>
              <w:right w:val="nil"/>
            </w:tcBorders>
            <w:noWrap/>
            <w:vAlign w:val="bottom"/>
            <w:hideMark/>
          </w:tcPr>
          <w:p w14:paraId="5F2A309D"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Median</w:t>
            </w:r>
          </w:p>
        </w:tc>
        <w:tc>
          <w:tcPr>
            <w:tcW w:w="1247" w:type="dxa"/>
            <w:tcBorders>
              <w:top w:val="nil"/>
              <w:left w:val="nil"/>
              <w:bottom w:val="single" w:sz="12" w:space="0" w:color="auto"/>
              <w:right w:val="nil"/>
            </w:tcBorders>
            <w:noWrap/>
            <w:vAlign w:val="bottom"/>
            <w:hideMark/>
          </w:tcPr>
          <w:p w14:paraId="7097D66B"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1</w:t>
            </w:r>
          </w:p>
        </w:tc>
        <w:tc>
          <w:tcPr>
            <w:tcW w:w="1276" w:type="dxa"/>
            <w:tcBorders>
              <w:top w:val="nil"/>
              <w:left w:val="nil"/>
              <w:bottom w:val="single" w:sz="12" w:space="0" w:color="auto"/>
              <w:right w:val="nil"/>
            </w:tcBorders>
            <w:noWrap/>
            <w:vAlign w:val="bottom"/>
            <w:hideMark/>
          </w:tcPr>
          <w:p w14:paraId="0C09A97B"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2</w:t>
            </w:r>
          </w:p>
        </w:tc>
        <w:tc>
          <w:tcPr>
            <w:tcW w:w="280" w:type="dxa"/>
            <w:tcBorders>
              <w:top w:val="nil"/>
              <w:left w:val="nil"/>
              <w:bottom w:val="single" w:sz="12" w:space="0" w:color="auto"/>
              <w:right w:val="nil"/>
            </w:tcBorders>
            <w:noWrap/>
            <w:vAlign w:val="bottom"/>
            <w:hideMark/>
          </w:tcPr>
          <w:p w14:paraId="69B788A8" w14:textId="77777777" w:rsidR="002702B3" w:rsidRPr="00B5171E" w:rsidRDefault="002702B3" w:rsidP="00B5171E">
            <w:pPr>
              <w:ind w:left="360"/>
              <w:jc w:val="center"/>
              <w:rPr>
                <w:rFonts w:eastAsia="Times New Roman"/>
                <w:color w:val="000000"/>
                <w:lang w:val="en-GB" w:eastAsia="en-GB"/>
              </w:rPr>
            </w:pPr>
          </w:p>
        </w:tc>
        <w:tc>
          <w:tcPr>
            <w:tcW w:w="1247" w:type="dxa"/>
            <w:tcBorders>
              <w:top w:val="nil"/>
              <w:left w:val="nil"/>
              <w:bottom w:val="single" w:sz="12" w:space="0" w:color="auto"/>
              <w:right w:val="nil"/>
            </w:tcBorders>
            <w:noWrap/>
            <w:vAlign w:val="bottom"/>
            <w:hideMark/>
          </w:tcPr>
          <w:p w14:paraId="41027EFB"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1</w:t>
            </w:r>
          </w:p>
        </w:tc>
        <w:tc>
          <w:tcPr>
            <w:tcW w:w="1276" w:type="dxa"/>
            <w:tcBorders>
              <w:top w:val="nil"/>
              <w:left w:val="nil"/>
              <w:bottom w:val="single" w:sz="12" w:space="0" w:color="auto"/>
              <w:right w:val="nil"/>
            </w:tcBorders>
            <w:noWrap/>
            <w:vAlign w:val="bottom"/>
            <w:hideMark/>
          </w:tcPr>
          <w:p w14:paraId="17CE36E2" w14:textId="77777777" w:rsidR="002702B3" w:rsidRPr="00B5171E" w:rsidRDefault="002702B3" w:rsidP="00B5171E">
            <w:pPr>
              <w:ind w:left="360"/>
              <w:jc w:val="center"/>
              <w:rPr>
                <w:rFonts w:eastAsia="Times New Roman"/>
                <w:color w:val="000000"/>
                <w:lang w:val="en-GB" w:eastAsia="en-GB"/>
              </w:rPr>
            </w:pPr>
            <w:r w:rsidRPr="00B5171E">
              <w:rPr>
                <w:rFonts w:eastAsia="Times New Roman"/>
                <w:color w:val="000000"/>
                <w:lang w:val="en-GB" w:eastAsia="en-GB"/>
              </w:rPr>
              <w:t>1</w:t>
            </w:r>
          </w:p>
        </w:tc>
      </w:tr>
    </w:tbl>
    <w:p w14:paraId="1CBBF98E" w14:textId="77777777" w:rsidR="002702B3" w:rsidRPr="00B5171E" w:rsidRDefault="002702B3" w:rsidP="00B5171E">
      <w:pPr>
        <w:tabs>
          <w:tab w:val="left" w:pos="8505"/>
        </w:tabs>
        <w:ind w:left="360" w:right="521"/>
        <w:jc w:val="both"/>
        <w:rPr>
          <w:rFonts w:ascii="Times New Roman" w:hAnsi="Times New Roman"/>
          <w:sz w:val="20"/>
          <w:szCs w:val="20"/>
        </w:rPr>
      </w:pPr>
      <w:r w:rsidRPr="00B5171E">
        <w:rPr>
          <w:rFonts w:ascii="Times New Roman" w:hAnsi="Times New Roman"/>
          <w:sz w:val="20"/>
          <w:szCs w:val="20"/>
        </w:rPr>
        <w:t>Note: Export and import transaction values are denominated in hundreds of thousands US Dollars. Figures are averaged across the period 2006-2014.</w:t>
      </w:r>
    </w:p>
    <w:p w14:paraId="72616C16" w14:textId="77777777" w:rsidR="002702B3" w:rsidRPr="00B5171E" w:rsidRDefault="002702B3" w:rsidP="00B5171E">
      <w:pPr>
        <w:tabs>
          <w:tab w:val="left" w:pos="8505"/>
        </w:tabs>
        <w:ind w:left="360" w:right="521"/>
        <w:jc w:val="both"/>
        <w:rPr>
          <w:rFonts w:ascii="Times New Roman" w:eastAsia="MS Mincho" w:hAnsi="Times New Roman"/>
          <w:sz w:val="20"/>
          <w:szCs w:val="20"/>
        </w:rPr>
      </w:pPr>
      <w:r w:rsidRPr="00B5171E">
        <w:rPr>
          <w:rFonts w:ascii="Times New Roman" w:hAnsi="Times New Roman"/>
          <w:sz w:val="20"/>
          <w:szCs w:val="20"/>
        </w:rPr>
        <w:t>Source: authors’ calculations</w:t>
      </w:r>
      <w:r w:rsidR="00B5171E">
        <w:rPr>
          <w:rFonts w:ascii="Times New Roman" w:hAnsi="Times New Roman"/>
          <w:sz w:val="20"/>
          <w:szCs w:val="20"/>
        </w:rPr>
        <w:t xml:space="preserve"> using customs data</w:t>
      </w:r>
      <w:r w:rsidRPr="00B5171E">
        <w:rPr>
          <w:rFonts w:ascii="Times New Roman" w:hAnsi="Times New Roman"/>
          <w:sz w:val="20"/>
          <w:szCs w:val="20"/>
        </w:rPr>
        <w:t>.</w:t>
      </w:r>
    </w:p>
    <w:p w14:paraId="1E7C8E57" w14:textId="77777777" w:rsidR="00B5171E" w:rsidRPr="00B5171E" w:rsidRDefault="00B5171E" w:rsidP="00B5171E">
      <w:pPr>
        <w:tabs>
          <w:tab w:val="left" w:pos="8505"/>
        </w:tabs>
        <w:ind w:right="521"/>
        <w:jc w:val="both"/>
        <w:rPr>
          <w:rFonts w:ascii="Times New Roman" w:eastAsia="MS Mincho" w:hAnsi="Times New Roman"/>
          <w:sz w:val="20"/>
          <w:szCs w:val="20"/>
          <w:highlight w:val="lightGray"/>
        </w:rPr>
      </w:pPr>
    </w:p>
    <w:p w14:paraId="1D2D5697" w14:textId="1A1004FF" w:rsidR="00C214EF" w:rsidRPr="00D80ECC" w:rsidRDefault="00C214EF" w:rsidP="00C214EF">
      <w:pPr>
        <w:spacing w:line="276" w:lineRule="auto"/>
        <w:jc w:val="both"/>
        <w:rPr>
          <w:rFonts w:ascii="Times New Roman" w:hAnsi="Times New Roman"/>
          <w:sz w:val="24"/>
          <w:szCs w:val="24"/>
        </w:rPr>
      </w:pPr>
      <w:r>
        <w:rPr>
          <w:rFonts w:ascii="Times New Roman" w:hAnsi="Times New Roman"/>
          <w:b/>
          <w:sz w:val="24"/>
          <w:szCs w:val="24"/>
        </w:rPr>
        <w:t xml:space="preserve">The dynamism of real wages is also different for SEZ and national industries. </w:t>
      </w:r>
      <w:r>
        <w:rPr>
          <w:rFonts w:ascii="Times New Roman" w:hAnsi="Times New Roman"/>
          <w:sz w:val="24"/>
          <w:szCs w:val="24"/>
        </w:rPr>
        <w:t xml:space="preserve">Real wages in SEZ sectors </w:t>
      </w:r>
      <w:r w:rsidRPr="00C214EF">
        <w:rPr>
          <w:rFonts w:ascii="Times New Roman" w:hAnsi="Times New Roman"/>
          <w:sz w:val="24"/>
          <w:szCs w:val="24"/>
        </w:rPr>
        <w:t>have declined due to the domestic economic crisis of 2003 and the decline of the textile sector.</w:t>
      </w:r>
      <w:r w:rsidRPr="00D80ECC">
        <w:rPr>
          <w:rFonts w:ascii="Times New Roman" w:hAnsi="Times New Roman"/>
          <w:b/>
          <w:sz w:val="24"/>
          <w:szCs w:val="24"/>
        </w:rPr>
        <w:t xml:space="preserve"> </w:t>
      </w:r>
      <w:r w:rsidRPr="00D80ECC">
        <w:rPr>
          <w:rFonts w:ascii="Times New Roman" w:hAnsi="Times New Roman"/>
          <w:sz w:val="24"/>
          <w:szCs w:val="24"/>
        </w:rPr>
        <w:t>Jobs in SEZs decreased from 195,262 to 134,426 between 2002 and 2010 (-30 percent). The share of wages in total output declined from 22.2 percent in 2002 to 18.3 percent in 2008, prior to increasing to 19.1 percent in 2010.</w:t>
      </w:r>
      <w:r w:rsidRPr="00D80ECC">
        <w:rPr>
          <w:rFonts w:ascii="Times New Roman" w:hAnsi="Times New Roman"/>
          <w:b/>
          <w:sz w:val="24"/>
          <w:szCs w:val="24"/>
        </w:rPr>
        <w:t xml:space="preserve"> </w:t>
      </w:r>
      <w:r w:rsidRPr="00D80ECC">
        <w:rPr>
          <w:rFonts w:ascii="Times New Roman" w:hAnsi="Times New Roman"/>
          <w:sz w:val="24"/>
          <w:szCs w:val="24"/>
        </w:rPr>
        <w:t>This was driven both by a decline in employment, and also by a decline in wages in the textile and apparel sector, with the total salary mass decreasing by 16.9 percent in real terms between 2005 and 2010 (</w:t>
      </w:r>
      <w:r w:rsidR="00B21335" w:rsidRPr="00C506E1">
        <w:rPr>
          <w:rFonts w:ascii="Times New Roman" w:hAnsi="Times New Roman"/>
          <w:sz w:val="24"/>
          <w:szCs w:val="24"/>
        </w:rPr>
        <w:fldChar w:fldCharType="begin"/>
      </w:r>
      <w:r w:rsidR="00B21335" w:rsidRPr="00C506E1">
        <w:rPr>
          <w:rFonts w:ascii="Times New Roman" w:hAnsi="Times New Roman"/>
          <w:sz w:val="24"/>
          <w:szCs w:val="24"/>
        </w:rPr>
        <w:instrText xml:space="preserve"> REF _Ref453207512 \h  \* MERGEFORMAT </w:instrText>
      </w:r>
      <w:r w:rsidR="00B21335" w:rsidRPr="00C506E1">
        <w:rPr>
          <w:rFonts w:ascii="Times New Roman" w:hAnsi="Times New Roman"/>
          <w:sz w:val="24"/>
          <w:szCs w:val="24"/>
        </w:rPr>
      </w:r>
      <w:r w:rsidR="00B21335" w:rsidRPr="00C506E1">
        <w:rPr>
          <w:rFonts w:ascii="Times New Roman" w:hAnsi="Times New Roman"/>
          <w:sz w:val="24"/>
          <w:szCs w:val="24"/>
        </w:rPr>
        <w:fldChar w:fldCharType="separate"/>
      </w:r>
      <w:r w:rsidR="00893CAD" w:rsidRPr="00893CAD">
        <w:rPr>
          <w:rFonts w:asciiTheme="majorHAnsi" w:hAnsiTheme="majorHAnsi" w:cstheme="majorHAnsi"/>
          <w:sz w:val="24"/>
          <w:szCs w:val="24"/>
        </w:rPr>
        <w:t xml:space="preserve">Figure </w:t>
      </w:r>
      <w:r w:rsidR="00893CAD" w:rsidRPr="00893CAD">
        <w:rPr>
          <w:rFonts w:asciiTheme="majorHAnsi" w:hAnsiTheme="majorHAnsi" w:cstheme="majorHAnsi"/>
          <w:noProof/>
          <w:sz w:val="24"/>
          <w:szCs w:val="24"/>
        </w:rPr>
        <w:t>2</w:t>
      </w:r>
      <w:r w:rsidR="00B21335" w:rsidRPr="00C506E1">
        <w:rPr>
          <w:rFonts w:ascii="Times New Roman" w:hAnsi="Times New Roman"/>
          <w:sz w:val="24"/>
          <w:szCs w:val="24"/>
        </w:rPr>
        <w:fldChar w:fldCharType="end"/>
      </w:r>
      <w:r w:rsidRPr="00D80ECC">
        <w:rPr>
          <w:rFonts w:ascii="Times New Roman" w:hAnsi="Times New Roman"/>
          <w:sz w:val="24"/>
          <w:szCs w:val="24"/>
        </w:rPr>
        <w:t xml:space="preserve">). Other sectors with a presence in SEZs, such as tobacco processing (-6.7 percent), as well as those related to primary goods, also saw a decline in real wages, while sectoral employment modestly increased in the period. Meanwhile, medium-high skill manufacturing experienced a dramatic increase in </w:t>
      </w:r>
      <w:r w:rsidRPr="00D80ECC">
        <w:rPr>
          <w:rFonts w:ascii="Times New Roman" w:hAnsi="Times New Roman"/>
          <w:sz w:val="24"/>
          <w:szCs w:val="24"/>
        </w:rPr>
        <w:lastRenderedPageBreak/>
        <w:t>real wages in the second half of the 2000s, compensating for a prior decline at the beginning of the decade.</w:t>
      </w:r>
      <w:r w:rsidR="00CC2117" w:rsidRPr="00CC2117">
        <w:rPr>
          <w:rStyle w:val="FootnoteReference"/>
          <w:rFonts w:ascii="Times New Roman" w:hAnsi="Times New Roman"/>
          <w:sz w:val="24"/>
          <w:szCs w:val="24"/>
        </w:rPr>
        <w:t xml:space="preserve"> </w:t>
      </w:r>
      <w:r w:rsidR="00CC2117" w:rsidRPr="00D80ECC">
        <w:rPr>
          <w:rStyle w:val="FootnoteReference"/>
          <w:rFonts w:ascii="Times New Roman" w:hAnsi="Times New Roman"/>
          <w:sz w:val="24"/>
          <w:szCs w:val="24"/>
        </w:rPr>
        <w:footnoteReference w:id="3"/>
      </w:r>
      <w:r w:rsidRPr="00D80ECC">
        <w:rPr>
          <w:rFonts w:ascii="Times New Roman" w:hAnsi="Times New Roman"/>
          <w:sz w:val="24"/>
          <w:szCs w:val="24"/>
        </w:rPr>
        <w:t xml:space="preserve"> </w:t>
      </w:r>
    </w:p>
    <w:p w14:paraId="44DE6649" w14:textId="3CCE4AF1" w:rsidR="00B21335" w:rsidRDefault="00B21335">
      <w:pPr>
        <w:spacing w:after="200" w:line="276" w:lineRule="auto"/>
        <w:jc w:val="both"/>
      </w:pPr>
      <w:bookmarkStart w:id="5" w:name="_Ref446076504"/>
    </w:p>
    <w:p w14:paraId="7A5A28D2" w14:textId="77777777" w:rsidR="00C214EF" w:rsidRDefault="00C214EF" w:rsidP="00C214EF"/>
    <w:p w14:paraId="4B407A5E" w14:textId="79CE76E4" w:rsidR="0038392C" w:rsidRDefault="00C214EF" w:rsidP="00C214EF">
      <w:pPr>
        <w:jc w:val="center"/>
        <w:rPr>
          <w:rFonts w:asciiTheme="majorHAnsi" w:hAnsiTheme="majorHAnsi" w:cstheme="majorHAnsi"/>
          <w:b/>
          <w:sz w:val="24"/>
          <w:szCs w:val="24"/>
        </w:rPr>
      </w:pPr>
      <w:bookmarkStart w:id="6" w:name="_Ref453207512"/>
      <w:r w:rsidRPr="0017293A">
        <w:rPr>
          <w:rFonts w:asciiTheme="majorHAnsi" w:hAnsiTheme="majorHAnsi" w:cstheme="majorHAnsi"/>
          <w:b/>
          <w:sz w:val="24"/>
          <w:szCs w:val="24"/>
        </w:rPr>
        <w:t xml:space="preserve">Figure </w:t>
      </w:r>
      <w:r w:rsidRPr="0017293A">
        <w:rPr>
          <w:rFonts w:asciiTheme="majorHAnsi" w:hAnsiTheme="majorHAnsi" w:cstheme="majorHAnsi"/>
          <w:b/>
          <w:sz w:val="24"/>
          <w:szCs w:val="24"/>
        </w:rPr>
        <w:fldChar w:fldCharType="begin"/>
      </w:r>
      <w:r w:rsidRPr="0017293A">
        <w:rPr>
          <w:rFonts w:asciiTheme="majorHAnsi" w:hAnsiTheme="majorHAnsi" w:cstheme="majorHAnsi"/>
          <w:b/>
          <w:sz w:val="24"/>
          <w:szCs w:val="24"/>
        </w:rPr>
        <w:instrText xml:space="preserve"> SEQ Figure \* ARABIC </w:instrText>
      </w:r>
      <w:r w:rsidRPr="0017293A">
        <w:rPr>
          <w:rFonts w:asciiTheme="majorHAnsi" w:hAnsiTheme="majorHAnsi" w:cstheme="majorHAnsi"/>
          <w:b/>
          <w:sz w:val="24"/>
          <w:szCs w:val="24"/>
        </w:rPr>
        <w:fldChar w:fldCharType="separate"/>
      </w:r>
      <w:r w:rsidR="00893CAD">
        <w:rPr>
          <w:rFonts w:asciiTheme="majorHAnsi" w:hAnsiTheme="majorHAnsi" w:cstheme="majorHAnsi"/>
          <w:b/>
          <w:noProof/>
          <w:sz w:val="24"/>
          <w:szCs w:val="24"/>
        </w:rPr>
        <w:t>2</w:t>
      </w:r>
      <w:r w:rsidRPr="0017293A">
        <w:rPr>
          <w:rFonts w:asciiTheme="majorHAnsi" w:hAnsiTheme="majorHAnsi" w:cstheme="majorHAnsi"/>
          <w:b/>
          <w:noProof/>
          <w:sz w:val="24"/>
          <w:szCs w:val="24"/>
        </w:rPr>
        <w:fldChar w:fldCharType="end"/>
      </w:r>
      <w:bookmarkEnd w:id="5"/>
      <w:bookmarkEnd w:id="6"/>
      <w:r w:rsidRPr="0017293A">
        <w:rPr>
          <w:rFonts w:asciiTheme="majorHAnsi" w:hAnsiTheme="majorHAnsi" w:cstheme="majorHAnsi"/>
          <w:b/>
          <w:sz w:val="24"/>
          <w:szCs w:val="24"/>
        </w:rPr>
        <w:t>.</w:t>
      </w:r>
      <w:r w:rsidR="00950399">
        <w:rPr>
          <w:rFonts w:asciiTheme="majorHAnsi" w:hAnsiTheme="majorHAnsi" w:cstheme="majorHAnsi"/>
          <w:b/>
          <w:sz w:val="24"/>
          <w:szCs w:val="24"/>
        </w:rPr>
        <w:t xml:space="preserve"> Change in total </w:t>
      </w:r>
      <w:r w:rsidR="0038392C">
        <w:rPr>
          <w:rFonts w:asciiTheme="majorHAnsi" w:hAnsiTheme="majorHAnsi" w:cstheme="majorHAnsi"/>
          <w:b/>
          <w:sz w:val="24"/>
          <w:szCs w:val="24"/>
        </w:rPr>
        <w:t>S</w:t>
      </w:r>
      <w:r w:rsidR="00950399">
        <w:rPr>
          <w:rFonts w:asciiTheme="majorHAnsi" w:hAnsiTheme="majorHAnsi" w:cstheme="majorHAnsi"/>
          <w:b/>
          <w:sz w:val="24"/>
          <w:szCs w:val="24"/>
        </w:rPr>
        <w:t>ector</w:t>
      </w:r>
      <w:r w:rsidR="0038392C">
        <w:rPr>
          <w:rFonts w:asciiTheme="majorHAnsi" w:hAnsiTheme="majorHAnsi" w:cstheme="majorHAnsi"/>
          <w:b/>
          <w:sz w:val="24"/>
          <w:szCs w:val="24"/>
        </w:rPr>
        <w:t>al</w:t>
      </w:r>
      <w:r w:rsidR="00950399">
        <w:rPr>
          <w:rFonts w:asciiTheme="majorHAnsi" w:hAnsiTheme="majorHAnsi" w:cstheme="majorHAnsi"/>
          <w:b/>
          <w:sz w:val="24"/>
          <w:szCs w:val="24"/>
        </w:rPr>
        <w:t xml:space="preserve"> </w:t>
      </w:r>
      <w:r w:rsidR="0038392C">
        <w:rPr>
          <w:rFonts w:asciiTheme="majorHAnsi" w:hAnsiTheme="majorHAnsi" w:cstheme="majorHAnsi"/>
          <w:b/>
          <w:sz w:val="24"/>
          <w:szCs w:val="24"/>
        </w:rPr>
        <w:t>W</w:t>
      </w:r>
      <w:r w:rsidR="00950399">
        <w:rPr>
          <w:rFonts w:asciiTheme="majorHAnsi" w:hAnsiTheme="majorHAnsi" w:cstheme="majorHAnsi"/>
          <w:b/>
          <w:sz w:val="24"/>
          <w:szCs w:val="24"/>
        </w:rPr>
        <w:t>ages</w:t>
      </w:r>
    </w:p>
    <w:p w14:paraId="6F5F9972" w14:textId="126FD040" w:rsidR="00C214EF" w:rsidRPr="0017293A" w:rsidRDefault="0038392C" w:rsidP="00C214EF">
      <w:pPr>
        <w:jc w:val="center"/>
        <w:rPr>
          <w:rFonts w:asciiTheme="majorHAnsi" w:hAnsiTheme="majorHAnsi" w:cstheme="majorHAnsi"/>
          <w:b/>
          <w:sz w:val="24"/>
          <w:szCs w:val="24"/>
        </w:rPr>
      </w:pPr>
      <w:r>
        <w:rPr>
          <w:rFonts w:asciiTheme="majorHAnsi" w:hAnsiTheme="majorHAnsi" w:cstheme="majorHAnsi"/>
          <w:b/>
          <w:sz w:val="24"/>
          <w:szCs w:val="24"/>
        </w:rPr>
        <w:t>(R</w:t>
      </w:r>
      <w:r w:rsidR="00C214EF" w:rsidRPr="0017293A">
        <w:rPr>
          <w:rFonts w:asciiTheme="majorHAnsi" w:hAnsiTheme="majorHAnsi" w:cstheme="majorHAnsi"/>
          <w:b/>
          <w:sz w:val="24"/>
          <w:szCs w:val="24"/>
        </w:rPr>
        <w:t>eal terms</w:t>
      </w:r>
      <w:r>
        <w:rPr>
          <w:rFonts w:asciiTheme="majorHAnsi" w:hAnsiTheme="majorHAnsi" w:cstheme="majorHAnsi"/>
          <w:b/>
          <w:sz w:val="24"/>
          <w:szCs w:val="24"/>
        </w:rPr>
        <w:t>)</w:t>
      </w:r>
    </w:p>
    <w:p w14:paraId="418EAC44" w14:textId="77777777" w:rsidR="00C214EF" w:rsidRDefault="00C214EF" w:rsidP="00C214EF">
      <w:pPr>
        <w:jc w:val="both"/>
      </w:pPr>
      <w:r>
        <w:rPr>
          <w:noProof/>
        </w:rPr>
        <w:drawing>
          <wp:inline distT="0" distB="0" distL="0" distR="0" wp14:anchorId="52514F09" wp14:editId="2A887DC0">
            <wp:extent cx="5943600" cy="3131388"/>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737E4D" w14:textId="77B303C6" w:rsidR="00C214EF" w:rsidRPr="00C214EF" w:rsidRDefault="00C214EF" w:rsidP="00C214EF">
      <w:pPr>
        <w:jc w:val="both"/>
        <w:rPr>
          <w:rFonts w:asciiTheme="majorHAnsi" w:hAnsiTheme="majorHAnsi" w:cstheme="majorHAnsi"/>
          <w:sz w:val="20"/>
          <w:szCs w:val="20"/>
        </w:rPr>
      </w:pPr>
      <w:r w:rsidRPr="00C214EF">
        <w:rPr>
          <w:rFonts w:asciiTheme="majorHAnsi" w:hAnsiTheme="majorHAnsi" w:cstheme="majorHAnsi"/>
          <w:sz w:val="20"/>
          <w:szCs w:val="20"/>
        </w:rPr>
        <w:t>Source: Author’s elaboration using National Accounts</w:t>
      </w:r>
    </w:p>
    <w:p w14:paraId="7EC12264" w14:textId="5882F52F" w:rsidR="00C214EF" w:rsidRPr="00C214EF" w:rsidRDefault="00C214EF" w:rsidP="00C214EF">
      <w:pPr>
        <w:jc w:val="both"/>
        <w:rPr>
          <w:rFonts w:asciiTheme="majorHAnsi" w:hAnsiTheme="majorHAnsi" w:cstheme="majorHAnsi"/>
          <w:sz w:val="20"/>
          <w:szCs w:val="20"/>
        </w:rPr>
      </w:pPr>
      <w:r w:rsidRPr="00C214EF">
        <w:rPr>
          <w:rFonts w:asciiTheme="majorHAnsi" w:hAnsiTheme="majorHAnsi" w:cstheme="majorHAnsi"/>
          <w:sz w:val="20"/>
          <w:szCs w:val="20"/>
        </w:rPr>
        <w:t xml:space="preserve">* </w:t>
      </w:r>
      <w:r w:rsidR="00950399">
        <w:rPr>
          <w:rFonts w:asciiTheme="majorHAnsi" w:hAnsiTheme="majorHAnsi" w:cstheme="majorHAnsi"/>
          <w:sz w:val="20"/>
          <w:szCs w:val="20"/>
        </w:rPr>
        <w:t>D</w:t>
      </w:r>
      <w:r w:rsidRPr="00C214EF">
        <w:rPr>
          <w:rFonts w:asciiTheme="majorHAnsi" w:hAnsiTheme="majorHAnsi" w:cstheme="majorHAnsi"/>
          <w:sz w:val="20"/>
          <w:szCs w:val="20"/>
        </w:rPr>
        <w:t>enotes SEZ production sector</w:t>
      </w:r>
    </w:p>
    <w:p w14:paraId="2007310A" w14:textId="77777777" w:rsidR="00F55F41" w:rsidRDefault="00F55F41" w:rsidP="00F55F41">
      <w:pPr>
        <w:spacing w:after="120" w:line="276" w:lineRule="auto"/>
        <w:jc w:val="both"/>
        <w:rPr>
          <w:rFonts w:ascii="Times New Roman" w:hAnsi="Times New Roman"/>
          <w:highlight w:val="lightGray"/>
        </w:rPr>
      </w:pPr>
    </w:p>
    <w:p w14:paraId="46CDB1BF" w14:textId="77777777" w:rsidR="00C214EF" w:rsidRPr="00F55F41" w:rsidRDefault="00C214EF" w:rsidP="00F55F41">
      <w:pPr>
        <w:spacing w:after="120" w:line="276" w:lineRule="auto"/>
        <w:jc w:val="both"/>
        <w:rPr>
          <w:rFonts w:ascii="Times New Roman" w:hAnsi="Times New Roman"/>
          <w:highlight w:val="lightGray"/>
        </w:rPr>
      </w:pPr>
    </w:p>
    <w:p w14:paraId="4EF10F18" w14:textId="77777777" w:rsidR="00982224" w:rsidRDefault="00982224">
      <w:pPr>
        <w:spacing w:after="200" w:line="276" w:lineRule="auto"/>
        <w:jc w:val="both"/>
      </w:pPr>
      <w:r>
        <w:br w:type="page"/>
      </w:r>
    </w:p>
    <w:p w14:paraId="10DCE9FB" w14:textId="4ED45519" w:rsidR="0004184B" w:rsidRPr="008C6320" w:rsidRDefault="0004184B" w:rsidP="00976B46">
      <w:pPr>
        <w:pStyle w:val="Heading1"/>
        <w:spacing w:after="240"/>
        <w:rPr>
          <w:rFonts w:asciiTheme="majorHAnsi" w:hAnsiTheme="majorHAnsi" w:cstheme="majorHAnsi"/>
        </w:rPr>
      </w:pPr>
      <w:bookmarkStart w:id="7" w:name="_Toc461524379"/>
      <w:r w:rsidRPr="008C6320">
        <w:rPr>
          <w:rFonts w:asciiTheme="majorHAnsi" w:hAnsiTheme="majorHAnsi" w:cstheme="majorHAnsi"/>
        </w:rPr>
        <w:lastRenderedPageBreak/>
        <w:t xml:space="preserve">Changes in Sectoral Specialization </w:t>
      </w:r>
      <w:r w:rsidR="00734703">
        <w:rPr>
          <w:rFonts w:asciiTheme="majorHAnsi" w:hAnsiTheme="majorHAnsi" w:cstheme="majorHAnsi"/>
        </w:rPr>
        <w:t xml:space="preserve">in SEZs </w:t>
      </w:r>
      <w:r w:rsidRPr="008C6320">
        <w:rPr>
          <w:rFonts w:asciiTheme="majorHAnsi" w:hAnsiTheme="majorHAnsi" w:cstheme="majorHAnsi"/>
        </w:rPr>
        <w:t xml:space="preserve">and </w:t>
      </w:r>
      <w:r w:rsidR="00E74416">
        <w:rPr>
          <w:rFonts w:asciiTheme="majorHAnsi" w:hAnsiTheme="majorHAnsi" w:cstheme="majorHAnsi"/>
        </w:rPr>
        <w:t xml:space="preserve">the </w:t>
      </w:r>
      <w:r w:rsidRPr="008C6320">
        <w:rPr>
          <w:rFonts w:asciiTheme="majorHAnsi" w:hAnsiTheme="majorHAnsi" w:cstheme="majorHAnsi"/>
        </w:rPr>
        <w:t xml:space="preserve">Degree of Participation in </w:t>
      </w:r>
      <w:r w:rsidR="00A40B2E" w:rsidRPr="008C6320">
        <w:rPr>
          <w:rFonts w:asciiTheme="majorHAnsi" w:hAnsiTheme="majorHAnsi" w:cstheme="majorHAnsi"/>
        </w:rPr>
        <w:t>GVCs</w:t>
      </w:r>
      <w:bookmarkEnd w:id="7"/>
    </w:p>
    <w:p w14:paraId="060908FF" w14:textId="35D617C3" w:rsidR="00EB6FB7" w:rsidRDefault="00E55F5E" w:rsidP="00CA6922">
      <w:pPr>
        <w:spacing w:line="276" w:lineRule="auto"/>
        <w:jc w:val="both"/>
        <w:rPr>
          <w:rFonts w:asciiTheme="majorHAnsi" w:hAnsiTheme="majorHAnsi" w:cstheme="majorHAnsi"/>
          <w:sz w:val="24"/>
          <w:szCs w:val="24"/>
        </w:rPr>
      </w:pPr>
      <w:r w:rsidRPr="00E55F5E">
        <w:rPr>
          <w:rFonts w:asciiTheme="majorHAnsi" w:hAnsiTheme="majorHAnsi" w:cstheme="majorHAnsi"/>
          <w:b/>
          <w:sz w:val="24"/>
          <w:szCs w:val="24"/>
        </w:rPr>
        <w:t xml:space="preserve">During the last 30 years, the Dominican Republic has </w:t>
      </w:r>
      <w:r w:rsidR="00D20E8E">
        <w:rPr>
          <w:rFonts w:asciiTheme="majorHAnsi" w:hAnsiTheme="majorHAnsi" w:cstheme="majorHAnsi"/>
          <w:b/>
          <w:sz w:val="24"/>
          <w:szCs w:val="24"/>
        </w:rPr>
        <w:t>undergone</w:t>
      </w:r>
      <w:r w:rsidR="00D20E8E" w:rsidRPr="00E55F5E">
        <w:rPr>
          <w:rFonts w:asciiTheme="majorHAnsi" w:hAnsiTheme="majorHAnsi" w:cstheme="majorHAnsi"/>
          <w:b/>
          <w:sz w:val="24"/>
          <w:szCs w:val="24"/>
        </w:rPr>
        <w:t xml:space="preserve"> </w:t>
      </w:r>
      <w:r w:rsidRPr="00E55F5E">
        <w:rPr>
          <w:rFonts w:asciiTheme="majorHAnsi" w:hAnsiTheme="majorHAnsi" w:cstheme="majorHAnsi"/>
          <w:b/>
          <w:sz w:val="24"/>
          <w:szCs w:val="24"/>
        </w:rPr>
        <w:t>a structural transformation from a resource-based economy to a more diversified production base.</w:t>
      </w:r>
      <w:r w:rsidRPr="00E55F5E">
        <w:rPr>
          <w:rFonts w:asciiTheme="majorHAnsi" w:hAnsiTheme="majorHAnsi" w:cstheme="majorHAnsi"/>
          <w:sz w:val="24"/>
          <w:szCs w:val="24"/>
        </w:rPr>
        <w:t xml:space="preserve"> The historical preferential market access to the U.S. underpinned this productive transformation. Beginning in the late 1960s, the Dominican Republic started to diversify its economy, bringing to an end centuries of dependence on agriculture, </w:t>
      </w:r>
      <w:r w:rsidR="00D20E8E">
        <w:rPr>
          <w:rFonts w:asciiTheme="majorHAnsi" w:hAnsiTheme="majorHAnsi" w:cstheme="majorHAnsi"/>
          <w:sz w:val="24"/>
          <w:szCs w:val="24"/>
        </w:rPr>
        <w:t xml:space="preserve">and </w:t>
      </w:r>
      <w:r w:rsidRPr="00E55F5E">
        <w:rPr>
          <w:rFonts w:asciiTheme="majorHAnsi" w:hAnsiTheme="majorHAnsi" w:cstheme="majorHAnsi"/>
          <w:sz w:val="24"/>
          <w:szCs w:val="24"/>
        </w:rPr>
        <w:t xml:space="preserve">especially sugar production. By the 1980s, the country’s economic focus had shifted to mining, tourism, and manufacturing. Successive governments helped build up the country’s manufacturing sector by creating SEZs, which offered tariff exemptions and a series of tax concessions to foreign companies. The main activity in the SEZs was garment assembly for export to the US in the context of fixed import quotas under the MFA. The phasing-out of the MFA, completed at the beginning of 2005, along with the signature of the CAFTA-DR agreement and the extensive use of SEZs </w:t>
      </w:r>
      <w:r>
        <w:rPr>
          <w:rFonts w:asciiTheme="majorHAnsi" w:hAnsiTheme="majorHAnsi" w:cstheme="majorHAnsi"/>
          <w:sz w:val="24"/>
          <w:szCs w:val="24"/>
        </w:rPr>
        <w:t xml:space="preserve">as a policy tool </w:t>
      </w:r>
      <w:r w:rsidR="00CA74D0">
        <w:rPr>
          <w:rFonts w:asciiTheme="majorHAnsi" w:hAnsiTheme="majorHAnsi" w:cstheme="majorHAnsi"/>
          <w:sz w:val="24"/>
          <w:szCs w:val="24"/>
        </w:rPr>
        <w:t xml:space="preserve">to </w:t>
      </w:r>
      <w:r>
        <w:rPr>
          <w:rFonts w:asciiTheme="majorHAnsi" w:hAnsiTheme="majorHAnsi" w:cstheme="majorHAnsi"/>
          <w:sz w:val="24"/>
          <w:szCs w:val="24"/>
        </w:rPr>
        <w:t xml:space="preserve">increase exports and </w:t>
      </w:r>
      <w:r w:rsidRPr="00E55F5E">
        <w:rPr>
          <w:rFonts w:asciiTheme="majorHAnsi" w:hAnsiTheme="majorHAnsi" w:cstheme="majorHAnsi"/>
          <w:sz w:val="24"/>
          <w:szCs w:val="24"/>
        </w:rPr>
        <w:t>generate job opportunities, created the conditions necessary to attract investment from multinational companies that produce</w:t>
      </w:r>
      <w:r w:rsidR="00D20E8E">
        <w:rPr>
          <w:rFonts w:asciiTheme="majorHAnsi" w:hAnsiTheme="majorHAnsi" w:cstheme="majorHAnsi"/>
          <w:sz w:val="24"/>
          <w:szCs w:val="24"/>
        </w:rPr>
        <w:t>d</w:t>
      </w:r>
      <w:r w:rsidRPr="00E55F5E">
        <w:rPr>
          <w:rFonts w:asciiTheme="majorHAnsi" w:hAnsiTheme="majorHAnsi" w:cstheme="majorHAnsi"/>
          <w:sz w:val="24"/>
          <w:szCs w:val="24"/>
        </w:rPr>
        <w:t xml:space="preserve"> relatively </w:t>
      </w:r>
      <w:r w:rsidR="002D32EF">
        <w:rPr>
          <w:rFonts w:asciiTheme="majorHAnsi" w:hAnsiTheme="majorHAnsi" w:cstheme="majorHAnsi"/>
          <w:sz w:val="24"/>
          <w:szCs w:val="24"/>
        </w:rPr>
        <w:t xml:space="preserve">more </w:t>
      </w:r>
      <w:r w:rsidRPr="00E55F5E">
        <w:rPr>
          <w:rFonts w:asciiTheme="majorHAnsi" w:hAnsiTheme="majorHAnsi" w:cstheme="majorHAnsi"/>
          <w:sz w:val="24"/>
          <w:szCs w:val="24"/>
        </w:rPr>
        <w:t>sophisticated goods to serve the U.S. market.</w:t>
      </w:r>
      <w:r w:rsidR="00907304">
        <w:rPr>
          <w:rFonts w:asciiTheme="majorHAnsi" w:hAnsiTheme="majorHAnsi" w:cstheme="majorHAnsi"/>
          <w:sz w:val="24"/>
          <w:szCs w:val="24"/>
        </w:rPr>
        <w:t xml:space="preserve"> Th</w:t>
      </w:r>
      <w:r w:rsidR="00D20E8E">
        <w:rPr>
          <w:rFonts w:asciiTheme="majorHAnsi" w:hAnsiTheme="majorHAnsi" w:cstheme="majorHAnsi"/>
          <w:sz w:val="24"/>
          <w:szCs w:val="24"/>
        </w:rPr>
        <w:t>e</w:t>
      </w:r>
      <w:r w:rsidR="00907304">
        <w:rPr>
          <w:rFonts w:asciiTheme="majorHAnsi" w:hAnsiTheme="majorHAnsi" w:cstheme="majorHAnsi"/>
          <w:sz w:val="24"/>
          <w:szCs w:val="24"/>
        </w:rPr>
        <w:t>s</w:t>
      </w:r>
      <w:r w:rsidR="00D20E8E">
        <w:rPr>
          <w:rFonts w:asciiTheme="majorHAnsi" w:hAnsiTheme="majorHAnsi" w:cstheme="majorHAnsi"/>
          <w:sz w:val="24"/>
          <w:szCs w:val="24"/>
        </w:rPr>
        <w:t>e</w:t>
      </w:r>
      <w:r w:rsidR="00907304">
        <w:rPr>
          <w:rFonts w:asciiTheme="majorHAnsi" w:hAnsiTheme="majorHAnsi" w:cstheme="majorHAnsi"/>
          <w:sz w:val="24"/>
          <w:szCs w:val="24"/>
        </w:rPr>
        <w:t xml:space="preserve"> facts created the conditions to shift the production structure away from clothing manufacturing.</w:t>
      </w:r>
    </w:p>
    <w:p w14:paraId="23AAC4B4" w14:textId="77777777" w:rsidR="00E55F5E" w:rsidRDefault="00E55F5E" w:rsidP="00CA6922">
      <w:pPr>
        <w:spacing w:line="276" w:lineRule="auto"/>
        <w:jc w:val="both"/>
        <w:rPr>
          <w:rFonts w:asciiTheme="majorHAnsi" w:hAnsiTheme="majorHAnsi" w:cstheme="majorHAnsi"/>
          <w:sz w:val="24"/>
          <w:szCs w:val="24"/>
        </w:rPr>
      </w:pPr>
    </w:p>
    <w:p w14:paraId="6948EB5B" w14:textId="32EF3ECF" w:rsidR="00FB68A1" w:rsidRPr="00E534B1" w:rsidRDefault="00497CC9" w:rsidP="0016140E">
      <w:pPr>
        <w:spacing w:line="276" w:lineRule="auto"/>
        <w:jc w:val="both"/>
      </w:pPr>
      <w:r w:rsidRPr="00497CC9">
        <w:rPr>
          <w:rFonts w:asciiTheme="majorHAnsi" w:hAnsiTheme="majorHAnsi" w:cstheme="majorHAnsi"/>
          <w:b/>
          <w:sz w:val="24"/>
          <w:szCs w:val="24"/>
        </w:rPr>
        <w:t xml:space="preserve">Although </w:t>
      </w:r>
      <w:r>
        <w:rPr>
          <w:rFonts w:asciiTheme="majorHAnsi" w:hAnsiTheme="majorHAnsi" w:cstheme="majorHAnsi"/>
          <w:b/>
          <w:sz w:val="24"/>
          <w:szCs w:val="24"/>
        </w:rPr>
        <w:t xml:space="preserve">non-SEZs </w:t>
      </w:r>
      <w:r w:rsidRPr="00497CC9">
        <w:rPr>
          <w:rFonts w:asciiTheme="majorHAnsi" w:hAnsiTheme="majorHAnsi" w:cstheme="majorHAnsi"/>
          <w:b/>
          <w:sz w:val="24"/>
          <w:szCs w:val="24"/>
        </w:rPr>
        <w:t xml:space="preserve">have </w:t>
      </w:r>
      <w:r w:rsidR="00D20E8E">
        <w:rPr>
          <w:rFonts w:asciiTheme="majorHAnsi" w:hAnsiTheme="majorHAnsi" w:cstheme="majorHAnsi"/>
          <w:b/>
          <w:sz w:val="24"/>
          <w:szCs w:val="24"/>
        </w:rPr>
        <w:t>become more prominent</w:t>
      </w:r>
      <w:r>
        <w:rPr>
          <w:rFonts w:asciiTheme="majorHAnsi" w:hAnsiTheme="majorHAnsi" w:cstheme="majorHAnsi"/>
          <w:b/>
          <w:sz w:val="24"/>
          <w:szCs w:val="24"/>
        </w:rPr>
        <w:t xml:space="preserve"> in the export baske</w:t>
      </w:r>
      <w:r w:rsidR="004B48F1">
        <w:rPr>
          <w:rFonts w:asciiTheme="majorHAnsi" w:hAnsiTheme="majorHAnsi" w:cstheme="majorHAnsi"/>
          <w:b/>
          <w:sz w:val="24"/>
          <w:szCs w:val="24"/>
        </w:rPr>
        <w:t>t</w:t>
      </w:r>
      <w:r>
        <w:rPr>
          <w:rFonts w:asciiTheme="majorHAnsi" w:hAnsiTheme="majorHAnsi" w:cstheme="majorHAnsi"/>
          <w:b/>
          <w:sz w:val="24"/>
          <w:szCs w:val="24"/>
        </w:rPr>
        <w:t xml:space="preserve"> </w:t>
      </w:r>
      <w:r w:rsidRPr="00497CC9">
        <w:rPr>
          <w:rFonts w:asciiTheme="majorHAnsi" w:hAnsiTheme="majorHAnsi" w:cstheme="majorHAnsi"/>
          <w:b/>
          <w:sz w:val="24"/>
          <w:szCs w:val="24"/>
        </w:rPr>
        <w:t>over the past decade, the dynamics in SEZs still drive export performance</w:t>
      </w:r>
      <w:r>
        <w:rPr>
          <w:rFonts w:asciiTheme="majorHAnsi" w:hAnsiTheme="majorHAnsi" w:cstheme="majorHAnsi"/>
          <w:b/>
          <w:sz w:val="24"/>
          <w:szCs w:val="24"/>
        </w:rPr>
        <w:t xml:space="preserve"> and have been </w:t>
      </w:r>
      <w:r w:rsidR="00BF6508">
        <w:rPr>
          <w:rFonts w:asciiTheme="majorHAnsi" w:hAnsiTheme="majorHAnsi" w:cstheme="majorHAnsi"/>
          <w:b/>
          <w:sz w:val="24"/>
          <w:szCs w:val="24"/>
        </w:rPr>
        <w:t xml:space="preserve">a significant factor </w:t>
      </w:r>
      <w:r>
        <w:rPr>
          <w:rFonts w:asciiTheme="majorHAnsi" w:hAnsiTheme="majorHAnsi" w:cstheme="majorHAnsi"/>
          <w:b/>
          <w:sz w:val="24"/>
          <w:szCs w:val="24"/>
        </w:rPr>
        <w:t xml:space="preserve">in the recent changes in </w:t>
      </w:r>
      <w:r w:rsidR="00BF6508">
        <w:rPr>
          <w:rFonts w:asciiTheme="majorHAnsi" w:hAnsiTheme="majorHAnsi" w:cstheme="majorHAnsi"/>
          <w:b/>
          <w:sz w:val="24"/>
          <w:szCs w:val="24"/>
        </w:rPr>
        <w:t xml:space="preserve">the </w:t>
      </w:r>
      <w:r>
        <w:rPr>
          <w:rFonts w:asciiTheme="majorHAnsi" w:hAnsiTheme="majorHAnsi" w:cstheme="majorHAnsi"/>
          <w:b/>
          <w:sz w:val="24"/>
          <w:szCs w:val="24"/>
        </w:rPr>
        <w:t>sectoral composition</w:t>
      </w:r>
      <w:r w:rsidR="00BF6508">
        <w:rPr>
          <w:rFonts w:asciiTheme="majorHAnsi" w:hAnsiTheme="majorHAnsi" w:cstheme="majorHAnsi"/>
          <w:b/>
          <w:sz w:val="24"/>
          <w:szCs w:val="24"/>
        </w:rPr>
        <w:t xml:space="preserve"> of the Dominican export basket</w:t>
      </w:r>
      <w:r>
        <w:rPr>
          <w:rFonts w:asciiTheme="majorHAnsi" w:hAnsiTheme="majorHAnsi" w:cstheme="majorHAnsi"/>
          <w:b/>
          <w:sz w:val="24"/>
          <w:szCs w:val="24"/>
        </w:rPr>
        <w:t xml:space="preserve">. </w:t>
      </w:r>
      <w:r w:rsidR="00E534B1">
        <w:rPr>
          <w:rFonts w:asciiTheme="majorHAnsi" w:hAnsiTheme="majorHAnsi" w:cstheme="majorHAnsi"/>
          <w:sz w:val="24"/>
          <w:szCs w:val="24"/>
        </w:rPr>
        <w:t>In 2015</w:t>
      </w:r>
      <w:r w:rsidR="00BF6508">
        <w:rPr>
          <w:rFonts w:asciiTheme="majorHAnsi" w:hAnsiTheme="majorHAnsi" w:cstheme="majorHAnsi"/>
          <w:sz w:val="24"/>
          <w:szCs w:val="24"/>
        </w:rPr>
        <w:t>,</w:t>
      </w:r>
      <w:r w:rsidR="00E534B1">
        <w:rPr>
          <w:rFonts w:asciiTheme="majorHAnsi" w:hAnsiTheme="majorHAnsi" w:cstheme="majorHAnsi"/>
          <w:sz w:val="24"/>
          <w:szCs w:val="24"/>
        </w:rPr>
        <w:t xml:space="preserve"> exports from SEZs accounted for </w:t>
      </w:r>
      <w:r w:rsidR="000628F4">
        <w:rPr>
          <w:rFonts w:asciiTheme="majorHAnsi" w:hAnsiTheme="majorHAnsi" w:cstheme="majorHAnsi"/>
          <w:sz w:val="24"/>
          <w:szCs w:val="24"/>
        </w:rPr>
        <w:t xml:space="preserve">USD </w:t>
      </w:r>
      <w:r w:rsidR="00E534B1">
        <w:rPr>
          <w:rFonts w:asciiTheme="majorHAnsi" w:hAnsiTheme="majorHAnsi" w:cstheme="majorHAnsi"/>
          <w:sz w:val="24"/>
          <w:szCs w:val="24"/>
        </w:rPr>
        <w:t>$5.5 billion, accounting for 58</w:t>
      </w:r>
      <w:r w:rsidR="000628F4">
        <w:rPr>
          <w:rFonts w:asciiTheme="majorHAnsi" w:hAnsiTheme="majorHAnsi" w:cstheme="majorHAnsi"/>
          <w:sz w:val="24"/>
          <w:szCs w:val="24"/>
        </w:rPr>
        <w:t xml:space="preserve"> percent of</w:t>
      </w:r>
      <w:r w:rsidR="00E534B1">
        <w:rPr>
          <w:rFonts w:asciiTheme="majorHAnsi" w:hAnsiTheme="majorHAnsi" w:cstheme="majorHAnsi"/>
          <w:sz w:val="24"/>
          <w:szCs w:val="24"/>
        </w:rPr>
        <w:t xml:space="preserve"> total exports. </w:t>
      </w:r>
      <w:r w:rsidR="00907304">
        <w:rPr>
          <w:rFonts w:asciiTheme="majorHAnsi" w:hAnsiTheme="majorHAnsi" w:cstheme="majorHAnsi"/>
          <w:sz w:val="24"/>
          <w:szCs w:val="24"/>
        </w:rPr>
        <w:t>T</w:t>
      </w:r>
      <w:r w:rsidR="00E534B1">
        <w:rPr>
          <w:rFonts w:asciiTheme="majorHAnsi" w:hAnsiTheme="majorHAnsi" w:cstheme="majorHAnsi"/>
          <w:sz w:val="24"/>
          <w:szCs w:val="24"/>
        </w:rPr>
        <w:t>his share ha</w:t>
      </w:r>
      <w:r w:rsidR="00220F5F">
        <w:rPr>
          <w:rFonts w:asciiTheme="majorHAnsi" w:hAnsiTheme="majorHAnsi" w:cstheme="majorHAnsi"/>
          <w:sz w:val="24"/>
          <w:szCs w:val="24"/>
        </w:rPr>
        <w:t>d</w:t>
      </w:r>
      <w:r w:rsidR="00E534B1">
        <w:rPr>
          <w:rFonts w:asciiTheme="majorHAnsi" w:hAnsiTheme="majorHAnsi" w:cstheme="majorHAnsi"/>
          <w:sz w:val="24"/>
          <w:szCs w:val="24"/>
        </w:rPr>
        <w:t xml:space="preserve"> steadily decreas</w:t>
      </w:r>
      <w:r w:rsidR="00220F5F">
        <w:rPr>
          <w:rFonts w:asciiTheme="majorHAnsi" w:hAnsiTheme="majorHAnsi" w:cstheme="majorHAnsi"/>
          <w:sz w:val="24"/>
          <w:szCs w:val="24"/>
        </w:rPr>
        <w:t>ed</w:t>
      </w:r>
      <w:r w:rsidR="00E534B1">
        <w:rPr>
          <w:rFonts w:asciiTheme="majorHAnsi" w:hAnsiTheme="majorHAnsi" w:cstheme="majorHAnsi"/>
          <w:sz w:val="24"/>
          <w:szCs w:val="24"/>
        </w:rPr>
        <w:t xml:space="preserve"> from 80</w:t>
      </w:r>
      <w:r w:rsidR="000628F4">
        <w:rPr>
          <w:rFonts w:asciiTheme="majorHAnsi" w:hAnsiTheme="majorHAnsi" w:cstheme="majorHAnsi"/>
          <w:sz w:val="24"/>
          <w:szCs w:val="24"/>
        </w:rPr>
        <w:t xml:space="preserve"> percent</w:t>
      </w:r>
      <w:r w:rsidR="00E534B1">
        <w:rPr>
          <w:rFonts w:asciiTheme="majorHAnsi" w:hAnsiTheme="majorHAnsi" w:cstheme="majorHAnsi"/>
          <w:sz w:val="24"/>
          <w:szCs w:val="24"/>
        </w:rPr>
        <w:t xml:space="preserve"> </w:t>
      </w:r>
      <w:r w:rsidR="00220F5F">
        <w:rPr>
          <w:rFonts w:asciiTheme="majorHAnsi" w:hAnsiTheme="majorHAnsi" w:cstheme="majorHAnsi"/>
          <w:sz w:val="24"/>
          <w:szCs w:val="24"/>
        </w:rPr>
        <w:t xml:space="preserve">in the early 2000s to </w:t>
      </w:r>
      <w:r w:rsidR="00E534B1">
        <w:rPr>
          <w:rFonts w:asciiTheme="majorHAnsi" w:hAnsiTheme="majorHAnsi" w:cstheme="majorHAnsi"/>
          <w:sz w:val="24"/>
          <w:szCs w:val="24"/>
        </w:rPr>
        <w:t>53</w:t>
      </w:r>
      <w:r w:rsidR="000628F4">
        <w:rPr>
          <w:rFonts w:asciiTheme="majorHAnsi" w:hAnsiTheme="majorHAnsi" w:cstheme="majorHAnsi"/>
          <w:sz w:val="24"/>
          <w:szCs w:val="24"/>
        </w:rPr>
        <w:t xml:space="preserve"> percent</w:t>
      </w:r>
      <w:r w:rsidR="00220F5F">
        <w:rPr>
          <w:rFonts w:asciiTheme="majorHAnsi" w:hAnsiTheme="majorHAnsi" w:cstheme="majorHAnsi"/>
          <w:sz w:val="24"/>
          <w:szCs w:val="24"/>
        </w:rPr>
        <w:t xml:space="preserve"> in 2013</w:t>
      </w:r>
      <w:r w:rsidR="00E534B1">
        <w:rPr>
          <w:rFonts w:asciiTheme="majorHAnsi" w:hAnsiTheme="majorHAnsi" w:cstheme="majorHAnsi"/>
          <w:sz w:val="24"/>
          <w:szCs w:val="24"/>
        </w:rPr>
        <w:t>. Over the last decade the share of low</w:t>
      </w:r>
      <w:r w:rsidR="004B48F1">
        <w:rPr>
          <w:rFonts w:asciiTheme="majorHAnsi" w:hAnsiTheme="majorHAnsi" w:cstheme="majorHAnsi"/>
          <w:sz w:val="24"/>
          <w:szCs w:val="24"/>
        </w:rPr>
        <w:t>-</w:t>
      </w:r>
      <w:r w:rsidR="00E534B1">
        <w:rPr>
          <w:rFonts w:asciiTheme="majorHAnsi" w:hAnsiTheme="majorHAnsi" w:cstheme="majorHAnsi"/>
          <w:sz w:val="24"/>
          <w:szCs w:val="24"/>
        </w:rPr>
        <w:t xml:space="preserve">technology manufacturing has remained broadly stable, whereas the importance of </w:t>
      </w:r>
      <w:r w:rsidR="004B48F1">
        <w:rPr>
          <w:rFonts w:asciiTheme="majorHAnsi" w:hAnsiTheme="majorHAnsi" w:cstheme="majorHAnsi"/>
          <w:sz w:val="24"/>
          <w:szCs w:val="24"/>
        </w:rPr>
        <w:t>medium-</w:t>
      </w:r>
      <w:r w:rsidR="00E534B1">
        <w:rPr>
          <w:rFonts w:asciiTheme="majorHAnsi" w:hAnsiTheme="majorHAnsi" w:cstheme="majorHAnsi"/>
          <w:sz w:val="24"/>
          <w:szCs w:val="24"/>
        </w:rPr>
        <w:t xml:space="preserve">technology sectors have risen. In particular, exports of medical equipment, pharmaceuticals, and footwear </w:t>
      </w:r>
      <w:r w:rsidR="00143D94">
        <w:rPr>
          <w:rFonts w:asciiTheme="majorHAnsi" w:hAnsiTheme="majorHAnsi" w:cstheme="majorHAnsi"/>
          <w:sz w:val="24"/>
          <w:szCs w:val="24"/>
        </w:rPr>
        <w:t>have more than double</w:t>
      </w:r>
      <w:r w:rsidR="000628F4">
        <w:rPr>
          <w:rFonts w:asciiTheme="majorHAnsi" w:hAnsiTheme="majorHAnsi" w:cstheme="majorHAnsi"/>
          <w:sz w:val="24"/>
          <w:szCs w:val="24"/>
        </w:rPr>
        <w:t>d</w:t>
      </w:r>
      <w:r w:rsidR="00143D94">
        <w:rPr>
          <w:rFonts w:asciiTheme="majorHAnsi" w:hAnsiTheme="majorHAnsi" w:cstheme="majorHAnsi"/>
          <w:sz w:val="24"/>
          <w:szCs w:val="24"/>
        </w:rPr>
        <w:t xml:space="preserve"> their share in SEZ exports</w:t>
      </w:r>
      <w:r w:rsidR="009D3146">
        <w:rPr>
          <w:rFonts w:asciiTheme="majorHAnsi" w:hAnsiTheme="majorHAnsi" w:cstheme="majorHAnsi"/>
          <w:sz w:val="24"/>
          <w:szCs w:val="24"/>
        </w:rPr>
        <w:t xml:space="preserve"> </w:t>
      </w:r>
      <w:r w:rsidR="009D3146" w:rsidRPr="009D3146">
        <w:rPr>
          <w:rFonts w:asciiTheme="majorHAnsi" w:hAnsiTheme="majorHAnsi" w:cstheme="majorHAnsi"/>
          <w:sz w:val="24"/>
          <w:szCs w:val="24"/>
        </w:rPr>
        <w:t>(</w:t>
      </w:r>
      <w:r w:rsidR="009D3146" w:rsidRPr="009D3146">
        <w:rPr>
          <w:rFonts w:asciiTheme="majorHAnsi" w:hAnsiTheme="majorHAnsi" w:cstheme="majorHAnsi"/>
          <w:sz w:val="24"/>
          <w:szCs w:val="24"/>
        </w:rPr>
        <w:fldChar w:fldCharType="begin"/>
      </w:r>
      <w:r w:rsidR="009D3146" w:rsidRPr="009D3146">
        <w:rPr>
          <w:rFonts w:asciiTheme="majorHAnsi" w:hAnsiTheme="majorHAnsi" w:cstheme="majorHAnsi"/>
          <w:sz w:val="24"/>
          <w:szCs w:val="24"/>
        </w:rPr>
        <w:instrText xml:space="preserve"> REF _Ref450227848 \h  \* MERGEFORMAT </w:instrText>
      </w:r>
      <w:r w:rsidR="009D3146" w:rsidRPr="009D3146">
        <w:rPr>
          <w:rFonts w:asciiTheme="majorHAnsi" w:hAnsiTheme="majorHAnsi" w:cstheme="majorHAnsi"/>
          <w:sz w:val="24"/>
          <w:szCs w:val="24"/>
        </w:rPr>
      </w:r>
      <w:r w:rsidR="009D3146" w:rsidRPr="009D3146">
        <w:rPr>
          <w:rFonts w:asciiTheme="majorHAnsi" w:hAnsiTheme="majorHAnsi" w:cstheme="majorHAnsi"/>
          <w:sz w:val="24"/>
          <w:szCs w:val="24"/>
        </w:rPr>
        <w:fldChar w:fldCharType="separate"/>
      </w:r>
      <w:r w:rsidR="00893CAD" w:rsidRPr="00893CAD">
        <w:rPr>
          <w:rFonts w:asciiTheme="majorHAnsi" w:hAnsiTheme="majorHAnsi" w:cstheme="majorHAnsi"/>
          <w:sz w:val="24"/>
          <w:szCs w:val="24"/>
        </w:rPr>
        <w:t xml:space="preserve">Figure </w:t>
      </w:r>
      <w:r w:rsidR="00893CAD" w:rsidRPr="00893CAD">
        <w:rPr>
          <w:rFonts w:asciiTheme="majorHAnsi" w:hAnsiTheme="majorHAnsi" w:cstheme="majorHAnsi"/>
          <w:noProof/>
          <w:sz w:val="24"/>
          <w:szCs w:val="24"/>
        </w:rPr>
        <w:t>3</w:t>
      </w:r>
      <w:r w:rsidR="009D3146" w:rsidRPr="009D3146">
        <w:rPr>
          <w:rFonts w:asciiTheme="majorHAnsi" w:hAnsiTheme="majorHAnsi" w:cstheme="majorHAnsi"/>
          <w:sz w:val="24"/>
          <w:szCs w:val="24"/>
        </w:rPr>
        <w:fldChar w:fldCharType="end"/>
      </w:r>
      <w:r w:rsidR="009D3146" w:rsidRPr="009D3146">
        <w:rPr>
          <w:rFonts w:asciiTheme="majorHAnsi" w:hAnsiTheme="majorHAnsi" w:cstheme="majorHAnsi"/>
          <w:sz w:val="24"/>
          <w:szCs w:val="24"/>
        </w:rPr>
        <w:t>)</w:t>
      </w:r>
      <w:r w:rsidR="00143D94">
        <w:rPr>
          <w:rFonts w:asciiTheme="majorHAnsi" w:hAnsiTheme="majorHAnsi" w:cstheme="majorHAnsi"/>
          <w:sz w:val="24"/>
          <w:szCs w:val="24"/>
        </w:rPr>
        <w:t xml:space="preserve">. </w:t>
      </w:r>
      <w:r w:rsidR="006E7762" w:rsidRPr="006E7762">
        <w:rPr>
          <w:rFonts w:asciiTheme="majorHAnsi" w:hAnsiTheme="majorHAnsi" w:cstheme="majorHAnsi"/>
          <w:sz w:val="24"/>
          <w:szCs w:val="24"/>
        </w:rPr>
        <w:t xml:space="preserve">While the </w:t>
      </w:r>
      <w:r w:rsidR="006E7762">
        <w:rPr>
          <w:rFonts w:asciiTheme="majorHAnsi" w:hAnsiTheme="majorHAnsi" w:cstheme="majorHAnsi"/>
          <w:sz w:val="24"/>
          <w:szCs w:val="24"/>
        </w:rPr>
        <w:t xml:space="preserve">clothing sector </w:t>
      </w:r>
      <w:r w:rsidR="006E7762" w:rsidRPr="006E7762">
        <w:rPr>
          <w:rFonts w:asciiTheme="majorHAnsi" w:hAnsiTheme="majorHAnsi" w:cstheme="majorHAnsi"/>
          <w:sz w:val="24"/>
          <w:szCs w:val="24"/>
        </w:rPr>
        <w:t>is still predominant in the overall export basket</w:t>
      </w:r>
      <w:r w:rsidR="006E7762">
        <w:rPr>
          <w:rFonts w:asciiTheme="majorHAnsi" w:hAnsiTheme="majorHAnsi" w:cstheme="majorHAnsi"/>
          <w:sz w:val="24"/>
          <w:szCs w:val="24"/>
        </w:rPr>
        <w:t xml:space="preserve"> in SEZs</w:t>
      </w:r>
      <w:r w:rsidR="006E7762" w:rsidRPr="006E7762">
        <w:rPr>
          <w:rFonts w:asciiTheme="majorHAnsi" w:hAnsiTheme="majorHAnsi" w:cstheme="majorHAnsi"/>
          <w:sz w:val="24"/>
          <w:szCs w:val="24"/>
        </w:rPr>
        <w:t xml:space="preserve">, contributing </w:t>
      </w:r>
      <w:r w:rsidR="006E7762">
        <w:rPr>
          <w:rFonts w:asciiTheme="majorHAnsi" w:hAnsiTheme="majorHAnsi" w:cstheme="majorHAnsi"/>
          <w:sz w:val="24"/>
          <w:szCs w:val="24"/>
        </w:rPr>
        <w:t>23</w:t>
      </w:r>
      <w:r w:rsidR="000628F4">
        <w:rPr>
          <w:rFonts w:asciiTheme="majorHAnsi" w:hAnsiTheme="majorHAnsi" w:cstheme="majorHAnsi"/>
          <w:sz w:val="24"/>
          <w:szCs w:val="24"/>
        </w:rPr>
        <w:t xml:space="preserve"> percent</w:t>
      </w:r>
      <w:r w:rsidR="006E7762" w:rsidRPr="006E7762">
        <w:rPr>
          <w:rFonts w:asciiTheme="majorHAnsi" w:hAnsiTheme="majorHAnsi" w:cstheme="majorHAnsi"/>
          <w:sz w:val="24"/>
          <w:szCs w:val="24"/>
        </w:rPr>
        <w:t xml:space="preserve"> of total </w:t>
      </w:r>
      <w:r w:rsidR="006E7762">
        <w:rPr>
          <w:rFonts w:asciiTheme="majorHAnsi" w:hAnsiTheme="majorHAnsi" w:cstheme="majorHAnsi"/>
          <w:sz w:val="24"/>
          <w:szCs w:val="24"/>
        </w:rPr>
        <w:t xml:space="preserve">SEZ </w:t>
      </w:r>
      <w:r w:rsidR="006E7762" w:rsidRPr="006E7762">
        <w:rPr>
          <w:rFonts w:asciiTheme="majorHAnsi" w:hAnsiTheme="majorHAnsi" w:cstheme="majorHAnsi"/>
          <w:sz w:val="24"/>
          <w:szCs w:val="24"/>
        </w:rPr>
        <w:t>exports, the nominal value of clothing exports in 201</w:t>
      </w:r>
      <w:r w:rsidR="006E7762">
        <w:rPr>
          <w:rFonts w:asciiTheme="majorHAnsi" w:hAnsiTheme="majorHAnsi" w:cstheme="majorHAnsi"/>
          <w:sz w:val="24"/>
          <w:szCs w:val="24"/>
        </w:rPr>
        <w:t>5</w:t>
      </w:r>
      <w:r w:rsidR="006E7762" w:rsidRPr="006E7762">
        <w:rPr>
          <w:rFonts w:asciiTheme="majorHAnsi" w:hAnsiTheme="majorHAnsi" w:cstheme="majorHAnsi"/>
          <w:sz w:val="24"/>
          <w:szCs w:val="24"/>
        </w:rPr>
        <w:t xml:space="preserve"> ($1.</w:t>
      </w:r>
      <w:r w:rsidR="006E7762">
        <w:rPr>
          <w:rFonts w:asciiTheme="majorHAnsi" w:hAnsiTheme="majorHAnsi" w:cstheme="majorHAnsi"/>
          <w:sz w:val="24"/>
          <w:szCs w:val="24"/>
        </w:rPr>
        <w:t>28</w:t>
      </w:r>
      <w:r w:rsidR="006E7762" w:rsidRPr="006E7762">
        <w:rPr>
          <w:rFonts w:asciiTheme="majorHAnsi" w:hAnsiTheme="majorHAnsi" w:cstheme="majorHAnsi"/>
          <w:sz w:val="24"/>
          <w:szCs w:val="24"/>
        </w:rPr>
        <w:t xml:space="preserve"> </w:t>
      </w:r>
      <w:r w:rsidR="006E7762">
        <w:rPr>
          <w:rFonts w:asciiTheme="majorHAnsi" w:hAnsiTheme="majorHAnsi" w:cstheme="majorHAnsi"/>
          <w:sz w:val="24"/>
          <w:szCs w:val="24"/>
        </w:rPr>
        <w:t xml:space="preserve">USD </w:t>
      </w:r>
      <w:r w:rsidR="006E7762" w:rsidRPr="006E7762">
        <w:rPr>
          <w:rFonts w:asciiTheme="majorHAnsi" w:hAnsiTheme="majorHAnsi" w:cstheme="majorHAnsi"/>
          <w:sz w:val="24"/>
          <w:szCs w:val="24"/>
        </w:rPr>
        <w:t xml:space="preserve">billion) is </w:t>
      </w:r>
      <w:r w:rsidR="006E7762">
        <w:rPr>
          <w:rFonts w:asciiTheme="majorHAnsi" w:hAnsiTheme="majorHAnsi" w:cstheme="majorHAnsi"/>
          <w:sz w:val="24"/>
          <w:szCs w:val="24"/>
        </w:rPr>
        <w:t xml:space="preserve">roughly the same </w:t>
      </w:r>
      <w:r w:rsidR="00D44B4A">
        <w:rPr>
          <w:rFonts w:asciiTheme="majorHAnsi" w:hAnsiTheme="majorHAnsi" w:cstheme="majorHAnsi"/>
          <w:sz w:val="24"/>
          <w:szCs w:val="24"/>
        </w:rPr>
        <w:t xml:space="preserve">in nominal terms </w:t>
      </w:r>
      <w:r w:rsidR="006E7762">
        <w:rPr>
          <w:rFonts w:asciiTheme="majorHAnsi" w:hAnsiTheme="majorHAnsi" w:cstheme="majorHAnsi"/>
          <w:sz w:val="24"/>
          <w:szCs w:val="24"/>
        </w:rPr>
        <w:t xml:space="preserve">that </w:t>
      </w:r>
      <w:r w:rsidR="006E7762" w:rsidRPr="006E7762">
        <w:rPr>
          <w:rFonts w:asciiTheme="majorHAnsi" w:hAnsiTheme="majorHAnsi" w:cstheme="majorHAnsi"/>
          <w:sz w:val="24"/>
          <w:szCs w:val="24"/>
        </w:rPr>
        <w:t xml:space="preserve">it was in </w:t>
      </w:r>
      <w:r w:rsidR="006E7762">
        <w:rPr>
          <w:rFonts w:asciiTheme="majorHAnsi" w:hAnsiTheme="majorHAnsi" w:cstheme="majorHAnsi"/>
          <w:sz w:val="24"/>
          <w:szCs w:val="24"/>
        </w:rPr>
        <w:t xml:space="preserve">2004 </w:t>
      </w:r>
      <w:r w:rsidR="006E7762" w:rsidRPr="006E7762">
        <w:rPr>
          <w:rFonts w:asciiTheme="majorHAnsi" w:hAnsiTheme="majorHAnsi" w:cstheme="majorHAnsi"/>
          <w:sz w:val="24"/>
          <w:szCs w:val="24"/>
        </w:rPr>
        <w:t>($1.2</w:t>
      </w:r>
      <w:r w:rsidR="006E7762">
        <w:rPr>
          <w:rFonts w:asciiTheme="majorHAnsi" w:hAnsiTheme="majorHAnsi" w:cstheme="majorHAnsi"/>
          <w:sz w:val="24"/>
          <w:szCs w:val="24"/>
        </w:rPr>
        <w:t>5</w:t>
      </w:r>
      <w:r w:rsidR="006E7762" w:rsidRPr="006E7762">
        <w:rPr>
          <w:rFonts w:asciiTheme="majorHAnsi" w:hAnsiTheme="majorHAnsi" w:cstheme="majorHAnsi"/>
          <w:sz w:val="24"/>
          <w:szCs w:val="24"/>
        </w:rPr>
        <w:t xml:space="preserve"> billion). It is important to note, however, that after declining over the </w:t>
      </w:r>
      <w:r w:rsidR="004B48F1">
        <w:rPr>
          <w:rFonts w:asciiTheme="majorHAnsi" w:hAnsiTheme="majorHAnsi" w:cstheme="majorHAnsi"/>
          <w:sz w:val="24"/>
          <w:szCs w:val="24"/>
        </w:rPr>
        <w:t>first decade</w:t>
      </w:r>
      <w:r w:rsidR="006E7762" w:rsidRPr="006E7762">
        <w:rPr>
          <w:rFonts w:asciiTheme="majorHAnsi" w:hAnsiTheme="majorHAnsi" w:cstheme="majorHAnsi"/>
          <w:sz w:val="24"/>
          <w:szCs w:val="24"/>
        </w:rPr>
        <w:t xml:space="preserve"> of the 2000s, the textile sector </w:t>
      </w:r>
      <w:r w:rsidR="006E7762">
        <w:rPr>
          <w:rFonts w:asciiTheme="majorHAnsi" w:hAnsiTheme="majorHAnsi" w:cstheme="majorHAnsi"/>
          <w:sz w:val="24"/>
          <w:szCs w:val="24"/>
        </w:rPr>
        <w:t>rebounded after 2010</w:t>
      </w:r>
      <w:r w:rsidR="006E7762" w:rsidRPr="006E7762">
        <w:rPr>
          <w:rFonts w:asciiTheme="majorHAnsi" w:hAnsiTheme="majorHAnsi" w:cstheme="majorHAnsi"/>
          <w:sz w:val="24"/>
          <w:szCs w:val="24"/>
        </w:rPr>
        <w:t xml:space="preserve">. This uneven performance reflects a </w:t>
      </w:r>
      <w:r w:rsidR="004B48F1" w:rsidRPr="006E7762">
        <w:rPr>
          <w:rFonts w:asciiTheme="majorHAnsi" w:hAnsiTheme="majorHAnsi" w:cstheme="majorHAnsi"/>
          <w:sz w:val="24"/>
          <w:szCs w:val="24"/>
        </w:rPr>
        <w:t>restructur</w:t>
      </w:r>
      <w:r w:rsidR="004B48F1">
        <w:rPr>
          <w:rFonts w:asciiTheme="majorHAnsi" w:hAnsiTheme="majorHAnsi" w:cstheme="majorHAnsi"/>
          <w:sz w:val="24"/>
          <w:szCs w:val="24"/>
        </w:rPr>
        <w:t>ing</w:t>
      </w:r>
      <w:r w:rsidR="004B48F1" w:rsidRPr="006E7762">
        <w:rPr>
          <w:rFonts w:asciiTheme="majorHAnsi" w:hAnsiTheme="majorHAnsi" w:cstheme="majorHAnsi"/>
          <w:sz w:val="24"/>
          <w:szCs w:val="24"/>
        </w:rPr>
        <w:t xml:space="preserve"> </w:t>
      </w:r>
      <w:r w:rsidR="006E7762" w:rsidRPr="006E7762">
        <w:rPr>
          <w:rFonts w:asciiTheme="majorHAnsi" w:hAnsiTheme="majorHAnsi" w:cstheme="majorHAnsi"/>
          <w:sz w:val="24"/>
          <w:szCs w:val="24"/>
        </w:rPr>
        <w:t>of the sector from large-scale sewing to more just</w:t>
      </w:r>
      <w:r w:rsidR="000628F4">
        <w:rPr>
          <w:rFonts w:asciiTheme="majorHAnsi" w:hAnsiTheme="majorHAnsi" w:cstheme="majorHAnsi"/>
          <w:sz w:val="24"/>
          <w:szCs w:val="24"/>
        </w:rPr>
        <w:t xml:space="preserve"> </w:t>
      </w:r>
      <w:r w:rsidR="006E7762" w:rsidRPr="006E7762">
        <w:rPr>
          <w:rFonts w:asciiTheme="majorHAnsi" w:hAnsiTheme="majorHAnsi" w:cstheme="majorHAnsi"/>
          <w:sz w:val="24"/>
          <w:szCs w:val="24"/>
        </w:rPr>
        <w:t>in</w:t>
      </w:r>
      <w:r w:rsidR="000628F4">
        <w:rPr>
          <w:rFonts w:asciiTheme="majorHAnsi" w:hAnsiTheme="majorHAnsi" w:cstheme="majorHAnsi"/>
          <w:sz w:val="24"/>
          <w:szCs w:val="24"/>
        </w:rPr>
        <w:t>-</w:t>
      </w:r>
      <w:r w:rsidR="006E7762" w:rsidRPr="006E7762">
        <w:rPr>
          <w:rFonts w:asciiTheme="majorHAnsi" w:hAnsiTheme="majorHAnsi" w:cstheme="majorHAnsi"/>
          <w:sz w:val="24"/>
          <w:szCs w:val="24"/>
        </w:rPr>
        <w:t>time production, short series, and full-package solutions</w:t>
      </w:r>
      <w:r w:rsidR="006E7762" w:rsidRPr="004C017F">
        <w:rPr>
          <w:rFonts w:asciiTheme="majorHAnsi" w:hAnsiTheme="majorHAnsi" w:cstheme="majorHAnsi"/>
          <w:sz w:val="24"/>
          <w:szCs w:val="24"/>
        </w:rPr>
        <w:t xml:space="preserve">. </w:t>
      </w:r>
      <w:r w:rsidR="004C017F" w:rsidRPr="004C017F">
        <w:rPr>
          <w:rFonts w:asciiTheme="majorHAnsi" w:hAnsiTheme="majorHAnsi" w:cstheme="majorHAnsi"/>
          <w:sz w:val="24"/>
          <w:szCs w:val="24"/>
          <w:highlight w:val="yellow"/>
        </w:rPr>
        <w:fldChar w:fldCharType="begin"/>
      </w:r>
      <w:r w:rsidR="004C017F" w:rsidRPr="004C017F">
        <w:rPr>
          <w:rFonts w:asciiTheme="majorHAnsi" w:hAnsiTheme="majorHAnsi" w:cstheme="majorHAnsi"/>
          <w:sz w:val="24"/>
          <w:szCs w:val="24"/>
        </w:rPr>
        <w:instrText xml:space="preserve"> REF _Ref450319424 \h </w:instrText>
      </w:r>
      <w:r w:rsidR="004C017F" w:rsidRPr="004C017F">
        <w:rPr>
          <w:rFonts w:asciiTheme="majorHAnsi" w:hAnsiTheme="majorHAnsi" w:cstheme="majorHAnsi"/>
          <w:sz w:val="24"/>
          <w:szCs w:val="24"/>
          <w:highlight w:val="yellow"/>
        </w:rPr>
        <w:instrText xml:space="preserve"> \* MERGEFORMAT </w:instrText>
      </w:r>
      <w:r w:rsidR="004C017F" w:rsidRPr="004C017F">
        <w:rPr>
          <w:rFonts w:asciiTheme="majorHAnsi" w:hAnsiTheme="majorHAnsi" w:cstheme="majorHAnsi"/>
          <w:sz w:val="24"/>
          <w:szCs w:val="24"/>
          <w:highlight w:val="yellow"/>
        </w:rPr>
      </w:r>
      <w:r w:rsidR="004C017F" w:rsidRPr="004C017F">
        <w:rPr>
          <w:rFonts w:asciiTheme="majorHAnsi" w:hAnsiTheme="majorHAnsi" w:cstheme="majorHAnsi"/>
          <w:sz w:val="24"/>
          <w:szCs w:val="24"/>
          <w:highlight w:val="yellow"/>
        </w:rPr>
        <w:fldChar w:fldCharType="separate"/>
      </w:r>
      <w:r w:rsidR="00893CAD" w:rsidRPr="00893CAD">
        <w:rPr>
          <w:rFonts w:asciiTheme="majorHAnsi" w:hAnsiTheme="majorHAnsi" w:cstheme="majorHAnsi"/>
        </w:rPr>
        <w:t xml:space="preserve">Box </w:t>
      </w:r>
      <w:r w:rsidR="00893CAD" w:rsidRPr="00893CAD">
        <w:rPr>
          <w:rFonts w:asciiTheme="majorHAnsi" w:hAnsiTheme="majorHAnsi" w:cstheme="majorHAnsi"/>
          <w:noProof/>
        </w:rPr>
        <w:t>2</w:t>
      </w:r>
      <w:r w:rsidR="004C017F" w:rsidRPr="004C017F">
        <w:rPr>
          <w:rFonts w:asciiTheme="majorHAnsi" w:hAnsiTheme="majorHAnsi" w:cstheme="majorHAnsi"/>
          <w:sz w:val="24"/>
          <w:szCs w:val="24"/>
          <w:highlight w:val="yellow"/>
        </w:rPr>
        <w:fldChar w:fldCharType="end"/>
      </w:r>
      <w:r w:rsidR="004C017F">
        <w:rPr>
          <w:rFonts w:asciiTheme="majorHAnsi" w:hAnsiTheme="majorHAnsi" w:cstheme="majorHAnsi"/>
          <w:sz w:val="24"/>
          <w:szCs w:val="24"/>
        </w:rPr>
        <w:t xml:space="preserve"> </w:t>
      </w:r>
      <w:r w:rsidR="006E7762">
        <w:rPr>
          <w:rFonts w:asciiTheme="majorHAnsi" w:hAnsiTheme="majorHAnsi" w:cstheme="majorHAnsi"/>
          <w:sz w:val="24"/>
          <w:szCs w:val="24"/>
        </w:rPr>
        <w:t xml:space="preserve">presents the case of a small clothing producer that managed to survived the years of the crisis </w:t>
      </w:r>
    </w:p>
    <w:p w14:paraId="2D79E437" w14:textId="77777777" w:rsidR="00361421" w:rsidRDefault="00361421" w:rsidP="00361421">
      <w:pPr>
        <w:jc w:val="both"/>
      </w:pPr>
    </w:p>
    <w:tbl>
      <w:tblPr>
        <w:tblW w:w="0" w:type="auto"/>
        <w:tblBorders>
          <w:top w:val="single" w:sz="4" w:space="0" w:color="000000"/>
          <w:left w:val="single" w:sz="4" w:space="0" w:color="000000"/>
          <w:bottom w:val="single" w:sz="4" w:space="0" w:color="000000"/>
          <w:right w:val="single" w:sz="4" w:space="0" w:color="000000"/>
        </w:tblBorders>
        <w:shd w:val="clear" w:color="auto" w:fill="DFE3E5" w:themeFill="background2"/>
        <w:tblLook w:val="04A0" w:firstRow="1" w:lastRow="0" w:firstColumn="1" w:lastColumn="0" w:noHBand="0" w:noVBand="1"/>
      </w:tblPr>
      <w:tblGrid>
        <w:gridCol w:w="9350"/>
      </w:tblGrid>
      <w:tr w:rsidR="00361421" w:rsidRPr="00634146" w14:paraId="03E1B2DB" w14:textId="77777777" w:rsidTr="00282E8C">
        <w:tc>
          <w:tcPr>
            <w:tcW w:w="9350" w:type="dxa"/>
            <w:shd w:val="clear" w:color="auto" w:fill="DFECEB" w:themeFill="accent6" w:themeFillTint="33"/>
          </w:tcPr>
          <w:p w14:paraId="3834E9DF" w14:textId="17959407" w:rsidR="00361421" w:rsidRPr="00634146" w:rsidRDefault="00361421" w:rsidP="00D47EFB">
            <w:pPr>
              <w:jc w:val="center"/>
              <w:rPr>
                <w:rFonts w:asciiTheme="majorHAnsi" w:hAnsiTheme="majorHAnsi" w:cstheme="majorHAnsi"/>
                <w:b/>
              </w:rPr>
            </w:pPr>
            <w:bookmarkStart w:id="8" w:name="_Ref450319424"/>
            <w:r w:rsidRPr="00634146">
              <w:rPr>
                <w:rFonts w:asciiTheme="majorHAnsi" w:hAnsiTheme="majorHAnsi" w:cstheme="majorHAnsi"/>
                <w:b/>
              </w:rPr>
              <w:t xml:space="preserve">Box </w:t>
            </w:r>
            <w:r w:rsidRPr="00634146">
              <w:rPr>
                <w:rFonts w:asciiTheme="majorHAnsi" w:hAnsiTheme="majorHAnsi" w:cstheme="majorHAnsi"/>
                <w:b/>
              </w:rPr>
              <w:fldChar w:fldCharType="begin"/>
            </w:r>
            <w:r w:rsidRPr="00634146">
              <w:rPr>
                <w:rFonts w:asciiTheme="majorHAnsi" w:hAnsiTheme="majorHAnsi" w:cstheme="majorHAnsi"/>
                <w:b/>
              </w:rPr>
              <w:instrText xml:space="preserve"> SEQ Box \* ARABIC </w:instrText>
            </w:r>
            <w:r w:rsidRPr="00634146">
              <w:rPr>
                <w:rFonts w:asciiTheme="majorHAnsi" w:hAnsiTheme="majorHAnsi" w:cstheme="majorHAnsi"/>
                <w:b/>
              </w:rPr>
              <w:fldChar w:fldCharType="separate"/>
            </w:r>
            <w:r w:rsidR="00893CAD">
              <w:rPr>
                <w:rFonts w:asciiTheme="majorHAnsi" w:hAnsiTheme="majorHAnsi" w:cstheme="majorHAnsi"/>
                <w:b/>
                <w:noProof/>
              </w:rPr>
              <w:t>2</w:t>
            </w:r>
            <w:r w:rsidRPr="00634146">
              <w:rPr>
                <w:rFonts w:asciiTheme="majorHAnsi" w:hAnsiTheme="majorHAnsi" w:cstheme="majorHAnsi"/>
                <w:b/>
              </w:rPr>
              <w:fldChar w:fldCharType="end"/>
            </w:r>
            <w:bookmarkEnd w:id="8"/>
            <w:r>
              <w:rPr>
                <w:rFonts w:asciiTheme="majorHAnsi" w:hAnsiTheme="majorHAnsi" w:cstheme="majorHAnsi"/>
                <w:b/>
              </w:rPr>
              <w:t xml:space="preserve">. The Quest of an Entrepreneur to </w:t>
            </w:r>
            <w:r w:rsidR="00101C25">
              <w:rPr>
                <w:rFonts w:asciiTheme="majorHAnsi" w:hAnsiTheme="majorHAnsi" w:cstheme="majorHAnsi"/>
                <w:b/>
              </w:rPr>
              <w:t xml:space="preserve">Survive </w:t>
            </w:r>
            <w:r>
              <w:rPr>
                <w:rFonts w:asciiTheme="majorHAnsi" w:hAnsiTheme="majorHAnsi" w:cstheme="majorHAnsi"/>
                <w:b/>
              </w:rPr>
              <w:t>the end of the Multi-Fiber Agreement</w:t>
            </w:r>
          </w:p>
          <w:p w14:paraId="017DAEF7" w14:textId="4780D975" w:rsidR="00361421" w:rsidRPr="00E072DD" w:rsidRDefault="00E9458A" w:rsidP="00F74C1C">
            <w:pPr>
              <w:spacing w:before="240" w:line="276" w:lineRule="auto"/>
              <w:jc w:val="both"/>
              <w:rPr>
                <w:rFonts w:asciiTheme="majorHAnsi" w:hAnsiTheme="majorHAnsi" w:cstheme="majorHAnsi"/>
                <w:sz w:val="20"/>
                <w:szCs w:val="20"/>
              </w:rPr>
            </w:pPr>
            <w:r w:rsidRPr="00E072DD">
              <w:rPr>
                <w:rFonts w:asciiTheme="majorHAnsi" w:hAnsiTheme="majorHAnsi" w:cstheme="majorHAnsi"/>
                <w:sz w:val="20"/>
                <w:szCs w:val="20"/>
              </w:rPr>
              <w:t>Allen Tejada*</w:t>
            </w:r>
            <w:r w:rsidR="008B10B7" w:rsidRPr="00E072DD">
              <w:rPr>
                <w:rFonts w:asciiTheme="majorHAnsi" w:hAnsiTheme="majorHAnsi" w:cstheme="majorHAnsi"/>
                <w:sz w:val="20"/>
                <w:szCs w:val="20"/>
              </w:rPr>
              <w:t>,</w:t>
            </w:r>
            <w:r w:rsidR="00D47EFB" w:rsidRPr="00E072DD">
              <w:rPr>
                <w:rFonts w:asciiTheme="majorHAnsi" w:hAnsiTheme="majorHAnsi" w:cstheme="majorHAnsi"/>
                <w:sz w:val="20"/>
                <w:szCs w:val="20"/>
              </w:rPr>
              <w:t xml:space="preserve"> a young Dominican entrepreneur founded </w:t>
            </w:r>
            <w:r w:rsidRPr="00E072DD">
              <w:rPr>
                <w:rFonts w:asciiTheme="majorHAnsi" w:hAnsiTheme="majorHAnsi" w:cstheme="majorHAnsi"/>
                <w:i/>
                <w:sz w:val="20"/>
                <w:szCs w:val="20"/>
              </w:rPr>
              <w:t xml:space="preserve">Tejada </w:t>
            </w:r>
            <w:r w:rsidR="00361421" w:rsidRPr="00E072DD">
              <w:rPr>
                <w:rFonts w:asciiTheme="majorHAnsi" w:hAnsiTheme="majorHAnsi" w:cstheme="majorHAnsi"/>
                <w:i/>
                <w:sz w:val="20"/>
                <w:szCs w:val="20"/>
              </w:rPr>
              <w:t>Textiles</w:t>
            </w:r>
            <w:r w:rsidR="00361421" w:rsidRPr="00E072DD">
              <w:rPr>
                <w:rFonts w:asciiTheme="majorHAnsi" w:hAnsiTheme="majorHAnsi" w:cstheme="majorHAnsi"/>
                <w:sz w:val="20"/>
                <w:szCs w:val="20"/>
              </w:rPr>
              <w:t xml:space="preserve"> </w:t>
            </w:r>
            <w:r w:rsidR="00D47EFB" w:rsidRPr="00E072DD">
              <w:rPr>
                <w:rFonts w:asciiTheme="majorHAnsi" w:hAnsiTheme="majorHAnsi" w:cstheme="majorHAnsi"/>
                <w:sz w:val="20"/>
                <w:szCs w:val="20"/>
              </w:rPr>
              <w:t xml:space="preserve">in 2006 after </w:t>
            </w:r>
            <w:r w:rsidR="00361421" w:rsidRPr="00E072DD">
              <w:rPr>
                <w:rFonts w:asciiTheme="majorHAnsi" w:hAnsiTheme="majorHAnsi" w:cstheme="majorHAnsi"/>
                <w:sz w:val="20"/>
                <w:szCs w:val="20"/>
              </w:rPr>
              <w:t>the Family Dollar corporation</w:t>
            </w:r>
            <w:r w:rsidR="00D47EFB" w:rsidRPr="00E072DD">
              <w:rPr>
                <w:rFonts w:asciiTheme="majorHAnsi" w:hAnsiTheme="majorHAnsi" w:cstheme="majorHAnsi"/>
                <w:sz w:val="20"/>
                <w:szCs w:val="20"/>
              </w:rPr>
              <w:t xml:space="preserve">, a U.S. based </w:t>
            </w:r>
            <w:r w:rsidR="000A78E2" w:rsidRPr="00E072DD">
              <w:rPr>
                <w:rFonts w:asciiTheme="majorHAnsi" w:hAnsiTheme="majorHAnsi" w:cstheme="majorHAnsi"/>
                <w:sz w:val="20"/>
                <w:szCs w:val="20"/>
              </w:rPr>
              <w:t>corporation specialized in low</w:t>
            </w:r>
            <w:r w:rsidR="009F1D78" w:rsidRPr="00E072DD">
              <w:rPr>
                <w:rFonts w:asciiTheme="majorHAnsi" w:hAnsiTheme="majorHAnsi" w:cstheme="majorHAnsi"/>
                <w:sz w:val="20"/>
                <w:szCs w:val="20"/>
              </w:rPr>
              <w:t>-</w:t>
            </w:r>
            <w:r w:rsidR="000A78E2" w:rsidRPr="00E072DD">
              <w:rPr>
                <w:rFonts w:asciiTheme="majorHAnsi" w:hAnsiTheme="majorHAnsi" w:cstheme="majorHAnsi"/>
                <w:sz w:val="20"/>
                <w:szCs w:val="20"/>
              </w:rPr>
              <w:t xml:space="preserve">price everyday items, approached him </w:t>
            </w:r>
            <w:r w:rsidR="00361421" w:rsidRPr="00E072DD">
              <w:rPr>
                <w:rFonts w:asciiTheme="majorHAnsi" w:hAnsiTheme="majorHAnsi" w:cstheme="majorHAnsi"/>
                <w:sz w:val="20"/>
                <w:szCs w:val="20"/>
              </w:rPr>
              <w:t>to become one of its suppliers</w:t>
            </w:r>
            <w:r w:rsidR="000A78E2" w:rsidRPr="00E072DD">
              <w:rPr>
                <w:rFonts w:asciiTheme="majorHAnsi" w:hAnsiTheme="majorHAnsi" w:cstheme="majorHAnsi"/>
                <w:sz w:val="20"/>
                <w:szCs w:val="20"/>
              </w:rPr>
              <w:t xml:space="preserve"> of cotton shirts and other apparel products</w:t>
            </w:r>
            <w:r w:rsidR="00361421" w:rsidRPr="00E072DD">
              <w:rPr>
                <w:rFonts w:asciiTheme="majorHAnsi" w:hAnsiTheme="majorHAnsi" w:cstheme="majorHAnsi"/>
                <w:sz w:val="20"/>
                <w:szCs w:val="20"/>
              </w:rPr>
              <w:t xml:space="preserve">. </w:t>
            </w:r>
            <w:r w:rsidR="000A78E2" w:rsidRPr="00E072DD">
              <w:rPr>
                <w:rFonts w:asciiTheme="majorHAnsi" w:hAnsiTheme="majorHAnsi" w:cstheme="majorHAnsi"/>
                <w:sz w:val="20"/>
                <w:szCs w:val="20"/>
              </w:rPr>
              <w:t xml:space="preserve">The long-term contract offered by the company </w:t>
            </w:r>
            <w:r w:rsidR="000E3376" w:rsidRPr="00E072DD">
              <w:rPr>
                <w:rFonts w:asciiTheme="majorHAnsi" w:hAnsiTheme="majorHAnsi" w:cstheme="majorHAnsi"/>
                <w:sz w:val="20"/>
                <w:szCs w:val="20"/>
              </w:rPr>
              <w:t xml:space="preserve">in 2005 </w:t>
            </w:r>
            <w:r w:rsidR="000A78E2" w:rsidRPr="00E072DD">
              <w:rPr>
                <w:rFonts w:asciiTheme="majorHAnsi" w:hAnsiTheme="majorHAnsi" w:cstheme="majorHAnsi"/>
                <w:sz w:val="20"/>
                <w:szCs w:val="20"/>
              </w:rPr>
              <w:lastRenderedPageBreak/>
              <w:t xml:space="preserve">was enough for Mr. </w:t>
            </w:r>
            <w:r w:rsidR="0055659C" w:rsidRPr="00E072DD">
              <w:rPr>
                <w:rFonts w:asciiTheme="majorHAnsi" w:hAnsiTheme="majorHAnsi" w:cstheme="majorHAnsi"/>
                <w:sz w:val="20"/>
                <w:szCs w:val="20"/>
              </w:rPr>
              <w:t xml:space="preserve">Tejada </w:t>
            </w:r>
            <w:r w:rsidR="000A78E2" w:rsidRPr="00E072DD">
              <w:rPr>
                <w:rFonts w:asciiTheme="majorHAnsi" w:hAnsiTheme="majorHAnsi" w:cstheme="majorHAnsi"/>
                <w:sz w:val="20"/>
                <w:szCs w:val="20"/>
              </w:rPr>
              <w:t xml:space="preserve">to quit his job in another </w:t>
            </w:r>
            <w:r w:rsidR="000A78E2" w:rsidRPr="00E072DD">
              <w:rPr>
                <w:rFonts w:asciiTheme="majorHAnsi" w:hAnsiTheme="majorHAnsi" w:cstheme="majorHAnsi"/>
                <w:i/>
                <w:sz w:val="20"/>
                <w:szCs w:val="20"/>
              </w:rPr>
              <w:t>maquila</w:t>
            </w:r>
            <w:r w:rsidR="000A78E2" w:rsidRPr="00E072DD">
              <w:rPr>
                <w:rFonts w:asciiTheme="majorHAnsi" w:hAnsiTheme="majorHAnsi" w:cstheme="majorHAnsi"/>
                <w:sz w:val="20"/>
                <w:szCs w:val="20"/>
              </w:rPr>
              <w:t xml:space="preserve"> and take on debt to start operations in 2006. </w:t>
            </w:r>
            <w:r w:rsidR="00C97035" w:rsidRPr="00E072DD">
              <w:rPr>
                <w:rFonts w:asciiTheme="majorHAnsi" w:hAnsiTheme="majorHAnsi" w:cstheme="majorHAnsi"/>
                <w:sz w:val="20"/>
                <w:szCs w:val="20"/>
              </w:rPr>
              <w:t xml:space="preserve">Part of the working capital was loaned by the U.S. company. </w:t>
            </w:r>
            <w:r w:rsidR="00361421" w:rsidRPr="00E072DD">
              <w:rPr>
                <w:rFonts w:asciiTheme="majorHAnsi" w:hAnsiTheme="majorHAnsi" w:cstheme="majorHAnsi"/>
                <w:sz w:val="20"/>
                <w:szCs w:val="20"/>
              </w:rPr>
              <w:t xml:space="preserve">However, with </w:t>
            </w:r>
            <w:r w:rsidR="000A78E2" w:rsidRPr="00E072DD">
              <w:rPr>
                <w:rFonts w:asciiTheme="majorHAnsi" w:hAnsiTheme="majorHAnsi" w:cstheme="majorHAnsi"/>
                <w:sz w:val="20"/>
                <w:szCs w:val="20"/>
              </w:rPr>
              <w:t xml:space="preserve">the imminent competition from </w:t>
            </w:r>
            <w:r w:rsidR="000E3376" w:rsidRPr="00E072DD">
              <w:rPr>
                <w:rFonts w:asciiTheme="majorHAnsi" w:hAnsiTheme="majorHAnsi" w:cstheme="majorHAnsi"/>
                <w:sz w:val="20"/>
                <w:szCs w:val="20"/>
              </w:rPr>
              <w:t xml:space="preserve">Asian </w:t>
            </w:r>
            <w:r w:rsidR="000A78E2" w:rsidRPr="00E072DD">
              <w:rPr>
                <w:rFonts w:asciiTheme="majorHAnsi" w:hAnsiTheme="majorHAnsi" w:cstheme="majorHAnsi"/>
                <w:sz w:val="20"/>
                <w:szCs w:val="20"/>
              </w:rPr>
              <w:t>low-cost producers</w:t>
            </w:r>
            <w:r w:rsidR="000E3376" w:rsidRPr="00E072DD">
              <w:rPr>
                <w:rFonts w:asciiTheme="majorHAnsi" w:hAnsiTheme="majorHAnsi" w:cstheme="majorHAnsi"/>
                <w:sz w:val="20"/>
                <w:szCs w:val="20"/>
              </w:rPr>
              <w:t xml:space="preserve"> in the U.S</w:t>
            </w:r>
            <w:r w:rsidR="00361421" w:rsidRPr="00E072DD">
              <w:rPr>
                <w:rFonts w:asciiTheme="majorHAnsi" w:hAnsiTheme="majorHAnsi" w:cstheme="majorHAnsi"/>
                <w:sz w:val="20"/>
                <w:szCs w:val="20"/>
              </w:rPr>
              <w:t xml:space="preserve">, the </w:t>
            </w:r>
            <w:r w:rsidR="000E3376" w:rsidRPr="00E072DD">
              <w:rPr>
                <w:rFonts w:asciiTheme="majorHAnsi" w:hAnsiTheme="majorHAnsi" w:cstheme="majorHAnsi"/>
                <w:sz w:val="20"/>
                <w:szCs w:val="20"/>
              </w:rPr>
              <w:t xml:space="preserve">contract </w:t>
            </w:r>
            <w:r w:rsidR="00FC2A64" w:rsidRPr="00E072DD">
              <w:rPr>
                <w:rFonts w:asciiTheme="majorHAnsi" w:hAnsiTheme="majorHAnsi" w:cstheme="majorHAnsi"/>
                <w:sz w:val="20"/>
                <w:szCs w:val="20"/>
              </w:rPr>
              <w:t>was cancelled</w:t>
            </w:r>
            <w:r w:rsidR="00361421" w:rsidRPr="00E072DD">
              <w:rPr>
                <w:rFonts w:asciiTheme="majorHAnsi" w:hAnsiTheme="majorHAnsi" w:cstheme="majorHAnsi"/>
                <w:sz w:val="20"/>
                <w:szCs w:val="20"/>
              </w:rPr>
              <w:t xml:space="preserve"> </w:t>
            </w:r>
            <w:r w:rsidR="000E3376" w:rsidRPr="00E072DD">
              <w:rPr>
                <w:rFonts w:asciiTheme="majorHAnsi" w:hAnsiTheme="majorHAnsi" w:cstheme="majorHAnsi"/>
                <w:sz w:val="20"/>
                <w:szCs w:val="20"/>
              </w:rPr>
              <w:t xml:space="preserve">in 2007 </w:t>
            </w:r>
            <w:r w:rsidR="00361421" w:rsidRPr="00E072DD">
              <w:rPr>
                <w:rFonts w:asciiTheme="majorHAnsi" w:hAnsiTheme="majorHAnsi" w:cstheme="majorHAnsi"/>
                <w:sz w:val="20"/>
                <w:szCs w:val="20"/>
              </w:rPr>
              <w:t xml:space="preserve">leaving </w:t>
            </w:r>
            <w:r w:rsidR="000E3376" w:rsidRPr="00E072DD">
              <w:rPr>
                <w:rFonts w:asciiTheme="majorHAnsi" w:hAnsiTheme="majorHAnsi" w:cstheme="majorHAnsi"/>
                <w:sz w:val="20"/>
                <w:szCs w:val="20"/>
              </w:rPr>
              <w:t xml:space="preserve">Mr. </w:t>
            </w:r>
            <w:r w:rsidR="0055659C" w:rsidRPr="00E072DD">
              <w:rPr>
                <w:rFonts w:asciiTheme="majorHAnsi" w:hAnsiTheme="majorHAnsi" w:cstheme="majorHAnsi"/>
                <w:sz w:val="20"/>
                <w:szCs w:val="20"/>
              </w:rPr>
              <w:t xml:space="preserve">Tejada </w:t>
            </w:r>
            <w:r w:rsidR="00361421" w:rsidRPr="00E072DD">
              <w:rPr>
                <w:rFonts w:asciiTheme="majorHAnsi" w:hAnsiTheme="majorHAnsi" w:cstheme="majorHAnsi"/>
                <w:sz w:val="20"/>
                <w:szCs w:val="20"/>
              </w:rPr>
              <w:t xml:space="preserve">with </w:t>
            </w:r>
            <w:r w:rsidR="000E3376" w:rsidRPr="00E072DD">
              <w:rPr>
                <w:rFonts w:asciiTheme="majorHAnsi" w:hAnsiTheme="majorHAnsi" w:cstheme="majorHAnsi"/>
                <w:sz w:val="20"/>
                <w:szCs w:val="20"/>
              </w:rPr>
              <w:t xml:space="preserve">his financial </w:t>
            </w:r>
            <w:r w:rsidR="00361421" w:rsidRPr="00E072DD">
              <w:rPr>
                <w:rFonts w:asciiTheme="majorHAnsi" w:hAnsiTheme="majorHAnsi" w:cstheme="majorHAnsi"/>
                <w:sz w:val="20"/>
                <w:szCs w:val="20"/>
              </w:rPr>
              <w:t xml:space="preserve">obligations </w:t>
            </w:r>
            <w:r w:rsidR="00E8411B" w:rsidRPr="00E072DD">
              <w:rPr>
                <w:rFonts w:asciiTheme="majorHAnsi" w:hAnsiTheme="majorHAnsi" w:cstheme="majorHAnsi"/>
                <w:sz w:val="20"/>
                <w:szCs w:val="20"/>
              </w:rPr>
              <w:t xml:space="preserve">and no </w:t>
            </w:r>
            <w:r w:rsidR="000E3376" w:rsidRPr="00E072DD">
              <w:rPr>
                <w:rFonts w:asciiTheme="majorHAnsi" w:hAnsiTheme="majorHAnsi" w:cstheme="majorHAnsi"/>
                <w:sz w:val="20"/>
                <w:szCs w:val="20"/>
              </w:rPr>
              <w:t>stable clients</w:t>
            </w:r>
            <w:r w:rsidR="00361421" w:rsidRPr="00E072DD">
              <w:rPr>
                <w:rFonts w:asciiTheme="majorHAnsi" w:hAnsiTheme="majorHAnsi" w:cstheme="majorHAnsi"/>
                <w:sz w:val="20"/>
                <w:szCs w:val="20"/>
              </w:rPr>
              <w:t xml:space="preserve">. This shock forced the firm </w:t>
            </w:r>
            <w:r w:rsidR="000E3376" w:rsidRPr="00E072DD">
              <w:rPr>
                <w:rFonts w:asciiTheme="majorHAnsi" w:hAnsiTheme="majorHAnsi" w:cstheme="majorHAnsi"/>
                <w:sz w:val="20"/>
                <w:szCs w:val="20"/>
              </w:rPr>
              <w:t xml:space="preserve">to downsize and </w:t>
            </w:r>
            <w:r w:rsidR="00361421" w:rsidRPr="00E072DD">
              <w:rPr>
                <w:rFonts w:asciiTheme="majorHAnsi" w:hAnsiTheme="majorHAnsi" w:cstheme="majorHAnsi"/>
                <w:sz w:val="20"/>
                <w:szCs w:val="20"/>
              </w:rPr>
              <w:t xml:space="preserve">realign its core product offering towards subcontracting for larger </w:t>
            </w:r>
            <w:r w:rsidR="000E3376" w:rsidRPr="00E072DD">
              <w:rPr>
                <w:rFonts w:asciiTheme="majorHAnsi" w:hAnsiTheme="majorHAnsi" w:cstheme="majorHAnsi"/>
                <w:sz w:val="20"/>
                <w:szCs w:val="20"/>
              </w:rPr>
              <w:t xml:space="preserve">textile </w:t>
            </w:r>
            <w:r w:rsidR="00361421" w:rsidRPr="00E072DD">
              <w:rPr>
                <w:rFonts w:asciiTheme="majorHAnsi" w:hAnsiTheme="majorHAnsi" w:cstheme="majorHAnsi"/>
                <w:sz w:val="20"/>
                <w:szCs w:val="20"/>
              </w:rPr>
              <w:t xml:space="preserve">firms </w:t>
            </w:r>
            <w:r w:rsidR="000E3376" w:rsidRPr="00E072DD">
              <w:rPr>
                <w:rFonts w:asciiTheme="majorHAnsi" w:hAnsiTheme="majorHAnsi" w:cstheme="majorHAnsi"/>
                <w:sz w:val="20"/>
                <w:szCs w:val="20"/>
              </w:rPr>
              <w:t xml:space="preserve">operating in SEZs. The company specialized mainly in low value </w:t>
            </w:r>
            <w:r w:rsidR="00E8411B" w:rsidRPr="00E072DD">
              <w:rPr>
                <w:rFonts w:asciiTheme="majorHAnsi" w:hAnsiTheme="majorHAnsi" w:cstheme="majorHAnsi"/>
                <w:sz w:val="20"/>
                <w:szCs w:val="20"/>
              </w:rPr>
              <w:t xml:space="preserve">added </w:t>
            </w:r>
            <w:r w:rsidR="000E3376" w:rsidRPr="00E072DD">
              <w:rPr>
                <w:rFonts w:asciiTheme="majorHAnsi" w:hAnsiTheme="majorHAnsi" w:cstheme="majorHAnsi"/>
                <w:sz w:val="20"/>
                <w:szCs w:val="20"/>
              </w:rPr>
              <w:t>activities (</w:t>
            </w:r>
            <w:r w:rsidR="00361421" w:rsidRPr="00E072DD">
              <w:rPr>
                <w:rFonts w:asciiTheme="majorHAnsi" w:hAnsiTheme="majorHAnsi" w:cstheme="majorHAnsi"/>
                <w:sz w:val="20"/>
                <w:szCs w:val="20"/>
              </w:rPr>
              <w:t>cut, make and trim</w:t>
            </w:r>
            <w:r w:rsidR="000E3376" w:rsidRPr="00E072DD">
              <w:rPr>
                <w:rFonts w:asciiTheme="majorHAnsi" w:hAnsiTheme="majorHAnsi" w:cstheme="majorHAnsi"/>
                <w:sz w:val="20"/>
                <w:szCs w:val="20"/>
              </w:rPr>
              <w:t xml:space="preserve">), </w:t>
            </w:r>
            <w:r w:rsidR="00361421" w:rsidRPr="00E072DD">
              <w:rPr>
                <w:rFonts w:asciiTheme="majorHAnsi" w:hAnsiTheme="majorHAnsi" w:cstheme="majorHAnsi"/>
                <w:sz w:val="20"/>
                <w:szCs w:val="20"/>
              </w:rPr>
              <w:t xml:space="preserve">focusing on </w:t>
            </w:r>
            <w:r w:rsidR="000E3376" w:rsidRPr="00E072DD">
              <w:rPr>
                <w:rFonts w:asciiTheme="majorHAnsi" w:hAnsiTheme="majorHAnsi" w:cstheme="majorHAnsi"/>
                <w:sz w:val="20"/>
                <w:szCs w:val="20"/>
              </w:rPr>
              <w:t xml:space="preserve">rather </w:t>
            </w:r>
            <w:r w:rsidR="00361421" w:rsidRPr="00E072DD">
              <w:rPr>
                <w:rFonts w:asciiTheme="majorHAnsi" w:hAnsiTheme="majorHAnsi" w:cstheme="majorHAnsi"/>
                <w:sz w:val="20"/>
                <w:szCs w:val="20"/>
              </w:rPr>
              <w:t xml:space="preserve">smaller volume orders with a quick turnaround. </w:t>
            </w:r>
            <w:r w:rsidR="000E3376" w:rsidRPr="00E072DD">
              <w:rPr>
                <w:rFonts w:asciiTheme="majorHAnsi" w:hAnsiTheme="majorHAnsi" w:cstheme="majorHAnsi"/>
                <w:sz w:val="20"/>
                <w:szCs w:val="20"/>
              </w:rPr>
              <w:t>Over</w:t>
            </w:r>
            <w:r w:rsidR="00FC2A64" w:rsidRPr="00E072DD">
              <w:rPr>
                <w:rFonts w:asciiTheme="majorHAnsi" w:hAnsiTheme="majorHAnsi" w:cstheme="majorHAnsi"/>
                <w:sz w:val="20"/>
                <w:szCs w:val="20"/>
              </w:rPr>
              <w:t xml:space="preserve"> </w:t>
            </w:r>
            <w:r w:rsidR="000E3376" w:rsidRPr="00E072DD">
              <w:rPr>
                <w:rFonts w:asciiTheme="majorHAnsi" w:hAnsiTheme="majorHAnsi" w:cstheme="majorHAnsi"/>
                <w:sz w:val="20"/>
                <w:szCs w:val="20"/>
              </w:rPr>
              <w:t>time, the company found its niche in just-</w:t>
            </w:r>
            <w:r w:rsidR="00E8411B" w:rsidRPr="00E072DD">
              <w:rPr>
                <w:rFonts w:asciiTheme="majorHAnsi" w:hAnsiTheme="majorHAnsi" w:cstheme="majorHAnsi"/>
                <w:sz w:val="20"/>
                <w:szCs w:val="20"/>
              </w:rPr>
              <w:t>in-time production. Currently, the company processes an order for the U.S. with</w:t>
            </w:r>
            <w:r w:rsidR="00C506E1" w:rsidRPr="00E072DD">
              <w:rPr>
                <w:rFonts w:asciiTheme="majorHAnsi" w:hAnsiTheme="majorHAnsi" w:cstheme="majorHAnsi"/>
                <w:sz w:val="20"/>
                <w:szCs w:val="20"/>
              </w:rPr>
              <w:t>in</w:t>
            </w:r>
            <w:r w:rsidR="00E8411B" w:rsidRPr="00E072DD">
              <w:rPr>
                <w:rFonts w:asciiTheme="majorHAnsi" w:hAnsiTheme="majorHAnsi" w:cstheme="majorHAnsi"/>
                <w:sz w:val="20"/>
                <w:szCs w:val="20"/>
              </w:rPr>
              <w:t xml:space="preserve"> a three-week lead-</w:t>
            </w:r>
            <w:r w:rsidR="00361421" w:rsidRPr="00E072DD">
              <w:rPr>
                <w:rFonts w:asciiTheme="majorHAnsi" w:hAnsiTheme="majorHAnsi" w:cstheme="majorHAnsi"/>
                <w:sz w:val="20"/>
                <w:szCs w:val="20"/>
              </w:rPr>
              <w:t xml:space="preserve">time, as compared </w:t>
            </w:r>
            <w:r w:rsidR="00FC2A64" w:rsidRPr="00E072DD">
              <w:rPr>
                <w:rFonts w:asciiTheme="majorHAnsi" w:hAnsiTheme="majorHAnsi" w:cstheme="majorHAnsi"/>
                <w:sz w:val="20"/>
                <w:szCs w:val="20"/>
              </w:rPr>
              <w:t xml:space="preserve">to </w:t>
            </w:r>
            <w:r w:rsidR="00361421" w:rsidRPr="00E072DD">
              <w:rPr>
                <w:rFonts w:asciiTheme="majorHAnsi" w:hAnsiTheme="majorHAnsi" w:cstheme="majorHAnsi"/>
                <w:sz w:val="20"/>
                <w:szCs w:val="20"/>
              </w:rPr>
              <w:t xml:space="preserve">six months by its Chinese competitors. This has given </w:t>
            </w:r>
            <w:r w:rsidR="0055659C" w:rsidRPr="00E072DD">
              <w:rPr>
                <w:rFonts w:asciiTheme="majorHAnsi" w:hAnsiTheme="majorHAnsi" w:cstheme="majorHAnsi"/>
                <w:i/>
                <w:sz w:val="20"/>
                <w:szCs w:val="20"/>
              </w:rPr>
              <w:t xml:space="preserve">Tejada </w:t>
            </w:r>
            <w:r w:rsidR="00E8411B" w:rsidRPr="00E072DD">
              <w:rPr>
                <w:rFonts w:asciiTheme="majorHAnsi" w:hAnsiTheme="majorHAnsi" w:cstheme="majorHAnsi"/>
                <w:i/>
                <w:sz w:val="20"/>
                <w:szCs w:val="20"/>
              </w:rPr>
              <w:t xml:space="preserve">Textiles </w:t>
            </w:r>
            <w:r w:rsidR="00361421" w:rsidRPr="00E072DD">
              <w:rPr>
                <w:rFonts w:asciiTheme="majorHAnsi" w:hAnsiTheme="majorHAnsi" w:cstheme="majorHAnsi"/>
                <w:sz w:val="20"/>
                <w:szCs w:val="20"/>
              </w:rPr>
              <w:t xml:space="preserve">a significant </w:t>
            </w:r>
            <w:r w:rsidR="00E8411B" w:rsidRPr="00E072DD">
              <w:rPr>
                <w:rFonts w:asciiTheme="majorHAnsi" w:hAnsiTheme="majorHAnsi" w:cstheme="majorHAnsi"/>
                <w:sz w:val="20"/>
                <w:szCs w:val="20"/>
              </w:rPr>
              <w:t>advantage,</w:t>
            </w:r>
            <w:r w:rsidR="00361421" w:rsidRPr="00E072DD">
              <w:rPr>
                <w:rFonts w:asciiTheme="majorHAnsi" w:hAnsiTheme="majorHAnsi" w:cstheme="majorHAnsi"/>
                <w:sz w:val="20"/>
                <w:szCs w:val="20"/>
              </w:rPr>
              <w:t xml:space="preserve"> as US retailers are keen on maintaining </w:t>
            </w:r>
            <w:r w:rsidR="00E8411B" w:rsidRPr="00E072DD">
              <w:rPr>
                <w:rFonts w:asciiTheme="majorHAnsi" w:hAnsiTheme="majorHAnsi" w:cstheme="majorHAnsi"/>
                <w:sz w:val="20"/>
                <w:szCs w:val="20"/>
              </w:rPr>
              <w:t xml:space="preserve">lean </w:t>
            </w:r>
            <w:r w:rsidR="00361421" w:rsidRPr="00E072DD">
              <w:rPr>
                <w:rFonts w:asciiTheme="majorHAnsi" w:hAnsiTheme="majorHAnsi" w:cstheme="majorHAnsi"/>
                <w:sz w:val="20"/>
                <w:szCs w:val="20"/>
              </w:rPr>
              <w:t xml:space="preserve">inventory levels, particularly after the financial crisis. The firm </w:t>
            </w:r>
            <w:r w:rsidR="00E8411B" w:rsidRPr="00E072DD">
              <w:rPr>
                <w:rFonts w:asciiTheme="majorHAnsi" w:hAnsiTheme="majorHAnsi" w:cstheme="majorHAnsi"/>
                <w:sz w:val="20"/>
                <w:szCs w:val="20"/>
              </w:rPr>
              <w:t xml:space="preserve">continues selling products to larger firms in SEZs, but the prospects in the U.S. markets </w:t>
            </w:r>
            <w:r w:rsidR="00C97035" w:rsidRPr="00E072DD">
              <w:rPr>
                <w:rFonts w:asciiTheme="majorHAnsi" w:hAnsiTheme="majorHAnsi" w:cstheme="majorHAnsi"/>
                <w:sz w:val="20"/>
                <w:szCs w:val="20"/>
              </w:rPr>
              <w:t xml:space="preserve">keep </w:t>
            </w:r>
            <w:r w:rsidR="00E8411B" w:rsidRPr="00E072DD">
              <w:rPr>
                <w:rFonts w:asciiTheme="majorHAnsi" w:hAnsiTheme="majorHAnsi" w:cstheme="majorHAnsi"/>
                <w:sz w:val="20"/>
                <w:szCs w:val="20"/>
              </w:rPr>
              <w:t xml:space="preserve">improving. </w:t>
            </w:r>
            <w:r w:rsidR="0055659C" w:rsidRPr="00E072DD">
              <w:rPr>
                <w:rFonts w:asciiTheme="majorHAnsi" w:hAnsiTheme="majorHAnsi" w:cstheme="majorHAnsi"/>
                <w:i/>
                <w:sz w:val="20"/>
                <w:szCs w:val="20"/>
              </w:rPr>
              <w:t xml:space="preserve">Tejada </w:t>
            </w:r>
            <w:r w:rsidR="00E8411B" w:rsidRPr="00E072DD">
              <w:rPr>
                <w:rFonts w:asciiTheme="majorHAnsi" w:hAnsiTheme="majorHAnsi" w:cstheme="majorHAnsi"/>
                <w:i/>
                <w:sz w:val="20"/>
                <w:szCs w:val="20"/>
              </w:rPr>
              <w:t xml:space="preserve">textiles </w:t>
            </w:r>
            <w:r w:rsidR="00E8411B" w:rsidRPr="00E072DD">
              <w:rPr>
                <w:rFonts w:asciiTheme="majorHAnsi" w:hAnsiTheme="majorHAnsi" w:cstheme="majorHAnsi"/>
                <w:sz w:val="20"/>
                <w:szCs w:val="20"/>
              </w:rPr>
              <w:t>do</w:t>
            </w:r>
            <w:r w:rsidR="009F1D78" w:rsidRPr="00E072DD">
              <w:rPr>
                <w:rFonts w:asciiTheme="majorHAnsi" w:hAnsiTheme="majorHAnsi" w:cstheme="majorHAnsi"/>
                <w:sz w:val="20"/>
                <w:szCs w:val="20"/>
              </w:rPr>
              <w:t>es</w:t>
            </w:r>
            <w:r w:rsidR="00E8411B" w:rsidRPr="00E072DD">
              <w:rPr>
                <w:rFonts w:asciiTheme="majorHAnsi" w:hAnsiTheme="majorHAnsi" w:cstheme="majorHAnsi"/>
                <w:sz w:val="20"/>
                <w:szCs w:val="20"/>
              </w:rPr>
              <w:t xml:space="preserve"> not serve the domestic market, buy</w:t>
            </w:r>
            <w:r w:rsidR="009F1D78" w:rsidRPr="00E072DD">
              <w:rPr>
                <w:rFonts w:asciiTheme="majorHAnsi" w:hAnsiTheme="majorHAnsi" w:cstheme="majorHAnsi"/>
                <w:sz w:val="20"/>
                <w:szCs w:val="20"/>
              </w:rPr>
              <w:t>s</w:t>
            </w:r>
            <w:r w:rsidR="00E8411B" w:rsidRPr="00E072DD">
              <w:rPr>
                <w:rFonts w:asciiTheme="majorHAnsi" w:hAnsiTheme="majorHAnsi" w:cstheme="majorHAnsi"/>
                <w:sz w:val="20"/>
                <w:szCs w:val="20"/>
              </w:rPr>
              <w:t xml:space="preserve"> mostly imported inputs, </w:t>
            </w:r>
            <w:r w:rsidR="00C97035" w:rsidRPr="00E072DD">
              <w:rPr>
                <w:rFonts w:asciiTheme="majorHAnsi" w:hAnsiTheme="majorHAnsi" w:cstheme="majorHAnsi"/>
                <w:sz w:val="20"/>
                <w:szCs w:val="20"/>
              </w:rPr>
              <w:t xml:space="preserve">and </w:t>
            </w:r>
            <w:r w:rsidR="00E8411B" w:rsidRPr="00E072DD">
              <w:rPr>
                <w:rFonts w:asciiTheme="majorHAnsi" w:hAnsiTheme="majorHAnsi" w:cstheme="majorHAnsi"/>
                <w:sz w:val="20"/>
                <w:szCs w:val="20"/>
              </w:rPr>
              <w:t>identif</w:t>
            </w:r>
            <w:r w:rsidR="009F1D78" w:rsidRPr="00E072DD">
              <w:rPr>
                <w:rFonts w:asciiTheme="majorHAnsi" w:hAnsiTheme="majorHAnsi" w:cstheme="majorHAnsi"/>
                <w:sz w:val="20"/>
                <w:szCs w:val="20"/>
              </w:rPr>
              <w:t>ies</w:t>
            </w:r>
            <w:r w:rsidR="00E8411B" w:rsidRPr="00E072DD">
              <w:rPr>
                <w:rFonts w:asciiTheme="majorHAnsi" w:hAnsiTheme="majorHAnsi" w:cstheme="majorHAnsi"/>
                <w:sz w:val="20"/>
                <w:szCs w:val="20"/>
              </w:rPr>
              <w:t xml:space="preserve"> its main competitors in SEZs in Central America</w:t>
            </w:r>
            <w:r w:rsidR="00C97035" w:rsidRPr="00E072DD">
              <w:rPr>
                <w:rFonts w:asciiTheme="majorHAnsi" w:hAnsiTheme="majorHAnsi" w:cstheme="majorHAnsi"/>
                <w:sz w:val="20"/>
                <w:szCs w:val="20"/>
              </w:rPr>
              <w:t>.</w:t>
            </w:r>
            <w:r w:rsidR="00E8411B" w:rsidRPr="00E072DD">
              <w:rPr>
                <w:rFonts w:asciiTheme="majorHAnsi" w:hAnsiTheme="majorHAnsi" w:cstheme="majorHAnsi"/>
                <w:sz w:val="20"/>
                <w:szCs w:val="20"/>
              </w:rPr>
              <w:t xml:space="preserve"> </w:t>
            </w:r>
            <w:r w:rsidR="00C97035" w:rsidRPr="00E072DD">
              <w:rPr>
                <w:rFonts w:asciiTheme="majorHAnsi" w:hAnsiTheme="majorHAnsi" w:cstheme="majorHAnsi"/>
                <w:sz w:val="20"/>
                <w:szCs w:val="20"/>
              </w:rPr>
              <w:t xml:space="preserve">Mr. </w:t>
            </w:r>
            <w:r w:rsidR="0055659C" w:rsidRPr="00E072DD">
              <w:rPr>
                <w:rFonts w:asciiTheme="majorHAnsi" w:hAnsiTheme="majorHAnsi" w:cstheme="majorHAnsi"/>
                <w:sz w:val="20"/>
                <w:szCs w:val="20"/>
              </w:rPr>
              <w:t xml:space="preserve">Tejada </w:t>
            </w:r>
            <w:r w:rsidR="00C97035" w:rsidRPr="00E072DD">
              <w:rPr>
                <w:rFonts w:asciiTheme="majorHAnsi" w:hAnsiTheme="majorHAnsi" w:cstheme="majorHAnsi"/>
                <w:sz w:val="20"/>
                <w:szCs w:val="20"/>
              </w:rPr>
              <w:t xml:space="preserve">hopes to move to full-package production (a higher-markup and more value-added activity). However, access to working capital in the domestic financial market is a binding constraint. </w:t>
            </w:r>
          </w:p>
          <w:p w14:paraId="3554738D" w14:textId="3F2C0EC3" w:rsidR="00E9458A" w:rsidRPr="00634146" w:rsidRDefault="00E9458A" w:rsidP="00F74C1C">
            <w:pPr>
              <w:spacing w:before="240" w:line="276" w:lineRule="auto"/>
              <w:jc w:val="both"/>
              <w:rPr>
                <w:rFonts w:asciiTheme="majorHAnsi" w:hAnsiTheme="majorHAnsi" w:cstheme="majorHAnsi"/>
              </w:rPr>
            </w:pPr>
            <w:r w:rsidRPr="00E072DD">
              <w:rPr>
                <w:rFonts w:asciiTheme="majorHAnsi" w:hAnsiTheme="majorHAnsi" w:cstheme="majorHAnsi"/>
                <w:sz w:val="20"/>
                <w:szCs w:val="20"/>
              </w:rPr>
              <w:t>* Name has been changed for confidentiality reasons.</w:t>
            </w:r>
          </w:p>
        </w:tc>
      </w:tr>
    </w:tbl>
    <w:p w14:paraId="04972BBE" w14:textId="77777777" w:rsidR="00497CC9" w:rsidRDefault="00497CC9">
      <w:pPr>
        <w:spacing w:after="200" w:line="276" w:lineRule="auto"/>
        <w:jc w:val="both"/>
        <w:rPr>
          <w:rFonts w:ascii="Times New Roman" w:hAnsi="Times New Roman" w:cstheme="minorBidi"/>
          <w:spacing w:val="5"/>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1339D" w14:paraId="5EDEECC0" w14:textId="77777777" w:rsidTr="00CB755B">
        <w:tc>
          <w:tcPr>
            <w:tcW w:w="9350" w:type="dxa"/>
          </w:tcPr>
          <w:p w14:paraId="3675C3A2" w14:textId="77777777" w:rsidR="0051339D" w:rsidRPr="00963C93" w:rsidRDefault="0051339D" w:rsidP="00F12589">
            <w:pPr>
              <w:spacing w:after="120"/>
              <w:jc w:val="center"/>
              <w:rPr>
                <w:rFonts w:ascii="Times New Roman" w:hAnsi="Times New Roman"/>
                <w:b/>
                <w:sz w:val="24"/>
                <w:szCs w:val="24"/>
              </w:rPr>
            </w:pPr>
            <w:bookmarkStart w:id="9" w:name="_Ref450227848"/>
            <w:r w:rsidRPr="00982224">
              <w:rPr>
                <w:rFonts w:asciiTheme="majorHAnsi" w:hAnsiTheme="majorHAnsi" w:cstheme="majorHAnsi"/>
                <w:b/>
                <w:sz w:val="24"/>
                <w:szCs w:val="24"/>
              </w:rPr>
              <w:t xml:space="preserve">Figure </w:t>
            </w:r>
            <w:r w:rsidRPr="00982224">
              <w:rPr>
                <w:rFonts w:asciiTheme="majorHAnsi" w:hAnsiTheme="majorHAnsi" w:cstheme="majorHAnsi"/>
                <w:b/>
                <w:sz w:val="24"/>
                <w:szCs w:val="24"/>
              </w:rPr>
              <w:fldChar w:fldCharType="begin"/>
            </w:r>
            <w:r w:rsidRPr="00982224">
              <w:rPr>
                <w:rFonts w:asciiTheme="majorHAnsi" w:hAnsiTheme="majorHAnsi" w:cstheme="majorHAnsi"/>
                <w:b/>
                <w:sz w:val="24"/>
                <w:szCs w:val="24"/>
              </w:rPr>
              <w:instrText xml:space="preserve"> SEQ Figure \* ARABIC </w:instrText>
            </w:r>
            <w:r w:rsidRPr="0098222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3</w:t>
            </w:r>
            <w:r w:rsidRPr="00982224">
              <w:rPr>
                <w:rFonts w:asciiTheme="majorHAnsi" w:hAnsiTheme="majorHAnsi" w:cstheme="majorHAnsi"/>
                <w:b/>
                <w:sz w:val="24"/>
                <w:szCs w:val="24"/>
              </w:rPr>
              <w:fldChar w:fldCharType="end"/>
            </w:r>
            <w:bookmarkEnd w:id="9"/>
            <w:r w:rsidRPr="002A29FB">
              <w:rPr>
                <w:rFonts w:ascii="Times New Roman" w:hAnsi="Times New Roman"/>
                <w:b/>
                <w:sz w:val="24"/>
                <w:szCs w:val="24"/>
              </w:rPr>
              <w:t xml:space="preserve">: </w:t>
            </w:r>
            <w:r w:rsidR="00F12589">
              <w:rPr>
                <w:rFonts w:ascii="Times New Roman" w:hAnsi="Times New Roman"/>
                <w:b/>
                <w:sz w:val="24"/>
                <w:szCs w:val="24"/>
              </w:rPr>
              <w:t xml:space="preserve">Sectoral </w:t>
            </w:r>
            <w:r w:rsidR="00143D94">
              <w:rPr>
                <w:rFonts w:ascii="Times New Roman" w:hAnsi="Times New Roman"/>
                <w:b/>
                <w:sz w:val="24"/>
                <w:szCs w:val="24"/>
              </w:rPr>
              <w:t xml:space="preserve">Export </w:t>
            </w:r>
            <w:r w:rsidR="00F12589">
              <w:rPr>
                <w:rFonts w:ascii="Times New Roman" w:hAnsi="Times New Roman"/>
                <w:b/>
                <w:sz w:val="24"/>
                <w:szCs w:val="24"/>
              </w:rPr>
              <w:t>Composition of SEZ</w:t>
            </w:r>
            <w:r w:rsidR="000E49E5">
              <w:rPr>
                <w:rFonts w:ascii="Times New Roman" w:hAnsi="Times New Roman"/>
                <w:b/>
                <w:sz w:val="24"/>
                <w:szCs w:val="24"/>
              </w:rPr>
              <w:t>s</w:t>
            </w:r>
            <w:r w:rsidR="00F12589">
              <w:rPr>
                <w:rFonts w:ascii="Times New Roman" w:hAnsi="Times New Roman"/>
                <w:b/>
                <w:sz w:val="24"/>
                <w:szCs w:val="24"/>
              </w:rPr>
              <w:t xml:space="preserve"> in the Dominican Republic</w:t>
            </w:r>
          </w:p>
        </w:tc>
      </w:tr>
      <w:tr w:rsidR="0051339D" w14:paraId="4DA94FCF" w14:textId="77777777" w:rsidTr="00CB755B">
        <w:tc>
          <w:tcPr>
            <w:tcW w:w="9350" w:type="dxa"/>
          </w:tcPr>
          <w:p w14:paraId="292D65DB" w14:textId="77777777" w:rsidR="0051339D" w:rsidRDefault="006E7762" w:rsidP="00CB755B">
            <w:pPr>
              <w:spacing w:after="120" w:line="276" w:lineRule="auto"/>
              <w:jc w:val="center"/>
              <w:rPr>
                <w:rFonts w:ascii="Times New Roman" w:hAnsi="Times New Roman"/>
                <w:sz w:val="24"/>
                <w:szCs w:val="24"/>
              </w:rPr>
            </w:pPr>
            <w:r w:rsidRPr="006E7762">
              <w:rPr>
                <w:rFonts w:ascii="Times New Roman" w:hAnsi="Times New Roman"/>
                <w:noProof/>
                <w:sz w:val="24"/>
                <w:szCs w:val="24"/>
              </w:rPr>
              <w:drawing>
                <wp:inline distT="0" distB="0" distL="0" distR="0" wp14:anchorId="22D39D65" wp14:editId="2EA164ED">
                  <wp:extent cx="3919723" cy="2838183"/>
                  <wp:effectExtent l="0" t="0" r="508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8933" cy="2852093"/>
                          </a:xfrm>
                          <a:prstGeom prst="rect">
                            <a:avLst/>
                          </a:prstGeom>
                          <a:noFill/>
                          <a:ln>
                            <a:noFill/>
                          </a:ln>
                        </pic:spPr>
                      </pic:pic>
                    </a:graphicData>
                  </a:graphic>
                </wp:inline>
              </w:drawing>
            </w:r>
          </w:p>
        </w:tc>
      </w:tr>
      <w:tr w:rsidR="0051339D" w14:paraId="70A9179A" w14:textId="77777777" w:rsidTr="00CB755B">
        <w:tc>
          <w:tcPr>
            <w:tcW w:w="9350" w:type="dxa"/>
          </w:tcPr>
          <w:p w14:paraId="73679C73" w14:textId="77777777" w:rsidR="009A28DF" w:rsidRDefault="0051339D" w:rsidP="009A28DF">
            <w:pPr>
              <w:ind w:left="1422" w:right="1412"/>
              <w:jc w:val="both"/>
              <w:rPr>
                <w:rFonts w:ascii="Times New Roman" w:hAnsi="Times New Roman"/>
                <w:sz w:val="20"/>
                <w:szCs w:val="20"/>
              </w:rPr>
            </w:pPr>
            <w:r>
              <w:rPr>
                <w:rFonts w:ascii="Times New Roman" w:hAnsi="Times New Roman"/>
                <w:sz w:val="20"/>
                <w:szCs w:val="20"/>
              </w:rPr>
              <w:t xml:space="preserve">Note: </w:t>
            </w:r>
            <w:r w:rsidR="00F12589">
              <w:rPr>
                <w:rFonts w:ascii="Times New Roman" w:hAnsi="Times New Roman"/>
                <w:sz w:val="20"/>
                <w:szCs w:val="20"/>
              </w:rPr>
              <w:t xml:space="preserve">This figure presents the sectoral share of total </w:t>
            </w:r>
            <w:r w:rsidR="00F03D3C">
              <w:rPr>
                <w:rFonts w:ascii="Times New Roman" w:hAnsi="Times New Roman"/>
                <w:sz w:val="20"/>
                <w:szCs w:val="20"/>
              </w:rPr>
              <w:t xml:space="preserve">merchandise </w:t>
            </w:r>
            <w:r w:rsidR="00F12589">
              <w:rPr>
                <w:rFonts w:ascii="Times New Roman" w:hAnsi="Times New Roman"/>
                <w:sz w:val="20"/>
                <w:szCs w:val="20"/>
              </w:rPr>
              <w:t xml:space="preserve">exports in SEZ in 2005 and 2015. </w:t>
            </w:r>
            <w:r w:rsidR="00F03D3C">
              <w:rPr>
                <w:rFonts w:ascii="Times New Roman" w:hAnsi="Times New Roman"/>
                <w:sz w:val="20"/>
                <w:szCs w:val="20"/>
              </w:rPr>
              <w:t xml:space="preserve">Main sectors </w:t>
            </w:r>
            <w:r w:rsidR="00F12589">
              <w:rPr>
                <w:rFonts w:ascii="Times New Roman" w:hAnsi="Times New Roman"/>
                <w:sz w:val="20"/>
                <w:szCs w:val="20"/>
              </w:rPr>
              <w:t xml:space="preserve">are </w:t>
            </w:r>
            <w:r w:rsidR="005F58DF">
              <w:rPr>
                <w:rFonts w:ascii="Times New Roman" w:hAnsi="Times New Roman"/>
                <w:sz w:val="20"/>
                <w:szCs w:val="20"/>
              </w:rPr>
              <w:t xml:space="preserve">categorized by technology levels using the EUROSTAT aggregation of manufacturing </w:t>
            </w:r>
            <w:r w:rsidR="00411186">
              <w:rPr>
                <w:rFonts w:ascii="Times New Roman" w:hAnsi="Times New Roman"/>
                <w:sz w:val="20"/>
                <w:szCs w:val="20"/>
              </w:rPr>
              <w:t xml:space="preserve">activities. </w:t>
            </w:r>
          </w:p>
          <w:p w14:paraId="68E9E954" w14:textId="77777777" w:rsidR="0051339D" w:rsidRDefault="005F58DF" w:rsidP="009A28DF">
            <w:pPr>
              <w:ind w:left="1422" w:right="1412"/>
              <w:jc w:val="both"/>
              <w:rPr>
                <w:rFonts w:ascii="Times New Roman" w:hAnsi="Times New Roman"/>
                <w:sz w:val="24"/>
                <w:szCs w:val="24"/>
              </w:rPr>
            </w:pPr>
            <w:r>
              <w:rPr>
                <w:rFonts w:ascii="Times New Roman" w:hAnsi="Times New Roman"/>
                <w:sz w:val="20"/>
                <w:szCs w:val="20"/>
              </w:rPr>
              <w:t>Source: authors’ calculations using data from the Central Bank.</w:t>
            </w:r>
          </w:p>
        </w:tc>
      </w:tr>
    </w:tbl>
    <w:p w14:paraId="00A9A5CD" w14:textId="77777777" w:rsidR="004E60B8" w:rsidRDefault="004E60B8">
      <w:pPr>
        <w:spacing w:after="200" w:line="276" w:lineRule="auto"/>
        <w:jc w:val="both"/>
        <w:rPr>
          <w:rFonts w:ascii="Times New Roman" w:hAnsi="Times New Roman" w:cstheme="minorBidi"/>
          <w:b/>
          <w:spacing w:val="5"/>
          <w:sz w:val="24"/>
          <w:szCs w:val="24"/>
        </w:rPr>
      </w:pPr>
    </w:p>
    <w:p w14:paraId="21FB51DA" w14:textId="0A463D31" w:rsidR="0051339D" w:rsidRPr="004E60B8" w:rsidRDefault="004E60B8">
      <w:pPr>
        <w:spacing w:after="200" w:line="276" w:lineRule="auto"/>
        <w:jc w:val="both"/>
        <w:rPr>
          <w:rFonts w:ascii="Times New Roman" w:hAnsi="Times New Roman" w:cstheme="minorBidi"/>
          <w:spacing w:val="5"/>
          <w:sz w:val="24"/>
          <w:szCs w:val="24"/>
        </w:rPr>
      </w:pPr>
      <w:r>
        <w:rPr>
          <w:rFonts w:ascii="Times New Roman" w:hAnsi="Times New Roman" w:cstheme="minorBidi"/>
          <w:b/>
          <w:spacing w:val="5"/>
          <w:sz w:val="24"/>
          <w:szCs w:val="24"/>
        </w:rPr>
        <w:t xml:space="preserve">Changes in the sectoral composition of SEZ have important labor implications. </w:t>
      </w:r>
      <w:r>
        <w:rPr>
          <w:rFonts w:ascii="Times New Roman" w:hAnsi="Times New Roman" w:cstheme="minorBidi"/>
          <w:spacing w:val="5"/>
          <w:sz w:val="24"/>
          <w:szCs w:val="24"/>
        </w:rPr>
        <w:t xml:space="preserve">Because the labor intensity </w:t>
      </w:r>
      <w:r w:rsidR="00540B8E">
        <w:rPr>
          <w:rFonts w:ascii="Times New Roman" w:hAnsi="Times New Roman" w:cstheme="minorBidi"/>
          <w:spacing w:val="5"/>
          <w:sz w:val="24"/>
          <w:szCs w:val="24"/>
        </w:rPr>
        <w:t>in medium-technology sectors is</w:t>
      </w:r>
      <w:r>
        <w:rPr>
          <w:rFonts w:ascii="Times New Roman" w:hAnsi="Times New Roman" w:cstheme="minorBidi"/>
          <w:spacing w:val="5"/>
          <w:sz w:val="24"/>
          <w:szCs w:val="24"/>
        </w:rPr>
        <w:t xml:space="preserve"> lower than in traditionally low tech-industries (garment production), the potential of SEZ to keep generating jobs is likely to be reduced. This implication may be particularly detrimental for women</w:t>
      </w:r>
      <w:r w:rsidR="00275CC0">
        <w:rPr>
          <w:rFonts w:ascii="Times New Roman" w:hAnsi="Times New Roman" w:cstheme="minorBidi"/>
          <w:spacing w:val="5"/>
          <w:sz w:val="24"/>
          <w:szCs w:val="24"/>
        </w:rPr>
        <w:t xml:space="preserve"> who constitute the lion share of employees in the clothing sector.</w:t>
      </w:r>
      <w:r>
        <w:rPr>
          <w:rFonts w:ascii="Times New Roman" w:hAnsi="Times New Roman" w:cstheme="minorBidi"/>
          <w:spacing w:val="5"/>
          <w:sz w:val="24"/>
          <w:szCs w:val="24"/>
        </w:rPr>
        <w:t xml:space="preserve"> However, the emergence of more sophisticated </w:t>
      </w:r>
      <w:r>
        <w:rPr>
          <w:rFonts w:ascii="Times New Roman" w:hAnsi="Times New Roman" w:cstheme="minorBidi"/>
          <w:spacing w:val="5"/>
          <w:sz w:val="24"/>
          <w:szCs w:val="24"/>
        </w:rPr>
        <w:lastRenderedPageBreak/>
        <w:t xml:space="preserve">process is correlated with higher wages as the demand for more technical </w:t>
      </w:r>
      <w:r w:rsidR="00793CF6">
        <w:rPr>
          <w:rFonts w:ascii="Times New Roman" w:hAnsi="Times New Roman" w:cstheme="minorBidi"/>
          <w:spacing w:val="5"/>
          <w:sz w:val="24"/>
          <w:szCs w:val="24"/>
        </w:rPr>
        <w:t>workers increases.</w:t>
      </w:r>
      <w:r w:rsidR="00275CC0">
        <w:rPr>
          <w:rFonts w:ascii="Times New Roman" w:hAnsi="Times New Roman" w:cstheme="minorBidi"/>
          <w:spacing w:val="5"/>
          <w:sz w:val="24"/>
          <w:szCs w:val="24"/>
        </w:rPr>
        <w:t xml:space="preserve"> The recent rebound of clothing production in SEZs may alleviate the negative impact of the change in the sectoral composition of low-skill</w:t>
      </w:r>
      <w:r w:rsidR="00C53AA0">
        <w:rPr>
          <w:rFonts w:ascii="Times New Roman" w:hAnsi="Times New Roman" w:cstheme="minorBidi"/>
          <w:spacing w:val="5"/>
          <w:sz w:val="24"/>
          <w:szCs w:val="24"/>
        </w:rPr>
        <w:t>ed</w:t>
      </w:r>
      <w:r w:rsidR="00275CC0">
        <w:rPr>
          <w:rFonts w:ascii="Times New Roman" w:hAnsi="Times New Roman" w:cstheme="minorBidi"/>
          <w:spacing w:val="5"/>
          <w:sz w:val="24"/>
          <w:szCs w:val="24"/>
        </w:rPr>
        <w:t xml:space="preserve"> workers. </w:t>
      </w:r>
      <w:r w:rsidR="006F30AF">
        <w:rPr>
          <w:rFonts w:ascii="Times New Roman" w:hAnsi="Times New Roman" w:cstheme="minorBidi"/>
          <w:spacing w:val="5"/>
          <w:sz w:val="24"/>
          <w:szCs w:val="24"/>
        </w:rPr>
        <w:t xml:space="preserve">To draw any conclusion, it is essential to quantify the size of this adjustment costs and disentangle the key factors related to the functioning of labor markets in the Dominican Republic. See </w:t>
      </w:r>
      <w:r w:rsidR="00D94D04">
        <w:rPr>
          <w:rFonts w:ascii="Times New Roman" w:hAnsi="Times New Roman" w:cstheme="minorBidi"/>
          <w:spacing w:val="5"/>
          <w:sz w:val="24"/>
          <w:szCs w:val="24"/>
        </w:rPr>
        <w:t xml:space="preserve">The World Bank (2016) for an analysis of the role of labor markets in limiting the inclusiveness of economic growth in the Dominica Republic. </w:t>
      </w:r>
    </w:p>
    <w:p w14:paraId="49AF980F" w14:textId="2FF8012A" w:rsidR="007250AD" w:rsidRDefault="005540F5" w:rsidP="009F1D78">
      <w:pPr>
        <w:spacing w:after="200" w:line="276" w:lineRule="auto"/>
        <w:jc w:val="both"/>
        <w:rPr>
          <w:rFonts w:ascii="Times New Roman" w:hAnsi="Times New Roman"/>
          <w:sz w:val="24"/>
          <w:szCs w:val="24"/>
        </w:rPr>
      </w:pPr>
      <w:r w:rsidRPr="003458E6">
        <w:rPr>
          <w:rFonts w:ascii="Times New Roman" w:hAnsi="Times New Roman" w:cstheme="minorBidi"/>
          <w:b/>
          <w:spacing w:val="5"/>
          <w:sz w:val="24"/>
          <w:szCs w:val="24"/>
        </w:rPr>
        <w:t>The emergence of relatively more sophist</w:t>
      </w:r>
      <w:r w:rsidR="00CC34EB">
        <w:rPr>
          <w:rFonts w:ascii="Times New Roman" w:hAnsi="Times New Roman" w:cstheme="minorBidi"/>
          <w:b/>
          <w:spacing w:val="5"/>
          <w:sz w:val="24"/>
          <w:szCs w:val="24"/>
        </w:rPr>
        <w:t>icated production processes has</w:t>
      </w:r>
      <w:r w:rsidRPr="003458E6">
        <w:rPr>
          <w:rFonts w:ascii="Times New Roman" w:hAnsi="Times New Roman" w:cstheme="minorBidi"/>
          <w:b/>
          <w:spacing w:val="5"/>
          <w:sz w:val="24"/>
          <w:szCs w:val="24"/>
        </w:rPr>
        <w:t xml:space="preserve"> brought SEZs into more complex GVCs. </w:t>
      </w:r>
      <w:r w:rsidR="009F1D78">
        <w:rPr>
          <w:rFonts w:ascii="Times New Roman" w:hAnsi="Times New Roman" w:cstheme="minorBidi"/>
          <w:b/>
          <w:spacing w:val="5"/>
          <w:sz w:val="24"/>
          <w:szCs w:val="24"/>
        </w:rPr>
        <w:t>O</w:t>
      </w:r>
      <w:r w:rsidR="003458E6" w:rsidRPr="003458E6">
        <w:rPr>
          <w:rFonts w:ascii="Times New Roman" w:hAnsi="Times New Roman" w:cstheme="minorBidi"/>
          <w:b/>
          <w:spacing w:val="5"/>
          <w:sz w:val="24"/>
          <w:szCs w:val="24"/>
        </w:rPr>
        <w:t xml:space="preserve">n </w:t>
      </w:r>
      <w:r w:rsidR="0035394D">
        <w:rPr>
          <w:rFonts w:ascii="Times New Roman" w:hAnsi="Times New Roman" w:cstheme="minorBidi"/>
          <w:b/>
          <w:spacing w:val="5"/>
          <w:sz w:val="24"/>
          <w:szCs w:val="24"/>
        </w:rPr>
        <w:t>average</w:t>
      </w:r>
      <w:r w:rsidR="003458E6" w:rsidRPr="003458E6">
        <w:rPr>
          <w:rFonts w:ascii="Times New Roman" w:hAnsi="Times New Roman" w:cstheme="minorBidi"/>
          <w:b/>
          <w:spacing w:val="5"/>
          <w:sz w:val="24"/>
          <w:szCs w:val="24"/>
        </w:rPr>
        <w:t xml:space="preserve">, SEZ </w:t>
      </w:r>
      <w:r w:rsidR="00C62B26" w:rsidRPr="003458E6">
        <w:rPr>
          <w:rFonts w:ascii="Times New Roman" w:hAnsi="Times New Roman"/>
          <w:b/>
          <w:sz w:val="24"/>
          <w:szCs w:val="24"/>
        </w:rPr>
        <w:t xml:space="preserve">exports moved </w:t>
      </w:r>
      <w:r w:rsidR="0040063B" w:rsidRPr="00220F5F">
        <w:rPr>
          <w:rFonts w:ascii="Times New Roman" w:hAnsi="Times New Roman"/>
          <w:b/>
          <w:i/>
          <w:sz w:val="24"/>
          <w:szCs w:val="24"/>
        </w:rPr>
        <w:t>downstream</w:t>
      </w:r>
      <w:r w:rsidR="0040063B">
        <w:rPr>
          <w:rFonts w:ascii="Times New Roman" w:hAnsi="Times New Roman"/>
          <w:b/>
          <w:sz w:val="24"/>
          <w:szCs w:val="24"/>
        </w:rPr>
        <w:t xml:space="preserve"> (</w:t>
      </w:r>
      <w:r w:rsidR="0035394D">
        <w:rPr>
          <w:rFonts w:ascii="Times New Roman" w:hAnsi="Times New Roman"/>
          <w:b/>
          <w:sz w:val="24"/>
          <w:szCs w:val="24"/>
        </w:rPr>
        <w:t>closer to final consumers</w:t>
      </w:r>
      <w:r w:rsidR="00E2355E">
        <w:rPr>
          <w:rFonts w:ascii="Times New Roman" w:hAnsi="Times New Roman"/>
          <w:b/>
          <w:sz w:val="24"/>
          <w:szCs w:val="24"/>
        </w:rPr>
        <w:t xml:space="preserve"> in terms of number of production stages</w:t>
      </w:r>
      <w:r w:rsidR="0040063B">
        <w:rPr>
          <w:rFonts w:ascii="Times New Roman" w:hAnsi="Times New Roman"/>
          <w:b/>
          <w:sz w:val="24"/>
          <w:szCs w:val="24"/>
        </w:rPr>
        <w:t>) in GVC</w:t>
      </w:r>
      <w:r w:rsidR="009F1D78">
        <w:rPr>
          <w:rFonts w:ascii="Times New Roman" w:hAnsi="Times New Roman"/>
          <w:b/>
          <w:sz w:val="24"/>
          <w:szCs w:val="24"/>
        </w:rPr>
        <w:t>s</w:t>
      </w:r>
      <w:r w:rsidR="0035394D">
        <w:rPr>
          <w:rFonts w:ascii="Times New Roman" w:hAnsi="Times New Roman"/>
          <w:b/>
          <w:sz w:val="24"/>
          <w:szCs w:val="24"/>
        </w:rPr>
        <w:t xml:space="preserve"> </w:t>
      </w:r>
      <w:r w:rsidR="00C62B26" w:rsidRPr="003458E6">
        <w:rPr>
          <w:rFonts w:ascii="Times New Roman" w:hAnsi="Times New Roman"/>
          <w:b/>
          <w:sz w:val="24"/>
          <w:szCs w:val="24"/>
        </w:rPr>
        <w:t xml:space="preserve">while </w:t>
      </w:r>
      <w:r w:rsidR="009F1D78">
        <w:rPr>
          <w:rFonts w:ascii="Times New Roman" w:hAnsi="Times New Roman"/>
          <w:b/>
          <w:sz w:val="24"/>
          <w:szCs w:val="24"/>
        </w:rPr>
        <w:t xml:space="preserve">their </w:t>
      </w:r>
      <w:r w:rsidR="00C62B26" w:rsidRPr="003458E6">
        <w:rPr>
          <w:rFonts w:ascii="Times New Roman" w:hAnsi="Times New Roman"/>
          <w:b/>
          <w:sz w:val="24"/>
          <w:szCs w:val="24"/>
        </w:rPr>
        <w:t xml:space="preserve">imports moved upstream </w:t>
      </w:r>
      <w:r w:rsidR="0035394D">
        <w:rPr>
          <w:rFonts w:ascii="Times New Roman" w:hAnsi="Times New Roman"/>
          <w:b/>
          <w:sz w:val="24"/>
          <w:szCs w:val="24"/>
        </w:rPr>
        <w:t>(f</w:t>
      </w:r>
      <w:r w:rsidR="00FC2A64">
        <w:rPr>
          <w:rFonts w:ascii="Times New Roman" w:hAnsi="Times New Roman"/>
          <w:b/>
          <w:sz w:val="24"/>
          <w:szCs w:val="24"/>
        </w:rPr>
        <w:t>u</w:t>
      </w:r>
      <w:r w:rsidR="0035394D">
        <w:rPr>
          <w:rFonts w:ascii="Times New Roman" w:hAnsi="Times New Roman"/>
          <w:b/>
          <w:sz w:val="24"/>
          <w:szCs w:val="24"/>
        </w:rPr>
        <w:t xml:space="preserve">rther from final demand) </w:t>
      </w:r>
      <w:r w:rsidR="00C62B26" w:rsidRPr="003458E6">
        <w:rPr>
          <w:rFonts w:ascii="Times New Roman" w:hAnsi="Times New Roman"/>
          <w:b/>
          <w:sz w:val="24"/>
          <w:szCs w:val="24"/>
        </w:rPr>
        <w:t xml:space="preserve">which is consistent with </w:t>
      </w:r>
      <w:r w:rsidR="009F1D78">
        <w:rPr>
          <w:rFonts w:ascii="Times New Roman" w:hAnsi="Times New Roman"/>
          <w:b/>
          <w:sz w:val="24"/>
          <w:szCs w:val="24"/>
        </w:rPr>
        <w:t xml:space="preserve">the </w:t>
      </w:r>
      <w:r w:rsidR="00C62B26" w:rsidRPr="003458E6">
        <w:rPr>
          <w:rFonts w:ascii="Times New Roman" w:hAnsi="Times New Roman"/>
          <w:b/>
          <w:sz w:val="24"/>
          <w:szCs w:val="24"/>
        </w:rPr>
        <w:t xml:space="preserve">increasing value addition taking place </w:t>
      </w:r>
      <w:r w:rsidR="0040063B">
        <w:rPr>
          <w:rFonts w:ascii="Times New Roman" w:hAnsi="Times New Roman"/>
          <w:b/>
          <w:sz w:val="24"/>
          <w:szCs w:val="24"/>
        </w:rPr>
        <w:t xml:space="preserve">within </w:t>
      </w:r>
      <w:r w:rsidR="00C62B26" w:rsidRPr="003458E6">
        <w:rPr>
          <w:rFonts w:ascii="Times New Roman" w:hAnsi="Times New Roman"/>
          <w:b/>
          <w:sz w:val="24"/>
          <w:szCs w:val="24"/>
        </w:rPr>
        <w:t>the zones</w:t>
      </w:r>
      <w:r w:rsidR="00C62B26" w:rsidRPr="003C348C">
        <w:rPr>
          <w:rFonts w:ascii="Times New Roman" w:hAnsi="Times New Roman"/>
          <w:b/>
          <w:sz w:val="24"/>
          <w:szCs w:val="24"/>
        </w:rPr>
        <w:t>.</w:t>
      </w:r>
      <w:r w:rsidR="00E2355E">
        <w:rPr>
          <w:rFonts w:ascii="Times New Roman" w:hAnsi="Times New Roman"/>
          <w:sz w:val="24"/>
          <w:szCs w:val="24"/>
        </w:rPr>
        <w:t xml:space="preserve"> </w:t>
      </w:r>
      <w:r w:rsidR="00FF79B7">
        <w:rPr>
          <w:rFonts w:ascii="Times New Roman" w:hAnsi="Times New Roman"/>
          <w:sz w:val="24"/>
          <w:szCs w:val="24"/>
        </w:rPr>
        <w:t xml:space="preserve">In fact, </w:t>
      </w:r>
      <w:r w:rsidR="00FF79B7" w:rsidRPr="00220F5F">
        <w:rPr>
          <w:rFonts w:ascii="Times New Roman" w:hAnsi="Times New Roman"/>
          <w:i/>
          <w:sz w:val="24"/>
          <w:szCs w:val="24"/>
        </w:rPr>
        <w:t>u</w:t>
      </w:r>
      <w:r w:rsidR="00C62B26" w:rsidRPr="00220F5F">
        <w:rPr>
          <w:rFonts w:ascii="Times New Roman" w:hAnsi="Times New Roman"/>
          <w:i/>
          <w:sz w:val="24"/>
          <w:szCs w:val="24"/>
        </w:rPr>
        <w:t>pstreamness</w:t>
      </w:r>
      <w:r w:rsidR="00C62B26">
        <w:rPr>
          <w:rFonts w:ascii="Times New Roman" w:hAnsi="Times New Roman"/>
          <w:sz w:val="24"/>
          <w:szCs w:val="24"/>
        </w:rPr>
        <w:t xml:space="preserve"> of </w:t>
      </w:r>
      <w:r w:rsidR="003458E6">
        <w:rPr>
          <w:rFonts w:ascii="Times New Roman" w:hAnsi="Times New Roman"/>
          <w:sz w:val="24"/>
          <w:szCs w:val="24"/>
        </w:rPr>
        <w:t xml:space="preserve">SEZ </w:t>
      </w:r>
      <w:r w:rsidR="00C62B26">
        <w:rPr>
          <w:rFonts w:ascii="Times New Roman" w:hAnsi="Times New Roman"/>
          <w:sz w:val="24"/>
          <w:szCs w:val="24"/>
        </w:rPr>
        <w:t xml:space="preserve">exports </w:t>
      </w:r>
      <w:r w:rsidR="009F1D78">
        <w:rPr>
          <w:rFonts w:ascii="Times New Roman" w:hAnsi="Times New Roman"/>
          <w:sz w:val="24"/>
          <w:szCs w:val="24"/>
        </w:rPr>
        <w:t xml:space="preserve">has </w:t>
      </w:r>
      <w:r w:rsidR="00C62B26">
        <w:rPr>
          <w:rFonts w:ascii="Times New Roman" w:hAnsi="Times New Roman"/>
          <w:sz w:val="24"/>
          <w:szCs w:val="24"/>
        </w:rPr>
        <w:t>slightly declined over the last decade and is the lowest among c</w:t>
      </w:r>
      <w:r w:rsidR="00C62B26" w:rsidRPr="001D638F">
        <w:rPr>
          <w:rFonts w:ascii="Times New Roman" w:hAnsi="Times New Roman"/>
          <w:sz w:val="24"/>
          <w:szCs w:val="24"/>
        </w:rPr>
        <w:t xml:space="preserve">ountries </w:t>
      </w:r>
      <w:r w:rsidR="00C62B26">
        <w:rPr>
          <w:rFonts w:ascii="Times New Roman" w:hAnsi="Times New Roman"/>
          <w:sz w:val="24"/>
          <w:szCs w:val="24"/>
        </w:rPr>
        <w:t xml:space="preserve">that are highly integrated into GVCs </w:t>
      </w:r>
      <w:r w:rsidR="00C62B26" w:rsidRPr="001D638F">
        <w:rPr>
          <w:rFonts w:ascii="Times New Roman" w:hAnsi="Times New Roman"/>
          <w:sz w:val="24"/>
          <w:szCs w:val="24"/>
        </w:rPr>
        <w:t>like Mexico, Thailand</w:t>
      </w:r>
      <w:r w:rsidR="00C62B26">
        <w:rPr>
          <w:rFonts w:ascii="Times New Roman" w:hAnsi="Times New Roman"/>
          <w:sz w:val="24"/>
          <w:szCs w:val="24"/>
        </w:rPr>
        <w:t>,</w:t>
      </w:r>
      <w:r w:rsidR="00C62B26" w:rsidRPr="001D638F">
        <w:rPr>
          <w:rFonts w:ascii="Times New Roman" w:hAnsi="Times New Roman"/>
          <w:sz w:val="24"/>
          <w:szCs w:val="24"/>
        </w:rPr>
        <w:t xml:space="preserve"> and China which reflects </w:t>
      </w:r>
      <w:r w:rsidR="00C62B26">
        <w:rPr>
          <w:rFonts w:ascii="Times New Roman" w:hAnsi="Times New Roman"/>
          <w:sz w:val="24"/>
          <w:szCs w:val="24"/>
        </w:rPr>
        <w:t>the zones</w:t>
      </w:r>
      <w:r w:rsidR="00FC2A64">
        <w:rPr>
          <w:rFonts w:ascii="Times New Roman" w:hAnsi="Times New Roman"/>
          <w:sz w:val="24"/>
          <w:szCs w:val="24"/>
        </w:rPr>
        <w:t>’</w:t>
      </w:r>
      <w:r w:rsidR="00C62B26" w:rsidRPr="001D638F">
        <w:rPr>
          <w:rFonts w:ascii="Times New Roman" w:hAnsi="Times New Roman"/>
          <w:sz w:val="24"/>
          <w:szCs w:val="24"/>
        </w:rPr>
        <w:t xml:space="preserve"> specialization in </w:t>
      </w:r>
      <w:r w:rsidR="003458E6">
        <w:rPr>
          <w:rFonts w:ascii="Times New Roman" w:hAnsi="Times New Roman"/>
          <w:sz w:val="24"/>
          <w:szCs w:val="24"/>
        </w:rPr>
        <w:t xml:space="preserve">assembly and </w:t>
      </w:r>
      <w:r w:rsidR="00C62B26">
        <w:rPr>
          <w:rFonts w:ascii="Times New Roman" w:hAnsi="Times New Roman"/>
          <w:sz w:val="24"/>
          <w:szCs w:val="24"/>
        </w:rPr>
        <w:t xml:space="preserve">final good </w:t>
      </w:r>
      <w:r w:rsidR="00C62B26" w:rsidRPr="001D638F">
        <w:rPr>
          <w:rFonts w:ascii="Times New Roman" w:hAnsi="Times New Roman"/>
          <w:sz w:val="24"/>
          <w:szCs w:val="24"/>
        </w:rPr>
        <w:t>exports</w:t>
      </w:r>
      <w:r w:rsidR="00FF79B7">
        <w:rPr>
          <w:rFonts w:ascii="Times New Roman" w:hAnsi="Times New Roman"/>
          <w:sz w:val="24"/>
          <w:szCs w:val="24"/>
        </w:rPr>
        <w:t xml:space="preserve"> (</w:t>
      </w:r>
      <w:r w:rsidR="00FF79B7" w:rsidRPr="00A1065C">
        <w:rPr>
          <w:rFonts w:ascii="Times New Roman" w:hAnsi="Times New Roman"/>
          <w:sz w:val="24"/>
          <w:szCs w:val="24"/>
        </w:rPr>
        <w:fldChar w:fldCharType="begin"/>
      </w:r>
      <w:r w:rsidR="00FF79B7" w:rsidRPr="00A1065C">
        <w:rPr>
          <w:rFonts w:ascii="Times New Roman" w:hAnsi="Times New Roman"/>
          <w:sz w:val="24"/>
          <w:szCs w:val="24"/>
        </w:rPr>
        <w:instrText xml:space="preserve"> REF _Ref449607115 \h  \* MERGEFORMAT </w:instrText>
      </w:r>
      <w:r w:rsidR="00FF79B7" w:rsidRPr="00A1065C">
        <w:rPr>
          <w:rFonts w:ascii="Times New Roman" w:hAnsi="Times New Roman"/>
          <w:sz w:val="24"/>
          <w:szCs w:val="24"/>
        </w:rPr>
      </w:r>
      <w:r w:rsidR="00FF79B7" w:rsidRPr="00A1065C">
        <w:rPr>
          <w:rFonts w:ascii="Times New Roman" w:hAnsi="Times New Roman"/>
          <w:sz w:val="24"/>
          <w:szCs w:val="24"/>
        </w:rPr>
        <w:fldChar w:fldCharType="separate"/>
      </w:r>
      <w:r w:rsidR="00893CAD" w:rsidRPr="00893CAD">
        <w:rPr>
          <w:rFonts w:asciiTheme="majorHAnsi" w:hAnsiTheme="majorHAnsi" w:cstheme="majorHAnsi"/>
          <w:sz w:val="24"/>
          <w:szCs w:val="24"/>
        </w:rPr>
        <w:t xml:space="preserve">Figure </w:t>
      </w:r>
      <w:r w:rsidR="00893CAD" w:rsidRPr="00893CAD">
        <w:rPr>
          <w:rFonts w:asciiTheme="majorHAnsi" w:hAnsiTheme="majorHAnsi" w:cstheme="majorHAnsi"/>
          <w:noProof/>
          <w:sz w:val="24"/>
          <w:szCs w:val="24"/>
        </w:rPr>
        <w:t>4</w:t>
      </w:r>
      <w:r w:rsidR="00FF79B7" w:rsidRPr="00A1065C">
        <w:rPr>
          <w:rFonts w:ascii="Times New Roman" w:hAnsi="Times New Roman"/>
          <w:sz w:val="24"/>
          <w:szCs w:val="24"/>
        </w:rPr>
        <w:fldChar w:fldCharType="end"/>
      </w:r>
      <w:r w:rsidR="00FF79B7">
        <w:rPr>
          <w:rFonts w:ascii="Times New Roman" w:hAnsi="Times New Roman"/>
          <w:sz w:val="24"/>
          <w:szCs w:val="24"/>
        </w:rPr>
        <w:t>)</w:t>
      </w:r>
      <w:r w:rsidR="00C62B26" w:rsidRPr="001D638F">
        <w:rPr>
          <w:rFonts w:ascii="Times New Roman" w:hAnsi="Times New Roman"/>
          <w:sz w:val="24"/>
          <w:szCs w:val="24"/>
        </w:rPr>
        <w:t xml:space="preserve">. On the other hand, </w:t>
      </w:r>
      <w:r w:rsidR="003458E6">
        <w:rPr>
          <w:rFonts w:ascii="Times New Roman" w:hAnsi="Times New Roman"/>
          <w:sz w:val="24"/>
          <w:szCs w:val="24"/>
        </w:rPr>
        <w:t xml:space="preserve">SEZ </w:t>
      </w:r>
      <w:r w:rsidR="00C62B26" w:rsidRPr="001D638F">
        <w:rPr>
          <w:rFonts w:ascii="Times New Roman" w:hAnsi="Times New Roman"/>
          <w:sz w:val="24"/>
          <w:szCs w:val="24"/>
        </w:rPr>
        <w:t xml:space="preserve">imports </w:t>
      </w:r>
      <w:r w:rsidR="00C62B26">
        <w:rPr>
          <w:rFonts w:ascii="Times New Roman" w:hAnsi="Times New Roman"/>
          <w:sz w:val="24"/>
          <w:szCs w:val="24"/>
        </w:rPr>
        <w:t>have moved upstream during the same period which reflects an import structure shifting towards intermediate inputs that are higher upstream in the value chain (e.g. from cotton fabric to cotton yarn or fiber</w:t>
      </w:r>
      <w:r w:rsidR="003458E6">
        <w:rPr>
          <w:rFonts w:ascii="Times New Roman" w:hAnsi="Times New Roman"/>
          <w:sz w:val="24"/>
          <w:szCs w:val="24"/>
        </w:rPr>
        <w:t>, for instance</w:t>
      </w:r>
      <w:r w:rsidR="00C62B26">
        <w:rPr>
          <w:rFonts w:ascii="Times New Roman" w:hAnsi="Times New Roman"/>
          <w:sz w:val="24"/>
          <w:szCs w:val="24"/>
        </w:rPr>
        <w:t>).</w:t>
      </w:r>
      <w:r w:rsidR="00FF79B7">
        <w:rPr>
          <w:rFonts w:ascii="Times New Roman" w:hAnsi="Times New Roman"/>
          <w:sz w:val="24"/>
          <w:szCs w:val="24"/>
        </w:rPr>
        <w:t xml:space="preserve"> Overall, this indicates that the sectoral transformation in SEZs have brought more value added to the country. </w:t>
      </w:r>
      <w:r w:rsidR="00D35414" w:rsidRPr="00D35414">
        <w:rPr>
          <w:rFonts w:ascii="Times New Roman" w:hAnsi="Times New Roman"/>
          <w:sz w:val="24"/>
          <w:szCs w:val="24"/>
        </w:rPr>
        <w:fldChar w:fldCharType="begin"/>
      </w:r>
      <w:r w:rsidR="00D35414" w:rsidRPr="00D35414">
        <w:rPr>
          <w:rFonts w:ascii="Times New Roman" w:hAnsi="Times New Roman"/>
          <w:sz w:val="24"/>
          <w:szCs w:val="24"/>
        </w:rPr>
        <w:instrText xml:space="preserve"> REF _Ref449619227 \h  \* MERGEFORMAT </w:instrText>
      </w:r>
      <w:r w:rsidR="00D35414" w:rsidRPr="00D35414">
        <w:rPr>
          <w:rFonts w:ascii="Times New Roman" w:hAnsi="Times New Roman"/>
          <w:sz w:val="24"/>
          <w:szCs w:val="24"/>
        </w:rPr>
      </w:r>
      <w:r w:rsidR="00D35414" w:rsidRPr="00D35414">
        <w:rPr>
          <w:rFonts w:ascii="Times New Roman" w:hAnsi="Times New Roman"/>
          <w:sz w:val="24"/>
          <w:szCs w:val="24"/>
        </w:rPr>
        <w:fldChar w:fldCharType="separate"/>
      </w:r>
      <w:r w:rsidR="00893CAD" w:rsidRPr="00893CAD">
        <w:rPr>
          <w:rFonts w:asciiTheme="majorHAnsi" w:hAnsiTheme="majorHAnsi" w:cstheme="majorHAnsi"/>
        </w:rPr>
        <w:t xml:space="preserve">Box </w:t>
      </w:r>
      <w:r w:rsidR="00893CAD" w:rsidRPr="00893CAD">
        <w:rPr>
          <w:rFonts w:asciiTheme="majorHAnsi" w:hAnsiTheme="majorHAnsi" w:cstheme="majorHAnsi"/>
          <w:noProof/>
        </w:rPr>
        <w:t>3</w:t>
      </w:r>
      <w:r w:rsidR="00D35414" w:rsidRPr="00D35414">
        <w:rPr>
          <w:rFonts w:ascii="Times New Roman" w:hAnsi="Times New Roman"/>
          <w:sz w:val="24"/>
          <w:szCs w:val="24"/>
        </w:rPr>
        <w:fldChar w:fldCharType="end"/>
      </w:r>
      <w:r w:rsidR="00D35414">
        <w:rPr>
          <w:rFonts w:ascii="Times New Roman" w:hAnsi="Times New Roman"/>
          <w:sz w:val="24"/>
          <w:szCs w:val="24"/>
        </w:rPr>
        <w:t xml:space="preserve"> p</w:t>
      </w:r>
      <w:r w:rsidR="00FF79B7">
        <w:rPr>
          <w:rFonts w:ascii="Times New Roman" w:hAnsi="Times New Roman"/>
          <w:sz w:val="24"/>
          <w:szCs w:val="24"/>
        </w:rPr>
        <w:t xml:space="preserve">resents the calculation of the </w:t>
      </w:r>
      <w:r w:rsidR="00FF79B7" w:rsidRPr="00220F5F">
        <w:rPr>
          <w:rFonts w:ascii="Times New Roman" w:hAnsi="Times New Roman"/>
          <w:i/>
          <w:sz w:val="24"/>
          <w:szCs w:val="24"/>
        </w:rPr>
        <w:t>upstreamness</w:t>
      </w:r>
      <w:r w:rsidR="0038678C">
        <w:rPr>
          <w:rFonts w:ascii="Times New Roman" w:hAnsi="Times New Roman"/>
          <w:sz w:val="24"/>
          <w:szCs w:val="24"/>
        </w:rPr>
        <w:t xml:space="preserve"> measure.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065C" w14:paraId="166592C5" w14:textId="77777777" w:rsidTr="009D3146">
        <w:tc>
          <w:tcPr>
            <w:tcW w:w="9350" w:type="dxa"/>
            <w:gridSpan w:val="2"/>
          </w:tcPr>
          <w:p w14:paraId="70696571" w14:textId="77777777" w:rsidR="007250AD" w:rsidRPr="00963C93" w:rsidRDefault="00A1065C" w:rsidP="009D3146">
            <w:pPr>
              <w:spacing w:after="120"/>
              <w:jc w:val="center"/>
              <w:rPr>
                <w:rFonts w:ascii="Times New Roman" w:hAnsi="Times New Roman"/>
                <w:b/>
                <w:sz w:val="24"/>
                <w:szCs w:val="24"/>
              </w:rPr>
            </w:pPr>
            <w:bookmarkStart w:id="10" w:name="_Ref449607115"/>
            <w:r w:rsidRPr="00982224">
              <w:rPr>
                <w:rFonts w:asciiTheme="majorHAnsi" w:hAnsiTheme="majorHAnsi" w:cstheme="majorHAnsi"/>
                <w:b/>
                <w:sz w:val="24"/>
                <w:szCs w:val="24"/>
              </w:rPr>
              <w:t xml:space="preserve">Figure </w:t>
            </w:r>
            <w:r w:rsidRPr="00982224">
              <w:rPr>
                <w:rFonts w:asciiTheme="majorHAnsi" w:hAnsiTheme="majorHAnsi" w:cstheme="majorHAnsi"/>
                <w:b/>
                <w:sz w:val="24"/>
                <w:szCs w:val="24"/>
              </w:rPr>
              <w:fldChar w:fldCharType="begin"/>
            </w:r>
            <w:r w:rsidRPr="00982224">
              <w:rPr>
                <w:rFonts w:asciiTheme="majorHAnsi" w:hAnsiTheme="majorHAnsi" w:cstheme="majorHAnsi"/>
                <w:b/>
                <w:sz w:val="24"/>
                <w:szCs w:val="24"/>
              </w:rPr>
              <w:instrText xml:space="preserve"> SEQ Figure \* ARABIC </w:instrText>
            </w:r>
            <w:r w:rsidRPr="0098222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4</w:t>
            </w:r>
            <w:r w:rsidRPr="00982224">
              <w:rPr>
                <w:rFonts w:asciiTheme="majorHAnsi" w:hAnsiTheme="majorHAnsi" w:cstheme="majorHAnsi"/>
                <w:b/>
                <w:sz w:val="24"/>
                <w:szCs w:val="24"/>
              </w:rPr>
              <w:fldChar w:fldCharType="end"/>
            </w:r>
            <w:bookmarkEnd w:id="10"/>
            <w:r w:rsidRPr="002A29FB">
              <w:rPr>
                <w:rFonts w:ascii="Times New Roman" w:hAnsi="Times New Roman"/>
                <w:b/>
                <w:sz w:val="24"/>
                <w:szCs w:val="24"/>
              </w:rPr>
              <w:t xml:space="preserve">: </w:t>
            </w:r>
            <w:r>
              <w:rPr>
                <w:rFonts w:ascii="Times New Roman" w:hAnsi="Times New Roman"/>
                <w:b/>
                <w:sz w:val="24"/>
                <w:szCs w:val="24"/>
              </w:rPr>
              <w:t xml:space="preserve">Export and </w:t>
            </w:r>
            <w:r w:rsidR="009D3146">
              <w:rPr>
                <w:rFonts w:ascii="Times New Roman" w:hAnsi="Times New Roman"/>
                <w:b/>
                <w:sz w:val="24"/>
                <w:szCs w:val="24"/>
              </w:rPr>
              <w:t>Import Upstreamness</w:t>
            </w:r>
            <w:r w:rsidR="009D3146">
              <w:rPr>
                <w:rFonts w:ascii="Times New Roman" w:hAnsi="Times New Roman"/>
                <w:b/>
                <w:sz w:val="24"/>
                <w:szCs w:val="24"/>
              </w:rPr>
              <w:br/>
              <w:t>(2002-2012)</w:t>
            </w:r>
          </w:p>
        </w:tc>
      </w:tr>
      <w:tr w:rsidR="009D3146" w14:paraId="698D2A43" w14:textId="77777777" w:rsidTr="009D3146">
        <w:tc>
          <w:tcPr>
            <w:tcW w:w="4675" w:type="dxa"/>
          </w:tcPr>
          <w:p w14:paraId="51BC46A3" w14:textId="77777777" w:rsidR="009D3146" w:rsidRPr="00982224" w:rsidRDefault="009D3146" w:rsidP="00A1065C">
            <w:pPr>
              <w:spacing w:after="120"/>
              <w:jc w:val="center"/>
              <w:rPr>
                <w:rFonts w:asciiTheme="majorHAnsi" w:hAnsiTheme="majorHAnsi" w:cstheme="majorHAnsi"/>
                <w:b/>
                <w:sz w:val="24"/>
                <w:szCs w:val="24"/>
              </w:rPr>
            </w:pPr>
            <w:r>
              <w:rPr>
                <w:rFonts w:ascii="Times New Roman" w:hAnsi="Times New Roman"/>
                <w:b/>
                <w:sz w:val="24"/>
                <w:szCs w:val="24"/>
              </w:rPr>
              <w:t>Exports</w:t>
            </w:r>
          </w:p>
        </w:tc>
        <w:tc>
          <w:tcPr>
            <w:tcW w:w="4675" w:type="dxa"/>
          </w:tcPr>
          <w:p w14:paraId="3EEEC876" w14:textId="77777777" w:rsidR="009D3146" w:rsidRPr="00982224" w:rsidRDefault="009D3146" w:rsidP="00A1065C">
            <w:pPr>
              <w:spacing w:after="120"/>
              <w:jc w:val="center"/>
              <w:rPr>
                <w:rFonts w:asciiTheme="majorHAnsi" w:hAnsiTheme="majorHAnsi" w:cstheme="majorHAnsi"/>
                <w:b/>
                <w:sz w:val="24"/>
                <w:szCs w:val="24"/>
              </w:rPr>
            </w:pPr>
            <w:r>
              <w:rPr>
                <w:rFonts w:ascii="Times New Roman" w:hAnsi="Times New Roman"/>
                <w:b/>
                <w:sz w:val="24"/>
                <w:szCs w:val="24"/>
              </w:rPr>
              <w:t>Imports</w:t>
            </w:r>
          </w:p>
        </w:tc>
      </w:tr>
      <w:tr w:rsidR="00A1065C" w14:paraId="4708D964" w14:textId="77777777" w:rsidTr="009D3146">
        <w:tc>
          <w:tcPr>
            <w:tcW w:w="9350" w:type="dxa"/>
            <w:gridSpan w:val="2"/>
          </w:tcPr>
          <w:p w14:paraId="679B2C8C" w14:textId="69E1B301" w:rsidR="00A1065C" w:rsidRDefault="00282E8C" w:rsidP="00CB755B">
            <w:pPr>
              <w:spacing w:after="120" w:line="276" w:lineRule="auto"/>
              <w:jc w:val="center"/>
              <w:rPr>
                <w:rFonts w:ascii="Times New Roman" w:hAnsi="Times New Roman"/>
                <w:sz w:val="24"/>
                <w:szCs w:val="24"/>
              </w:rPr>
            </w:pPr>
            <w:r w:rsidRPr="00282E8C">
              <w:rPr>
                <w:rFonts w:ascii="Times New Roman" w:hAnsi="Times New Roman"/>
                <w:noProof/>
                <w:sz w:val="24"/>
                <w:szCs w:val="24"/>
              </w:rPr>
              <w:drawing>
                <wp:inline distT="0" distB="0" distL="0" distR="0" wp14:anchorId="71BF78BC" wp14:editId="0A6678FD">
                  <wp:extent cx="2707265"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3578" cy="1737592"/>
                          </a:xfrm>
                          <a:prstGeom prst="rect">
                            <a:avLst/>
                          </a:prstGeom>
                          <a:noFill/>
                          <a:ln>
                            <a:noFill/>
                          </a:ln>
                        </pic:spPr>
                      </pic:pic>
                    </a:graphicData>
                  </a:graphic>
                </wp:inline>
              </w:drawing>
            </w:r>
            <w:r w:rsidR="0038678C">
              <w:rPr>
                <w:rFonts w:ascii="Times New Roman" w:hAnsi="Times New Roman"/>
                <w:sz w:val="24"/>
                <w:szCs w:val="24"/>
              </w:rPr>
              <w:t xml:space="preserve"> </w:t>
            </w:r>
            <w:r w:rsidRPr="00282E8C">
              <w:rPr>
                <w:rFonts w:ascii="Times New Roman" w:hAnsi="Times New Roman"/>
                <w:noProof/>
                <w:sz w:val="24"/>
                <w:szCs w:val="24"/>
              </w:rPr>
              <w:drawing>
                <wp:inline distT="0" distB="0" distL="0" distR="0" wp14:anchorId="6F27860C" wp14:editId="338F84AB">
                  <wp:extent cx="2698340" cy="1727835"/>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8800" cy="1740936"/>
                          </a:xfrm>
                          <a:prstGeom prst="rect">
                            <a:avLst/>
                          </a:prstGeom>
                          <a:noFill/>
                          <a:ln>
                            <a:noFill/>
                          </a:ln>
                        </pic:spPr>
                      </pic:pic>
                    </a:graphicData>
                  </a:graphic>
                </wp:inline>
              </w:drawing>
            </w:r>
          </w:p>
        </w:tc>
      </w:tr>
      <w:tr w:rsidR="00A1065C" w14:paraId="02827E9F" w14:textId="77777777" w:rsidTr="009D3146">
        <w:tc>
          <w:tcPr>
            <w:tcW w:w="9350" w:type="dxa"/>
            <w:gridSpan w:val="2"/>
          </w:tcPr>
          <w:p w14:paraId="3988A5B3" w14:textId="77777777" w:rsidR="00A1065C" w:rsidRDefault="00A1065C" w:rsidP="00A1065C">
            <w:pPr>
              <w:jc w:val="both"/>
              <w:rPr>
                <w:rFonts w:ascii="Times New Roman" w:hAnsi="Times New Roman"/>
                <w:sz w:val="20"/>
                <w:szCs w:val="20"/>
              </w:rPr>
            </w:pPr>
            <w:r>
              <w:rPr>
                <w:rFonts w:ascii="Times New Roman" w:hAnsi="Times New Roman"/>
                <w:sz w:val="20"/>
                <w:szCs w:val="20"/>
              </w:rPr>
              <w:t xml:space="preserve">Note: </w:t>
            </w:r>
            <w:r w:rsidR="00E2355E">
              <w:rPr>
                <w:rFonts w:ascii="Times New Roman" w:hAnsi="Times New Roman"/>
                <w:sz w:val="20"/>
                <w:szCs w:val="20"/>
              </w:rPr>
              <w:t xml:space="preserve">These figures </w:t>
            </w:r>
            <w:r w:rsidR="00E2355E" w:rsidRPr="00E2355E">
              <w:rPr>
                <w:rFonts w:ascii="Times New Roman" w:hAnsi="Times New Roman"/>
                <w:sz w:val="20"/>
                <w:szCs w:val="20"/>
              </w:rPr>
              <w:t>shows the changes in average “</w:t>
            </w:r>
            <w:r w:rsidR="00E2355E" w:rsidRPr="00220F5F">
              <w:rPr>
                <w:rFonts w:ascii="Times New Roman" w:hAnsi="Times New Roman"/>
                <w:i/>
                <w:sz w:val="20"/>
                <w:szCs w:val="20"/>
              </w:rPr>
              <w:t>upstreamness</w:t>
            </w:r>
            <w:r w:rsidR="00E2355E" w:rsidRPr="00E2355E">
              <w:rPr>
                <w:rFonts w:ascii="Times New Roman" w:hAnsi="Times New Roman"/>
                <w:sz w:val="20"/>
                <w:szCs w:val="20"/>
              </w:rPr>
              <w:t>” or distance to final demand for the Dominican Republic as a whole and SEZs compared with benchmark countries over the last decade. The upstreamness indicator ranges from one to five with a lower value indicating a particular product or industry is downstream in the value chain or closer to final demand</w:t>
            </w:r>
            <w:r w:rsidR="007250AD">
              <w:rPr>
                <w:rFonts w:ascii="Times New Roman" w:hAnsi="Times New Roman"/>
                <w:sz w:val="20"/>
                <w:szCs w:val="20"/>
              </w:rPr>
              <w:t xml:space="preserve"> in terms of the number of production stages.</w:t>
            </w:r>
          </w:p>
          <w:p w14:paraId="4A498BBC" w14:textId="77777777" w:rsidR="00A1065C" w:rsidRDefault="00A1065C" w:rsidP="00A1065C">
            <w:pPr>
              <w:jc w:val="both"/>
              <w:rPr>
                <w:rFonts w:ascii="Times New Roman" w:hAnsi="Times New Roman"/>
                <w:sz w:val="24"/>
                <w:szCs w:val="24"/>
              </w:rPr>
            </w:pPr>
            <w:r w:rsidRPr="00A1065C">
              <w:rPr>
                <w:rFonts w:ascii="Times New Roman" w:hAnsi="Times New Roman"/>
                <w:sz w:val="20"/>
                <w:szCs w:val="20"/>
              </w:rPr>
              <w:t>Source: Authors’ elaboration using UN-COMTRADE and customs data</w:t>
            </w:r>
          </w:p>
        </w:tc>
      </w:tr>
    </w:tbl>
    <w:p w14:paraId="63404CA3" w14:textId="77777777" w:rsidR="00EE33EF" w:rsidRDefault="00EE33EF" w:rsidP="00EE33EF">
      <w:pPr>
        <w:jc w:val="both"/>
      </w:pPr>
    </w:p>
    <w:p w14:paraId="23E16280" w14:textId="77777777" w:rsidR="00282E8C" w:rsidRDefault="00282E8C" w:rsidP="00EE33EF">
      <w:pPr>
        <w:jc w:val="both"/>
      </w:pPr>
    </w:p>
    <w:tbl>
      <w:tblPr>
        <w:tblW w:w="0" w:type="auto"/>
        <w:tblBorders>
          <w:top w:val="single" w:sz="4" w:space="0" w:color="000000"/>
          <w:left w:val="single" w:sz="4" w:space="0" w:color="000000"/>
          <w:bottom w:val="single" w:sz="4" w:space="0" w:color="000000"/>
          <w:right w:val="single" w:sz="4" w:space="0" w:color="000000"/>
        </w:tblBorders>
        <w:shd w:val="clear" w:color="auto" w:fill="DFE3E5" w:themeFill="background2"/>
        <w:tblLook w:val="04A0" w:firstRow="1" w:lastRow="0" w:firstColumn="1" w:lastColumn="0" w:noHBand="0" w:noVBand="1"/>
      </w:tblPr>
      <w:tblGrid>
        <w:gridCol w:w="9350"/>
      </w:tblGrid>
      <w:tr w:rsidR="00EE33EF" w:rsidRPr="00634146" w14:paraId="266459A0" w14:textId="77777777" w:rsidTr="00282E8C">
        <w:trPr>
          <w:trHeight w:val="214"/>
        </w:trPr>
        <w:tc>
          <w:tcPr>
            <w:tcW w:w="9350" w:type="dxa"/>
            <w:shd w:val="clear" w:color="auto" w:fill="DFECEB" w:themeFill="accent6" w:themeFillTint="33"/>
          </w:tcPr>
          <w:p w14:paraId="34C8EFDF" w14:textId="012694BC" w:rsidR="00EE33EF" w:rsidRPr="00634146" w:rsidRDefault="00EE33EF" w:rsidP="00F74C1C">
            <w:pPr>
              <w:spacing w:line="276" w:lineRule="auto"/>
              <w:jc w:val="center"/>
              <w:rPr>
                <w:rFonts w:asciiTheme="majorHAnsi" w:hAnsiTheme="majorHAnsi" w:cstheme="majorHAnsi"/>
                <w:b/>
              </w:rPr>
            </w:pPr>
            <w:bookmarkStart w:id="11" w:name="_Ref449619227"/>
            <w:r w:rsidRPr="00634146">
              <w:rPr>
                <w:rFonts w:asciiTheme="majorHAnsi" w:hAnsiTheme="majorHAnsi" w:cstheme="majorHAnsi"/>
                <w:b/>
              </w:rPr>
              <w:t xml:space="preserve">Box </w:t>
            </w:r>
            <w:r w:rsidRPr="00634146">
              <w:rPr>
                <w:rFonts w:asciiTheme="majorHAnsi" w:hAnsiTheme="majorHAnsi" w:cstheme="majorHAnsi"/>
                <w:b/>
              </w:rPr>
              <w:fldChar w:fldCharType="begin"/>
            </w:r>
            <w:r w:rsidRPr="00634146">
              <w:rPr>
                <w:rFonts w:asciiTheme="majorHAnsi" w:hAnsiTheme="majorHAnsi" w:cstheme="majorHAnsi"/>
                <w:b/>
              </w:rPr>
              <w:instrText xml:space="preserve"> SEQ Box \* ARABIC </w:instrText>
            </w:r>
            <w:r w:rsidRPr="00634146">
              <w:rPr>
                <w:rFonts w:asciiTheme="majorHAnsi" w:hAnsiTheme="majorHAnsi" w:cstheme="majorHAnsi"/>
                <w:b/>
              </w:rPr>
              <w:fldChar w:fldCharType="separate"/>
            </w:r>
            <w:r w:rsidR="00893CAD">
              <w:rPr>
                <w:rFonts w:asciiTheme="majorHAnsi" w:hAnsiTheme="majorHAnsi" w:cstheme="majorHAnsi"/>
                <w:b/>
                <w:noProof/>
              </w:rPr>
              <w:t>3</w:t>
            </w:r>
            <w:r w:rsidRPr="00634146">
              <w:rPr>
                <w:rFonts w:asciiTheme="majorHAnsi" w:hAnsiTheme="majorHAnsi" w:cstheme="majorHAnsi"/>
                <w:b/>
              </w:rPr>
              <w:fldChar w:fldCharType="end"/>
            </w:r>
            <w:bookmarkEnd w:id="11"/>
            <w:r w:rsidRPr="00634146">
              <w:rPr>
                <w:rFonts w:asciiTheme="majorHAnsi" w:hAnsiTheme="majorHAnsi" w:cstheme="majorHAnsi"/>
                <w:b/>
              </w:rPr>
              <w:t xml:space="preserve"> . </w:t>
            </w:r>
            <w:r>
              <w:rPr>
                <w:rFonts w:asciiTheme="majorHAnsi" w:hAnsiTheme="majorHAnsi" w:cstheme="majorHAnsi"/>
                <w:b/>
              </w:rPr>
              <w:t xml:space="preserve">Indicators to identify the position of </w:t>
            </w:r>
            <w:r w:rsidR="009F1D78">
              <w:rPr>
                <w:rFonts w:asciiTheme="majorHAnsi" w:hAnsiTheme="majorHAnsi" w:cstheme="majorHAnsi"/>
                <w:b/>
              </w:rPr>
              <w:t xml:space="preserve">a </w:t>
            </w:r>
            <w:r>
              <w:rPr>
                <w:rFonts w:asciiTheme="majorHAnsi" w:hAnsiTheme="majorHAnsi" w:cstheme="majorHAnsi"/>
                <w:b/>
              </w:rPr>
              <w:t>particular country in a GVC</w:t>
            </w:r>
          </w:p>
          <w:p w14:paraId="1BA702A6" w14:textId="4024A44C" w:rsidR="00EE33EF" w:rsidRPr="00EE33EF" w:rsidRDefault="00EE33EF" w:rsidP="00F74C1C">
            <w:pPr>
              <w:spacing w:before="240" w:line="276" w:lineRule="auto"/>
              <w:jc w:val="both"/>
              <w:rPr>
                <w:rFonts w:ascii="Times New Roman" w:hAnsi="Times New Roman"/>
                <w:sz w:val="20"/>
                <w:szCs w:val="20"/>
              </w:rPr>
            </w:pPr>
            <w:r w:rsidRPr="00EE33EF">
              <w:rPr>
                <w:rFonts w:ascii="Times New Roman" w:hAnsi="Times New Roman"/>
                <w:sz w:val="20"/>
                <w:szCs w:val="20"/>
              </w:rPr>
              <w:t xml:space="preserve">The position of a particular country in GVCs can be measured by its “distance to final demand” (Antràs, Chor, </w:t>
            </w:r>
            <w:r w:rsidRPr="00EE33EF">
              <w:rPr>
                <w:rFonts w:ascii="Times New Roman" w:hAnsi="Times New Roman"/>
                <w:sz w:val="20"/>
                <w:szCs w:val="20"/>
              </w:rPr>
              <w:lastRenderedPageBreak/>
              <w:t xml:space="preserve">Fally and Hillberry, 2012) – i.e. the distance in terms of </w:t>
            </w:r>
            <w:r w:rsidR="009F1D78">
              <w:rPr>
                <w:rFonts w:ascii="Times New Roman" w:hAnsi="Times New Roman"/>
                <w:sz w:val="20"/>
                <w:szCs w:val="20"/>
              </w:rPr>
              <w:t xml:space="preserve">the </w:t>
            </w:r>
            <w:r w:rsidRPr="00EE33EF">
              <w:rPr>
                <w:rFonts w:ascii="Times New Roman" w:hAnsi="Times New Roman"/>
                <w:sz w:val="20"/>
                <w:szCs w:val="20"/>
              </w:rPr>
              <w:t>number of production stages between the production of good i in country c and final demand. Measured as:</w:t>
            </w:r>
          </w:p>
          <w:p w14:paraId="711D5C77" w14:textId="77777777" w:rsidR="00EE33EF" w:rsidRPr="00EE33EF" w:rsidRDefault="00EE33EF" w:rsidP="00F74C1C">
            <w:pPr>
              <w:spacing w:before="240" w:line="276" w:lineRule="auto"/>
              <w:jc w:val="center"/>
              <w:rPr>
                <w:rFonts w:ascii="Times New Roman" w:hAnsi="Times New Roman"/>
                <w:sz w:val="20"/>
                <w:szCs w:val="20"/>
              </w:rPr>
            </w:pPr>
            <w:r w:rsidRPr="00EE33EF">
              <w:rPr>
                <w:rFonts w:ascii="Times New Roman" w:hAnsi="Times New Roman"/>
                <w:sz w:val="20"/>
                <w:szCs w:val="20"/>
              </w:rPr>
              <w:object w:dxaOrig="2640" w:dyaOrig="560" w14:anchorId="4F70D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0pt" o:ole="">
                  <v:imagedata r:id="rId13" o:title=""/>
                </v:shape>
                <o:OLEObject Type="Embed" ProgID="Equation.DSMT4" ShapeID="_x0000_i1025" DrawAspect="Content" ObjectID="_1549794451" r:id="rId14"/>
              </w:object>
            </w:r>
          </w:p>
          <w:p w14:paraId="0E7129FC" w14:textId="6B043B2D" w:rsidR="00EE33EF" w:rsidRPr="00634146" w:rsidRDefault="00EE33EF" w:rsidP="00F74C1C">
            <w:pPr>
              <w:spacing w:before="240" w:line="276" w:lineRule="auto"/>
              <w:jc w:val="both"/>
              <w:rPr>
                <w:rFonts w:asciiTheme="majorHAnsi" w:hAnsiTheme="majorHAnsi" w:cstheme="majorHAnsi"/>
              </w:rPr>
            </w:pPr>
            <w:r w:rsidRPr="00EE33EF">
              <w:rPr>
                <w:rFonts w:ascii="Times New Roman" w:hAnsi="Times New Roman"/>
                <w:sz w:val="20"/>
                <w:szCs w:val="20"/>
              </w:rPr>
              <w:t>Ddj is the distance to final demand in terms of number of production stages in country d and industry j. These are summed up over all country-industry (d,j) combinations who use inputs from industry i and country c using φcdij as weights. φcdij is the fraction of production from industry i in country c that is purchased as an intermediate good by industry j in country d. Evidence suggests that only a few countries have moved downstream. Most countries have increased their upstreamness because the overall length of value chains has increased with the fragmentation of production. Moreover, the offshoring process that lengthens GVCs tends to affect more the early stages of production, although a new wave of services offshoring has been taking place in recent years (Taglioni and Winkler, 2016).</w:t>
            </w:r>
            <w:r w:rsidR="00F15B79">
              <w:rPr>
                <w:rFonts w:ascii="Times New Roman" w:hAnsi="Times New Roman"/>
                <w:sz w:val="20"/>
                <w:szCs w:val="20"/>
              </w:rPr>
              <w:t xml:space="preserve"> </w:t>
            </w:r>
            <w:r w:rsidR="000B08A6">
              <w:rPr>
                <w:rFonts w:ascii="Times New Roman" w:hAnsi="Times New Roman"/>
                <w:sz w:val="20"/>
                <w:szCs w:val="20"/>
              </w:rPr>
              <w:t xml:space="preserve">The comparison between the </w:t>
            </w:r>
            <w:r w:rsidR="00695987">
              <w:rPr>
                <w:rFonts w:ascii="Times New Roman" w:hAnsi="Times New Roman"/>
                <w:sz w:val="20"/>
                <w:szCs w:val="20"/>
              </w:rPr>
              <w:t>upstre</w:t>
            </w:r>
            <w:r w:rsidR="00E2355E">
              <w:rPr>
                <w:rFonts w:ascii="Times New Roman" w:hAnsi="Times New Roman"/>
                <w:sz w:val="20"/>
                <w:szCs w:val="20"/>
              </w:rPr>
              <w:t>am</w:t>
            </w:r>
            <w:r w:rsidR="00695987">
              <w:rPr>
                <w:rFonts w:ascii="Times New Roman" w:hAnsi="Times New Roman"/>
                <w:sz w:val="20"/>
                <w:szCs w:val="20"/>
              </w:rPr>
              <w:t xml:space="preserve">ness of exports and imports provides </w:t>
            </w:r>
            <w:r w:rsidR="00E2355E">
              <w:rPr>
                <w:rFonts w:ascii="Times New Roman" w:hAnsi="Times New Roman"/>
                <w:sz w:val="20"/>
                <w:szCs w:val="20"/>
              </w:rPr>
              <w:t>a measure of the degree of transformation taking place in a given country</w:t>
            </w:r>
            <w:r w:rsidR="00F26BB9">
              <w:rPr>
                <w:rFonts w:ascii="Times New Roman" w:hAnsi="Times New Roman"/>
                <w:sz w:val="20"/>
                <w:szCs w:val="20"/>
              </w:rPr>
              <w:t>, with a greater difference between the former and the latter indicative of a greater degree of domestic value addition and transformation</w:t>
            </w:r>
            <w:r w:rsidR="00E2355E">
              <w:rPr>
                <w:rFonts w:ascii="Times New Roman" w:hAnsi="Times New Roman"/>
                <w:sz w:val="20"/>
                <w:szCs w:val="20"/>
              </w:rPr>
              <w:t>.</w:t>
            </w:r>
          </w:p>
        </w:tc>
      </w:tr>
    </w:tbl>
    <w:p w14:paraId="72CF27FD" w14:textId="215157DB" w:rsidR="00FF79B7" w:rsidRPr="00C13F7A" w:rsidRDefault="00263655" w:rsidP="00F45346">
      <w:pPr>
        <w:spacing w:before="240" w:line="276" w:lineRule="auto"/>
        <w:jc w:val="both"/>
        <w:rPr>
          <w:rFonts w:ascii="Times New Roman" w:hAnsi="Times New Roman"/>
          <w:sz w:val="24"/>
          <w:szCs w:val="24"/>
        </w:rPr>
      </w:pPr>
      <w:r>
        <w:rPr>
          <w:rFonts w:ascii="Times New Roman" w:hAnsi="Times New Roman"/>
          <w:b/>
          <w:sz w:val="24"/>
          <w:szCs w:val="24"/>
        </w:rPr>
        <w:t xml:space="preserve">Pharmaceuticals, footwear, </w:t>
      </w:r>
      <w:r w:rsidR="007A5201">
        <w:rPr>
          <w:rFonts w:ascii="Times New Roman" w:hAnsi="Times New Roman"/>
          <w:b/>
          <w:sz w:val="24"/>
          <w:szCs w:val="24"/>
        </w:rPr>
        <w:t xml:space="preserve">and </w:t>
      </w:r>
      <w:r>
        <w:rPr>
          <w:rFonts w:ascii="Times New Roman" w:hAnsi="Times New Roman"/>
          <w:b/>
          <w:sz w:val="24"/>
          <w:szCs w:val="24"/>
        </w:rPr>
        <w:t xml:space="preserve">electrical products are the industries where </w:t>
      </w:r>
      <w:r w:rsidR="00647472">
        <w:rPr>
          <w:rFonts w:ascii="Times New Roman" w:hAnsi="Times New Roman"/>
          <w:b/>
          <w:sz w:val="24"/>
          <w:szCs w:val="24"/>
        </w:rPr>
        <w:t xml:space="preserve">the number of stages of production </w:t>
      </w:r>
      <w:r w:rsidR="00C13F7A">
        <w:rPr>
          <w:rFonts w:ascii="Times New Roman" w:hAnsi="Times New Roman"/>
          <w:b/>
          <w:sz w:val="24"/>
          <w:szCs w:val="24"/>
        </w:rPr>
        <w:t>taking place in SEZs</w:t>
      </w:r>
      <w:r w:rsidR="00647472">
        <w:rPr>
          <w:rFonts w:ascii="Times New Roman" w:hAnsi="Times New Roman"/>
          <w:b/>
          <w:sz w:val="24"/>
          <w:szCs w:val="24"/>
        </w:rPr>
        <w:t xml:space="preserve"> have increased more</w:t>
      </w:r>
      <w:r w:rsidR="006021E2">
        <w:rPr>
          <w:rFonts w:ascii="Times New Roman" w:hAnsi="Times New Roman"/>
          <w:b/>
          <w:sz w:val="24"/>
          <w:szCs w:val="24"/>
        </w:rPr>
        <w:t xml:space="preserve">, improving the feasibility that more value </w:t>
      </w:r>
      <w:r w:rsidR="009F1D78">
        <w:rPr>
          <w:rFonts w:ascii="Times New Roman" w:hAnsi="Times New Roman"/>
          <w:b/>
          <w:sz w:val="24"/>
          <w:szCs w:val="24"/>
        </w:rPr>
        <w:t xml:space="preserve">added is incorporated </w:t>
      </w:r>
      <w:r w:rsidR="00D5069A">
        <w:rPr>
          <w:rFonts w:ascii="Times New Roman" w:hAnsi="Times New Roman"/>
          <w:b/>
          <w:sz w:val="24"/>
          <w:szCs w:val="24"/>
        </w:rPr>
        <w:t xml:space="preserve">into the </w:t>
      </w:r>
      <w:r w:rsidR="006021E2">
        <w:rPr>
          <w:rFonts w:ascii="Times New Roman" w:hAnsi="Times New Roman"/>
          <w:b/>
          <w:sz w:val="24"/>
          <w:szCs w:val="24"/>
        </w:rPr>
        <w:t>production process</w:t>
      </w:r>
      <w:r w:rsidR="00C13F7A">
        <w:rPr>
          <w:rFonts w:ascii="Times New Roman" w:hAnsi="Times New Roman"/>
          <w:b/>
          <w:sz w:val="24"/>
          <w:szCs w:val="24"/>
        </w:rPr>
        <w:t xml:space="preserve">. </w:t>
      </w:r>
      <w:r w:rsidR="006021E2">
        <w:rPr>
          <w:rFonts w:ascii="Times New Roman" w:hAnsi="Times New Roman"/>
          <w:sz w:val="24"/>
          <w:szCs w:val="24"/>
        </w:rPr>
        <w:t xml:space="preserve">This is reflected by the fact that exports appeared to be closer to the final consumer whereas imports are farther </w:t>
      </w:r>
      <w:r w:rsidR="001F728D">
        <w:rPr>
          <w:rFonts w:ascii="Times New Roman" w:hAnsi="Times New Roman"/>
          <w:sz w:val="24"/>
          <w:szCs w:val="24"/>
        </w:rPr>
        <w:t xml:space="preserve">away </w:t>
      </w:r>
      <w:r w:rsidR="006021E2">
        <w:rPr>
          <w:rFonts w:ascii="Times New Roman" w:hAnsi="Times New Roman"/>
          <w:sz w:val="24"/>
          <w:szCs w:val="24"/>
        </w:rPr>
        <w:t xml:space="preserve">from them </w:t>
      </w:r>
      <w:r w:rsidR="006021E2" w:rsidRPr="006021E2">
        <w:rPr>
          <w:rFonts w:ascii="Times New Roman" w:hAnsi="Times New Roman"/>
          <w:sz w:val="24"/>
          <w:szCs w:val="24"/>
        </w:rPr>
        <w:t>(</w:t>
      </w:r>
      <w:r w:rsidR="006021E2" w:rsidRPr="006021E2">
        <w:rPr>
          <w:rFonts w:ascii="Times New Roman" w:hAnsi="Times New Roman"/>
          <w:sz w:val="24"/>
          <w:szCs w:val="24"/>
        </w:rPr>
        <w:fldChar w:fldCharType="begin"/>
      </w:r>
      <w:r w:rsidR="006021E2" w:rsidRPr="006021E2">
        <w:rPr>
          <w:rFonts w:ascii="Times New Roman" w:hAnsi="Times New Roman"/>
          <w:sz w:val="24"/>
          <w:szCs w:val="24"/>
        </w:rPr>
        <w:instrText xml:space="preserve"> REF _Ref449620218 \h  \* MERGEFORMAT </w:instrText>
      </w:r>
      <w:r w:rsidR="006021E2" w:rsidRPr="006021E2">
        <w:rPr>
          <w:rFonts w:ascii="Times New Roman" w:hAnsi="Times New Roman"/>
          <w:sz w:val="24"/>
          <w:szCs w:val="24"/>
        </w:rPr>
      </w:r>
      <w:r w:rsidR="006021E2" w:rsidRPr="006021E2">
        <w:rPr>
          <w:rFonts w:ascii="Times New Roman" w:hAnsi="Times New Roman"/>
          <w:sz w:val="24"/>
          <w:szCs w:val="24"/>
        </w:rPr>
        <w:fldChar w:fldCharType="separate"/>
      </w:r>
      <w:r w:rsidR="00893CAD" w:rsidRPr="00893CAD">
        <w:rPr>
          <w:rFonts w:asciiTheme="majorHAnsi" w:hAnsiTheme="majorHAnsi" w:cstheme="majorHAnsi"/>
          <w:sz w:val="24"/>
          <w:szCs w:val="24"/>
        </w:rPr>
        <w:t xml:space="preserve">Figure </w:t>
      </w:r>
      <w:r w:rsidR="00893CAD" w:rsidRPr="00893CAD">
        <w:rPr>
          <w:rFonts w:asciiTheme="majorHAnsi" w:hAnsiTheme="majorHAnsi" w:cstheme="majorHAnsi"/>
          <w:noProof/>
          <w:sz w:val="24"/>
          <w:szCs w:val="24"/>
        </w:rPr>
        <w:t>5</w:t>
      </w:r>
      <w:r w:rsidR="006021E2" w:rsidRPr="006021E2">
        <w:rPr>
          <w:rFonts w:ascii="Times New Roman" w:hAnsi="Times New Roman"/>
          <w:sz w:val="24"/>
          <w:szCs w:val="24"/>
        </w:rPr>
        <w:fldChar w:fldCharType="end"/>
      </w:r>
      <w:r w:rsidR="006021E2" w:rsidRPr="006021E2">
        <w:rPr>
          <w:rFonts w:ascii="Times New Roman" w:hAnsi="Times New Roman"/>
          <w:sz w:val="24"/>
          <w:szCs w:val="24"/>
        </w:rPr>
        <w:t>).</w:t>
      </w:r>
      <w:r w:rsidR="006021E2">
        <w:rPr>
          <w:rFonts w:ascii="Times New Roman" w:hAnsi="Times New Roman"/>
          <w:sz w:val="24"/>
          <w:szCs w:val="24"/>
        </w:rPr>
        <w:t xml:space="preserve"> </w:t>
      </w:r>
      <w:r w:rsidR="00316498">
        <w:rPr>
          <w:rFonts w:ascii="Times New Roman" w:hAnsi="Times New Roman"/>
          <w:sz w:val="24"/>
          <w:szCs w:val="24"/>
        </w:rPr>
        <w:t>Jewelry and textiles</w:t>
      </w:r>
      <w:r w:rsidR="00F45346">
        <w:rPr>
          <w:rFonts w:ascii="Times New Roman" w:hAnsi="Times New Roman"/>
          <w:sz w:val="24"/>
          <w:szCs w:val="24"/>
        </w:rPr>
        <w:t>, on the other hand,</w:t>
      </w:r>
      <w:r w:rsidR="00316498">
        <w:rPr>
          <w:rFonts w:ascii="Times New Roman" w:hAnsi="Times New Roman"/>
          <w:sz w:val="24"/>
          <w:szCs w:val="24"/>
        </w:rPr>
        <w:t xml:space="preserve"> appear to </w:t>
      </w:r>
      <w:r w:rsidR="00F45346">
        <w:rPr>
          <w:rFonts w:ascii="Times New Roman" w:hAnsi="Times New Roman"/>
          <w:sz w:val="24"/>
          <w:szCs w:val="24"/>
        </w:rPr>
        <w:t xml:space="preserve">be farther from final demand, indicating that these GVCs </w:t>
      </w:r>
      <w:r w:rsidR="001F728D">
        <w:rPr>
          <w:rFonts w:ascii="Times New Roman" w:hAnsi="Times New Roman"/>
          <w:sz w:val="24"/>
          <w:szCs w:val="24"/>
        </w:rPr>
        <w:t xml:space="preserve">may </w:t>
      </w:r>
      <w:r w:rsidR="00F45346">
        <w:rPr>
          <w:rFonts w:ascii="Times New Roman" w:hAnsi="Times New Roman"/>
          <w:sz w:val="24"/>
          <w:szCs w:val="24"/>
        </w:rPr>
        <w:t xml:space="preserve">have grown </w:t>
      </w:r>
      <w:r w:rsidR="00A00D1A">
        <w:rPr>
          <w:rFonts w:ascii="Times New Roman" w:hAnsi="Times New Roman"/>
          <w:sz w:val="24"/>
          <w:szCs w:val="24"/>
        </w:rPr>
        <w:t xml:space="preserve">longer </w:t>
      </w:r>
      <w:r w:rsidR="001F728D">
        <w:rPr>
          <w:rFonts w:ascii="Times New Roman" w:hAnsi="Times New Roman"/>
          <w:sz w:val="24"/>
          <w:szCs w:val="24"/>
        </w:rPr>
        <w:t xml:space="preserve">and that Dominican firms are specialized in an intermediate stage of the production process. For the case of clothing, this could reflect the fact that final assembly happens in Haiti because </w:t>
      </w:r>
      <w:r w:rsidR="007967EA">
        <w:rPr>
          <w:rFonts w:ascii="Times New Roman" w:hAnsi="Times New Roman"/>
          <w:sz w:val="24"/>
          <w:szCs w:val="24"/>
        </w:rPr>
        <w:t xml:space="preserve">of the benefits the country receives from the </w:t>
      </w:r>
      <w:r w:rsidR="00040485">
        <w:rPr>
          <w:rFonts w:ascii="Times New Roman" w:hAnsi="Times New Roman"/>
          <w:sz w:val="24"/>
          <w:szCs w:val="24"/>
        </w:rPr>
        <w:t xml:space="preserve">US </w:t>
      </w:r>
      <w:r w:rsidR="007967EA">
        <w:rPr>
          <w:rFonts w:ascii="Times New Roman" w:hAnsi="Times New Roman"/>
          <w:sz w:val="24"/>
          <w:szCs w:val="24"/>
        </w:rPr>
        <w:t>trade preferences program</w:t>
      </w:r>
      <w:r w:rsidR="00040485">
        <w:rPr>
          <w:rFonts w:ascii="Times New Roman" w:hAnsi="Times New Roman"/>
          <w:sz w:val="24"/>
          <w:szCs w:val="24"/>
        </w:rPr>
        <w:t>s.</w:t>
      </w:r>
      <w:r w:rsidR="00E02390">
        <w:rPr>
          <w:rStyle w:val="FootnoteReference"/>
          <w:rFonts w:ascii="Times New Roman" w:hAnsi="Times New Roman"/>
          <w:sz w:val="24"/>
          <w:szCs w:val="24"/>
        </w:rPr>
        <w:footnoteReference w:id="4"/>
      </w:r>
      <w:r w:rsidR="007967EA">
        <w:rPr>
          <w:rFonts w:ascii="Times New Roman" w:hAnsi="Times New Roman"/>
          <w:sz w:val="24"/>
          <w:szCs w:val="24"/>
        </w:rPr>
        <w:t xml:space="preserve"> </w:t>
      </w:r>
      <w:r w:rsidR="00647472">
        <w:rPr>
          <w:rFonts w:ascii="Times New Roman" w:hAnsi="Times New Roman"/>
          <w:sz w:val="24"/>
          <w:szCs w:val="24"/>
        </w:rPr>
        <w:t>It is important to note that while the number of production stages taking place in SEZ has increased, the majority of production stages for pharmaceuticals, electrical products, and</w:t>
      </w:r>
      <w:r w:rsidR="00540B8E">
        <w:rPr>
          <w:rFonts w:ascii="Times New Roman" w:hAnsi="Times New Roman"/>
          <w:sz w:val="24"/>
          <w:szCs w:val="24"/>
        </w:rPr>
        <w:t xml:space="preserve"> medical equipment still happens</w:t>
      </w:r>
      <w:r w:rsidR="00647472">
        <w:rPr>
          <w:rFonts w:ascii="Times New Roman" w:hAnsi="Times New Roman"/>
          <w:sz w:val="24"/>
          <w:szCs w:val="24"/>
        </w:rPr>
        <w:t xml:space="preserve"> outside the Dominican Republic</w:t>
      </w:r>
      <w:r w:rsidR="00267561">
        <w:rPr>
          <w:rFonts w:ascii="Times New Roman" w:hAnsi="Times New Roman"/>
          <w:sz w:val="24"/>
          <w:szCs w:val="24"/>
        </w:rPr>
        <w:t xml:space="preserve"> (</w:t>
      </w:r>
      <w:r w:rsidR="00267561" w:rsidRPr="00267561">
        <w:rPr>
          <w:rFonts w:ascii="Times New Roman" w:hAnsi="Times New Roman"/>
          <w:sz w:val="24"/>
          <w:szCs w:val="24"/>
        </w:rPr>
        <w:fldChar w:fldCharType="begin"/>
      </w:r>
      <w:r w:rsidR="00267561" w:rsidRPr="00267561">
        <w:rPr>
          <w:rFonts w:ascii="Times New Roman" w:hAnsi="Times New Roman"/>
          <w:sz w:val="24"/>
          <w:szCs w:val="24"/>
        </w:rPr>
        <w:instrText xml:space="preserve"> REF _Ref453202060 \h  \* MERGEFORMAT </w:instrText>
      </w:r>
      <w:r w:rsidR="00267561" w:rsidRPr="00267561">
        <w:rPr>
          <w:rFonts w:ascii="Times New Roman" w:hAnsi="Times New Roman"/>
          <w:sz w:val="24"/>
          <w:szCs w:val="24"/>
        </w:rPr>
      </w:r>
      <w:r w:rsidR="00267561" w:rsidRPr="00267561">
        <w:rPr>
          <w:rFonts w:ascii="Times New Roman" w:hAnsi="Times New Roman"/>
          <w:sz w:val="24"/>
          <w:szCs w:val="24"/>
        </w:rPr>
        <w:fldChar w:fldCharType="separate"/>
      </w:r>
      <w:r w:rsidR="00893CAD" w:rsidRPr="00893CAD">
        <w:rPr>
          <w:rFonts w:asciiTheme="majorHAnsi" w:hAnsiTheme="majorHAnsi" w:cstheme="majorHAnsi"/>
          <w:sz w:val="24"/>
          <w:szCs w:val="24"/>
        </w:rPr>
        <w:t xml:space="preserve">Figure </w:t>
      </w:r>
      <w:r w:rsidR="00893CAD" w:rsidRPr="00893CAD">
        <w:rPr>
          <w:rFonts w:asciiTheme="majorHAnsi" w:hAnsiTheme="majorHAnsi" w:cstheme="majorHAnsi"/>
          <w:noProof/>
          <w:sz w:val="24"/>
          <w:szCs w:val="24"/>
        </w:rPr>
        <w:t>6</w:t>
      </w:r>
      <w:r w:rsidR="00267561" w:rsidRPr="00267561">
        <w:rPr>
          <w:rFonts w:ascii="Times New Roman" w:hAnsi="Times New Roman"/>
          <w:sz w:val="24"/>
          <w:szCs w:val="24"/>
        </w:rPr>
        <w:fldChar w:fldCharType="end"/>
      </w:r>
      <w:r w:rsidR="00267561">
        <w:rPr>
          <w:rFonts w:ascii="Times New Roman" w:hAnsi="Times New Roman"/>
          <w:sz w:val="24"/>
          <w:szCs w:val="24"/>
        </w:rPr>
        <w:t>)</w:t>
      </w:r>
      <w:r w:rsidR="00647472">
        <w:rPr>
          <w:rFonts w:ascii="Times New Roman" w:hAnsi="Times New Roman"/>
          <w:sz w:val="24"/>
          <w:szCs w:val="24"/>
        </w:rPr>
        <w:t>.</w:t>
      </w:r>
    </w:p>
    <w:p w14:paraId="103DFF16" w14:textId="6C66CB33" w:rsidR="00632E62" w:rsidRDefault="00632E62">
      <w:pPr>
        <w:spacing w:after="200" w:line="276" w:lineRule="auto"/>
        <w:jc w:val="both"/>
        <w:rPr>
          <w:rFonts w:ascii="Times New Roman" w:hAnsi="Times New Roman"/>
          <w:sz w:val="24"/>
          <w:szCs w:val="24"/>
        </w:rPr>
      </w:pPr>
      <w:r>
        <w:rPr>
          <w:rFonts w:ascii="Times New Roman" w:hAnsi="Times New Roman"/>
          <w:sz w:val="24"/>
          <w:szCs w:val="24"/>
        </w:rPr>
        <w:br w:type="page"/>
      </w:r>
    </w:p>
    <w:p w14:paraId="3E8E5126" w14:textId="77777777" w:rsidR="005A7B70" w:rsidRDefault="005A7B70" w:rsidP="00FF79B7">
      <w:pPr>
        <w:spacing w:before="240"/>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4574"/>
      </w:tblGrid>
      <w:tr w:rsidR="00203767" w14:paraId="18F1CDA9" w14:textId="7E2EB006" w:rsidTr="00CC34EB">
        <w:tc>
          <w:tcPr>
            <w:tcW w:w="5061" w:type="dxa"/>
          </w:tcPr>
          <w:p w14:paraId="356FB14E" w14:textId="77777777" w:rsidR="00267561" w:rsidRPr="00963C93" w:rsidRDefault="00267561" w:rsidP="005A7B70">
            <w:pPr>
              <w:spacing w:after="120"/>
              <w:jc w:val="center"/>
              <w:rPr>
                <w:rFonts w:ascii="Times New Roman" w:hAnsi="Times New Roman"/>
                <w:b/>
                <w:sz w:val="24"/>
                <w:szCs w:val="24"/>
              </w:rPr>
            </w:pPr>
            <w:bookmarkStart w:id="12" w:name="_Ref449620218"/>
            <w:r w:rsidRPr="00982224">
              <w:rPr>
                <w:rFonts w:asciiTheme="majorHAnsi" w:hAnsiTheme="majorHAnsi" w:cstheme="majorHAnsi"/>
                <w:b/>
                <w:sz w:val="24"/>
                <w:szCs w:val="24"/>
              </w:rPr>
              <w:t xml:space="preserve">Figure </w:t>
            </w:r>
            <w:r w:rsidRPr="00982224">
              <w:rPr>
                <w:rFonts w:asciiTheme="majorHAnsi" w:hAnsiTheme="majorHAnsi" w:cstheme="majorHAnsi"/>
                <w:b/>
                <w:sz w:val="24"/>
                <w:szCs w:val="24"/>
              </w:rPr>
              <w:fldChar w:fldCharType="begin"/>
            </w:r>
            <w:r w:rsidRPr="00982224">
              <w:rPr>
                <w:rFonts w:asciiTheme="majorHAnsi" w:hAnsiTheme="majorHAnsi" w:cstheme="majorHAnsi"/>
                <w:b/>
                <w:sz w:val="24"/>
                <w:szCs w:val="24"/>
              </w:rPr>
              <w:instrText xml:space="preserve"> SEQ Figure \* ARABIC </w:instrText>
            </w:r>
            <w:r w:rsidRPr="0098222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5</w:t>
            </w:r>
            <w:r w:rsidRPr="00982224">
              <w:rPr>
                <w:rFonts w:asciiTheme="majorHAnsi" w:hAnsiTheme="majorHAnsi" w:cstheme="majorHAnsi"/>
                <w:b/>
                <w:sz w:val="24"/>
                <w:szCs w:val="24"/>
              </w:rPr>
              <w:fldChar w:fldCharType="end"/>
            </w:r>
            <w:bookmarkEnd w:id="12"/>
            <w:r w:rsidRPr="002A29FB">
              <w:rPr>
                <w:rFonts w:ascii="Times New Roman" w:hAnsi="Times New Roman"/>
                <w:b/>
                <w:sz w:val="24"/>
                <w:szCs w:val="24"/>
              </w:rPr>
              <w:t xml:space="preserve">: </w:t>
            </w:r>
            <w:r>
              <w:rPr>
                <w:rFonts w:ascii="Times New Roman" w:hAnsi="Times New Roman"/>
                <w:b/>
                <w:sz w:val="24"/>
                <w:szCs w:val="24"/>
              </w:rPr>
              <w:t>Changes in Sectoral Export and Import Upstreamness</w:t>
            </w:r>
            <w:r>
              <w:rPr>
                <w:rFonts w:ascii="Times New Roman" w:hAnsi="Times New Roman"/>
                <w:b/>
                <w:sz w:val="24"/>
                <w:szCs w:val="24"/>
              </w:rPr>
              <w:br/>
              <w:t>(2002-2012)</w:t>
            </w:r>
          </w:p>
        </w:tc>
        <w:tc>
          <w:tcPr>
            <w:tcW w:w="4515" w:type="dxa"/>
          </w:tcPr>
          <w:p w14:paraId="6023E3DE" w14:textId="52D91EEE" w:rsidR="00267561" w:rsidRPr="00982224" w:rsidRDefault="00267561" w:rsidP="00267561">
            <w:pPr>
              <w:spacing w:after="120"/>
              <w:jc w:val="center"/>
              <w:rPr>
                <w:rFonts w:asciiTheme="majorHAnsi" w:hAnsiTheme="majorHAnsi" w:cstheme="majorHAnsi"/>
                <w:b/>
                <w:sz w:val="24"/>
                <w:szCs w:val="24"/>
              </w:rPr>
            </w:pPr>
            <w:bookmarkStart w:id="13" w:name="_Ref453202060"/>
            <w:r w:rsidRPr="00982224">
              <w:rPr>
                <w:rFonts w:asciiTheme="majorHAnsi" w:hAnsiTheme="majorHAnsi" w:cstheme="majorHAnsi"/>
                <w:b/>
                <w:sz w:val="24"/>
                <w:szCs w:val="24"/>
              </w:rPr>
              <w:t xml:space="preserve">Figure </w:t>
            </w:r>
            <w:r w:rsidRPr="00982224">
              <w:rPr>
                <w:rFonts w:asciiTheme="majorHAnsi" w:hAnsiTheme="majorHAnsi" w:cstheme="majorHAnsi"/>
                <w:b/>
                <w:sz w:val="24"/>
                <w:szCs w:val="24"/>
              </w:rPr>
              <w:fldChar w:fldCharType="begin"/>
            </w:r>
            <w:r w:rsidRPr="00982224">
              <w:rPr>
                <w:rFonts w:asciiTheme="majorHAnsi" w:hAnsiTheme="majorHAnsi" w:cstheme="majorHAnsi"/>
                <w:b/>
                <w:sz w:val="24"/>
                <w:szCs w:val="24"/>
              </w:rPr>
              <w:instrText xml:space="preserve"> SEQ Figure \* ARABIC </w:instrText>
            </w:r>
            <w:r w:rsidRPr="0098222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6</w:t>
            </w:r>
            <w:r w:rsidRPr="00982224">
              <w:rPr>
                <w:rFonts w:asciiTheme="majorHAnsi" w:hAnsiTheme="majorHAnsi" w:cstheme="majorHAnsi"/>
                <w:b/>
                <w:sz w:val="24"/>
                <w:szCs w:val="24"/>
              </w:rPr>
              <w:fldChar w:fldCharType="end"/>
            </w:r>
            <w:bookmarkEnd w:id="13"/>
            <w:r w:rsidRPr="002A29FB">
              <w:rPr>
                <w:rFonts w:ascii="Times New Roman" w:hAnsi="Times New Roman"/>
                <w:b/>
                <w:sz w:val="24"/>
                <w:szCs w:val="24"/>
              </w:rPr>
              <w:t xml:space="preserve">: </w:t>
            </w:r>
            <w:r>
              <w:rPr>
                <w:rFonts w:ascii="Times New Roman" w:hAnsi="Times New Roman"/>
                <w:b/>
                <w:sz w:val="24"/>
                <w:szCs w:val="24"/>
              </w:rPr>
              <w:t xml:space="preserve">Domestic Length </w:t>
            </w:r>
            <w:r>
              <w:rPr>
                <w:rFonts w:ascii="Times New Roman" w:hAnsi="Times New Roman"/>
                <w:b/>
                <w:sz w:val="24"/>
                <w:szCs w:val="24"/>
              </w:rPr>
              <w:br/>
              <w:t>(2012)</w:t>
            </w:r>
          </w:p>
        </w:tc>
      </w:tr>
      <w:tr w:rsidR="00203767" w14:paraId="2E373018" w14:textId="5BE9A811" w:rsidTr="00CC34EB">
        <w:tc>
          <w:tcPr>
            <w:tcW w:w="5061" w:type="dxa"/>
          </w:tcPr>
          <w:p w14:paraId="0F6B9B72" w14:textId="77777777" w:rsidR="00267561" w:rsidRDefault="00267561" w:rsidP="00CB755B">
            <w:pPr>
              <w:spacing w:after="120" w:line="276" w:lineRule="auto"/>
              <w:jc w:val="center"/>
              <w:rPr>
                <w:rFonts w:ascii="Times New Roman" w:hAnsi="Times New Roman"/>
                <w:sz w:val="24"/>
                <w:szCs w:val="24"/>
              </w:rPr>
            </w:pPr>
            <w:r w:rsidRPr="000A0E7E">
              <w:rPr>
                <w:rFonts w:ascii="Times New Roman" w:hAnsi="Times New Roman"/>
                <w:noProof/>
                <w:sz w:val="24"/>
                <w:szCs w:val="24"/>
              </w:rPr>
              <w:drawing>
                <wp:inline distT="0" distB="0" distL="0" distR="0" wp14:anchorId="36190315" wp14:editId="57FA7E83">
                  <wp:extent cx="3076575" cy="2025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1183" cy="2035514"/>
                          </a:xfrm>
                          <a:prstGeom prst="rect">
                            <a:avLst/>
                          </a:prstGeom>
                          <a:noFill/>
                          <a:ln>
                            <a:noFill/>
                          </a:ln>
                        </pic:spPr>
                      </pic:pic>
                    </a:graphicData>
                  </a:graphic>
                </wp:inline>
              </w:drawing>
            </w:r>
          </w:p>
        </w:tc>
        <w:tc>
          <w:tcPr>
            <w:tcW w:w="4515" w:type="dxa"/>
          </w:tcPr>
          <w:p w14:paraId="2DE18E03" w14:textId="7B093503" w:rsidR="00267561" w:rsidRPr="000A0E7E" w:rsidRDefault="00203767" w:rsidP="00CB755B">
            <w:pPr>
              <w:spacing w:after="120" w:line="276" w:lineRule="auto"/>
              <w:jc w:val="center"/>
              <w:rPr>
                <w:rFonts w:ascii="Times New Roman" w:hAnsi="Times New Roman"/>
                <w:noProof/>
                <w:sz w:val="24"/>
                <w:szCs w:val="24"/>
              </w:rPr>
            </w:pPr>
            <w:r w:rsidRPr="00203767">
              <w:rPr>
                <w:rFonts w:ascii="Times New Roman" w:hAnsi="Times New Roman"/>
                <w:noProof/>
                <w:sz w:val="24"/>
                <w:szCs w:val="24"/>
              </w:rPr>
              <w:drawing>
                <wp:inline distT="0" distB="0" distL="0" distR="0" wp14:anchorId="1EA7916B" wp14:editId="2F07594F">
                  <wp:extent cx="2801620" cy="2057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0362" cy="2063820"/>
                          </a:xfrm>
                          <a:prstGeom prst="rect">
                            <a:avLst/>
                          </a:prstGeom>
                          <a:noFill/>
                          <a:ln>
                            <a:noFill/>
                          </a:ln>
                        </pic:spPr>
                      </pic:pic>
                    </a:graphicData>
                  </a:graphic>
                </wp:inline>
              </w:drawing>
            </w:r>
          </w:p>
        </w:tc>
      </w:tr>
      <w:tr w:rsidR="00203767" w14:paraId="5220048C" w14:textId="4111C9E7" w:rsidTr="00CC34EB">
        <w:tc>
          <w:tcPr>
            <w:tcW w:w="5061" w:type="dxa"/>
          </w:tcPr>
          <w:p w14:paraId="0A6AACA6" w14:textId="77777777" w:rsidR="00267561" w:rsidRDefault="00267561" w:rsidP="00267561">
            <w:pPr>
              <w:jc w:val="both"/>
              <w:rPr>
                <w:rFonts w:ascii="Times New Roman" w:hAnsi="Times New Roman"/>
                <w:sz w:val="20"/>
                <w:szCs w:val="20"/>
              </w:rPr>
            </w:pPr>
            <w:r>
              <w:rPr>
                <w:rFonts w:ascii="Times New Roman" w:hAnsi="Times New Roman"/>
                <w:sz w:val="20"/>
                <w:szCs w:val="20"/>
              </w:rPr>
              <w:t xml:space="preserve">Note: This figure shows the changes in the upstreamness measures between 2002 and 2012 for both exports and imports for the key sectors in SEZ. </w:t>
            </w:r>
          </w:p>
          <w:p w14:paraId="35AD3D93" w14:textId="396E0165" w:rsidR="00267561" w:rsidRDefault="00267561" w:rsidP="00267561">
            <w:pPr>
              <w:jc w:val="both"/>
              <w:rPr>
                <w:rFonts w:ascii="Times New Roman" w:hAnsi="Times New Roman"/>
                <w:sz w:val="24"/>
                <w:szCs w:val="24"/>
              </w:rPr>
            </w:pPr>
            <w:r>
              <w:rPr>
                <w:rFonts w:ascii="Times New Roman" w:hAnsi="Times New Roman"/>
                <w:sz w:val="20"/>
                <w:szCs w:val="20"/>
              </w:rPr>
              <w:t>Source: authors’ calculations using customs data.</w:t>
            </w:r>
          </w:p>
        </w:tc>
        <w:tc>
          <w:tcPr>
            <w:tcW w:w="4515" w:type="dxa"/>
          </w:tcPr>
          <w:p w14:paraId="060C1ADB" w14:textId="5FB8646A" w:rsidR="00267561" w:rsidRDefault="00267561" w:rsidP="00267561">
            <w:pPr>
              <w:jc w:val="both"/>
              <w:rPr>
                <w:rFonts w:ascii="Times New Roman" w:hAnsi="Times New Roman"/>
                <w:sz w:val="20"/>
                <w:szCs w:val="20"/>
              </w:rPr>
            </w:pPr>
            <w:r>
              <w:rPr>
                <w:rFonts w:ascii="Times New Roman" w:hAnsi="Times New Roman"/>
                <w:sz w:val="20"/>
                <w:szCs w:val="20"/>
              </w:rPr>
              <w:t>Note: This figure present the share of production stages taken place in the Dominican republic in 2012.</w:t>
            </w:r>
          </w:p>
          <w:p w14:paraId="627B8153" w14:textId="5FCA750A" w:rsidR="00267561" w:rsidRDefault="00267561" w:rsidP="00267561">
            <w:pPr>
              <w:ind w:right="-180"/>
              <w:rPr>
                <w:rFonts w:ascii="Times New Roman" w:hAnsi="Times New Roman"/>
                <w:sz w:val="20"/>
                <w:szCs w:val="20"/>
              </w:rPr>
            </w:pPr>
            <w:r>
              <w:rPr>
                <w:rFonts w:ascii="Times New Roman" w:hAnsi="Times New Roman"/>
                <w:sz w:val="20"/>
                <w:szCs w:val="20"/>
              </w:rPr>
              <w:t>Source: authors’ calculations using customs data,</w:t>
            </w:r>
          </w:p>
        </w:tc>
      </w:tr>
    </w:tbl>
    <w:p w14:paraId="315B4806" w14:textId="052432A0" w:rsidR="00C62B26" w:rsidRDefault="00232C5D" w:rsidP="002804DB">
      <w:pPr>
        <w:spacing w:before="240" w:after="240" w:line="276" w:lineRule="auto"/>
        <w:jc w:val="both"/>
        <w:rPr>
          <w:rFonts w:ascii="Times New Roman" w:hAnsi="Times New Roman"/>
          <w:sz w:val="24"/>
          <w:szCs w:val="24"/>
        </w:rPr>
      </w:pPr>
      <w:r>
        <w:rPr>
          <w:rFonts w:ascii="Times New Roman" w:hAnsi="Times New Roman"/>
          <w:b/>
          <w:sz w:val="24"/>
          <w:szCs w:val="24"/>
        </w:rPr>
        <w:t>S</w:t>
      </w:r>
      <w:r w:rsidR="00C62B26" w:rsidRPr="00347182">
        <w:rPr>
          <w:rFonts w:ascii="Times New Roman" w:hAnsi="Times New Roman"/>
          <w:b/>
          <w:sz w:val="24"/>
          <w:szCs w:val="24"/>
        </w:rPr>
        <w:t xml:space="preserve">ectoral tendencies </w:t>
      </w:r>
      <w:r w:rsidR="00C62B26">
        <w:rPr>
          <w:rFonts w:ascii="Times New Roman" w:hAnsi="Times New Roman"/>
          <w:b/>
          <w:sz w:val="24"/>
          <w:szCs w:val="24"/>
        </w:rPr>
        <w:t xml:space="preserve">on </w:t>
      </w:r>
      <w:r w:rsidR="00C62B26" w:rsidRPr="00347182">
        <w:rPr>
          <w:rFonts w:ascii="Times New Roman" w:hAnsi="Times New Roman"/>
          <w:b/>
          <w:sz w:val="24"/>
          <w:szCs w:val="24"/>
        </w:rPr>
        <w:t xml:space="preserve">upstream mobility mask significant heterogeneity of responses </w:t>
      </w:r>
      <w:r w:rsidR="00C62B26">
        <w:rPr>
          <w:rFonts w:ascii="Times New Roman" w:hAnsi="Times New Roman"/>
          <w:b/>
          <w:sz w:val="24"/>
          <w:szCs w:val="24"/>
        </w:rPr>
        <w:t xml:space="preserve">by firms within </w:t>
      </w:r>
      <w:r w:rsidR="00B35CF2">
        <w:rPr>
          <w:rFonts w:ascii="Times New Roman" w:hAnsi="Times New Roman"/>
          <w:b/>
          <w:sz w:val="24"/>
          <w:szCs w:val="24"/>
        </w:rPr>
        <w:t xml:space="preserve">the </w:t>
      </w:r>
      <w:r w:rsidR="00C62B26">
        <w:rPr>
          <w:rFonts w:ascii="Times New Roman" w:hAnsi="Times New Roman"/>
          <w:b/>
          <w:sz w:val="24"/>
          <w:szCs w:val="24"/>
        </w:rPr>
        <w:t>same sector</w:t>
      </w:r>
      <w:r w:rsidR="00C62B26" w:rsidRPr="00347182">
        <w:rPr>
          <w:rFonts w:ascii="Times New Roman" w:hAnsi="Times New Roman"/>
          <w:b/>
          <w:sz w:val="24"/>
          <w:szCs w:val="24"/>
        </w:rPr>
        <w:t>.</w:t>
      </w:r>
      <w:r w:rsidR="00C62B26">
        <w:rPr>
          <w:rFonts w:ascii="Times New Roman" w:hAnsi="Times New Roman"/>
          <w:sz w:val="24"/>
          <w:szCs w:val="24"/>
        </w:rPr>
        <w:t xml:space="preserve"> </w:t>
      </w:r>
      <w:r w:rsidR="007E12CD" w:rsidRPr="007E12CD">
        <w:rPr>
          <w:rFonts w:ascii="Times New Roman" w:hAnsi="Times New Roman"/>
          <w:sz w:val="24"/>
          <w:szCs w:val="24"/>
        </w:rPr>
        <w:fldChar w:fldCharType="begin"/>
      </w:r>
      <w:r w:rsidR="007E12CD" w:rsidRPr="007E12CD">
        <w:rPr>
          <w:rFonts w:ascii="Times New Roman" w:hAnsi="Times New Roman"/>
          <w:sz w:val="24"/>
          <w:szCs w:val="24"/>
        </w:rPr>
        <w:instrText xml:space="preserve"> REF _Ref449625716 \h  \* MERGEFORMAT </w:instrText>
      </w:r>
      <w:r w:rsidR="007E12CD" w:rsidRPr="007E12CD">
        <w:rPr>
          <w:rFonts w:ascii="Times New Roman" w:hAnsi="Times New Roman"/>
          <w:sz w:val="24"/>
          <w:szCs w:val="24"/>
        </w:rPr>
      </w:r>
      <w:r w:rsidR="007E12CD" w:rsidRPr="007E12CD">
        <w:rPr>
          <w:rFonts w:ascii="Times New Roman" w:hAnsi="Times New Roman"/>
          <w:sz w:val="24"/>
          <w:szCs w:val="24"/>
        </w:rPr>
        <w:fldChar w:fldCharType="separate"/>
      </w:r>
      <w:r w:rsidR="00893CAD" w:rsidRPr="00893CAD">
        <w:rPr>
          <w:rFonts w:asciiTheme="majorHAnsi" w:hAnsiTheme="majorHAnsi" w:cstheme="majorHAnsi"/>
          <w:sz w:val="24"/>
          <w:szCs w:val="24"/>
        </w:rPr>
        <w:t xml:space="preserve">Figure </w:t>
      </w:r>
      <w:r w:rsidR="00893CAD" w:rsidRPr="00893CAD">
        <w:rPr>
          <w:rFonts w:asciiTheme="majorHAnsi" w:hAnsiTheme="majorHAnsi" w:cstheme="majorHAnsi"/>
          <w:noProof/>
          <w:sz w:val="24"/>
          <w:szCs w:val="24"/>
        </w:rPr>
        <w:t>7</w:t>
      </w:r>
      <w:r w:rsidR="007E12CD" w:rsidRPr="007E12CD">
        <w:rPr>
          <w:rFonts w:ascii="Times New Roman" w:hAnsi="Times New Roman"/>
          <w:sz w:val="24"/>
          <w:szCs w:val="24"/>
        </w:rPr>
        <w:fldChar w:fldCharType="end"/>
      </w:r>
      <w:r w:rsidR="007E12CD">
        <w:rPr>
          <w:rFonts w:ascii="Times New Roman" w:hAnsi="Times New Roman"/>
          <w:sz w:val="24"/>
          <w:szCs w:val="24"/>
        </w:rPr>
        <w:t xml:space="preserve"> </w:t>
      </w:r>
      <w:r w:rsidR="00C62B26">
        <w:rPr>
          <w:rFonts w:ascii="Times New Roman" w:hAnsi="Times New Roman"/>
          <w:sz w:val="24"/>
          <w:szCs w:val="24"/>
        </w:rPr>
        <w:t xml:space="preserve">shows the changes in export (left) and import (right) </w:t>
      </w:r>
      <w:r w:rsidR="00C62B26" w:rsidRPr="00220F5F">
        <w:rPr>
          <w:rFonts w:ascii="Times New Roman" w:hAnsi="Times New Roman"/>
          <w:i/>
          <w:sz w:val="24"/>
          <w:szCs w:val="24"/>
        </w:rPr>
        <w:t>upstreamness</w:t>
      </w:r>
      <w:r w:rsidR="00C62B26">
        <w:rPr>
          <w:rFonts w:ascii="Times New Roman" w:hAnsi="Times New Roman"/>
          <w:sz w:val="24"/>
          <w:szCs w:val="24"/>
        </w:rPr>
        <w:t xml:space="preserve"> for firms in </w:t>
      </w:r>
      <w:r w:rsidR="00514D1D">
        <w:rPr>
          <w:rFonts w:ascii="Times New Roman" w:hAnsi="Times New Roman"/>
          <w:sz w:val="24"/>
          <w:szCs w:val="24"/>
        </w:rPr>
        <w:t>the clothing and medical equipment sectors</w:t>
      </w:r>
      <w:r w:rsidR="00C62B26">
        <w:rPr>
          <w:rStyle w:val="FootnoteReference"/>
          <w:szCs w:val="24"/>
        </w:rPr>
        <w:footnoteReference w:id="5"/>
      </w:r>
      <w:r w:rsidR="00C62B26">
        <w:rPr>
          <w:rFonts w:ascii="Times New Roman" w:hAnsi="Times New Roman"/>
          <w:sz w:val="24"/>
          <w:szCs w:val="24"/>
        </w:rPr>
        <w:t xml:space="preserve">. Each dot represents the upstream position of a firm in 2007 and the arrow shows the direction of the change in </w:t>
      </w:r>
      <w:r w:rsidR="00C62B26" w:rsidRPr="00220F5F">
        <w:rPr>
          <w:rFonts w:ascii="Times New Roman" w:hAnsi="Times New Roman"/>
          <w:i/>
          <w:sz w:val="24"/>
          <w:szCs w:val="24"/>
        </w:rPr>
        <w:t>upstreamness</w:t>
      </w:r>
      <w:r w:rsidR="00C62B26">
        <w:rPr>
          <w:rFonts w:ascii="Times New Roman" w:hAnsi="Times New Roman"/>
          <w:sz w:val="24"/>
          <w:szCs w:val="24"/>
        </w:rPr>
        <w:t xml:space="preserve"> by 2012 with red dots representing firms that have moved upstream and blue dots representing firms that moved downstream during that period. Firms are sorted in ascending order in terms of export size so that bigger firms always appear on the right. A cursory view of </w:t>
      </w:r>
      <w:r w:rsidR="007E12CD" w:rsidRPr="007E12CD">
        <w:rPr>
          <w:rFonts w:ascii="Times New Roman" w:hAnsi="Times New Roman"/>
          <w:sz w:val="24"/>
          <w:szCs w:val="24"/>
        </w:rPr>
        <w:fldChar w:fldCharType="begin"/>
      </w:r>
      <w:r w:rsidR="007E12CD" w:rsidRPr="007E12CD">
        <w:rPr>
          <w:rFonts w:ascii="Times New Roman" w:hAnsi="Times New Roman"/>
          <w:sz w:val="24"/>
          <w:szCs w:val="24"/>
        </w:rPr>
        <w:instrText xml:space="preserve"> REF _Ref449625716 \h  \* MERGEFORMAT </w:instrText>
      </w:r>
      <w:r w:rsidR="007E12CD" w:rsidRPr="007E12CD">
        <w:rPr>
          <w:rFonts w:ascii="Times New Roman" w:hAnsi="Times New Roman"/>
          <w:sz w:val="24"/>
          <w:szCs w:val="24"/>
        </w:rPr>
      </w:r>
      <w:r w:rsidR="007E12CD" w:rsidRPr="007E12CD">
        <w:rPr>
          <w:rFonts w:ascii="Times New Roman" w:hAnsi="Times New Roman"/>
          <w:sz w:val="24"/>
          <w:szCs w:val="24"/>
        </w:rPr>
        <w:fldChar w:fldCharType="separate"/>
      </w:r>
      <w:r w:rsidR="00893CAD" w:rsidRPr="00893CAD">
        <w:rPr>
          <w:rFonts w:asciiTheme="majorHAnsi" w:hAnsiTheme="majorHAnsi" w:cstheme="majorHAnsi"/>
          <w:sz w:val="24"/>
          <w:szCs w:val="24"/>
        </w:rPr>
        <w:t xml:space="preserve">Figure </w:t>
      </w:r>
      <w:r w:rsidR="00893CAD" w:rsidRPr="00893CAD">
        <w:rPr>
          <w:rFonts w:asciiTheme="majorHAnsi" w:hAnsiTheme="majorHAnsi" w:cstheme="majorHAnsi"/>
          <w:noProof/>
          <w:sz w:val="24"/>
          <w:szCs w:val="24"/>
        </w:rPr>
        <w:t>7</w:t>
      </w:r>
      <w:r w:rsidR="007E12CD" w:rsidRPr="007E12CD">
        <w:rPr>
          <w:rFonts w:ascii="Times New Roman" w:hAnsi="Times New Roman"/>
          <w:sz w:val="24"/>
          <w:szCs w:val="24"/>
        </w:rPr>
        <w:fldChar w:fldCharType="end"/>
      </w:r>
      <w:r w:rsidR="007E12CD">
        <w:rPr>
          <w:rFonts w:ascii="Times New Roman" w:hAnsi="Times New Roman"/>
          <w:sz w:val="24"/>
          <w:szCs w:val="24"/>
        </w:rPr>
        <w:t xml:space="preserve"> </w:t>
      </w:r>
      <w:r w:rsidR="00C62B26">
        <w:rPr>
          <w:rFonts w:ascii="Times New Roman" w:hAnsi="Times New Roman"/>
          <w:sz w:val="24"/>
          <w:szCs w:val="24"/>
        </w:rPr>
        <w:t xml:space="preserve"> reveals at least three important stylized facts. First, changes in upstream mobility in the textiles and clothing sector have been more frequent and larger than in the </w:t>
      </w:r>
      <w:r w:rsidR="00A00D1A">
        <w:rPr>
          <w:rFonts w:ascii="Times New Roman" w:hAnsi="Times New Roman"/>
          <w:sz w:val="24"/>
          <w:szCs w:val="24"/>
        </w:rPr>
        <w:t xml:space="preserve">medical equipment </w:t>
      </w:r>
      <w:r w:rsidR="00C62B26">
        <w:rPr>
          <w:rFonts w:ascii="Times New Roman" w:hAnsi="Times New Roman"/>
          <w:sz w:val="24"/>
          <w:szCs w:val="24"/>
        </w:rPr>
        <w:t xml:space="preserve">sector. Second, few firms in the textile and clothing sector have changed their export </w:t>
      </w:r>
      <w:r w:rsidR="00C62B26" w:rsidRPr="00220F5F">
        <w:rPr>
          <w:rFonts w:ascii="Times New Roman" w:hAnsi="Times New Roman"/>
          <w:i/>
          <w:sz w:val="24"/>
          <w:szCs w:val="24"/>
        </w:rPr>
        <w:t>upstreamness</w:t>
      </w:r>
      <w:r w:rsidR="00C62B26">
        <w:rPr>
          <w:rFonts w:ascii="Times New Roman" w:hAnsi="Times New Roman"/>
          <w:sz w:val="24"/>
          <w:szCs w:val="24"/>
        </w:rPr>
        <w:t xml:space="preserve"> and the majority export products very close to final demand. Third, the majority of firms in the textiles and clothing sector imported products significantly more upstream in the value chain in 2012 compared to 2007 which</w:t>
      </w:r>
      <w:r w:rsidR="009F1D78">
        <w:rPr>
          <w:rFonts w:ascii="Times New Roman" w:hAnsi="Times New Roman"/>
          <w:sz w:val="24"/>
          <w:szCs w:val="24"/>
        </w:rPr>
        <w:t>,</w:t>
      </w:r>
      <w:r w:rsidR="00C62B26">
        <w:rPr>
          <w:rFonts w:ascii="Times New Roman" w:hAnsi="Times New Roman"/>
          <w:sz w:val="24"/>
          <w:szCs w:val="24"/>
        </w:rPr>
        <w:t xml:space="preserve"> taken together with the minimal change </w:t>
      </w:r>
      <w:r w:rsidR="009F1D78">
        <w:rPr>
          <w:rFonts w:ascii="Times New Roman" w:hAnsi="Times New Roman"/>
          <w:sz w:val="24"/>
          <w:szCs w:val="24"/>
        </w:rPr>
        <w:t xml:space="preserve">in </w:t>
      </w:r>
      <w:r w:rsidR="00C62B26">
        <w:rPr>
          <w:rFonts w:ascii="Times New Roman" w:hAnsi="Times New Roman"/>
          <w:sz w:val="24"/>
          <w:szCs w:val="24"/>
        </w:rPr>
        <w:t xml:space="preserve">export </w:t>
      </w:r>
      <w:r w:rsidR="00C62B26" w:rsidRPr="00220F5F">
        <w:rPr>
          <w:rFonts w:ascii="Times New Roman" w:hAnsi="Times New Roman"/>
          <w:i/>
          <w:sz w:val="24"/>
          <w:szCs w:val="24"/>
        </w:rPr>
        <w:t>upstreamness</w:t>
      </w:r>
      <w:r w:rsidR="00C62B26">
        <w:rPr>
          <w:rFonts w:ascii="Times New Roman" w:hAnsi="Times New Roman"/>
          <w:sz w:val="24"/>
          <w:szCs w:val="24"/>
        </w:rPr>
        <w:t xml:space="preserve"> shown before</w:t>
      </w:r>
      <w:r w:rsidR="009F1D78">
        <w:rPr>
          <w:rFonts w:ascii="Times New Roman" w:hAnsi="Times New Roman"/>
          <w:sz w:val="24"/>
          <w:szCs w:val="24"/>
        </w:rPr>
        <w:t>,</w:t>
      </w:r>
      <w:r w:rsidR="00C62B26">
        <w:rPr>
          <w:rFonts w:ascii="Times New Roman" w:hAnsi="Times New Roman"/>
          <w:sz w:val="24"/>
          <w:szCs w:val="24"/>
        </w:rPr>
        <w:t xml:space="preserve"> indicates that these firms are performing more activities domestically than</w:t>
      </w:r>
      <w:r w:rsidR="00F26BB9">
        <w:rPr>
          <w:rFonts w:ascii="Times New Roman" w:hAnsi="Times New Roman"/>
          <w:sz w:val="24"/>
          <w:szCs w:val="24"/>
        </w:rPr>
        <w:t xml:space="preserve"> was the case</w:t>
      </w:r>
      <w:r w:rsidR="00C62B26">
        <w:rPr>
          <w:rFonts w:ascii="Times New Roman" w:hAnsi="Times New Roman"/>
          <w:sz w:val="24"/>
          <w:szCs w:val="24"/>
        </w:rPr>
        <w:t xml:space="preserve"> five years ago.</w:t>
      </w:r>
    </w:p>
    <w:p w14:paraId="4E9334AF" w14:textId="0058FE03" w:rsidR="00632E62" w:rsidRDefault="00632E62" w:rsidP="00632E62">
      <w:pPr>
        <w:spacing w:after="200" w:line="276" w:lineRule="auto"/>
        <w:jc w:val="both"/>
        <w:rPr>
          <w:rFonts w:ascii="Times New Roman" w:hAnsi="Times New Roman"/>
          <w:sz w:val="24"/>
          <w:szCs w:val="24"/>
        </w:rPr>
      </w:pPr>
      <w:r>
        <w:rPr>
          <w:rFonts w:ascii="Times New Roman" w:hAnsi="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759"/>
      </w:tblGrid>
      <w:tr w:rsidR="00957DD9" w14:paraId="4F9BAD45" w14:textId="77777777" w:rsidTr="002804DB">
        <w:tc>
          <w:tcPr>
            <w:tcW w:w="9360" w:type="dxa"/>
            <w:gridSpan w:val="2"/>
          </w:tcPr>
          <w:p w14:paraId="57400F66" w14:textId="693A2AD0" w:rsidR="00957DD9" w:rsidRPr="00982224" w:rsidRDefault="00957DD9" w:rsidP="00815663">
            <w:pPr>
              <w:spacing w:after="120"/>
              <w:jc w:val="center"/>
              <w:rPr>
                <w:rFonts w:asciiTheme="majorHAnsi" w:hAnsiTheme="majorHAnsi" w:cstheme="majorHAnsi"/>
                <w:b/>
                <w:sz w:val="24"/>
                <w:szCs w:val="24"/>
              </w:rPr>
            </w:pPr>
            <w:bookmarkStart w:id="14" w:name="_Ref449625716"/>
            <w:r w:rsidRPr="00982224">
              <w:rPr>
                <w:rFonts w:asciiTheme="majorHAnsi" w:hAnsiTheme="majorHAnsi" w:cstheme="majorHAnsi"/>
                <w:b/>
                <w:sz w:val="24"/>
                <w:szCs w:val="24"/>
              </w:rPr>
              <w:lastRenderedPageBreak/>
              <w:t xml:space="preserve">Figure </w:t>
            </w:r>
            <w:r w:rsidRPr="00982224">
              <w:rPr>
                <w:rFonts w:asciiTheme="majorHAnsi" w:hAnsiTheme="majorHAnsi" w:cstheme="majorHAnsi"/>
                <w:b/>
                <w:sz w:val="24"/>
                <w:szCs w:val="24"/>
              </w:rPr>
              <w:fldChar w:fldCharType="begin"/>
            </w:r>
            <w:r w:rsidRPr="00982224">
              <w:rPr>
                <w:rFonts w:asciiTheme="majorHAnsi" w:hAnsiTheme="majorHAnsi" w:cstheme="majorHAnsi"/>
                <w:b/>
                <w:sz w:val="24"/>
                <w:szCs w:val="24"/>
              </w:rPr>
              <w:instrText xml:space="preserve"> SEQ Figure \* ARABIC </w:instrText>
            </w:r>
            <w:r w:rsidRPr="0098222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7</w:t>
            </w:r>
            <w:r w:rsidRPr="00982224">
              <w:rPr>
                <w:rFonts w:asciiTheme="majorHAnsi" w:hAnsiTheme="majorHAnsi" w:cstheme="majorHAnsi"/>
                <w:b/>
                <w:sz w:val="24"/>
                <w:szCs w:val="24"/>
              </w:rPr>
              <w:fldChar w:fldCharType="end"/>
            </w:r>
            <w:bookmarkEnd w:id="14"/>
            <w:r>
              <w:rPr>
                <w:rFonts w:asciiTheme="majorHAnsi" w:hAnsiTheme="majorHAnsi" w:cstheme="majorHAnsi"/>
                <w:b/>
                <w:sz w:val="24"/>
                <w:szCs w:val="24"/>
              </w:rPr>
              <w:t>: Export and Import Upstr</w:t>
            </w:r>
            <w:r w:rsidR="007E12CD">
              <w:rPr>
                <w:rFonts w:asciiTheme="majorHAnsi" w:hAnsiTheme="majorHAnsi" w:cstheme="majorHAnsi"/>
                <w:b/>
                <w:sz w:val="24"/>
                <w:szCs w:val="24"/>
              </w:rPr>
              <w:t>e</w:t>
            </w:r>
            <w:r>
              <w:rPr>
                <w:rFonts w:asciiTheme="majorHAnsi" w:hAnsiTheme="majorHAnsi" w:cstheme="majorHAnsi"/>
                <w:b/>
                <w:sz w:val="24"/>
                <w:szCs w:val="24"/>
              </w:rPr>
              <w:t xml:space="preserve">amness </w:t>
            </w:r>
            <w:r w:rsidR="00815663">
              <w:rPr>
                <w:rFonts w:asciiTheme="majorHAnsi" w:hAnsiTheme="majorHAnsi" w:cstheme="majorHAnsi"/>
                <w:b/>
                <w:sz w:val="24"/>
                <w:szCs w:val="24"/>
              </w:rPr>
              <w:t>C</w:t>
            </w:r>
            <w:r>
              <w:rPr>
                <w:rFonts w:asciiTheme="majorHAnsi" w:hAnsiTheme="majorHAnsi" w:cstheme="majorHAnsi"/>
                <w:b/>
                <w:sz w:val="24"/>
                <w:szCs w:val="24"/>
              </w:rPr>
              <w:t>hanges at the Firm Level</w:t>
            </w:r>
            <w:r>
              <w:rPr>
                <w:rFonts w:asciiTheme="majorHAnsi" w:hAnsiTheme="majorHAnsi" w:cstheme="majorHAnsi"/>
                <w:b/>
                <w:sz w:val="24"/>
                <w:szCs w:val="24"/>
              </w:rPr>
              <w:br/>
              <w:t>(2007-2012)</w:t>
            </w:r>
          </w:p>
        </w:tc>
      </w:tr>
      <w:tr w:rsidR="00957DD9" w14:paraId="3E12D056" w14:textId="77777777" w:rsidTr="002804DB">
        <w:tc>
          <w:tcPr>
            <w:tcW w:w="4680" w:type="dxa"/>
          </w:tcPr>
          <w:p w14:paraId="22531B84" w14:textId="77777777" w:rsidR="00957DD9" w:rsidRDefault="00957DD9" w:rsidP="00957DD9">
            <w:pPr>
              <w:spacing w:after="120"/>
              <w:jc w:val="center"/>
              <w:rPr>
                <w:rFonts w:ascii="Times New Roman" w:hAnsi="Times New Roman"/>
                <w:b/>
                <w:noProof/>
                <w:sz w:val="24"/>
                <w:szCs w:val="24"/>
              </w:rPr>
            </w:pPr>
            <w:r>
              <w:rPr>
                <w:rFonts w:asciiTheme="majorHAnsi" w:hAnsiTheme="majorHAnsi" w:cstheme="majorHAnsi"/>
                <w:b/>
                <w:noProof/>
                <w:sz w:val="24"/>
                <w:szCs w:val="24"/>
              </w:rPr>
              <w:t>Clothing</w:t>
            </w:r>
          </w:p>
        </w:tc>
        <w:tc>
          <w:tcPr>
            <w:tcW w:w="4680" w:type="dxa"/>
          </w:tcPr>
          <w:p w14:paraId="69535C8F" w14:textId="77777777" w:rsidR="00957DD9" w:rsidRDefault="00957DD9" w:rsidP="00957DD9">
            <w:pPr>
              <w:spacing w:after="120"/>
              <w:jc w:val="center"/>
              <w:rPr>
                <w:rFonts w:ascii="Times New Roman" w:hAnsi="Times New Roman"/>
                <w:b/>
                <w:noProof/>
                <w:sz w:val="24"/>
                <w:szCs w:val="24"/>
              </w:rPr>
            </w:pPr>
            <w:r>
              <w:rPr>
                <w:rFonts w:ascii="Times New Roman" w:hAnsi="Times New Roman"/>
                <w:b/>
                <w:noProof/>
                <w:sz w:val="24"/>
                <w:szCs w:val="24"/>
              </w:rPr>
              <w:t>Medical Equipment</w:t>
            </w:r>
          </w:p>
        </w:tc>
      </w:tr>
      <w:tr w:rsidR="00957DD9" w14:paraId="3911EBF3" w14:textId="77777777" w:rsidTr="002804DB">
        <w:tc>
          <w:tcPr>
            <w:tcW w:w="4680" w:type="dxa"/>
          </w:tcPr>
          <w:p w14:paraId="72CF4CC7" w14:textId="77777777" w:rsidR="00957DD9" w:rsidRDefault="00957DD9" w:rsidP="00CB755B">
            <w:pPr>
              <w:spacing w:after="120"/>
              <w:jc w:val="center"/>
              <w:rPr>
                <w:rFonts w:ascii="Times New Roman" w:hAnsi="Times New Roman"/>
                <w:b/>
                <w:noProof/>
                <w:sz w:val="24"/>
                <w:szCs w:val="24"/>
              </w:rPr>
            </w:pPr>
            <w:r w:rsidRPr="002D03D2">
              <w:rPr>
                <w:rFonts w:ascii="Times New Roman" w:hAnsi="Times New Roman"/>
                <w:noProof/>
                <w:sz w:val="24"/>
                <w:szCs w:val="24"/>
              </w:rPr>
              <w:drawing>
                <wp:inline distT="0" distB="0" distL="0" distR="0" wp14:anchorId="7C413B2B" wp14:editId="6D87E89D">
                  <wp:extent cx="2885088" cy="2103120"/>
                  <wp:effectExtent l="0" t="0" r="0" b="0"/>
                  <wp:docPr id="36" name="Picture 36" descr="C:\Users\wb355788\Box Sync\My Projects\DR\3_Output\ups_f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b355788\Box Sync\My Projects\DR\3_Output\ups_f_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5088" cy="2103120"/>
                          </a:xfrm>
                          <a:prstGeom prst="rect">
                            <a:avLst/>
                          </a:prstGeom>
                          <a:noFill/>
                          <a:ln>
                            <a:noFill/>
                          </a:ln>
                        </pic:spPr>
                      </pic:pic>
                    </a:graphicData>
                  </a:graphic>
                </wp:inline>
              </w:drawing>
            </w:r>
          </w:p>
        </w:tc>
        <w:tc>
          <w:tcPr>
            <w:tcW w:w="4680" w:type="dxa"/>
          </w:tcPr>
          <w:p w14:paraId="15C170D2" w14:textId="77777777" w:rsidR="00957DD9" w:rsidRDefault="00957DD9" w:rsidP="00CB755B">
            <w:pPr>
              <w:spacing w:after="120"/>
              <w:jc w:val="center"/>
              <w:rPr>
                <w:rFonts w:ascii="Times New Roman" w:hAnsi="Times New Roman"/>
                <w:b/>
                <w:noProof/>
                <w:sz w:val="24"/>
                <w:szCs w:val="24"/>
              </w:rPr>
            </w:pPr>
            <w:r w:rsidRPr="000F263D">
              <w:rPr>
                <w:rFonts w:ascii="Times New Roman" w:hAnsi="Times New Roman"/>
                <w:noProof/>
                <w:sz w:val="24"/>
                <w:szCs w:val="24"/>
              </w:rPr>
              <w:drawing>
                <wp:inline distT="0" distB="0" distL="0" distR="0" wp14:anchorId="11F3C2F4" wp14:editId="4F8ABE1E">
                  <wp:extent cx="2885088" cy="2103120"/>
                  <wp:effectExtent l="0" t="0" r="0" b="0"/>
                  <wp:docPr id="37" name="Picture 37" descr="C:\Users\wb355788\Box Sync\My Projects\DR\3_Output\ups_f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wb355788\Box Sync\My Projects\DR\3_Output\ups_f_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5088" cy="2103120"/>
                          </a:xfrm>
                          <a:prstGeom prst="rect">
                            <a:avLst/>
                          </a:prstGeom>
                          <a:noFill/>
                          <a:ln>
                            <a:noFill/>
                          </a:ln>
                        </pic:spPr>
                      </pic:pic>
                    </a:graphicData>
                  </a:graphic>
                </wp:inline>
              </w:drawing>
            </w:r>
          </w:p>
        </w:tc>
      </w:tr>
      <w:tr w:rsidR="00957DD9" w14:paraId="780F3724" w14:textId="77777777" w:rsidTr="002804DB">
        <w:tc>
          <w:tcPr>
            <w:tcW w:w="4680" w:type="dxa"/>
          </w:tcPr>
          <w:p w14:paraId="7F95A3F0" w14:textId="43A62777" w:rsidR="00957DD9" w:rsidRDefault="00957DD9" w:rsidP="00CB755B">
            <w:pPr>
              <w:jc w:val="both"/>
              <w:rPr>
                <w:rFonts w:ascii="Times New Roman" w:hAnsi="Times New Roman"/>
                <w:noProof/>
                <w:sz w:val="20"/>
                <w:szCs w:val="20"/>
              </w:rPr>
            </w:pPr>
            <w:r w:rsidRPr="005A3CFC">
              <w:rPr>
                <w:rFonts w:ascii="Times New Roman" w:hAnsi="Times New Roman"/>
                <w:noProof/>
                <w:sz w:val="20"/>
                <w:szCs w:val="20"/>
              </w:rPr>
              <w:t>Note</w:t>
            </w:r>
            <w:r>
              <w:rPr>
                <w:rFonts w:ascii="Times New Roman" w:hAnsi="Times New Roman"/>
                <w:noProof/>
                <w:sz w:val="20"/>
                <w:szCs w:val="20"/>
              </w:rPr>
              <w:t>: This figure shows the upstreaness indicator for 2007 and 2012. The set of firm considered are those exportin</w:t>
            </w:r>
            <w:r w:rsidR="00C53AA0">
              <w:rPr>
                <w:rFonts w:ascii="Times New Roman" w:hAnsi="Times New Roman"/>
                <w:noProof/>
                <w:sz w:val="20"/>
                <w:szCs w:val="20"/>
              </w:rPr>
              <w:t>g</w:t>
            </w:r>
            <w:r>
              <w:rPr>
                <w:rFonts w:ascii="Times New Roman" w:hAnsi="Times New Roman"/>
                <w:noProof/>
                <w:sz w:val="20"/>
                <w:szCs w:val="20"/>
              </w:rPr>
              <w:t xml:space="preserve"> products classified under the 2-digit HS codes 50-63</w:t>
            </w:r>
          </w:p>
          <w:p w14:paraId="2ABF2626" w14:textId="77777777" w:rsidR="00957DD9" w:rsidRPr="00982224" w:rsidRDefault="00957DD9" w:rsidP="00CB755B">
            <w:pPr>
              <w:jc w:val="both"/>
              <w:rPr>
                <w:rFonts w:ascii="Times New Roman" w:hAnsi="Times New Roman"/>
                <w:noProof/>
                <w:sz w:val="20"/>
                <w:szCs w:val="20"/>
              </w:rPr>
            </w:pPr>
            <w:r>
              <w:rPr>
                <w:rFonts w:ascii="Times New Roman" w:hAnsi="Times New Roman"/>
                <w:noProof/>
                <w:sz w:val="20"/>
                <w:szCs w:val="20"/>
              </w:rPr>
              <w:t>Source: authors’ calculations using customs data.</w:t>
            </w:r>
          </w:p>
        </w:tc>
        <w:tc>
          <w:tcPr>
            <w:tcW w:w="4680" w:type="dxa"/>
          </w:tcPr>
          <w:p w14:paraId="0227524E" w14:textId="5844CF94" w:rsidR="00957DD9" w:rsidRDefault="00957DD9" w:rsidP="00957DD9">
            <w:pPr>
              <w:jc w:val="both"/>
              <w:rPr>
                <w:rFonts w:ascii="Times New Roman" w:hAnsi="Times New Roman"/>
                <w:noProof/>
                <w:sz w:val="20"/>
                <w:szCs w:val="20"/>
              </w:rPr>
            </w:pPr>
            <w:r w:rsidRPr="005A3CFC">
              <w:rPr>
                <w:rFonts w:ascii="Times New Roman" w:hAnsi="Times New Roman"/>
                <w:noProof/>
                <w:sz w:val="20"/>
                <w:szCs w:val="20"/>
              </w:rPr>
              <w:t>Note</w:t>
            </w:r>
            <w:r>
              <w:rPr>
                <w:rFonts w:ascii="Times New Roman" w:hAnsi="Times New Roman"/>
                <w:noProof/>
                <w:sz w:val="20"/>
                <w:szCs w:val="20"/>
              </w:rPr>
              <w:t>: This figure shows the upstreaness indicator for 2007 and 2012. The set of firm considered are those exportin</w:t>
            </w:r>
            <w:r w:rsidR="00C53AA0">
              <w:rPr>
                <w:rFonts w:ascii="Times New Roman" w:hAnsi="Times New Roman"/>
                <w:noProof/>
                <w:sz w:val="20"/>
                <w:szCs w:val="20"/>
              </w:rPr>
              <w:t>g</w:t>
            </w:r>
            <w:r>
              <w:rPr>
                <w:rFonts w:ascii="Times New Roman" w:hAnsi="Times New Roman"/>
                <w:noProof/>
                <w:sz w:val="20"/>
                <w:szCs w:val="20"/>
              </w:rPr>
              <w:t xml:space="preserve"> products classified under the 2-digit HS codes 90-97. For SEZs these codes represent mainly Medical Equipment</w:t>
            </w:r>
          </w:p>
          <w:p w14:paraId="398D2D4A" w14:textId="77777777" w:rsidR="00957DD9" w:rsidRDefault="00957DD9" w:rsidP="00CB755B">
            <w:pPr>
              <w:ind w:right="-113"/>
              <w:jc w:val="both"/>
              <w:rPr>
                <w:rFonts w:ascii="Times New Roman" w:hAnsi="Times New Roman"/>
                <w:b/>
                <w:noProof/>
                <w:sz w:val="24"/>
                <w:szCs w:val="24"/>
              </w:rPr>
            </w:pPr>
            <w:r w:rsidRPr="005A3CFC">
              <w:rPr>
                <w:rFonts w:ascii="Times New Roman" w:hAnsi="Times New Roman"/>
                <w:noProof/>
                <w:sz w:val="20"/>
                <w:szCs w:val="20"/>
              </w:rPr>
              <w:t>Source: authors’ calculations</w:t>
            </w:r>
            <w:r>
              <w:rPr>
                <w:rFonts w:ascii="Times New Roman" w:hAnsi="Times New Roman"/>
                <w:noProof/>
                <w:sz w:val="20"/>
                <w:szCs w:val="20"/>
              </w:rPr>
              <w:t xml:space="preserve"> using customs data</w:t>
            </w:r>
            <w:r w:rsidRPr="005A3CFC">
              <w:rPr>
                <w:rFonts w:ascii="Times New Roman" w:hAnsi="Times New Roman"/>
                <w:noProof/>
                <w:sz w:val="20"/>
                <w:szCs w:val="20"/>
              </w:rPr>
              <w:t>.</w:t>
            </w:r>
          </w:p>
        </w:tc>
      </w:tr>
    </w:tbl>
    <w:p w14:paraId="3E66241A" w14:textId="77777777" w:rsidR="00687839" w:rsidRDefault="00687839" w:rsidP="00687839"/>
    <w:p w14:paraId="30671C85" w14:textId="77777777" w:rsidR="00687839" w:rsidRDefault="00687839">
      <w:pPr>
        <w:spacing w:after="200" w:line="276" w:lineRule="auto"/>
        <w:jc w:val="both"/>
        <w:rPr>
          <w:rFonts w:asciiTheme="majorHAnsi" w:hAnsiTheme="majorHAnsi" w:cstheme="majorHAnsi"/>
          <w:b/>
          <w:spacing w:val="5"/>
          <w:sz w:val="32"/>
          <w:szCs w:val="32"/>
        </w:rPr>
      </w:pPr>
      <w:r>
        <w:rPr>
          <w:rFonts w:asciiTheme="majorHAnsi" w:hAnsiTheme="majorHAnsi" w:cstheme="majorHAnsi"/>
        </w:rPr>
        <w:br w:type="page"/>
      </w:r>
    </w:p>
    <w:p w14:paraId="7B0ACE48" w14:textId="77777777" w:rsidR="00EE6113" w:rsidRPr="00EE6113" w:rsidRDefault="00EE6113" w:rsidP="00EE6113">
      <w:pPr>
        <w:pStyle w:val="Heading1"/>
      </w:pPr>
      <w:bookmarkStart w:id="15" w:name="_Toc461524380"/>
      <w:r w:rsidRPr="00EE6113">
        <w:lastRenderedPageBreak/>
        <w:t>Evolution of Domestic Linkages as the Country Connects with Longer and more Sophisticated GVCs.</w:t>
      </w:r>
      <w:bookmarkEnd w:id="15"/>
    </w:p>
    <w:p w14:paraId="689891BF" w14:textId="77777777" w:rsidR="00EE6113" w:rsidRPr="0038400A" w:rsidRDefault="00EE6113" w:rsidP="00EE6113"/>
    <w:p w14:paraId="401C3450" w14:textId="77777777" w:rsidR="00EE6113" w:rsidRPr="00D6544D" w:rsidRDefault="00EE6113" w:rsidP="00EE6113">
      <w:pPr>
        <w:spacing w:after="120" w:line="276" w:lineRule="auto"/>
        <w:jc w:val="both"/>
        <w:rPr>
          <w:rFonts w:ascii="Times New Roman" w:hAnsi="Times New Roman"/>
          <w:sz w:val="24"/>
          <w:szCs w:val="24"/>
        </w:rPr>
      </w:pPr>
      <w:r>
        <w:rPr>
          <w:rFonts w:ascii="Times New Roman" w:hAnsi="Times New Roman"/>
          <w:b/>
          <w:sz w:val="24"/>
          <w:szCs w:val="24"/>
        </w:rPr>
        <w:t xml:space="preserve">Foreign Direct Investment is an important element in a country development strategy because it can increase economic welfare by serving as a channel through which the host countries access foreign technology, improve the training of its workers, and generate productive linkages between the domestic firms and foreign enterprises. </w:t>
      </w:r>
      <w:r w:rsidRPr="00D6544D">
        <w:rPr>
          <w:rFonts w:ascii="Times New Roman" w:hAnsi="Times New Roman"/>
          <w:sz w:val="24"/>
          <w:szCs w:val="24"/>
        </w:rPr>
        <w:t>The</w:t>
      </w:r>
      <w:r>
        <w:rPr>
          <w:rFonts w:ascii="Times New Roman" w:hAnsi="Times New Roman"/>
          <w:b/>
          <w:sz w:val="24"/>
          <w:szCs w:val="24"/>
        </w:rPr>
        <w:t xml:space="preserve"> </w:t>
      </w:r>
      <w:r w:rsidRPr="00D6544D">
        <w:rPr>
          <w:rFonts w:ascii="Times New Roman" w:hAnsi="Times New Roman"/>
          <w:sz w:val="24"/>
          <w:szCs w:val="24"/>
        </w:rPr>
        <w:t>Domini</w:t>
      </w:r>
      <w:r>
        <w:rPr>
          <w:rFonts w:ascii="Times New Roman" w:hAnsi="Times New Roman"/>
          <w:sz w:val="24"/>
          <w:szCs w:val="24"/>
        </w:rPr>
        <w:t>can Republic employed SEZs to attract a specific type of foreign investment: efficiency-seeking FDI, which seeks to use the country as an assembly and export platform to serve the U.S. market. Over the last 20 years, SEZs in the Dominican Republic witnessed a transformation in the type of activities taking place in them, from textiles-based production to a combination of more sophisticated goods including medical devices, circuit breakers, footwear, and pharmaceutical products. The connections with more sophisticated global production networks has deepening the belief that firms operating in SEZs operate in an enclave mode with few linkages to domestic firms. This chapter measures the extent and the evolution of domestic linkages within SEZs in the Dominican Republic and compares this to other countries.</w:t>
      </w:r>
    </w:p>
    <w:p w14:paraId="150FB86F" w14:textId="21C7610E" w:rsidR="00EE6113" w:rsidRPr="00C96F98" w:rsidRDefault="003D0E6C" w:rsidP="00EE6113">
      <w:pPr>
        <w:spacing w:after="120" w:line="276" w:lineRule="auto"/>
        <w:jc w:val="both"/>
        <w:rPr>
          <w:rFonts w:ascii="Times New Roman" w:hAnsi="Times New Roman"/>
          <w:sz w:val="24"/>
          <w:szCs w:val="24"/>
        </w:rPr>
      </w:pPr>
      <w:r>
        <w:rPr>
          <w:rFonts w:ascii="Times New Roman" w:hAnsi="Times New Roman"/>
          <w:b/>
          <w:sz w:val="24"/>
          <w:szCs w:val="24"/>
        </w:rPr>
        <w:t>T</w:t>
      </w:r>
      <w:r w:rsidR="00EE6113">
        <w:rPr>
          <w:rFonts w:ascii="Times New Roman" w:hAnsi="Times New Roman"/>
          <w:b/>
          <w:sz w:val="24"/>
          <w:szCs w:val="24"/>
        </w:rPr>
        <w:t>he share of firm</w:t>
      </w:r>
      <w:r>
        <w:rPr>
          <w:rFonts w:ascii="Times New Roman" w:hAnsi="Times New Roman"/>
          <w:b/>
          <w:sz w:val="24"/>
          <w:szCs w:val="24"/>
        </w:rPr>
        <w:t>s</w:t>
      </w:r>
      <w:r w:rsidR="00EE6113">
        <w:rPr>
          <w:rFonts w:ascii="Times New Roman" w:hAnsi="Times New Roman"/>
          <w:b/>
          <w:sz w:val="24"/>
          <w:szCs w:val="24"/>
        </w:rPr>
        <w:t xml:space="preserve">’ total inputs that are imported provide an indication of the degree of backward linkages. </w:t>
      </w:r>
      <w:r w:rsidR="00EE6113" w:rsidRPr="00C96F98">
        <w:rPr>
          <w:rFonts w:ascii="Times New Roman" w:hAnsi="Times New Roman"/>
          <w:sz w:val="24"/>
          <w:szCs w:val="24"/>
        </w:rPr>
        <w:t>Engel</w:t>
      </w:r>
      <w:r w:rsidR="00EE6113">
        <w:rPr>
          <w:rFonts w:ascii="Times New Roman" w:hAnsi="Times New Roman"/>
          <w:sz w:val="24"/>
          <w:szCs w:val="24"/>
        </w:rPr>
        <w:t>, Reyes, and Sanchez</w:t>
      </w:r>
      <w:r w:rsidR="00EE6113" w:rsidRPr="00C96F98">
        <w:rPr>
          <w:rFonts w:ascii="Times New Roman" w:hAnsi="Times New Roman"/>
          <w:sz w:val="24"/>
          <w:szCs w:val="24"/>
        </w:rPr>
        <w:t xml:space="preserve"> (2016)</w:t>
      </w:r>
      <w:r w:rsidR="00EE6113">
        <w:rPr>
          <w:rFonts w:ascii="Times New Roman" w:hAnsi="Times New Roman"/>
          <w:sz w:val="24"/>
          <w:szCs w:val="24"/>
        </w:rPr>
        <w:t xml:space="preserve">, in a background paper commissioned for this report, assembled </w:t>
      </w:r>
      <w:r w:rsidR="00EE6113" w:rsidRPr="00C96F98">
        <w:rPr>
          <w:rFonts w:ascii="Times New Roman" w:hAnsi="Times New Roman"/>
          <w:sz w:val="24"/>
          <w:szCs w:val="24"/>
        </w:rPr>
        <w:t>a series of</w:t>
      </w:r>
      <w:r w:rsidR="00EE6113">
        <w:rPr>
          <w:rFonts w:ascii="Times New Roman" w:hAnsi="Times New Roman"/>
          <w:sz w:val="24"/>
          <w:szCs w:val="24"/>
        </w:rPr>
        <w:t xml:space="preserve"> supply-use tables that allow the computation of domestic value added embedded in exports for sectors operating mostly within the SEZ regime. On the basis of these, and for</w:t>
      </w:r>
      <w:r w:rsidR="00EE6113" w:rsidRPr="00384D1C">
        <w:rPr>
          <w:rFonts w:ascii="Times New Roman" w:hAnsi="Times New Roman"/>
          <w:sz w:val="24"/>
          <w:szCs w:val="24"/>
        </w:rPr>
        <w:t xml:space="preserve"> the first time, a series of</w:t>
      </w:r>
      <w:r w:rsidR="00EE6113">
        <w:rPr>
          <w:rFonts w:ascii="Times New Roman" w:hAnsi="Times New Roman"/>
          <w:sz w:val="24"/>
          <w:szCs w:val="24"/>
        </w:rPr>
        <w:t xml:space="preserve"> symmetric sector-level</w:t>
      </w:r>
      <w:r w:rsidR="00EE6113" w:rsidRPr="00384D1C">
        <w:rPr>
          <w:rFonts w:ascii="Times New Roman" w:hAnsi="Times New Roman"/>
          <w:sz w:val="24"/>
          <w:szCs w:val="24"/>
        </w:rPr>
        <w:t xml:space="preserve"> input-output tables for the Dominican Republic </w:t>
      </w:r>
      <w:r w:rsidR="00EE6113">
        <w:rPr>
          <w:rFonts w:ascii="Times New Roman" w:hAnsi="Times New Roman"/>
          <w:sz w:val="24"/>
          <w:szCs w:val="24"/>
        </w:rPr>
        <w:t>were</w:t>
      </w:r>
      <w:r w:rsidR="00EE6113" w:rsidRPr="00384D1C">
        <w:rPr>
          <w:rFonts w:ascii="Times New Roman" w:hAnsi="Times New Roman"/>
          <w:sz w:val="24"/>
          <w:szCs w:val="24"/>
        </w:rPr>
        <w:t xml:space="preserve"> constructed, based on existing </w:t>
      </w:r>
      <w:r w:rsidR="00EE6113">
        <w:rPr>
          <w:rFonts w:ascii="Times New Roman" w:hAnsi="Times New Roman"/>
          <w:sz w:val="24"/>
          <w:szCs w:val="24"/>
        </w:rPr>
        <w:t>national accounts data</w:t>
      </w:r>
      <w:r w:rsidR="00EE6113" w:rsidRPr="00384D1C">
        <w:rPr>
          <w:rFonts w:ascii="Times New Roman" w:hAnsi="Times New Roman"/>
          <w:sz w:val="24"/>
          <w:szCs w:val="24"/>
        </w:rPr>
        <w:t xml:space="preserve"> covering the years 1993-2010.</w:t>
      </w:r>
      <w:r w:rsidR="00EE6113">
        <w:rPr>
          <w:rStyle w:val="FootnoteReference"/>
          <w:rFonts w:ascii="Times New Roman" w:hAnsi="Times New Roman"/>
          <w:sz w:val="24"/>
          <w:szCs w:val="24"/>
        </w:rPr>
        <w:footnoteReference w:id="6"/>
      </w:r>
      <w:r w:rsidR="00EE6113" w:rsidRPr="00384D1C">
        <w:rPr>
          <w:rFonts w:ascii="Times New Roman" w:hAnsi="Times New Roman"/>
          <w:sz w:val="24"/>
          <w:szCs w:val="24"/>
        </w:rPr>
        <w:t xml:space="preserve"> </w:t>
      </w:r>
      <w:r w:rsidR="00EE6113" w:rsidRPr="00C96F98">
        <w:rPr>
          <w:rFonts w:ascii="Times New Roman" w:hAnsi="Times New Roman"/>
          <w:sz w:val="24"/>
          <w:szCs w:val="24"/>
        </w:rPr>
        <w:t xml:space="preserve">This </w:t>
      </w:r>
      <w:r w:rsidR="00EE6113">
        <w:rPr>
          <w:rFonts w:ascii="Times New Roman" w:hAnsi="Times New Roman"/>
          <w:sz w:val="24"/>
          <w:szCs w:val="24"/>
        </w:rPr>
        <w:t xml:space="preserve">information </w:t>
      </w:r>
      <w:r w:rsidR="00EE6113" w:rsidRPr="00C96F98">
        <w:rPr>
          <w:rFonts w:ascii="Times New Roman" w:hAnsi="Times New Roman"/>
          <w:sz w:val="24"/>
          <w:szCs w:val="24"/>
        </w:rPr>
        <w:t xml:space="preserve">allows for the calculation of value added in </w:t>
      </w:r>
      <w:r w:rsidR="00EE6113">
        <w:rPr>
          <w:rFonts w:ascii="Times New Roman" w:hAnsi="Times New Roman"/>
          <w:sz w:val="24"/>
          <w:szCs w:val="24"/>
        </w:rPr>
        <w:t>trade</w:t>
      </w:r>
      <w:r w:rsidR="00EE6113" w:rsidRPr="00C96F98">
        <w:rPr>
          <w:rFonts w:ascii="Times New Roman" w:hAnsi="Times New Roman"/>
          <w:sz w:val="24"/>
          <w:szCs w:val="24"/>
        </w:rPr>
        <w:t xml:space="preserve"> </w:t>
      </w:r>
      <w:r>
        <w:rPr>
          <w:rFonts w:ascii="Times New Roman" w:hAnsi="Times New Roman"/>
          <w:sz w:val="24"/>
          <w:szCs w:val="24"/>
        </w:rPr>
        <w:t xml:space="preserve">and backward linkages </w:t>
      </w:r>
      <w:r w:rsidR="00EE6113">
        <w:rPr>
          <w:rFonts w:ascii="Times New Roman" w:hAnsi="Times New Roman"/>
          <w:sz w:val="24"/>
          <w:szCs w:val="24"/>
        </w:rPr>
        <w:t xml:space="preserve">at the sectoral level </w:t>
      </w:r>
      <w:r w:rsidR="00EE6113" w:rsidRPr="00C96F98">
        <w:rPr>
          <w:rFonts w:ascii="Times New Roman" w:hAnsi="Times New Roman"/>
          <w:sz w:val="24"/>
          <w:szCs w:val="24"/>
        </w:rPr>
        <w:t xml:space="preserve">over </w:t>
      </w:r>
      <w:r w:rsidR="00EE6113">
        <w:rPr>
          <w:rFonts w:ascii="Times New Roman" w:hAnsi="Times New Roman"/>
          <w:sz w:val="24"/>
          <w:szCs w:val="24"/>
        </w:rPr>
        <w:t xml:space="preserve">a </w:t>
      </w:r>
      <w:r w:rsidR="00EE6113" w:rsidRPr="00C96F98">
        <w:rPr>
          <w:rFonts w:ascii="Times New Roman" w:hAnsi="Times New Roman"/>
          <w:sz w:val="24"/>
          <w:szCs w:val="24"/>
        </w:rPr>
        <w:t>17-year-time period.</w:t>
      </w:r>
      <w:r w:rsidR="00EE6113">
        <w:rPr>
          <w:rStyle w:val="FootnoteReference"/>
          <w:rFonts w:ascii="Times New Roman" w:hAnsi="Times New Roman"/>
          <w:sz w:val="24"/>
          <w:szCs w:val="24"/>
        </w:rPr>
        <w:footnoteReference w:id="7"/>
      </w:r>
      <w:r w:rsidR="00EE6113" w:rsidRPr="00C96F98">
        <w:rPr>
          <w:rFonts w:ascii="Times New Roman" w:hAnsi="Times New Roman"/>
          <w:sz w:val="24"/>
          <w:szCs w:val="24"/>
        </w:rPr>
        <w:t xml:space="preserve"> </w:t>
      </w:r>
    </w:p>
    <w:p w14:paraId="172325DC" w14:textId="6F1DD5C8" w:rsidR="00EE6113" w:rsidRDefault="00EE6113" w:rsidP="00EE6113">
      <w:pPr>
        <w:spacing w:line="276" w:lineRule="auto"/>
        <w:jc w:val="both"/>
        <w:rPr>
          <w:rFonts w:ascii="Times New Roman" w:hAnsi="Times New Roman"/>
          <w:sz w:val="24"/>
          <w:szCs w:val="24"/>
        </w:rPr>
      </w:pPr>
      <w:r w:rsidRPr="00384D1C">
        <w:rPr>
          <w:rFonts w:ascii="Times New Roman" w:hAnsi="Times New Roman"/>
          <w:b/>
          <w:sz w:val="24"/>
          <w:szCs w:val="24"/>
        </w:rPr>
        <w:t xml:space="preserve">Over the past decade, the </w:t>
      </w:r>
      <w:r>
        <w:rPr>
          <w:rFonts w:ascii="Times New Roman" w:hAnsi="Times New Roman"/>
          <w:b/>
          <w:sz w:val="24"/>
          <w:szCs w:val="24"/>
        </w:rPr>
        <w:t xml:space="preserve">overall </w:t>
      </w:r>
      <w:r w:rsidRPr="00384D1C">
        <w:rPr>
          <w:rFonts w:ascii="Times New Roman" w:hAnsi="Times New Roman"/>
          <w:b/>
          <w:sz w:val="24"/>
          <w:szCs w:val="24"/>
        </w:rPr>
        <w:t xml:space="preserve">reliance on imports </w:t>
      </w:r>
      <w:r>
        <w:rPr>
          <w:rFonts w:ascii="Times New Roman" w:hAnsi="Times New Roman"/>
          <w:b/>
          <w:sz w:val="24"/>
          <w:szCs w:val="24"/>
        </w:rPr>
        <w:t xml:space="preserve">with respect </w:t>
      </w:r>
      <w:r w:rsidRPr="00384D1C">
        <w:rPr>
          <w:rFonts w:ascii="Times New Roman" w:hAnsi="Times New Roman"/>
          <w:b/>
          <w:sz w:val="24"/>
          <w:szCs w:val="24"/>
        </w:rPr>
        <w:t xml:space="preserve">to inputs increased in </w:t>
      </w:r>
      <w:r>
        <w:rPr>
          <w:rFonts w:ascii="Times New Roman" w:hAnsi="Times New Roman"/>
          <w:b/>
          <w:sz w:val="24"/>
          <w:szCs w:val="24"/>
        </w:rPr>
        <w:t>SEZs,</w:t>
      </w:r>
      <w:r w:rsidRPr="00384D1C">
        <w:rPr>
          <w:rFonts w:ascii="Times New Roman" w:hAnsi="Times New Roman"/>
          <w:b/>
          <w:sz w:val="24"/>
          <w:szCs w:val="24"/>
        </w:rPr>
        <w:t xml:space="preserve"> </w:t>
      </w:r>
      <w:r w:rsidR="003D0E6C">
        <w:rPr>
          <w:rFonts w:ascii="Times New Roman" w:hAnsi="Times New Roman"/>
          <w:b/>
          <w:sz w:val="24"/>
          <w:szCs w:val="24"/>
        </w:rPr>
        <w:t>indicating a reduction of domestic linkages</w:t>
      </w:r>
      <w:r>
        <w:rPr>
          <w:rFonts w:ascii="Times New Roman" w:hAnsi="Times New Roman"/>
          <w:b/>
          <w:sz w:val="24"/>
          <w:szCs w:val="24"/>
        </w:rPr>
        <w:t xml:space="preserve">. </w:t>
      </w:r>
      <w:r w:rsidRPr="00BC4C8D">
        <w:rPr>
          <w:rFonts w:ascii="Times New Roman" w:hAnsi="Times New Roman"/>
          <w:sz w:val="24"/>
          <w:szCs w:val="24"/>
        </w:rPr>
        <w:t>The</w:t>
      </w:r>
      <w:r>
        <w:rPr>
          <w:rFonts w:ascii="Times New Roman" w:hAnsi="Times New Roman"/>
          <w:b/>
          <w:sz w:val="24"/>
          <w:szCs w:val="24"/>
        </w:rPr>
        <w:t xml:space="preserve"> </w:t>
      </w:r>
      <w:r w:rsidRPr="00384D1C">
        <w:rPr>
          <w:rFonts w:ascii="Times New Roman" w:hAnsi="Times New Roman"/>
          <w:sz w:val="24"/>
          <w:szCs w:val="24"/>
        </w:rPr>
        <w:t>share of SEZ imports in total inputs decreased sharply from 1993 (43 percent) to 1999 (</w:t>
      </w:r>
      <w:r w:rsidR="003D0E6C">
        <w:rPr>
          <w:rFonts w:ascii="Times New Roman" w:hAnsi="Times New Roman"/>
          <w:sz w:val="24"/>
          <w:szCs w:val="24"/>
        </w:rPr>
        <w:t>approximately</w:t>
      </w:r>
      <w:r w:rsidRPr="00384D1C">
        <w:rPr>
          <w:rFonts w:ascii="Times New Roman" w:hAnsi="Times New Roman"/>
          <w:sz w:val="24"/>
          <w:szCs w:val="24"/>
        </w:rPr>
        <w:t xml:space="preserve"> 23 percent), prior to increasing again over the past decade, before reaching 43 percent in 2010 (</w:t>
      </w:r>
      <w:r w:rsidRPr="00286B49">
        <w:rPr>
          <w:rFonts w:ascii="Times New Roman" w:hAnsi="Times New Roman"/>
          <w:sz w:val="24"/>
          <w:szCs w:val="24"/>
        </w:rPr>
        <w:fldChar w:fldCharType="begin"/>
      </w:r>
      <w:r w:rsidRPr="00286B49">
        <w:rPr>
          <w:rFonts w:ascii="Times New Roman" w:hAnsi="Times New Roman"/>
          <w:sz w:val="24"/>
          <w:szCs w:val="24"/>
        </w:rPr>
        <w:instrText xml:space="preserve"> REF _Ref449015621 \h  \* MERGEFORMAT </w:instrText>
      </w:r>
      <w:r w:rsidRPr="00286B49">
        <w:rPr>
          <w:rFonts w:ascii="Times New Roman" w:hAnsi="Times New Roman"/>
          <w:sz w:val="24"/>
          <w:szCs w:val="24"/>
        </w:rPr>
      </w:r>
      <w:r w:rsidRPr="00286B49">
        <w:rPr>
          <w:rFonts w:ascii="Times New Roman" w:hAnsi="Times New Roman"/>
          <w:sz w:val="24"/>
          <w:szCs w:val="24"/>
        </w:rPr>
        <w:fldChar w:fldCharType="separate"/>
      </w:r>
      <w:r w:rsidR="00893CAD" w:rsidRPr="00893CAD">
        <w:rPr>
          <w:rFonts w:asciiTheme="majorHAnsi" w:hAnsiTheme="majorHAnsi" w:cstheme="majorHAnsi"/>
          <w:sz w:val="24"/>
          <w:szCs w:val="24"/>
        </w:rPr>
        <w:t xml:space="preserve">Figure </w:t>
      </w:r>
      <w:r w:rsidR="00893CAD" w:rsidRPr="00893CAD">
        <w:rPr>
          <w:rFonts w:asciiTheme="majorHAnsi" w:hAnsiTheme="majorHAnsi" w:cstheme="majorHAnsi"/>
          <w:noProof/>
          <w:sz w:val="24"/>
          <w:szCs w:val="24"/>
        </w:rPr>
        <w:t>8</w:t>
      </w:r>
      <w:r w:rsidRPr="00286B49">
        <w:rPr>
          <w:rFonts w:ascii="Times New Roman" w:hAnsi="Times New Roman"/>
          <w:sz w:val="24"/>
          <w:szCs w:val="24"/>
        </w:rPr>
        <w:fldChar w:fldCharType="end"/>
      </w:r>
      <w:r w:rsidRPr="00384D1C">
        <w:rPr>
          <w:rFonts w:ascii="Times New Roman" w:hAnsi="Times New Roman"/>
          <w:sz w:val="24"/>
          <w:szCs w:val="24"/>
        </w:rPr>
        <w:t xml:space="preserve">). </w:t>
      </w:r>
      <w:r w:rsidR="003D0E6C">
        <w:rPr>
          <w:rFonts w:ascii="Times New Roman" w:hAnsi="Times New Roman"/>
          <w:sz w:val="24"/>
          <w:szCs w:val="24"/>
        </w:rPr>
        <w:t xml:space="preserve">While the recent </w:t>
      </w:r>
      <w:r w:rsidR="003D0E6C">
        <w:rPr>
          <w:rFonts w:ascii="Times New Roman" w:hAnsi="Times New Roman"/>
          <w:sz w:val="24"/>
          <w:szCs w:val="24"/>
        </w:rPr>
        <w:lastRenderedPageBreak/>
        <w:t xml:space="preserve">product diversification SEZs brought more </w:t>
      </w:r>
      <w:r w:rsidR="00C217B2">
        <w:rPr>
          <w:rFonts w:ascii="Times New Roman" w:hAnsi="Times New Roman"/>
          <w:sz w:val="24"/>
          <w:szCs w:val="24"/>
        </w:rPr>
        <w:t xml:space="preserve">production stages into the country (more </w:t>
      </w:r>
      <w:r w:rsidR="003D0E6C">
        <w:rPr>
          <w:rFonts w:ascii="Times New Roman" w:hAnsi="Times New Roman"/>
          <w:sz w:val="24"/>
          <w:szCs w:val="24"/>
        </w:rPr>
        <w:t xml:space="preserve">value </w:t>
      </w:r>
      <w:r w:rsidR="00C217B2">
        <w:rPr>
          <w:rFonts w:ascii="Times New Roman" w:hAnsi="Times New Roman"/>
          <w:sz w:val="24"/>
          <w:szCs w:val="24"/>
        </w:rPr>
        <w:t>addition)</w:t>
      </w:r>
      <w:r w:rsidR="003D0E6C">
        <w:rPr>
          <w:rFonts w:ascii="Times New Roman" w:hAnsi="Times New Roman"/>
          <w:sz w:val="24"/>
          <w:szCs w:val="24"/>
        </w:rPr>
        <w:t xml:space="preserve">, the technical sophistication nature of the new </w:t>
      </w:r>
      <w:r w:rsidR="00C217B2">
        <w:rPr>
          <w:rFonts w:ascii="Times New Roman" w:hAnsi="Times New Roman"/>
          <w:sz w:val="24"/>
          <w:szCs w:val="24"/>
        </w:rPr>
        <w:t xml:space="preserve">processes </w:t>
      </w:r>
      <w:r w:rsidR="003D0E6C">
        <w:rPr>
          <w:rFonts w:ascii="Times New Roman" w:hAnsi="Times New Roman"/>
          <w:sz w:val="24"/>
          <w:szCs w:val="24"/>
        </w:rPr>
        <w:t xml:space="preserve">implied that more inputs were imported </w:t>
      </w:r>
      <w:r w:rsidR="00C217B2">
        <w:rPr>
          <w:rFonts w:ascii="Times New Roman" w:hAnsi="Times New Roman"/>
          <w:sz w:val="24"/>
          <w:szCs w:val="24"/>
        </w:rPr>
        <w:t xml:space="preserve">instead of being </w:t>
      </w:r>
      <w:r w:rsidR="003D0E6C">
        <w:rPr>
          <w:rFonts w:ascii="Times New Roman" w:hAnsi="Times New Roman"/>
          <w:sz w:val="24"/>
          <w:szCs w:val="24"/>
        </w:rPr>
        <w:t>source</w:t>
      </w:r>
      <w:r w:rsidR="00C217B2">
        <w:rPr>
          <w:rFonts w:ascii="Times New Roman" w:hAnsi="Times New Roman"/>
          <w:sz w:val="24"/>
          <w:szCs w:val="24"/>
        </w:rPr>
        <w:t>d</w:t>
      </w:r>
      <w:r w:rsidR="003D0E6C">
        <w:rPr>
          <w:rFonts w:ascii="Times New Roman" w:hAnsi="Times New Roman"/>
          <w:sz w:val="24"/>
          <w:szCs w:val="24"/>
        </w:rPr>
        <w:t xml:space="preserve"> domestically. </w:t>
      </w:r>
      <w:r w:rsidRPr="00384D1C">
        <w:rPr>
          <w:rFonts w:ascii="Times New Roman" w:hAnsi="Times New Roman"/>
          <w:sz w:val="24"/>
          <w:szCs w:val="24"/>
        </w:rPr>
        <w:t xml:space="preserve">Outside SEZs, the share of imported inputs is much lower, and declined to around 15 percent in 2010, whereas domestic value added in exports </w:t>
      </w:r>
      <w:r>
        <w:rPr>
          <w:rFonts w:ascii="Times New Roman" w:hAnsi="Times New Roman"/>
          <w:sz w:val="24"/>
          <w:szCs w:val="24"/>
        </w:rPr>
        <w:t xml:space="preserve">(which were primarily commodity-based) </w:t>
      </w:r>
      <w:r w:rsidRPr="00384D1C">
        <w:rPr>
          <w:rFonts w:ascii="Times New Roman" w:hAnsi="Times New Roman"/>
          <w:sz w:val="24"/>
          <w:szCs w:val="24"/>
        </w:rPr>
        <w:t xml:space="preserve">has remained stable at around 90 percent. In examining the difference between SEZ and non-SEZ exports it is worth noting that these significant gaps mirror the results found in other </w:t>
      </w:r>
      <w:r>
        <w:rPr>
          <w:rFonts w:ascii="Times New Roman" w:hAnsi="Times New Roman"/>
          <w:sz w:val="24"/>
          <w:szCs w:val="24"/>
        </w:rPr>
        <w:t>countries that have large SEZ-based processing sectors.</w:t>
      </w:r>
    </w:p>
    <w:p w14:paraId="3A7030DB" w14:textId="77777777" w:rsidR="00EE6113" w:rsidRDefault="00EE6113" w:rsidP="00EE6113">
      <w:pPr>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1"/>
      </w:tblGrid>
      <w:tr w:rsidR="003D0E6C" w14:paraId="45010119" w14:textId="77777777" w:rsidTr="00893CAD">
        <w:tc>
          <w:tcPr>
            <w:tcW w:w="9391" w:type="dxa"/>
          </w:tcPr>
          <w:p w14:paraId="4403131C" w14:textId="30AC6981" w:rsidR="003D0E6C" w:rsidRDefault="003D0E6C" w:rsidP="00275CC0">
            <w:pPr>
              <w:spacing w:after="120"/>
              <w:jc w:val="center"/>
              <w:rPr>
                <w:rFonts w:ascii="Times New Roman" w:hAnsi="Times New Roman"/>
                <w:b/>
                <w:noProof/>
                <w:sz w:val="24"/>
                <w:szCs w:val="24"/>
              </w:rPr>
            </w:pPr>
            <w:bookmarkStart w:id="16" w:name="_Ref449015621"/>
            <w:r w:rsidRPr="00982224">
              <w:rPr>
                <w:rFonts w:asciiTheme="majorHAnsi" w:hAnsiTheme="majorHAnsi" w:cstheme="majorHAnsi"/>
                <w:b/>
                <w:sz w:val="24"/>
                <w:szCs w:val="24"/>
              </w:rPr>
              <w:t xml:space="preserve">Figure </w:t>
            </w:r>
            <w:r w:rsidRPr="00982224">
              <w:rPr>
                <w:rFonts w:asciiTheme="majorHAnsi" w:hAnsiTheme="majorHAnsi" w:cstheme="majorHAnsi"/>
                <w:b/>
                <w:sz w:val="24"/>
                <w:szCs w:val="24"/>
              </w:rPr>
              <w:fldChar w:fldCharType="begin"/>
            </w:r>
            <w:r w:rsidRPr="00982224">
              <w:rPr>
                <w:rFonts w:asciiTheme="majorHAnsi" w:hAnsiTheme="majorHAnsi" w:cstheme="majorHAnsi"/>
                <w:b/>
                <w:sz w:val="24"/>
                <w:szCs w:val="24"/>
              </w:rPr>
              <w:instrText xml:space="preserve"> SEQ Figure \* ARABIC </w:instrText>
            </w:r>
            <w:r w:rsidRPr="0098222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8</w:t>
            </w:r>
            <w:r w:rsidRPr="00982224">
              <w:rPr>
                <w:rFonts w:asciiTheme="majorHAnsi" w:hAnsiTheme="majorHAnsi" w:cstheme="majorHAnsi"/>
                <w:b/>
                <w:sz w:val="24"/>
                <w:szCs w:val="24"/>
              </w:rPr>
              <w:fldChar w:fldCharType="end"/>
            </w:r>
            <w:bookmarkEnd w:id="16"/>
            <w:r w:rsidRPr="00982224">
              <w:rPr>
                <w:rFonts w:asciiTheme="majorHAnsi" w:hAnsiTheme="majorHAnsi" w:cstheme="majorHAnsi"/>
                <w:b/>
                <w:sz w:val="24"/>
                <w:szCs w:val="24"/>
              </w:rPr>
              <w:t xml:space="preserve">: </w:t>
            </w:r>
            <w:r>
              <w:rPr>
                <w:rFonts w:asciiTheme="majorHAnsi" w:hAnsiTheme="majorHAnsi" w:cstheme="majorHAnsi"/>
                <w:b/>
                <w:noProof/>
                <w:sz w:val="24"/>
                <w:szCs w:val="24"/>
              </w:rPr>
              <w:t>Evolution of Imports as a Share of Total Inputs</w:t>
            </w:r>
          </w:p>
        </w:tc>
      </w:tr>
      <w:tr w:rsidR="003D0E6C" w14:paraId="489038C7" w14:textId="77777777" w:rsidTr="00893CAD">
        <w:tc>
          <w:tcPr>
            <w:tcW w:w="9391" w:type="dxa"/>
          </w:tcPr>
          <w:p w14:paraId="10EF54AD" w14:textId="48DD314E" w:rsidR="003D0E6C" w:rsidRDefault="003D0E6C" w:rsidP="00275CC0">
            <w:pPr>
              <w:spacing w:after="120"/>
              <w:jc w:val="center"/>
              <w:rPr>
                <w:rFonts w:ascii="Times New Roman" w:hAnsi="Times New Roman"/>
                <w:b/>
                <w:noProof/>
                <w:sz w:val="24"/>
                <w:szCs w:val="24"/>
              </w:rPr>
            </w:pPr>
            <w:r>
              <w:rPr>
                <w:noProof/>
              </w:rPr>
              <w:drawing>
                <wp:inline distT="0" distB="0" distL="0" distR="0" wp14:anchorId="61760B64" wp14:editId="4D498061">
                  <wp:extent cx="3414395" cy="2679405"/>
                  <wp:effectExtent l="0" t="0" r="0"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D0E6C" w14:paraId="5DF1E34D" w14:textId="77777777" w:rsidTr="00893CAD">
        <w:tc>
          <w:tcPr>
            <w:tcW w:w="9391" w:type="dxa"/>
          </w:tcPr>
          <w:p w14:paraId="33751CE3" w14:textId="77777777" w:rsidR="003D0E6C" w:rsidRDefault="003D0E6C" w:rsidP="003D0E6C">
            <w:pPr>
              <w:ind w:left="2070" w:right="1885"/>
              <w:jc w:val="both"/>
              <w:rPr>
                <w:rFonts w:ascii="Times New Roman" w:hAnsi="Times New Roman"/>
                <w:noProof/>
                <w:sz w:val="20"/>
                <w:szCs w:val="20"/>
              </w:rPr>
            </w:pPr>
            <w:r w:rsidRPr="005A3CFC">
              <w:rPr>
                <w:rFonts w:ascii="Times New Roman" w:hAnsi="Times New Roman"/>
                <w:noProof/>
                <w:sz w:val="20"/>
                <w:szCs w:val="20"/>
              </w:rPr>
              <w:t>Note</w:t>
            </w:r>
            <w:r>
              <w:rPr>
                <w:rFonts w:ascii="Times New Roman" w:hAnsi="Times New Roman"/>
                <w:noProof/>
                <w:sz w:val="20"/>
                <w:szCs w:val="20"/>
              </w:rPr>
              <w:t xml:space="preserve">: This figure presents the importance of imported inputs as a share to total inputs, differentiating sectors by their tax regime. </w:t>
            </w:r>
          </w:p>
          <w:p w14:paraId="6A050731" w14:textId="2EE1FF24" w:rsidR="003D0E6C" w:rsidRDefault="003D0E6C" w:rsidP="003D0E6C">
            <w:pPr>
              <w:ind w:left="2070" w:right="1885"/>
              <w:jc w:val="both"/>
              <w:rPr>
                <w:rFonts w:ascii="Times New Roman" w:hAnsi="Times New Roman"/>
                <w:b/>
                <w:noProof/>
                <w:sz w:val="24"/>
                <w:szCs w:val="24"/>
              </w:rPr>
            </w:pPr>
            <w:r w:rsidRPr="005A3CFC">
              <w:rPr>
                <w:rFonts w:ascii="Times New Roman" w:hAnsi="Times New Roman"/>
                <w:noProof/>
                <w:sz w:val="20"/>
                <w:szCs w:val="20"/>
              </w:rPr>
              <w:t xml:space="preserve">Source: </w:t>
            </w:r>
            <w:r w:rsidRPr="00FA56E8">
              <w:rPr>
                <w:rFonts w:ascii="Times New Roman" w:hAnsi="Times New Roman"/>
                <w:noProof/>
                <w:sz w:val="20"/>
                <w:szCs w:val="20"/>
              </w:rPr>
              <w:t>World Bank staff calculation using National Accounts of the Dominican Republic</w:t>
            </w:r>
          </w:p>
        </w:tc>
      </w:tr>
    </w:tbl>
    <w:p w14:paraId="23A9EE85" w14:textId="77777777" w:rsidR="00EE6113" w:rsidRDefault="00EE6113" w:rsidP="00EE6113">
      <w:pPr>
        <w:jc w:val="both"/>
        <w:rPr>
          <w:rFonts w:ascii="Times New Roman" w:hAnsi="Times New Roman"/>
          <w:sz w:val="24"/>
          <w:szCs w:val="24"/>
        </w:rPr>
      </w:pPr>
    </w:p>
    <w:p w14:paraId="49302D39" w14:textId="680FBD73" w:rsidR="00EE6113" w:rsidRDefault="00DB005F" w:rsidP="00EE6113">
      <w:pPr>
        <w:spacing w:after="160" w:line="276" w:lineRule="auto"/>
        <w:jc w:val="both"/>
        <w:rPr>
          <w:rFonts w:ascii="Times New Roman" w:hAnsi="Times New Roman"/>
          <w:sz w:val="24"/>
          <w:szCs w:val="24"/>
        </w:rPr>
      </w:pPr>
      <w:r>
        <w:rPr>
          <w:rFonts w:ascii="Times New Roman" w:hAnsi="Times New Roman"/>
          <w:b/>
          <w:sz w:val="24"/>
          <w:szCs w:val="24"/>
        </w:rPr>
        <w:t xml:space="preserve">The reduction in domestic linkages in SEZ seems to be widespread across all sector, with the exception of low-medium technological manufacturing. </w:t>
      </w:r>
      <w:r w:rsidR="00EE6113">
        <w:rPr>
          <w:rFonts w:ascii="Times New Roman" w:hAnsi="Times New Roman"/>
          <w:sz w:val="24"/>
          <w:szCs w:val="24"/>
        </w:rPr>
        <w:t xml:space="preserve">The </w:t>
      </w:r>
      <w:r>
        <w:rPr>
          <w:rFonts w:ascii="Times New Roman" w:hAnsi="Times New Roman"/>
          <w:sz w:val="24"/>
          <w:szCs w:val="24"/>
        </w:rPr>
        <w:t xml:space="preserve">low degree of domestic linkages </w:t>
      </w:r>
      <w:r w:rsidR="00EE6113">
        <w:rPr>
          <w:rFonts w:ascii="Times New Roman" w:hAnsi="Times New Roman"/>
          <w:sz w:val="24"/>
          <w:szCs w:val="24"/>
        </w:rPr>
        <w:t>is also evident when the measures of linkages are computed using total production instead of exports</w:t>
      </w:r>
      <w:r>
        <w:rPr>
          <w:rFonts w:ascii="Times New Roman" w:hAnsi="Times New Roman"/>
          <w:sz w:val="24"/>
          <w:szCs w:val="24"/>
        </w:rPr>
        <w:t xml:space="preserve"> </w:t>
      </w:r>
      <w:r w:rsidRPr="00D45463">
        <w:rPr>
          <w:rFonts w:ascii="Times New Roman" w:hAnsi="Times New Roman"/>
          <w:sz w:val="24"/>
          <w:szCs w:val="24"/>
        </w:rPr>
        <w:t>(</w:t>
      </w:r>
      <w:r w:rsidRPr="00082600">
        <w:rPr>
          <w:rFonts w:ascii="Times New Roman" w:hAnsi="Times New Roman"/>
          <w:sz w:val="24"/>
          <w:szCs w:val="24"/>
        </w:rPr>
        <w:fldChar w:fldCharType="begin"/>
      </w:r>
      <w:r w:rsidRPr="00082600">
        <w:rPr>
          <w:rFonts w:ascii="Times New Roman" w:hAnsi="Times New Roman"/>
          <w:sz w:val="24"/>
          <w:szCs w:val="24"/>
        </w:rPr>
        <w:instrText xml:space="preserve"> REF _Ref449022057 \h  \* MERGEFORMAT </w:instrText>
      </w:r>
      <w:r w:rsidRPr="00082600">
        <w:rPr>
          <w:rFonts w:ascii="Times New Roman" w:hAnsi="Times New Roman"/>
          <w:sz w:val="24"/>
          <w:szCs w:val="24"/>
        </w:rPr>
      </w:r>
      <w:r w:rsidRPr="00082600">
        <w:rPr>
          <w:rFonts w:ascii="Times New Roman" w:hAnsi="Times New Roman"/>
          <w:sz w:val="24"/>
          <w:szCs w:val="24"/>
        </w:rPr>
        <w:fldChar w:fldCharType="separate"/>
      </w:r>
      <w:r w:rsidR="00893CAD" w:rsidRPr="00893CAD">
        <w:rPr>
          <w:rFonts w:asciiTheme="majorHAnsi" w:hAnsiTheme="majorHAnsi" w:cstheme="majorHAnsi"/>
          <w:sz w:val="24"/>
          <w:szCs w:val="24"/>
        </w:rPr>
        <w:t xml:space="preserve">Figure </w:t>
      </w:r>
      <w:r w:rsidR="00893CAD" w:rsidRPr="00893CAD">
        <w:rPr>
          <w:rFonts w:asciiTheme="majorHAnsi" w:hAnsiTheme="majorHAnsi" w:cstheme="majorHAnsi"/>
          <w:noProof/>
          <w:sz w:val="24"/>
          <w:szCs w:val="24"/>
        </w:rPr>
        <w:t>9</w:t>
      </w:r>
      <w:r w:rsidRPr="00082600">
        <w:rPr>
          <w:rFonts w:ascii="Times New Roman" w:hAnsi="Times New Roman"/>
          <w:sz w:val="24"/>
          <w:szCs w:val="24"/>
        </w:rPr>
        <w:fldChar w:fldCharType="end"/>
      </w:r>
      <w:r w:rsidRPr="00D45463">
        <w:rPr>
          <w:rFonts w:ascii="Times New Roman" w:hAnsi="Times New Roman"/>
          <w:sz w:val="24"/>
          <w:szCs w:val="24"/>
        </w:rPr>
        <w:t>)</w:t>
      </w:r>
      <w:r w:rsidR="00EE6113">
        <w:rPr>
          <w:rFonts w:ascii="Times New Roman" w:hAnsi="Times New Roman"/>
          <w:sz w:val="24"/>
          <w:szCs w:val="24"/>
        </w:rPr>
        <w:t>.</w:t>
      </w:r>
      <w:r w:rsidR="00EE6113">
        <w:rPr>
          <w:rStyle w:val="FootnoteReference"/>
          <w:rFonts w:ascii="Times New Roman" w:hAnsi="Times New Roman"/>
          <w:sz w:val="24"/>
          <w:szCs w:val="24"/>
        </w:rPr>
        <w:footnoteReference w:id="8"/>
      </w:r>
      <w:r w:rsidR="00EE6113">
        <w:rPr>
          <w:rFonts w:ascii="Times New Roman" w:hAnsi="Times New Roman"/>
          <w:sz w:val="24"/>
          <w:szCs w:val="24"/>
        </w:rPr>
        <w:t xml:space="preserve"> </w:t>
      </w:r>
      <w:r w:rsidR="00EE6113" w:rsidRPr="00D45463">
        <w:rPr>
          <w:rFonts w:ascii="Times New Roman" w:hAnsi="Times New Roman"/>
          <w:sz w:val="24"/>
          <w:szCs w:val="24"/>
        </w:rPr>
        <w:t xml:space="preserve">As a share of total production, </w:t>
      </w:r>
      <w:r w:rsidR="00EE6113">
        <w:rPr>
          <w:rFonts w:ascii="Times New Roman" w:hAnsi="Times New Roman"/>
          <w:sz w:val="24"/>
          <w:szCs w:val="24"/>
        </w:rPr>
        <w:t xml:space="preserve">between 2002 and 2010 </w:t>
      </w:r>
      <w:r w:rsidR="00EE6113" w:rsidRPr="00D45463">
        <w:rPr>
          <w:rFonts w:ascii="Times New Roman" w:hAnsi="Times New Roman"/>
          <w:sz w:val="24"/>
          <w:szCs w:val="24"/>
        </w:rPr>
        <w:t xml:space="preserve">the use of domestic inputs declined in </w:t>
      </w:r>
      <w:r>
        <w:rPr>
          <w:rFonts w:ascii="Times New Roman" w:hAnsi="Times New Roman"/>
          <w:sz w:val="24"/>
          <w:szCs w:val="24"/>
        </w:rPr>
        <w:t xml:space="preserve">beverage and tobacco, textiles, and high-medium technological manufacture. </w:t>
      </w:r>
      <w:r w:rsidR="00EE6113">
        <w:rPr>
          <w:rFonts w:ascii="Times New Roman" w:hAnsi="Times New Roman"/>
          <w:sz w:val="24"/>
          <w:szCs w:val="24"/>
        </w:rPr>
        <w:t xml:space="preserve">More recent data collected by the Central Bank indicates that the share of domestic inputs have continue to decline after 2010 (see </w:t>
      </w:r>
      <w:r w:rsidR="00EE6113" w:rsidRPr="004324E7">
        <w:rPr>
          <w:rFonts w:ascii="Times New Roman" w:hAnsi="Times New Roman"/>
          <w:sz w:val="24"/>
          <w:szCs w:val="24"/>
        </w:rPr>
        <w:fldChar w:fldCharType="begin"/>
      </w:r>
      <w:r w:rsidR="00EE6113" w:rsidRPr="004324E7">
        <w:rPr>
          <w:rFonts w:ascii="Times New Roman" w:hAnsi="Times New Roman"/>
          <w:sz w:val="24"/>
          <w:szCs w:val="24"/>
        </w:rPr>
        <w:instrText xml:space="preserve"> REF _Ref451959962 \h  \* MERGEFORMAT </w:instrText>
      </w:r>
      <w:r w:rsidR="00EE6113" w:rsidRPr="004324E7">
        <w:rPr>
          <w:rFonts w:ascii="Times New Roman" w:hAnsi="Times New Roman"/>
          <w:sz w:val="24"/>
          <w:szCs w:val="24"/>
        </w:rPr>
      </w:r>
      <w:r w:rsidR="00EE6113" w:rsidRPr="004324E7">
        <w:rPr>
          <w:rFonts w:ascii="Times New Roman" w:hAnsi="Times New Roman"/>
          <w:sz w:val="24"/>
          <w:szCs w:val="24"/>
        </w:rPr>
        <w:fldChar w:fldCharType="separate"/>
      </w:r>
      <w:r w:rsidR="00893CAD" w:rsidRPr="00893CAD">
        <w:rPr>
          <w:rFonts w:asciiTheme="majorHAnsi" w:hAnsiTheme="majorHAnsi" w:cstheme="majorHAnsi"/>
        </w:rPr>
        <w:t xml:space="preserve">Box </w:t>
      </w:r>
      <w:r w:rsidR="00893CAD" w:rsidRPr="00893CAD">
        <w:rPr>
          <w:rFonts w:asciiTheme="majorHAnsi" w:hAnsiTheme="majorHAnsi" w:cstheme="majorHAnsi"/>
          <w:noProof/>
        </w:rPr>
        <w:t>4</w:t>
      </w:r>
      <w:r w:rsidR="00EE6113" w:rsidRPr="004324E7">
        <w:rPr>
          <w:rFonts w:ascii="Times New Roman" w:hAnsi="Times New Roman"/>
          <w:sz w:val="24"/>
          <w:szCs w:val="24"/>
        </w:rPr>
        <w:fldChar w:fldCharType="end"/>
      </w:r>
      <w:r w:rsidR="00EE6113">
        <w:rPr>
          <w:rFonts w:ascii="Times New Roman" w:hAnsi="Times New Roman"/>
          <w:sz w:val="24"/>
          <w:szCs w:val="24"/>
        </w:rPr>
        <w:t>).</w:t>
      </w:r>
      <w:r w:rsidR="00254043">
        <w:rPr>
          <w:rFonts w:ascii="Times New Roman" w:hAnsi="Times New Roman"/>
          <w:sz w:val="24"/>
          <w:szCs w:val="24"/>
        </w:rPr>
        <w:t xml:space="preserve"> One important caveat is in order: There are firms that move to SEZ to become supplier of exporting firms. The methodology employed here do not take them into account because there is not information about transaction within SEZ firms. Therefore, the estimates presented in this report should be considered as a lower-bound to the level of domestic linkages.</w:t>
      </w:r>
    </w:p>
    <w:p w14:paraId="5843B36E" w14:textId="77777777" w:rsidR="00EE6113" w:rsidRDefault="00EE6113" w:rsidP="00EE6113">
      <w:pPr>
        <w:spacing w:after="160" w:line="259" w:lineRule="auto"/>
        <w:jc w:val="both"/>
        <w:rPr>
          <w:rFonts w:ascii="Times New Roman" w:hAnsi="Times New Roman"/>
          <w:sz w:val="24"/>
          <w:szCs w:val="24"/>
        </w:rPr>
      </w:pPr>
    </w:p>
    <w:p w14:paraId="7356BE88" w14:textId="77777777" w:rsidR="00B07780" w:rsidRDefault="00B07780" w:rsidP="00EE6113">
      <w:pPr>
        <w:spacing w:after="160" w:line="259"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E6113" w14:paraId="2646E48F" w14:textId="77777777" w:rsidTr="00275CC0">
        <w:tc>
          <w:tcPr>
            <w:tcW w:w="9350" w:type="dxa"/>
          </w:tcPr>
          <w:p w14:paraId="384766FE" w14:textId="15F74B8F" w:rsidR="00EE6113" w:rsidRPr="00963C93" w:rsidRDefault="00EE6113" w:rsidP="00BF7C9D">
            <w:pPr>
              <w:spacing w:after="120"/>
              <w:jc w:val="center"/>
              <w:rPr>
                <w:rFonts w:ascii="Times New Roman" w:hAnsi="Times New Roman"/>
                <w:b/>
                <w:sz w:val="24"/>
                <w:szCs w:val="24"/>
              </w:rPr>
            </w:pPr>
            <w:bookmarkStart w:id="17" w:name="_Ref449022057"/>
            <w:r w:rsidRPr="00982224">
              <w:rPr>
                <w:rFonts w:asciiTheme="majorHAnsi" w:hAnsiTheme="majorHAnsi" w:cstheme="majorHAnsi"/>
                <w:b/>
                <w:sz w:val="24"/>
                <w:szCs w:val="24"/>
              </w:rPr>
              <w:t xml:space="preserve">Figure </w:t>
            </w:r>
            <w:r w:rsidRPr="00982224">
              <w:rPr>
                <w:rFonts w:asciiTheme="majorHAnsi" w:hAnsiTheme="majorHAnsi" w:cstheme="majorHAnsi"/>
                <w:b/>
                <w:sz w:val="24"/>
                <w:szCs w:val="24"/>
              </w:rPr>
              <w:fldChar w:fldCharType="begin"/>
            </w:r>
            <w:r w:rsidRPr="00982224">
              <w:rPr>
                <w:rFonts w:asciiTheme="majorHAnsi" w:hAnsiTheme="majorHAnsi" w:cstheme="majorHAnsi"/>
                <w:b/>
                <w:sz w:val="24"/>
                <w:szCs w:val="24"/>
              </w:rPr>
              <w:instrText xml:space="preserve"> SEQ Figure \* ARABIC </w:instrText>
            </w:r>
            <w:r w:rsidRPr="0098222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9</w:t>
            </w:r>
            <w:r w:rsidRPr="00982224">
              <w:rPr>
                <w:rFonts w:asciiTheme="majorHAnsi" w:hAnsiTheme="majorHAnsi" w:cstheme="majorHAnsi"/>
                <w:b/>
                <w:sz w:val="24"/>
                <w:szCs w:val="24"/>
              </w:rPr>
              <w:fldChar w:fldCharType="end"/>
            </w:r>
            <w:bookmarkEnd w:id="17"/>
            <w:r w:rsidRPr="002A29FB">
              <w:rPr>
                <w:rFonts w:ascii="Times New Roman" w:hAnsi="Times New Roman"/>
                <w:b/>
                <w:sz w:val="24"/>
                <w:szCs w:val="24"/>
              </w:rPr>
              <w:t xml:space="preserve">: </w:t>
            </w:r>
            <w:r w:rsidR="00DB005F">
              <w:rPr>
                <w:rFonts w:ascii="Times New Roman" w:hAnsi="Times New Roman"/>
                <w:b/>
                <w:sz w:val="24"/>
                <w:szCs w:val="24"/>
              </w:rPr>
              <w:t xml:space="preserve">Domestic </w:t>
            </w:r>
            <w:r w:rsidR="00BF7C9D">
              <w:rPr>
                <w:rFonts w:ascii="Times New Roman" w:hAnsi="Times New Roman"/>
                <w:b/>
                <w:sz w:val="24"/>
                <w:szCs w:val="24"/>
              </w:rPr>
              <w:t xml:space="preserve">Inputs </w:t>
            </w:r>
            <w:r w:rsidR="00254043">
              <w:rPr>
                <w:rFonts w:ascii="Times New Roman" w:hAnsi="Times New Roman"/>
                <w:b/>
                <w:sz w:val="24"/>
                <w:szCs w:val="24"/>
              </w:rPr>
              <w:t xml:space="preserve">in SEZs </w:t>
            </w:r>
            <w:r w:rsidR="00BF7C9D">
              <w:rPr>
                <w:rFonts w:ascii="Times New Roman" w:hAnsi="Times New Roman"/>
                <w:b/>
                <w:sz w:val="24"/>
                <w:szCs w:val="24"/>
              </w:rPr>
              <w:t>as a share of Total Output</w:t>
            </w:r>
            <w:r>
              <w:rPr>
                <w:rFonts w:ascii="Times New Roman" w:hAnsi="Times New Roman"/>
                <w:b/>
                <w:sz w:val="24"/>
                <w:szCs w:val="24"/>
              </w:rPr>
              <w:br/>
              <w:t>(2002 and 2010)</w:t>
            </w:r>
          </w:p>
        </w:tc>
      </w:tr>
      <w:tr w:rsidR="00EE6113" w14:paraId="0993CF2F" w14:textId="77777777" w:rsidTr="00275CC0">
        <w:tc>
          <w:tcPr>
            <w:tcW w:w="9350" w:type="dxa"/>
          </w:tcPr>
          <w:p w14:paraId="08BB03F7" w14:textId="316B45A1" w:rsidR="00EE6113" w:rsidRDefault="00DB005F" w:rsidP="00275CC0">
            <w:pPr>
              <w:spacing w:after="120"/>
              <w:jc w:val="center"/>
              <w:rPr>
                <w:rFonts w:ascii="Times New Roman" w:hAnsi="Times New Roman"/>
                <w:sz w:val="24"/>
                <w:szCs w:val="24"/>
              </w:rPr>
            </w:pPr>
            <w:r w:rsidRPr="00DB005F">
              <w:rPr>
                <w:rFonts w:ascii="Times New Roman" w:hAnsi="Times New Roman"/>
                <w:noProof/>
                <w:sz w:val="24"/>
                <w:szCs w:val="24"/>
              </w:rPr>
              <w:drawing>
                <wp:inline distT="0" distB="0" distL="0" distR="0" wp14:anchorId="08331B58" wp14:editId="2766E4FB">
                  <wp:extent cx="5305425" cy="2743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5425" cy="2743200"/>
                          </a:xfrm>
                          <a:prstGeom prst="rect">
                            <a:avLst/>
                          </a:prstGeom>
                          <a:noFill/>
                          <a:ln>
                            <a:noFill/>
                          </a:ln>
                        </pic:spPr>
                      </pic:pic>
                    </a:graphicData>
                  </a:graphic>
                </wp:inline>
              </w:drawing>
            </w:r>
          </w:p>
        </w:tc>
      </w:tr>
      <w:tr w:rsidR="00EE6113" w14:paraId="1BB8BD46" w14:textId="77777777" w:rsidTr="00275CC0">
        <w:tc>
          <w:tcPr>
            <w:tcW w:w="9350" w:type="dxa"/>
          </w:tcPr>
          <w:p w14:paraId="067FF740" w14:textId="77777777" w:rsidR="00EE6113" w:rsidRDefault="00EE6113" w:rsidP="00275CC0">
            <w:pPr>
              <w:jc w:val="both"/>
              <w:rPr>
                <w:rFonts w:ascii="Times New Roman" w:hAnsi="Times New Roman"/>
                <w:sz w:val="20"/>
                <w:szCs w:val="20"/>
              </w:rPr>
            </w:pPr>
            <w:r>
              <w:rPr>
                <w:rFonts w:ascii="Times New Roman" w:hAnsi="Times New Roman"/>
                <w:sz w:val="20"/>
                <w:szCs w:val="20"/>
              </w:rPr>
              <w:t>Note: This figure decomposes sectoral output for 2002 and 2010 into value added, imported inputs, and domestic inputs for some selected industries. The decomposition of tobacco and textiles is presented while the rest of activities are pulled according to their technological intensity. The sectors are classified using the NACE classification and categorized by technology levels using the EUROSTAT aggregation of the manufacturing industry.</w:t>
            </w:r>
          </w:p>
          <w:p w14:paraId="763CF610" w14:textId="77777777" w:rsidR="00EE6113" w:rsidRPr="00082600" w:rsidRDefault="00EE6113" w:rsidP="00275CC0">
            <w:pPr>
              <w:jc w:val="both"/>
              <w:rPr>
                <w:rFonts w:ascii="Times New Roman" w:hAnsi="Times New Roman"/>
                <w:sz w:val="24"/>
                <w:szCs w:val="24"/>
              </w:rPr>
            </w:pPr>
            <w:r w:rsidRPr="00082600">
              <w:rPr>
                <w:rFonts w:ascii="Times New Roman" w:hAnsi="Times New Roman"/>
                <w:sz w:val="20"/>
                <w:szCs w:val="20"/>
              </w:rPr>
              <w:t xml:space="preserve">Source: </w:t>
            </w:r>
            <w:r>
              <w:rPr>
                <w:rFonts w:ascii="Times New Roman" w:hAnsi="Times New Roman"/>
                <w:sz w:val="20"/>
                <w:szCs w:val="20"/>
              </w:rPr>
              <w:t>Engel et at (2016).</w:t>
            </w:r>
          </w:p>
        </w:tc>
      </w:tr>
    </w:tbl>
    <w:p w14:paraId="1941EAD8" w14:textId="77777777" w:rsidR="00EE6113" w:rsidRDefault="00EE6113" w:rsidP="00EE6113">
      <w:pPr>
        <w:jc w:val="both"/>
      </w:pPr>
    </w:p>
    <w:tbl>
      <w:tblPr>
        <w:tblW w:w="0" w:type="auto"/>
        <w:tblBorders>
          <w:top w:val="single" w:sz="4" w:space="0" w:color="000000"/>
          <w:left w:val="single" w:sz="4" w:space="0" w:color="000000"/>
          <w:bottom w:val="single" w:sz="4" w:space="0" w:color="000000"/>
          <w:right w:val="single" w:sz="4" w:space="0" w:color="000000"/>
        </w:tblBorders>
        <w:shd w:val="clear" w:color="auto" w:fill="DFECEB" w:themeFill="accent6" w:themeFillTint="33"/>
        <w:tblLook w:val="04A0" w:firstRow="1" w:lastRow="0" w:firstColumn="1" w:lastColumn="0" w:noHBand="0" w:noVBand="1"/>
      </w:tblPr>
      <w:tblGrid>
        <w:gridCol w:w="9350"/>
      </w:tblGrid>
      <w:tr w:rsidR="00EE6113" w:rsidRPr="00634146" w14:paraId="405E9492" w14:textId="77777777" w:rsidTr="00E072DD">
        <w:tc>
          <w:tcPr>
            <w:tcW w:w="9350" w:type="dxa"/>
            <w:shd w:val="clear" w:color="auto" w:fill="DFECEB" w:themeFill="accent6" w:themeFillTint="33"/>
          </w:tcPr>
          <w:p w14:paraId="10DB0DBB" w14:textId="77777777" w:rsidR="00EE6113" w:rsidRPr="00634146" w:rsidRDefault="00EE6113" w:rsidP="00F74C1C">
            <w:pPr>
              <w:spacing w:line="276" w:lineRule="auto"/>
              <w:jc w:val="center"/>
              <w:rPr>
                <w:rFonts w:asciiTheme="majorHAnsi" w:hAnsiTheme="majorHAnsi" w:cstheme="majorHAnsi"/>
                <w:b/>
              </w:rPr>
            </w:pPr>
            <w:bookmarkStart w:id="18" w:name="_Ref451959962"/>
            <w:r w:rsidRPr="00634146">
              <w:rPr>
                <w:rFonts w:asciiTheme="majorHAnsi" w:hAnsiTheme="majorHAnsi" w:cstheme="majorHAnsi"/>
                <w:b/>
              </w:rPr>
              <w:t xml:space="preserve">Box </w:t>
            </w:r>
            <w:r w:rsidRPr="00634146">
              <w:rPr>
                <w:rFonts w:asciiTheme="majorHAnsi" w:hAnsiTheme="majorHAnsi" w:cstheme="majorHAnsi"/>
                <w:b/>
              </w:rPr>
              <w:fldChar w:fldCharType="begin"/>
            </w:r>
            <w:r w:rsidRPr="00634146">
              <w:rPr>
                <w:rFonts w:asciiTheme="majorHAnsi" w:hAnsiTheme="majorHAnsi" w:cstheme="majorHAnsi"/>
                <w:b/>
              </w:rPr>
              <w:instrText xml:space="preserve"> SEQ Box \* ARABIC </w:instrText>
            </w:r>
            <w:r w:rsidRPr="00634146">
              <w:rPr>
                <w:rFonts w:asciiTheme="majorHAnsi" w:hAnsiTheme="majorHAnsi" w:cstheme="majorHAnsi"/>
                <w:b/>
              </w:rPr>
              <w:fldChar w:fldCharType="separate"/>
            </w:r>
            <w:r w:rsidR="00893CAD">
              <w:rPr>
                <w:rFonts w:asciiTheme="majorHAnsi" w:hAnsiTheme="majorHAnsi" w:cstheme="majorHAnsi"/>
                <w:b/>
                <w:noProof/>
              </w:rPr>
              <w:t>4</w:t>
            </w:r>
            <w:r w:rsidRPr="00634146">
              <w:rPr>
                <w:rFonts w:asciiTheme="majorHAnsi" w:hAnsiTheme="majorHAnsi" w:cstheme="majorHAnsi"/>
                <w:b/>
              </w:rPr>
              <w:fldChar w:fldCharType="end"/>
            </w:r>
            <w:bookmarkEnd w:id="18"/>
            <w:r w:rsidRPr="00634146">
              <w:rPr>
                <w:rFonts w:asciiTheme="majorHAnsi" w:hAnsiTheme="majorHAnsi" w:cstheme="majorHAnsi"/>
                <w:b/>
              </w:rPr>
              <w:t xml:space="preserve"> . Backward Linkages based on the Economic Census of Companies in SEZs</w:t>
            </w:r>
          </w:p>
          <w:p w14:paraId="3EAA6752" w14:textId="77777777" w:rsidR="00EE6113" w:rsidRPr="00634146" w:rsidRDefault="00EE6113" w:rsidP="00F74C1C">
            <w:pPr>
              <w:spacing w:line="276" w:lineRule="auto"/>
              <w:rPr>
                <w:rFonts w:asciiTheme="majorHAnsi" w:hAnsiTheme="majorHAnsi" w:cstheme="majorHAnsi"/>
              </w:rPr>
            </w:pPr>
          </w:p>
          <w:p w14:paraId="2A4A8AF5" w14:textId="77777777" w:rsidR="00EE6113" w:rsidRPr="00E072DD" w:rsidRDefault="00EE6113" w:rsidP="00F74C1C">
            <w:pPr>
              <w:spacing w:line="276" w:lineRule="auto"/>
              <w:jc w:val="both"/>
              <w:rPr>
                <w:rFonts w:asciiTheme="majorHAnsi" w:hAnsiTheme="majorHAnsi" w:cstheme="majorHAnsi"/>
                <w:sz w:val="20"/>
                <w:szCs w:val="20"/>
              </w:rPr>
            </w:pPr>
            <w:r w:rsidRPr="00E072DD">
              <w:rPr>
                <w:rFonts w:asciiTheme="majorHAnsi" w:hAnsiTheme="majorHAnsi" w:cstheme="majorHAnsi"/>
                <w:sz w:val="20"/>
                <w:szCs w:val="20"/>
              </w:rPr>
              <w:t xml:space="preserve">In 2014, the Central Bank published the results of a census of companies operating under SEZs. The main objective was to depict the landscape of the characteristics of the firms operating within the special tax regimen. One of the issues that was covered was the extent of backward linkages, measured mainly by the source of inputs. The results indicate that the </w:t>
            </w:r>
            <w:r w:rsidRPr="00E072DD">
              <w:rPr>
                <w:rFonts w:asciiTheme="majorHAnsi" w:hAnsiTheme="majorHAnsi" w:cstheme="majorHAnsi"/>
                <w:b/>
                <w:sz w:val="20"/>
                <w:szCs w:val="20"/>
              </w:rPr>
              <w:t>headquarters or affiliated companies outside the Dominican Republic supply 81% of the raw materials</w:t>
            </w:r>
            <w:r w:rsidRPr="00E072DD">
              <w:rPr>
                <w:rFonts w:asciiTheme="majorHAnsi" w:hAnsiTheme="majorHAnsi" w:cstheme="majorHAnsi"/>
                <w:sz w:val="20"/>
                <w:szCs w:val="20"/>
              </w:rPr>
              <w:t xml:space="preserve"> used by firms located in SEZs. The remainder of domestic input is divided between 7 percent of inputs purchased from Dominican companies outside SEZs and 12 percent inside SEZs. The census also found significant variation between the sourcing patterns of traditional zone industries like textile &amp; clothing and footwear (which source 28 percent and 22 percent of their inputs domestically, respectively) and newer industries like medical and surgical equipment and electrical equipment (which source less than three percent of their inputs domestically).</w:t>
            </w:r>
          </w:p>
          <w:p w14:paraId="08C1AE80" w14:textId="77777777" w:rsidR="00EE6113" w:rsidRPr="00E072DD" w:rsidRDefault="00EE6113" w:rsidP="00F74C1C">
            <w:pPr>
              <w:spacing w:line="276" w:lineRule="auto"/>
              <w:jc w:val="both"/>
              <w:rPr>
                <w:rFonts w:asciiTheme="majorHAnsi" w:hAnsiTheme="majorHAnsi" w:cstheme="majorHAnsi"/>
                <w:sz w:val="20"/>
                <w:szCs w:val="20"/>
              </w:rPr>
            </w:pPr>
          </w:p>
          <w:p w14:paraId="095021A5" w14:textId="77777777" w:rsidR="00EE6113" w:rsidRPr="00E072DD" w:rsidRDefault="00EE6113" w:rsidP="00F74C1C">
            <w:pPr>
              <w:spacing w:line="276" w:lineRule="auto"/>
              <w:jc w:val="both"/>
              <w:rPr>
                <w:rFonts w:asciiTheme="majorHAnsi" w:hAnsiTheme="majorHAnsi" w:cstheme="majorHAnsi"/>
                <w:sz w:val="20"/>
                <w:szCs w:val="20"/>
              </w:rPr>
            </w:pPr>
            <w:r w:rsidRPr="00E072DD">
              <w:rPr>
                <w:rFonts w:asciiTheme="majorHAnsi" w:hAnsiTheme="majorHAnsi" w:cstheme="majorHAnsi"/>
                <w:sz w:val="20"/>
                <w:szCs w:val="20"/>
              </w:rPr>
              <w:t>Few manufacturing linkages have been created between firms inside the zones resulting in very few forward linkages that could benefit the domestic economy. The majority of firms that sell a large percentage of their output inside zones are not other manufacturing firms but ancillary services companies in sectors like construction, civil engineering, manufacturers of plastic, paper and wood containers, and cleaning companies – all of which report at least 85 percent of their sales to other firms within zones.</w:t>
            </w:r>
          </w:p>
          <w:p w14:paraId="622772CF" w14:textId="77777777" w:rsidR="00EE6113" w:rsidRPr="00E072DD" w:rsidRDefault="00EE6113" w:rsidP="00F74C1C">
            <w:pPr>
              <w:spacing w:line="276" w:lineRule="auto"/>
              <w:jc w:val="both"/>
              <w:rPr>
                <w:rFonts w:asciiTheme="majorHAnsi" w:hAnsiTheme="majorHAnsi" w:cstheme="majorHAnsi"/>
                <w:sz w:val="20"/>
                <w:szCs w:val="20"/>
              </w:rPr>
            </w:pPr>
          </w:p>
          <w:p w14:paraId="1E6C4E10" w14:textId="77777777" w:rsidR="00EE6113" w:rsidRPr="00E072DD" w:rsidRDefault="00EE6113" w:rsidP="00F74C1C">
            <w:pPr>
              <w:spacing w:line="276" w:lineRule="auto"/>
              <w:jc w:val="center"/>
              <w:rPr>
                <w:rFonts w:asciiTheme="majorHAnsi" w:hAnsiTheme="majorHAnsi" w:cstheme="majorHAnsi"/>
                <w:b/>
                <w:sz w:val="20"/>
                <w:szCs w:val="20"/>
              </w:rPr>
            </w:pPr>
            <w:r w:rsidRPr="00E072DD">
              <w:rPr>
                <w:rFonts w:asciiTheme="majorHAnsi" w:hAnsiTheme="majorHAnsi" w:cstheme="majorHAnsi"/>
                <w:b/>
                <w:sz w:val="20"/>
                <w:szCs w:val="20"/>
              </w:rPr>
              <w:lastRenderedPageBreak/>
              <w:t xml:space="preserve">Share of Local Inputs in Total Inputs </w:t>
            </w:r>
          </w:p>
          <w:p w14:paraId="3BFB6DA4" w14:textId="77777777" w:rsidR="00EE6113" w:rsidRPr="00E072DD" w:rsidRDefault="00EE6113" w:rsidP="00F74C1C">
            <w:pPr>
              <w:spacing w:line="276" w:lineRule="auto"/>
              <w:jc w:val="center"/>
              <w:rPr>
                <w:rFonts w:asciiTheme="majorHAnsi" w:hAnsiTheme="majorHAnsi" w:cstheme="majorHAnsi"/>
                <w:sz w:val="20"/>
                <w:szCs w:val="20"/>
              </w:rPr>
            </w:pPr>
            <w:r w:rsidRPr="00E072DD">
              <w:rPr>
                <w:rFonts w:asciiTheme="majorHAnsi" w:hAnsiTheme="majorHAnsi" w:cstheme="majorHAnsi"/>
                <w:noProof/>
                <w:sz w:val="20"/>
                <w:szCs w:val="20"/>
              </w:rPr>
              <w:drawing>
                <wp:inline distT="0" distB="0" distL="0" distR="0" wp14:anchorId="6376B2BF" wp14:editId="5BB4264C">
                  <wp:extent cx="4200525" cy="2095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0525" cy="2095500"/>
                          </a:xfrm>
                          <a:prstGeom prst="rect">
                            <a:avLst/>
                          </a:prstGeom>
                          <a:noFill/>
                          <a:ln>
                            <a:noFill/>
                          </a:ln>
                        </pic:spPr>
                      </pic:pic>
                    </a:graphicData>
                  </a:graphic>
                </wp:inline>
              </w:drawing>
            </w:r>
          </w:p>
          <w:p w14:paraId="37A9FE67" w14:textId="77777777" w:rsidR="00EE6113" w:rsidRPr="00E072DD" w:rsidRDefault="00EE6113" w:rsidP="00F74C1C">
            <w:pPr>
              <w:spacing w:line="276" w:lineRule="auto"/>
              <w:rPr>
                <w:rFonts w:asciiTheme="majorHAnsi" w:hAnsiTheme="majorHAnsi" w:cstheme="majorHAnsi"/>
                <w:sz w:val="20"/>
                <w:szCs w:val="20"/>
                <w:lang w:val="es-CO"/>
              </w:rPr>
            </w:pPr>
            <w:r w:rsidRPr="00E072DD">
              <w:rPr>
                <w:rFonts w:asciiTheme="majorHAnsi" w:hAnsiTheme="majorHAnsi" w:cstheme="majorHAnsi"/>
                <w:sz w:val="20"/>
                <w:szCs w:val="20"/>
                <w:lang w:val="es-CO"/>
              </w:rPr>
              <w:t xml:space="preserve">                       Source: Banco Central dela República Dominica (2014)</w:t>
            </w:r>
          </w:p>
          <w:p w14:paraId="0F917662" w14:textId="77777777" w:rsidR="00EE6113" w:rsidRPr="00E072DD" w:rsidRDefault="00EE6113" w:rsidP="00F74C1C">
            <w:pPr>
              <w:spacing w:line="276" w:lineRule="auto"/>
              <w:jc w:val="both"/>
              <w:rPr>
                <w:rFonts w:asciiTheme="majorHAnsi" w:hAnsiTheme="majorHAnsi" w:cstheme="majorHAnsi"/>
                <w:sz w:val="20"/>
                <w:szCs w:val="20"/>
                <w:lang w:val="es-CO"/>
              </w:rPr>
            </w:pPr>
          </w:p>
          <w:p w14:paraId="5A775395" w14:textId="77777777" w:rsidR="00EE6113" w:rsidRPr="00E072DD" w:rsidRDefault="00EE6113" w:rsidP="00F74C1C">
            <w:pPr>
              <w:spacing w:line="276" w:lineRule="auto"/>
              <w:jc w:val="both"/>
              <w:rPr>
                <w:rFonts w:asciiTheme="majorHAnsi" w:hAnsiTheme="majorHAnsi" w:cstheme="majorHAnsi"/>
                <w:sz w:val="20"/>
                <w:szCs w:val="20"/>
              </w:rPr>
            </w:pPr>
            <w:r w:rsidRPr="00E072DD">
              <w:rPr>
                <w:rFonts w:asciiTheme="majorHAnsi" w:hAnsiTheme="majorHAnsi" w:cstheme="majorHAnsi"/>
                <w:sz w:val="20"/>
                <w:szCs w:val="20"/>
              </w:rPr>
              <w:t>The small size of backward linkages is also compounded by the fact that most SEZs companies also import the majority of their machinery (87 percent). Footwear manufacturing imports 94 percent of its machinery, finishing of textile products imports 90 percent, while manufacture of pharmaceuticals, medicinal chemicals and botanical products sector imports 75 percent of its machinery.</w:t>
            </w:r>
          </w:p>
          <w:p w14:paraId="2ECE6DFF" w14:textId="77777777" w:rsidR="00EE6113" w:rsidRPr="00634146" w:rsidRDefault="00EE6113" w:rsidP="00F74C1C">
            <w:pPr>
              <w:spacing w:line="276" w:lineRule="auto"/>
              <w:jc w:val="both"/>
              <w:rPr>
                <w:rFonts w:asciiTheme="majorHAnsi" w:hAnsiTheme="majorHAnsi" w:cstheme="majorHAnsi"/>
              </w:rPr>
            </w:pPr>
            <w:r w:rsidRPr="00634146">
              <w:rPr>
                <w:rFonts w:asciiTheme="majorHAnsi" w:hAnsiTheme="majorHAnsi" w:cstheme="majorHAnsi"/>
              </w:rPr>
              <w:t>.</w:t>
            </w:r>
          </w:p>
        </w:tc>
      </w:tr>
    </w:tbl>
    <w:p w14:paraId="07768314" w14:textId="77777777" w:rsidR="00EE6113" w:rsidRDefault="00EE6113" w:rsidP="00EE6113">
      <w:pPr>
        <w:spacing w:after="160" w:line="259" w:lineRule="auto"/>
        <w:jc w:val="both"/>
        <w:rPr>
          <w:rFonts w:ascii="Times New Roman" w:hAnsi="Times New Roman"/>
          <w:b/>
          <w:sz w:val="24"/>
          <w:szCs w:val="24"/>
        </w:rPr>
      </w:pPr>
    </w:p>
    <w:p w14:paraId="4D2A3EAE" w14:textId="77777777" w:rsidR="00EE6113" w:rsidRDefault="00EE6113" w:rsidP="00EE6113">
      <w:pPr>
        <w:spacing w:line="276" w:lineRule="auto"/>
        <w:jc w:val="both"/>
        <w:rPr>
          <w:rFonts w:asciiTheme="majorHAnsi" w:hAnsiTheme="majorHAnsi" w:cstheme="majorHAnsi"/>
          <w:sz w:val="24"/>
          <w:szCs w:val="24"/>
        </w:rPr>
      </w:pPr>
      <w:r w:rsidRPr="009255FD">
        <w:rPr>
          <w:rFonts w:asciiTheme="majorHAnsi" w:hAnsiTheme="majorHAnsi" w:cstheme="majorHAnsi"/>
          <w:b/>
          <w:sz w:val="24"/>
          <w:szCs w:val="24"/>
        </w:rPr>
        <w:t xml:space="preserve">Relatively low reliance on domestic </w:t>
      </w:r>
      <w:r>
        <w:rPr>
          <w:rFonts w:asciiTheme="majorHAnsi" w:hAnsiTheme="majorHAnsi" w:cstheme="majorHAnsi"/>
          <w:b/>
          <w:sz w:val="24"/>
          <w:szCs w:val="24"/>
        </w:rPr>
        <w:t xml:space="preserve">inputs </w:t>
      </w:r>
      <w:r w:rsidRPr="009255FD">
        <w:rPr>
          <w:rFonts w:asciiTheme="majorHAnsi" w:hAnsiTheme="majorHAnsi" w:cstheme="majorHAnsi"/>
          <w:b/>
          <w:sz w:val="24"/>
          <w:szCs w:val="24"/>
        </w:rPr>
        <w:t xml:space="preserve">may be due to the fact that, similar to Mauritius, the Dominican Republic is more integrated in global value chains than other economies. </w:t>
      </w:r>
      <w:r w:rsidRPr="00582189">
        <w:rPr>
          <w:rFonts w:asciiTheme="majorHAnsi" w:hAnsiTheme="majorHAnsi" w:cstheme="majorHAnsi"/>
          <w:sz w:val="24"/>
          <w:szCs w:val="24"/>
        </w:rPr>
        <w:t>Overall domestic value</w:t>
      </w:r>
      <w:r w:rsidRPr="00D80ECC">
        <w:rPr>
          <w:rFonts w:asciiTheme="majorHAnsi" w:hAnsiTheme="majorHAnsi" w:cstheme="majorHAnsi"/>
          <w:sz w:val="24"/>
          <w:szCs w:val="24"/>
        </w:rPr>
        <w:t xml:space="preserve"> added in Dominican exports, at 68 percent, seems to be lower than in other CAFTA countries. A caveat is that the Dominican National Accounts and EORA data may present different definitions for the components of domestic value added, so these comparisons have to be taken with a pinch of salt.  In addition, if we compare the Dominican Republic with other countries that have more sophisticated manufacturing sectors such as China and Mexico, requiring far more inputs, domestic value added in manufactured exports is around or below 40 percent (Koopman et al., 2008; De la Cruz et al., 2011; Fujii-Gambero and Cervantes-Martinez, 2013). Thus, further decline in the share of domestic value added in exports could be expected should the Dominican Republic eventually move into sectors that are even more integrated in global value chains, such as the automotive or electronics.</w:t>
      </w:r>
    </w:p>
    <w:p w14:paraId="68B36D5A" w14:textId="77777777" w:rsidR="00EE6113" w:rsidRDefault="00EE6113" w:rsidP="00EE6113">
      <w:pPr>
        <w:spacing w:line="276" w:lineRule="auto"/>
        <w:jc w:val="both"/>
        <w:rPr>
          <w:rFonts w:asciiTheme="majorHAnsi" w:hAnsiTheme="majorHAnsi" w:cstheme="majorHAnsi"/>
          <w:sz w:val="24"/>
          <w:szCs w:val="24"/>
        </w:rPr>
      </w:pPr>
    </w:p>
    <w:p w14:paraId="68546376" w14:textId="086DAEAA" w:rsidR="00EE6113" w:rsidRDefault="00EE6113" w:rsidP="00367944">
      <w:pPr>
        <w:spacing w:line="276" w:lineRule="auto"/>
        <w:jc w:val="both"/>
        <w:rPr>
          <w:rFonts w:asciiTheme="majorHAnsi" w:hAnsiTheme="majorHAnsi" w:cstheme="majorHAnsi"/>
          <w:sz w:val="24"/>
          <w:szCs w:val="24"/>
        </w:rPr>
      </w:pPr>
      <w:r w:rsidRPr="00341ECA">
        <w:rPr>
          <w:rFonts w:asciiTheme="majorHAnsi" w:hAnsiTheme="majorHAnsi" w:cstheme="majorHAnsi"/>
          <w:b/>
          <w:sz w:val="24"/>
          <w:szCs w:val="24"/>
        </w:rPr>
        <w:t xml:space="preserve">The Government identifies the development of domestic linkages as </w:t>
      </w:r>
      <w:r>
        <w:rPr>
          <w:rFonts w:asciiTheme="majorHAnsi" w:hAnsiTheme="majorHAnsi" w:cstheme="majorHAnsi"/>
          <w:b/>
          <w:sz w:val="24"/>
          <w:szCs w:val="24"/>
        </w:rPr>
        <w:t xml:space="preserve">a </w:t>
      </w:r>
      <w:r w:rsidRPr="00341ECA">
        <w:rPr>
          <w:rFonts w:asciiTheme="majorHAnsi" w:hAnsiTheme="majorHAnsi" w:cstheme="majorHAnsi"/>
          <w:b/>
          <w:sz w:val="24"/>
          <w:szCs w:val="24"/>
        </w:rPr>
        <w:t xml:space="preserve">vital component </w:t>
      </w:r>
      <w:r>
        <w:rPr>
          <w:rFonts w:asciiTheme="majorHAnsi" w:hAnsiTheme="majorHAnsi" w:cstheme="majorHAnsi"/>
          <w:b/>
          <w:sz w:val="24"/>
          <w:szCs w:val="24"/>
        </w:rPr>
        <w:t>to enhance the role of SEZs as promotor of economic growth</w:t>
      </w:r>
      <w:r w:rsidRPr="00341ECA">
        <w:rPr>
          <w:rFonts w:asciiTheme="majorHAnsi" w:hAnsiTheme="majorHAnsi" w:cstheme="majorHAnsi"/>
          <w:b/>
          <w:sz w:val="24"/>
          <w:szCs w:val="24"/>
        </w:rPr>
        <w:t>.</w:t>
      </w:r>
      <w:r>
        <w:rPr>
          <w:rFonts w:asciiTheme="majorHAnsi" w:hAnsiTheme="majorHAnsi" w:cstheme="majorHAnsi"/>
          <w:b/>
          <w:sz w:val="24"/>
          <w:szCs w:val="24"/>
        </w:rPr>
        <w:t xml:space="preserve"> </w:t>
      </w:r>
      <w:r>
        <w:rPr>
          <w:rFonts w:asciiTheme="majorHAnsi" w:hAnsiTheme="majorHAnsi" w:cstheme="majorHAnsi"/>
          <w:sz w:val="24"/>
          <w:szCs w:val="24"/>
        </w:rPr>
        <w:t>The national commission for SEZs (CNZF) has identified the production of plastics, paper, and packaging services as items with large potential to create linkages with</w:t>
      </w:r>
      <w:r>
        <w:rPr>
          <w:rFonts w:asciiTheme="majorHAnsi" w:hAnsiTheme="majorHAnsi" w:cstheme="majorHAnsi"/>
          <w:b/>
          <w:sz w:val="24"/>
          <w:szCs w:val="24"/>
        </w:rPr>
        <w:t xml:space="preserve"> </w:t>
      </w:r>
      <w:r w:rsidRPr="00533637">
        <w:rPr>
          <w:rFonts w:asciiTheme="majorHAnsi" w:hAnsiTheme="majorHAnsi" w:cstheme="majorHAnsi"/>
          <w:sz w:val="24"/>
          <w:szCs w:val="24"/>
        </w:rPr>
        <w:t>SEZ</w:t>
      </w:r>
      <w:r>
        <w:rPr>
          <w:rFonts w:asciiTheme="majorHAnsi" w:hAnsiTheme="majorHAnsi" w:cstheme="majorHAnsi"/>
          <w:b/>
          <w:sz w:val="24"/>
          <w:szCs w:val="24"/>
        </w:rPr>
        <w:t xml:space="preserve"> </w:t>
      </w:r>
      <w:r>
        <w:rPr>
          <w:rFonts w:asciiTheme="majorHAnsi" w:hAnsiTheme="majorHAnsi" w:cstheme="majorHAnsi"/>
          <w:sz w:val="24"/>
          <w:szCs w:val="24"/>
        </w:rPr>
        <w:t xml:space="preserve">firms. To promote domestic linkages, the CNZF organized in 2015 a match-making round in which more than 60 business to business meetings took place. In 2016, this effort is being scaled up by bringing other institutions, such as the national association of exporters, representatives of chamber of commerce, and other industry representatives. Currently, the CNZF is training domestic producer on the quality certifications needed to become suppliers of SEZ firms. </w:t>
      </w:r>
      <w:r>
        <w:rPr>
          <w:rFonts w:asciiTheme="majorHAnsi" w:hAnsiTheme="majorHAnsi" w:cstheme="majorHAnsi"/>
          <w:sz w:val="24"/>
          <w:szCs w:val="24"/>
        </w:rPr>
        <w:br w:type="page"/>
      </w:r>
    </w:p>
    <w:p w14:paraId="3085E79E" w14:textId="6F83DAA0" w:rsidR="00AA4470" w:rsidRPr="00C20D6E" w:rsidRDefault="003737C2" w:rsidP="00AA4470">
      <w:pPr>
        <w:pStyle w:val="Heading1"/>
        <w:rPr>
          <w:rFonts w:asciiTheme="majorHAnsi" w:hAnsiTheme="majorHAnsi" w:cstheme="majorHAnsi"/>
        </w:rPr>
      </w:pPr>
      <w:bookmarkStart w:id="19" w:name="_Toc461524381"/>
      <w:r w:rsidRPr="00C20D6E">
        <w:rPr>
          <w:rFonts w:asciiTheme="majorHAnsi" w:hAnsiTheme="majorHAnsi" w:cstheme="majorHAnsi"/>
        </w:rPr>
        <w:lastRenderedPageBreak/>
        <w:t>Strategic Sectors</w:t>
      </w:r>
      <w:r w:rsidR="008C6320" w:rsidRPr="00C20D6E">
        <w:rPr>
          <w:rFonts w:asciiTheme="majorHAnsi" w:hAnsiTheme="majorHAnsi" w:cstheme="majorHAnsi"/>
        </w:rPr>
        <w:t xml:space="preserve"> </w:t>
      </w:r>
      <w:r w:rsidRPr="00C20D6E">
        <w:rPr>
          <w:rFonts w:asciiTheme="majorHAnsi" w:hAnsiTheme="majorHAnsi" w:cstheme="majorHAnsi"/>
        </w:rPr>
        <w:t xml:space="preserve">and the Challenge to Comply with Multilateral </w:t>
      </w:r>
      <w:r w:rsidR="00795AAF" w:rsidRPr="00C20D6E">
        <w:rPr>
          <w:rFonts w:asciiTheme="majorHAnsi" w:hAnsiTheme="majorHAnsi" w:cstheme="majorHAnsi"/>
        </w:rPr>
        <w:t>Commitments</w:t>
      </w:r>
      <w:bookmarkEnd w:id="19"/>
    </w:p>
    <w:p w14:paraId="1C135E4F" w14:textId="77777777" w:rsidR="00C96F98" w:rsidRPr="00C96F98" w:rsidRDefault="00C96F98" w:rsidP="00C96F98"/>
    <w:p w14:paraId="13C940DB" w14:textId="25DDDB06" w:rsidR="004E73C0" w:rsidRDefault="00C909ED" w:rsidP="004E73C0">
      <w:pPr>
        <w:spacing w:after="120" w:line="276" w:lineRule="auto"/>
        <w:jc w:val="both"/>
        <w:rPr>
          <w:rFonts w:ascii="Times New Roman" w:hAnsi="Times New Roman"/>
          <w:sz w:val="24"/>
          <w:szCs w:val="24"/>
        </w:rPr>
      </w:pPr>
      <w:r>
        <w:rPr>
          <w:rFonts w:ascii="Times New Roman" w:hAnsi="Times New Roman"/>
          <w:b/>
          <w:sz w:val="24"/>
          <w:szCs w:val="24"/>
        </w:rPr>
        <w:t xml:space="preserve">The current regulatory framework governing SEZs in the Dominican Republic dates from the beginning of the </w:t>
      </w:r>
      <w:r w:rsidR="00F26BB9">
        <w:rPr>
          <w:rFonts w:ascii="Times New Roman" w:hAnsi="Times New Roman"/>
          <w:b/>
          <w:sz w:val="24"/>
          <w:szCs w:val="24"/>
        </w:rPr>
        <w:t>19</w:t>
      </w:r>
      <w:r>
        <w:rPr>
          <w:rFonts w:ascii="Times New Roman" w:hAnsi="Times New Roman"/>
          <w:b/>
          <w:sz w:val="24"/>
          <w:szCs w:val="24"/>
        </w:rPr>
        <w:t xml:space="preserve">90s. </w:t>
      </w:r>
      <w:r w:rsidR="00441119" w:rsidRPr="00441119">
        <w:rPr>
          <w:rFonts w:ascii="Times New Roman" w:hAnsi="Times New Roman"/>
          <w:sz w:val="24"/>
          <w:szCs w:val="24"/>
        </w:rPr>
        <w:t>The</w:t>
      </w:r>
      <w:r w:rsidR="00441119">
        <w:rPr>
          <w:rFonts w:ascii="Times New Roman" w:hAnsi="Times New Roman"/>
          <w:b/>
          <w:sz w:val="24"/>
          <w:szCs w:val="24"/>
        </w:rPr>
        <w:t xml:space="preserve"> </w:t>
      </w:r>
      <w:r w:rsidR="00F26BB9">
        <w:rPr>
          <w:rFonts w:ascii="Times New Roman" w:hAnsi="Times New Roman"/>
          <w:sz w:val="24"/>
          <w:szCs w:val="24"/>
        </w:rPr>
        <w:t>L</w:t>
      </w:r>
      <w:r w:rsidR="003737C2" w:rsidRPr="00C909ED">
        <w:rPr>
          <w:rFonts w:ascii="Times New Roman" w:hAnsi="Times New Roman"/>
          <w:sz w:val="24"/>
          <w:szCs w:val="24"/>
        </w:rPr>
        <w:t>aw 8-90 of January 1990</w:t>
      </w:r>
      <w:r w:rsidR="00441119">
        <w:rPr>
          <w:rFonts w:ascii="Times New Roman" w:hAnsi="Times New Roman"/>
          <w:sz w:val="24"/>
          <w:szCs w:val="24"/>
        </w:rPr>
        <w:t>, which</w:t>
      </w:r>
      <w:r w:rsidR="003737C2" w:rsidRPr="00C909ED">
        <w:rPr>
          <w:rFonts w:ascii="Times New Roman" w:hAnsi="Times New Roman"/>
          <w:sz w:val="24"/>
          <w:szCs w:val="24"/>
        </w:rPr>
        <w:t xml:space="preserve"> established the regulatory framework governing SEZ</w:t>
      </w:r>
      <w:r w:rsidR="004E73C0">
        <w:rPr>
          <w:rFonts w:ascii="Times New Roman" w:hAnsi="Times New Roman"/>
          <w:sz w:val="24"/>
          <w:szCs w:val="24"/>
        </w:rPr>
        <w:t>s</w:t>
      </w:r>
      <w:r w:rsidR="00441119">
        <w:rPr>
          <w:rFonts w:ascii="Times New Roman" w:hAnsi="Times New Roman"/>
          <w:sz w:val="24"/>
          <w:szCs w:val="24"/>
        </w:rPr>
        <w:t xml:space="preserve">, </w:t>
      </w:r>
      <w:r w:rsidR="003737C2" w:rsidRPr="00C909ED">
        <w:rPr>
          <w:rFonts w:ascii="Times New Roman" w:hAnsi="Times New Roman"/>
          <w:sz w:val="24"/>
          <w:szCs w:val="24"/>
        </w:rPr>
        <w:t xml:space="preserve">stated </w:t>
      </w:r>
      <w:r w:rsidR="00F26BB9">
        <w:rPr>
          <w:rFonts w:ascii="Times New Roman" w:hAnsi="Times New Roman"/>
          <w:sz w:val="24"/>
          <w:szCs w:val="24"/>
        </w:rPr>
        <w:t xml:space="preserve">that </w:t>
      </w:r>
      <w:r w:rsidR="004D59A2">
        <w:rPr>
          <w:rFonts w:ascii="Times New Roman" w:hAnsi="Times New Roman"/>
          <w:sz w:val="24"/>
          <w:szCs w:val="24"/>
        </w:rPr>
        <w:t xml:space="preserve">its </w:t>
      </w:r>
      <w:r w:rsidR="003737C2" w:rsidRPr="00C909ED">
        <w:rPr>
          <w:rFonts w:ascii="Times New Roman" w:hAnsi="Times New Roman"/>
          <w:sz w:val="24"/>
          <w:szCs w:val="24"/>
        </w:rPr>
        <w:t>objectives were to attract local and foreign investment, provide training, and foment the transfer of technology and know-how in order to create employment, particularly in economically deprived areas, such as the border with Haiti.</w:t>
      </w:r>
      <w:r w:rsidR="00441119">
        <w:rPr>
          <w:rFonts w:ascii="Times New Roman" w:hAnsi="Times New Roman"/>
          <w:sz w:val="24"/>
          <w:szCs w:val="24"/>
        </w:rPr>
        <w:t xml:space="preserve"> </w:t>
      </w:r>
      <w:r w:rsidR="004E73C0">
        <w:rPr>
          <w:rFonts w:ascii="Times New Roman" w:hAnsi="Times New Roman"/>
          <w:sz w:val="24"/>
          <w:szCs w:val="24"/>
        </w:rPr>
        <w:t xml:space="preserve">To achieve these objectives, the law granted </w:t>
      </w:r>
      <w:r w:rsidR="004E73C0" w:rsidRPr="003737C2">
        <w:rPr>
          <w:rFonts w:ascii="Times New Roman" w:hAnsi="Times New Roman"/>
          <w:sz w:val="24"/>
          <w:szCs w:val="24"/>
        </w:rPr>
        <w:t xml:space="preserve">a generous array of fiscal incentives to firms located </w:t>
      </w:r>
      <w:r w:rsidR="004E73C0">
        <w:rPr>
          <w:rFonts w:ascii="Times New Roman" w:hAnsi="Times New Roman"/>
          <w:sz w:val="24"/>
          <w:szCs w:val="24"/>
        </w:rPr>
        <w:t>in SEZs</w:t>
      </w:r>
      <w:r w:rsidR="004E73C0" w:rsidRPr="003737C2">
        <w:rPr>
          <w:rFonts w:ascii="Times New Roman" w:hAnsi="Times New Roman"/>
          <w:b/>
          <w:sz w:val="24"/>
          <w:szCs w:val="24"/>
        </w:rPr>
        <w:t>.</w:t>
      </w:r>
      <w:r w:rsidR="004E73C0" w:rsidRPr="003737C2">
        <w:rPr>
          <w:rFonts w:ascii="Times New Roman" w:hAnsi="Times New Roman"/>
          <w:sz w:val="24"/>
          <w:szCs w:val="24"/>
        </w:rPr>
        <w:t xml:space="preserve"> These included duty-free access to imported inputs and capital goods</w:t>
      </w:r>
      <w:r w:rsidR="0013613D">
        <w:rPr>
          <w:rFonts w:ascii="Times New Roman" w:hAnsi="Times New Roman"/>
          <w:sz w:val="24"/>
          <w:szCs w:val="24"/>
        </w:rPr>
        <w:t xml:space="preserve"> for </w:t>
      </w:r>
      <w:r w:rsidR="004E73C0" w:rsidRPr="003737C2">
        <w:rPr>
          <w:rFonts w:ascii="Times New Roman" w:hAnsi="Times New Roman"/>
          <w:sz w:val="24"/>
          <w:szCs w:val="24"/>
        </w:rPr>
        <w:t>15-year</w:t>
      </w:r>
      <w:r w:rsidR="00F26BB9">
        <w:rPr>
          <w:rFonts w:ascii="Times New Roman" w:hAnsi="Times New Roman"/>
          <w:sz w:val="24"/>
          <w:szCs w:val="24"/>
        </w:rPr>
        <w:t xml:space="preserve"> </w:t>
      </w:r>
      <w:r w:rsidR="0013613D">
        <w:rPr>
          <w:rFonts w:ascii="Times New Roman" w:hAnsi="Times New Roman"/>
          <w:sz w:val="24"/>
          <w:szCs w:val="24"/>
        </w:rPr>
        <w:t xml:space="preserve">after they start to operate in SEZs or for </w:t>
      </w:r>
      <w:r w:rsidR="004E73C0" w:rsidRPr="003737C2">
        <w:rPr>
          <w:rFonts w:ascii="Times New Roman" w:hAnsi="Times New Roman"/>
          <w:sz w:val="24"/>
          <w:szCs w:val="24"/>
        </w:rPr>
        <w:t xml:space="preserve">20 years </w:t>
      </w:r>
      <w:r w:rsidR="0013613D">
        <w:rPr>
          <w:rFonts w:ascii="Times New Roman" w:hAnsi="Times New Roman"/>
          <w:sz w:val="24"/>
          <w:szCs w:val="24"/>
        </w:rPr>
        <w:t xml:space="preserve">if the firm is </w:t>
      </w:r>
      <w:r w:rsidR="004E73C0" w:rsidRPr="003737C2">
        <w:rPr>
          <w:rFonts w:ascii="Times New Roman" w:hAnsi="Times New Roman"/>
          <w:sz w:val="24"/>
          <w:szCs w:val="24"/>
        </w:rPr>
        <w:t>located in border zones</w:t>
      </w:r>
      <w:r w:rsidR="00F26BB9">
        <w:rPr>
          <w:rFonts w:ascii="Times New Roman" w:hAnsi="Times New Roman"/>
          <w:sz w:val="24"/>
          <w:szCs w:val="24"/>
        </w:rPr>
        <w:t>, as well as</w:t>
      </w:r>
      <w:r w:rsidR="004E73C0" w:rsidRPr="003737C2">
        <w:rPr>
          <w:rFonts w:ascii="Times New Roman" w:hAnsi="Times New Roman"/>
          <w:sz w:val="24"/>
          <w:szCs w:val="24"/>
        </w:rPr>
        <w:t xml:space="preserve"> 100</w:t>
      </w:r>
      <w:r w:rsidR="004D59A2">
        <w:rPr>
          <w:rFonts w:ascii="Times New Roman" w:hAnsi="Times New Roman"/>
          <w:sz w:val="24"/>
          <w:szCs w:val="24"/>
        </w:rPr>
        <w:t xml:space="preserve"> percent </w:t>
      </w:r>
      <w:r w:rsidR="004E73C0" w:rsidRPr="003737C2">
        <w:rPr>
          <w:rFonts w:ascii="Times New Roman" w:hAnsi="Times New Roman"/>
          <w:sz w:val="24"/>
          <w:szCs w:val="24"/>
        </w:rPr>
        <w:t xml:space="preserve">exemption </w:t>
      </w:r>
      <w:r w:rsidR="00F26BB9">
        <w:rPr>
          <w:rFonts w:ascii="Times New Roman" w:hAnsi="Times New Roman"/>
          <w:sz w:val="24"/>
          <w:szCs w:val="24"/>
        </w:rPr>
        <w:t>for</w:t>
      </w:r>
      <w:r w:rsidR="00F26BB9" w:rsidRPr="003737C2">
        <w:rPr>
          <w:rFonts w:ascii="Times New Roman" w:hAnsi="Times New Roman"/>
          <w:sz w:val="24"/>
          <w:szCs w:val="24"/>
        </w:rPr>
        <w:t xml:space="preserve"> </w:t>
      </w:r>
      <w:r w:rsidR="004E73C0" w:rsidRPr="003737C2">
        <w:rPr>
          <w:rFonts w:ascii="Times New Roman" w:hAnsi="Times New Roman"/>
          <w:sz w:val="24"/>
          <w:szCs w:val="24"/>
        </w:rPr>
        <w:t>taxes on registration, construction, gross sales and transfer of industrial goods</w:t>
      </w:r>
      <w:r w:rsidR="009522BA">
        <w:rPr>
          <w:rFonts w:ascii="Times New Roman" w:hAnsi="Times New Roman"/>
          <w:sz w:val="24"/>
          <w:szCs w:val="24"/>
        </w:rPr>
        <w:t xml:space="preserve"> (the so-called ITBIS)</w:t>
      </w:r>
      <w:r w:rsidR="004E73C0" w:rsidRPr="003737C2">
        <w:rPr>
          <w:rFonts w:ascii="Times New Roman" w:hAnsi="Times New Roman"/>
          <w:sz w:val="24"/>
          <w:szCs w:val="24"/>
        </w:rPr>
        <w:t>.</w:t>
      </w:r>
      <w:r w:rsidR="000660B4">
        <w:rPr>
          <w:rFonts w:ascii="Times New Roman" w:hAnsi="Times New Roman"/>
          <w:sz w:val="24"/>
          <w:szCs w:val="24"/>
        </w:rPr>
        <w:t xml:space="preserve"> In return for these generous incentives, firms located in SEZs face significant limitations to sell their output domestically. They had to pay the full import duty on goods sold in the Dominican Republic, and crucially, were required to export at least 80 percent of their sales outside the Dominican Republic customs territory. In other words, firms operating in SEZs faced an 80 percent export share requirement (ESR).</w:t>
      </w:r>
      <w:r w:rsidR="004E73C0">
        <w:rPr>
          <w:rStyle w:val="FootnoteReference"/>
          <w:rFonts w:ascii="Times New Roman" w:hAnsi="Times New Roman"/>
          <w:sz w:val="24"/>
          <w:szCs w:val="24"/>
        </w:rPr>
        <w:footnoteReference w:id="9"/>
      </w:r>
    </w:p>
    <w:p w14:paraId="68EFDFDF" w14:textId="571E4856" w:rsidR="00FC1286" w:rsidRDefault="00FC1286" w:rsidP="004E73C0">
      <w:pPr>
        <w:spacing w:after="120" w:line="276" w:lineRule="auto"/>
        <w:jc w:val="both"/>
        <w:rPr>
          <w:rFonts w:ascii="Times New Roman" w:hAnsi="Times New Roman"/>
          <w:sz w:val="24"/>
          <w:szCs w:val="24"/>
        </w:rPr>
      </w:pPr>
      <w:r w:rsidRPr="003737C2">
        <w:rPr>
          <w:rFonts w:ascii="Times New Roman" w:hAnsi="Times New Roman"/>
          <w:b/>
          <w:sz w:val="24"/>
          <w:szCs w:val="24"/>
        </w:rPr>
        <w:t>The General Council of the World Trade Organization established December 2015 as the final deadline for the elimination of export subsidies in the Dominican Republic</w:t>
      </w:r>
      <w:r>
        <w:rPr>
          <w:rFonts w:ascii="Times New Roman" w:hAnsi="Times New Roman"/>
          <w:b/>
          <w:sz w:val="24"/>
          <w:szCs w:val="24"/>
        </w:rPr>
        <w:t xml:space="preserve">. </w:t>
      </w:r>
      <w:r>
        <w:rPr>
          <w:rFonts w:ascii="Times New Roman" w:hAnsi="Times New Roman"/>
          <w:sz w:val="24"/>
          <w:szCs w:val="24"/>
        </w:rPr>
        <w:t xml:space="preserve">Due to its per-capita income level, the Dominican Republic, along with </w:t>
      </w:r>
      <w:r w:rsidRPr="003737C2">
        <w:rPr>
          <w:rFonts w:ascii="Times New Roman" w:hAnsi="Times New Roman"/>
          <w:sz w:val="24"/>
          <w:szCs w:val="24"/>
        </w:rPr>
        <w:t xml:space="preserve">18 </w:t>
      </w:r>
      <w:r>
        <w:rPr>
          <w:rFonts w:ascii="Times New Roman" w:hAnsi="Times New Roman"/>
          <w:sz w:val="24"/>
          <w:szCs w:val="24"/>
        </w:rPr>
        <w:t xml:space="preserve">other </w:t>
      </w:r>
      <w:r w:rsidRPr="003737C2">
        <w:rPr>
          <w:rFonts w:ascii="Times New Roman" w:hAnsi="Times New Roman"/>
          <w:sz w:val="24"/>
          <w:szCs w:val="24"/>
        </w:rPr>
        <w:t>developing countries</w:t>
      </w:r>
      <w:r>
        <w:rPr>
          <w:rFonts w:ascii="Times New Roman" w:hAnsi="Times New Roman"/>
          <w:sz w:val="24"/>
          <w:szCs w:val="24"/>
        </w:rPr>
        <w:t>,</w:t>
      </w:r>
      <w:r w:rsidRPr="003737C2">
        <w:rPr>
          <w:rFonts w:ascii="Times New Roman" w:hAnsi="Times New Roman"/>
          <w:sz w:val="24"/>
          <w:szCs w:val="24"/>
        </w:rPr>
        <w:t xml:space="preserve"> had been exempt from complying with the Agreement on Subsidies and Countervailing Measures (ASCM)</w:t>
      </w:r>
      <w:r w:rsidRPr="003737C2">
        <w:rPr>
          <w:rFonts w:ascii="Times New Roman" w:hAnsi="Times New Roman"/>
          <w:b/>
          <w:sz w:val="24"/>
          <w:szCs w:val="24"/>
        </w:rPr>
        <w:t>.</w:t>
      </w:r>
      <w:r>
        <w:rPr>
          <w:rStyle w:val="FootnoteReference"/>
          <w:rFonts w:ascii="Times New Roman" w:hAnsi="Times New Roman"/>
          <w:b/>
          <w:sz w:val="24"/>
          <w:szCs w:val="24"/>
        </w:rPr>
        <w:footnoteReference w:id="10"/>
      </w:r>
      <w:r>
        <w:rPr>
          <w:rFonts w:ascii="Times New Roman" w:hAnsi="Times New Roman"/>
          <w:sz w:val="24"/>
          <w:szCs w:val="24"/>
        </w:rPr>
        <w:t xml:space="preserve"> </w:t>
      </w:r>
      <w:r w:rsidRPr="003737C2">
        <w:rPr>
          <w:rFonts w:ascii="Times New Roman" w:hAnsi="Times New Roman"/>
          <w:sz w:val="24"/>
          <w:szCs w:val="24"/>
        </w:rPr>
        <w:t xml:space="preserve">The </w:t>
      </w:r>
      <w:r>
        <w:rPr>
          <w:rFonts w:ascii="Times New Roman" w:hAnsi="Times New Roman"/>
          <w:sz w:val="24"/>
          <w:szCs w:val="24"/>
        </w:rPr>
        <w:t xml:space="preserve">mandate from the WTO implied that export-related subsidies and fiscal incentives to </w:t>
      </w:r>
      <w:r w:rsidRPr="003737C2">
        <w:rPr>
          <w:rFonts w:ascii="Times New Roman" w:hAnsi="Times New Roman"/>
          <w:sz w:val="24"/>
          <w:szCs w:val="24"/>
        </w:rPr>
        <w:t>firms operating in SEZ</w:t>
      </w:r>
      <w:r>
        <w:rPr>
          <w:rFonts w:ascii="Times New Roman" w:hAnsi="Times New Roman"/>
          <w:sz w:val="24"/>
          <w:szCs w:val="24"/>
        </w:rPr>
        <w:t>s</w:t>
      </w:r>
      <w:r w:rsidRPr="003737C2">
        <w:rPr>
          <w:rFonts w:ascii="Times New Roman" w:hAnsi="Times New Roman"/>
          <w:sz w:val="24"/>
          <w:szCs w:val="24"/>
        </w:rPr>
        <w:t xml:space="preserve"> </w:t>
      </w:r>
      <w:r>
        <w:rPr>
          <w:rFonts w:ascii="Times New Roman" w:hAnsi="Times New Roman"/>
          <w:sz w:val="24"/>
          <w:szCs w:val="24"/>
        </w:rPr>
        <w:t xml:space="preserve">needed to </w:t>
      </w:r>
      <w:r w:rsidRPr="003737C2">
        <w:rPr>
          <w:rFonts w:ascii="Times New Roman" w:hAnsi="Times New Roman"/>
          <w:sz w:val="24"/>
          <w:szCs w:val="24"/>
        </w:rPr>
        <w:t>be scrapped</w:t>
      </w:r>
      <w:r>
        <w:rPr>
          <w:rFonts w:ascii="Times New Roman" w:hAnsi="Times New Roman"/>
          <w:sz w:val="24"/>
          <w:szCs w:val="24"/>
        </w:rPr>
        <w:t xml:space="preserve">. </w:t>
      </w:r>
    </w:p>
    <w:p w14:paraId="2A48B9E0" w14:textId="3FC9F497" w:rsidR="00B6623A" w:rsidRPr="003737C2" w:rsidRDefault="00B6623A" w:rsidP="004E73C0">
      <w:pPr>
        <w:spacing w:after="120" w:line="276" w:lineRule="auto"/>
        <w:jc w:val="both"/>
        <w:rPr>
          <w:rFonts w:ascii="Times New Roman" w:hAnsi="Times New Roman"/>
          <w:sz w:val="24"/>
          <w:szCs w:val="24"/>
        </w:rPr>
      </w:pPr>
      <w:r w:rsidRPr="00B6623A">
        <w:rPr>
          <w:rFonts w:ascii="Times New Roman" w:hAnsi="Times New Roman"/>
          <w:b/>
          <w:sz w:val="24"/>
          <w:szCs w:val="24"/>
        </w:rPr>
        <w:t>In an effort to make SEZs compliant with the WTO’s disciplines, the country reformed the SEZ regime in 2007 and declared the textile, footwear and leather industries, ‘national priority’ sectors.</w:t>
      </w:r>
      <w:r w:rsidRPr="00B6623A">
        <w:rPr>
          <w:rFonts w:ascii="Times New Roman" w:hAnsi="Times New Roman"/>
          <w:sz w:val="24"/>
          <w:szCs w:val="24"/>
        </w:rPr>
        <w:t xml:space="preserve"> Due to the importance of these industries in terms of job creation, Law 56-07 sought to provide support to firms operating in priority sectors in response to adverse external circumstances such as China’s entry into the WTO and the end of the MFA in two distinct ways. Firstly, it extended the tax concessions and duty-free access to imported inputs to firms operating outside SEZ. Secondly, the 80 percent ESR was removed for firms located in SEZ, thus leveling the playing field between producers</w:t>
      </w:r>
      <w:r w:rsidR="009D7092">
        <w:rPr>
          <w:rFonts w:ascii="Times New Roman" w:hAnsi="Times New Roman"/>
          <w:sz w:val="24"/>
          <w:szCs w:val="24"/>
        </w:rPr>
        <w:t xml:space="preserve"> located within and outside the SEZs</w:t>
      </w:r>
      <w:r w:rsidRPr="00B6623A">
        <w:rPr>
          <w:rFonts w:ascii="Times New Roman" w:hAnsi="Times New Roman"/>
          <w:sz w:val="24"/>
          <w:szCs w:val="24"/>
        </w:rPr>
        <w:t xml:space="preserve">. The law maintained the ESR for SEZ firms producing non-priority goods but offered SEZ firms in non-priority sectors duty-free access to the domestic market provided that either the good in question was not </w:t>
      </w:r>
      <w:r w:rsidRPr="00B6623A">
        <w:rPr>
          <w:rFonts w:ascii="Times New Roman" w:hAnsi="Times New Roman"/>
          <w:sz w:val="24"/>
          <w:szCs w:val="24"/>
        </w:rPr>
        <w:lastRenderedPageBreak/>
        <w:t>produced in the Dominican Republic, or, that it incorporated at least 25 percent of locally-sourced intermediate inputs in value terms. The latter measure sought to foster backward linkages between the SEZ and the rest of the economy, which were</w:t>
      </w:r>
      <w:r>
        <w:rPr>
          <w:rFonts w:ascii="Times New Roman" w:hAnsi="Times New Roman"/>
          <w:sz w:val="24"/>
          <w:szCs w:val="24"/>
        </w:rPr>
        <w:t xml:space="preserve"> </w:t>
      </w:r>
      <w:r w:rsidRPr="00B6623A">
        <w:rPr>
          <w:rFonts w:ascii="Times New Roman" w:hAnsi="Times New Roman"/>
          <w:sz w:val="24"/>
          <w:szCs w:val="24"/>
        </w:rPr>
        <w:t xml:space="preserve">quite limited </w:t>
      </w:r>
      <w:r w:rsidR="00C9460C">
        <w:rPr>
          <w:rFonts w:ascii="Times New Roman" w:hAnsi="Times New Roman"/>
          <w:sz w:val="24"/>
          <w:szCs w:val="24"/>
        </w:rPr>
        <w:t>before 2007</w:t>
      </w:r>
      <w:r w:rsidRPr="00B6623A">
        <w:rPr>
          <w:rFonts w:ascii="Times New Roman" w:hAnsi="Times New Roman"/>
          <w:sz w:val="24"/>
          <w:szCs w:val="24"/>
        </w:rPr>
        <w:t xml:space="preserve">. Tax concessions available to SEZ firms in both priority and non-priority sectors did not change with this reform. Firms producing non-priority goods and located outside SEZs were not directly affected by Law 56-07. </w:t>
      </w:r>
      <w:r w:rsidRPr="00427B2B">
        <w:rPr>
          <w:rFonts w:ascii="Times New Roman" w:hAnsi="Times New Roman"/>
          <w:sz w:val="24"/>
          <w:szCs w:val="24"/>
        </w:rPr>
        <w:fldChar w:fldCharType="begin"/>
      </w:r>
      <w:r w:rsidRPr="00427B2B">
        <w:rPr>
          <w:rFonts w:ascii="Times New Roman" w:hAnsi="Times New Roman"/>
          <w:sz w:val="24"/>
          <w:szCs w:val="24"/>
        </w:rPr>
        <w:instrText xml:space="preserve"> REF _Ref447281341 \h  \* MERGEFORMAT </w:instrText>
      </w:r>
      <w:r w:rsidRPr="00427B2B">
        <w:rPr>
          <w:rFonts w:ascii="Times New Roman" w:hAnsi="Times New Roman"/>
          <w:sz w:val="24"/>
          <w:szCs w:val="24"/>
        </w:rPr>
      </w:r>
      <w:r w:rsidRPr="00427B2B">
        <w:rPr>
          <w:rFonts w:ascii="Times New Roman" w:hAnsi="Times New Roman"/>
          <w:sz w:val="24"/>
          <w:szCs w:val="24"/>
        </w:rPr>
        <w:fldChar w:fldCharType="separate"/>
      </w:r>
      <w:r w:rsidR="00893CAD" w:rsidRPr="00893CAD">
        <w:rPr>
          <w:rFonts w:asciiTheme="majorHAnsi" w:hAnsiTheme="majorHAnsi" w:cstheme="majorHAnsi"/>
          <w:sz w:val="24"/>
          <w:szCs w:val="24"/>
        </w:rPr>
        <w:t xml:space="preserve">Table </w:t>
      </w:r>
      <w:r w:rsidR="00893CAD" w:rsidRPr="00893CAD">
        <w:rPr>
          <w:rFonts w:asciiTheme="majorHAnsi" w:hAnsiTheme="majorHAnsi" w:cstheme="majorHAnsi"/>
          <w:noProof/>
          <w:sz w:val="24"/>
          <w:szCs w:val="24"/>
        </w:rPr>
        <w:t>2</w:t>
      </w:r>
      <w:r w:rsidRPr="00427B2B">
        <w:rPr>
          <w:rFonts w:ascii="Times New Roman" w:hAnsi="Times New Roman"/>
          <w:sz w:val="24"/>
          <w:szCs w:val="24"/>
        </w:rPr>
        <w:fldChar w:fldCharType="end"/>
      </w:r>
      <w:r>
        <w:rPr>
          <w:rFonts w:ascii="Times New Roman" w:hAnsi="Times New Roman"/>
          <w:sz w:val="24"/>
          <w:szCs w:val="24"/>
        </w:rPr>
        <w:t xml:space="preserve"> </w:t>
      </w:r>
      <w:r w:rsidRPr="00B6623A">
        <w:rPr>
          <w:rFonts w:ascii="Times New Roman" w:hAnsi="Times New Roman"/>
          <w:sz w:val="24"/>
          <w:szCs w:val="24"/>
        </w:rPr>
        <w:t>presents the main incentives provided to firms located in SEZs compared with firms exporting through the national customs regime and highlights the subsequent reforms introduced in the regulatory framework</w:t>
      </w:r>
    </w:p>
    <w:p w14:paraId="1A2B5559" w14:textId="3A0D449E" w:rsidR="00BD4EFC" w:rsidRPr="003737C2" w:rsidRDefault="00BD4EFC" w:rsidP="00BD4EFC">
      <w:pPr>
        <w:spacing w:after="120" w:line="276" w:lineRule="auto"/>
        <w:jc w:val="both"/>
        <w:rPr>
          <w:rFonts w:ascii="Times New Roman" w:hAnsi="Times New Roman"/>
          <w:sz w:val="24"/>
          <w:szCs w:val="24"/>
        </w:rPr>
      </w:pPr>
      <w:r>
        <w:rPr>
          <w:rFonts w:ascii="Times New Roman" w:hAnsi="Times New Roman"/>
          <w:b/>
          <w:sz w:val="24"/>
          <w:szCs w:val="24"/>
        </w:rPr>
        <w:t xml:space="preserve">In 2011, </w:t>
      </w:r>
      <w:r w:rsidRPr="003737C2">
        <w:rPr>
          <w:rFonts w:ascii="Times New Roman" w:hAnsi="Times New Roman"/>
          <w:b/>
          <w:sz w:val="24"/>
          <w:szCs w:val="24"/>
        </w:rPr>
        <w:t xml:space="preserve">Law 139-11 fully eliminated export share requirements for all SEZ firms regardless of their sector of operation in accordance </w:t>
      </w:r>
      <w:r w:rsidR="00D0604C">
        <w:rPr>
          <w:rFonts w:ascii="Times New Roman" w:hAnsi="Times New Roman"/>
          <w:b/>
          <w:sz w:val="24"/>
          <w:szCs w:val="24"/>
        </w:rPr>
        <w:t xml:space="preserve">with </w:t>
      </w:r>
      <w:r w:rsidRPr="003737C2">
        <w:rPr>
          <w:rFonts w:ascii="Times New Roman" w:hAnsi="Times New Roman"/>
          <w:b/>
          <w:sz w:val="24"/>
          <w:szCs w:val="24"/>
        </w:rPr>
        <w:t xml:space="preserve">the compromises signed under the CAFTA-DR free trade agreement. </w:t>
      </w:r>
      <w:r w:rsidRPr="003737C2">
        <w:rPr>
          <w:rFonts w:ascii="Times New Roman" w:hAnsi="Times New Roman"/>
          <w:sz w:val="24"/>
          <w:szCs w:val="24"/>
        </w:rPr>
        <w:t>SEZ firms in priority sectors retain their duty-free access to the Dominican market whereas their non-priority SEZ counterparts are required to pay the customary import tariffs mandated by the national customs regime in order to sell in the domestic market. All SEZ firms are now required to pay a 3.5% gross sales tax and 18% VAT on their domestic sales. Non-SEZ firms were not directly affected by this law</w:t>
      </w:r>
      <w:r>
        <w:rPr>
          <w:rFonts w:ascii="Times New Roman" w:hAnsi="Times New Roman"/>
          <w:sz w:val="24"/>
          <w:szCs w:val="24"/>
        </w:rPr>
        <w:t xml:space="preserve"> </w:t>
      </w:r>
      <w:r w:rsidRPr="00427B2B">
        <w:rPr>
          <w:rFonts w:ascii="Times New Roman" w:hAnsi="Times New Roman"/>
          <w:sz w:val="24"/>
          <w:szCs w:val="24"/>
        </w:rPr>
        <w:t>(</w:t>
      </w:r>
      <w:r w:rsidRPr="00427B2B">
        <w:rPr>
          <w:rFonts w:ascii="Times New Roman" w:hAnsi="Times New Roman"/>
          <w:sz w:val="24"/>
          <w:szCs w:val="24"/>
        </w:rPr>
        <w:fldChar w:fldCharType="begin"/>
      </w:r>
      <w:r w:rsidRPr="00427B2B">
        <w:rPr>
          <w:rFonts w:ascii="Times New Roman" w:hAnsi="Times New Roman"/>
          <w:sz w:val="24"/>
          <w:szCs w:val="24"/>
        </w:rPr>
        <w:instrText xml:space="preserve"> REF _Ref447281341 \h </w:instrText>
      </w:r>
      <w:r w:rsidR="00427B2B" w:rsidRPr="00427B2B">
        <w:rPr>
          <w:rFonts w:ascii="Times New Roman" w:hAnsi="Times New Roman"/>
          <w:sz w:val="24"/>
          <w:szCs w:val="24"/>
        </w:rPr>
        <w:instrText xml:space="preserve"> \* MERGEFORMAT </w:instrText>
      </w:r>
      <w:r w:rsidRPr="00427B2B">
        <w:rPr>
          <w:rFonts w:ascii="Times New Roman" w:hAnsi="Times New Roman"/>
          <w:sz w:val="24"/>
          <w:szCs w:val="24"/>
        </w:rPr>
      </w:r>
      <w:r w:rsidRPr="00427B2B">
        <w:rPr>
          <w:rFonts w:ascii="Times New Roman" w:hAnsi="Times New Roman"/>
          <w:sz w:val="24"/>
          <w:szCs w:val="24"/>
        </w:rPr>
        <w:fldChar w:fldCharType="separate"/>
      </w:r>
      <w:r w:rsidR="00893CAD" w:rsidRPr="00893CAD">
        <w:rPr>
          <w:rFonts w:asciiTheme="majorHAnsi" w:hAnsiTheme="majorHAnsi" w:cstheme="majorHAnsi"/>
          <w:sz w:val="24"/>
          <w:szCs w:val="24"/>
        </w:rPr>
        <w:t xml:space="preserve">Table </w:t>
      </w:r>
      <w:r w:rsidR="00893CAD" w:rsidRPr="00893CAD">
        <w:rPr>
          <w:rFonts w:asciiTheme="majorHAnsi" w:hAnsiTheme="majorHAnsi" w:cstheme="majorHAnsi"/>
          <w:noProof/>
          <w:sz w:val="24"/>
          <w:szCs w:val="24"/>
        </w:rPr>
        <w:t>2</w:t>
      </w:r>
      <w:r w:rsidRPr="00427B2B">
        <w:rPr>
          <w:rFonts w:ascii="Times New Roman" w:hAnsi="Times New Roman"/>
          <w:sz w:val="24"/>
          <w:szCs w:val="24"/>
        </w:rPr>
        <w:fldChar w:fldCharType="end"/>
      </w:r>
      <w:r w:rsidRPr="00427B2B">
        <w:rPr>
          <w:rFonts w:ascii="Times New Roman" w:hAnsi="Times New Roman"/>
          <w:sz w:val="24"/>
          <w:szCs w:val="24"/>
        </w:rPr>
        <w:t>)</w:t>
      </w:r>
      <w:r w:rsidR="00F7785C" w:rsidRPr="00427B2B">
        <w:rPr>
          <w:rFonts w:ascii="Times New Roman" w:hAnsi="Times New Roman"/>
          <w:sz w:val="24"/>
          <w:szCs w:val="24"/>
        </w:rPr>
        <w:t>.</w:t>
      </w:r>
    </w:p>
    <w:p w14:paraId="0B75FE5E" w14:textId="77777777" w:rsidR="003737C2" w:rsidRDefault="003737C2" w:rsidP="003737C2">
      <w:pPr>
        <w:spacing w:after="120" w:line="276" w:lineRule="auto"/>
        <w:jc w:val="both"/>
        <w:rPr>
          <w:rFonts w:ascii="Times New Roman" w:hAnsi="Times New Roman"/>
          <w:sz w:val="24"/>
          <w:szCs w:val="24"/>
        </w:rPr>
      </w:pPr>
    </w:p>
    <w:p w14:paraId="48AC171E" w14:textId="77777777" w:rsidR="003737C2" w:rsidRPr="0035774E" w:rsidRDefault="0035774E" w:rsidP="0035774E">
      <w:pPr>
        <w:jc w:val="center"/>
        <w:rPr>
          <w:rFonts w:asciiTheme="majorHAnsi" w:hAnsiTheme="majorHAnsi" w:cstheme="majorHAnsi"/>
          <w:b/>
          <w:sz w:val="24"/>
          <w:szCs w:val="24"/>
        </w:rPr>
      </w:pPr>
      <w:bookmarkStart w:id="20" w:name="_Ref447281341"/>
      <w:r w:rsidRPr="0035774E">
        <w:rPr>
          <w:rFonts w:asciiTheme="majorHAnsi" w:hAnsiTheme="majorHAnsi" w:cstheme="majorHAnsi"/>
          <w:b/>
          <w:sz w:val="24"/>
          <w:szCs w:val="24"/>
        </w:rPr>
        <w:t xml:space="preserve">Table </w:t>
      </w:r>
      <w:r w:rsidRPr="0035774E">
        <w:rPr>
          <w:rFonts w:asciiTheme="majorHAnsi" w:hAnsiTheme="majorHAnsi" w:cstheme="majorHAnsi"/>
          <w:b/>
          <w:sz w:val="24"/>
          <w:szCs w:val="24"/>
        </w:rPr>
        <w:fldChar w:fldCharType="begin"/>
      </w:r>
      <w:r w:rsidRPr="0035774E">
        <w:rPr>
          <w:rFonts w:asciiTheme="majorHAnsi" w:hAnsiTheme="majorHAnsi" w:cstheme="majorHAnsi"/>
          <w:b/>
          <w:sz w:val="24"/>
          <w:szCs w:val="24"/>
        </w:rPr>
        <w:instrText xml:space="preserve"> SEQ Table \* ARABIC </w:instrText>
      </w:r>
      <w:r w:rsidRPr="0035774E">
        <w:rPr>
          <w:rFonts w:asciiTheme="majorHAnsi" w:hAnsiTheme="majorHAnsi" w:cstheme="majorHAnsi"/>
          <w:b/>
          <w:sz w:val="24"/>
          <w:szCs w:val="24"/>
        </w:rPr>
        <w:fldChar w:fldCharType="separate"/>
      </w:r>
      <w:r w:rsidR="00893CAD">
        <w:rPr>
          <w:rFonts w:asciiTheme="majorHAnsi" w:hAnsiTheme="majorHAnsi" w:cstheme="majorHAnsi"/>
          <w:b/>
          <w:noProof/>
          <w:sz w:val="24"/>
          <w:szCs w:val="24"/>
        </w:rPr>
        <w:t>2</w:t>
      </w:r>
      <w:r w:rsidRPr="0035774E">
        <w:rPr>
          <w:rFonts w:asciiTheme="majorHAnsi" w:hAnsiTheme="majorHAnsi" w:cstheme="majorHAnsi"/>
          <w:b/>
          <w:sz w:val="24"/>
          <w:szCs w:val="24"/>
        </w:rPr>
        <w:fldChar w:fldCharType="end"/>
      </w:r>
      <w:bookmarkEnd w:id="20"/>
      <w:r w:rsidR="003737C2" w:rsidRPr="0035774E">
        <w:rPr>
          <w:rFonts w:asciiTheme="majorHAnsi" w:hAnsiTheme="majorHAnsi" w:cstheme="majorHAnsi"/>
          <w:b/>
          <w:sz w:val="24"/>
          <w:szCs w:val="24"/>
        </w:rPr>
        <w:t>: Changes in SEZ Regulations in the Dominican Republic, 2006-2014</w:t>
      </w:r>
    </w:p>
    <w:tbl>
      <w:tblPr>
        <w:tblW w:w="9400" w:type="dxa"/>
        <w:jc w:val="center"/>
        <w:tblLook w:val="04A0" w:firstRow="1" w:lastRow="0" w:firstColumn="1" w:lastColumn="0" w:noHBand="0" w:noVBand="1"/>
      </w:tblPr>
      <w:tblGrid>
        <w:gridCol w:w="960"/>
        <w:gridCol w:w="960"/>
        <w:gridCol w:w="3680"/>
        <w:gridCol w:w="3800"/>
      </w:tblGrid>
      <w:tr w:rsidR="003737C2" w14:paraId="06D20EC7" w14:textId="77777777" w:rsidTr="00717281">
        <w:trPr>
          <w:trHeight w:val="540"/>
          <w:jc w:val="center"/>
        </w:trPr>
        <w:tc>
          <w:tcPr>
            <w:tcW w:w="960" w:type="dxa"/>
            <w:tcBorders>
              <w:top w:val="nil"/>
              <w:left w:val="nil"/>
              <w:bottom w:val="single" w:sz="12" w:space="0" w:color="auto"/>
              <w:right w:val="nil"/>
            </w:tcBorders>
            <w:noWrap/>
            <w:vAlign w:val="bottom"/>
            <w:hideMark/>
          </w:tcPr>
          <w:p w14:paraId="0CFFB1DE" w14:textId="77777777" w:rsidR="003737C2" w:rsidRDefault="003737C2" w:rsidP="00717281">
            <w:pPr>
              <w:rPr>
                <w:rFonts w:eastAsia="Times New Roman"/>
                <w:color w:val="000000"/>
                <w:lang w:val="en-GB" w:eastAsia="en-GB"/>
              </w:rPr>
            </w:pPr>
            <w:r>
              <w:rPr>
                <w:rFonts w:eastAsia="Times New Roman"/>
                <w:color w:val="000000"/>
                <w:lang w:val="en-GB" w:eastAsia="en-GB"/>
              </w:rPr>
              <w:t> </w:t>
            </w:r>
          </w:p>
        </w:tc>
        <w:tc>
          <w:tcPr>
            <w:tcW w:w="960" w:type="dxa"/>
            <w:tcBorders>
              <w:top w:val="nil"/>
              <w:left w:val="nil"/>
              <w:bottom w:val="single" w:sz="12" w:space="0" w:color="auto"/>
              <w:right w:val="nil"/>
            </w:tcBorders>
            <w:noWrap/>
            <w:vAlign w:val="bottom"/>
            <w:hideMark/>
          </w:tcPr>
          <w:p w14:paraId="48574E91" w14:textId="77777777" w:rsidR="003737C2" w:rsidRDefault="003737C2" w:rsidP="00717281">
            <w:pPr>
              <w:rPr>
                <w:rFonts w:eastAsia="Times New Roman"/>
                <w:color w:val="000000"/>
                <w:lang w:val="en-GB" w:eastAsia="en-GB"/>
              </w:rPr>
            </w:pPr>
            <w:r>
              <w:rPr>
                <w:rFonts w:eastAsia="Times New Roman"/>
                <w:color w:val="000000"/>
                <w:lang w:val="en-GB" w:eastAsia="en-GB"/>
              </w:rPr>
              <w:t> </w:t>
            </w:r>
          </w:p>
        </w:tc>
        <w:tc>
          <w:tcPr>
            <w:tcW w:w="3680" w:type="dxa"/>
            <w:tcBorders>
              <w:top w:val="single" w:sz="12" w:space="0" w:color="auto"/>
              <w:left w:val="single" w:sz="12" w:space="0" w:color="auto"/>
              <w:bottom w:val="single" w:sz="12" w:space="0" w:color="auto"/>
              <w:right w:val="single" w:sz="12" w:space="0" w:color="auto"/>
            </w:tcBorders>
            <w:noWrap/>
            <w:vAlign w:val="center"/>
            <w:hideMark/>
          </w:tcPr>
          <w:p w14:paraId="586DDE00" w14:textId="77777777" w:rsidR="003737C2" w:rsidRDefault="003737C2" w:rsidP="00717281">
            <w:pPr>
              <w:jc w:val="center"/>
              <w:rPr>
                <w:rFonts w:eastAsia="Times New Roman"/>
                <w:b/>
                <w:bCs/>
                <w:color w:val="000000"/>
                <w:lang w:val="en-GB" w:eastAsia="en-GB"/>
              </w:rPr>
            </w:pPr>
            <w:r>
              <w:rPr>
                <w:rFonts w:eastAsia="Times New Roman"/>
                <w:b/>
                <w:bCs/>
                <w:color w:val="000000"/>
                <w:lang w:val="en-GB" w:eastAsia="en-GB"/>
              </w:rPr>
              <w:t>National Priority Sector</w:t>
            </w:r>
          </w:p>
        </w:tc>
        <w:tc>
          <w:tcPr>
            <w:tcW w:w="3800" w:type="dxa"/>
            <w:tcBorders>
              <w:top w:val="single" w:sz="12" w:space="0" w:color="auto"/>
              <w:left w:val="nil"/>
              <w:bottom w:val="single" w:sz="12" w:space="0" w:color="auto"/>
              <w:right w:val="single" w:sz="12" w:space="0" w:color="auto"/>
            </w:tcBorders>
            <w:noWrap/>
            <w:vAlign w:val="center"/>
            <w:hideMark/>
          </w:tcPr>
          <w:p w14:paraId="09EA913A" w14:textId="7DB03417" w:rsidR="003737C2" w:rsidRDefault="003737C2" w:rsidP="00D0604C">
            <w:pPr>
              <w:jc w:val="center"/>
              <w:rPr>
                <w:rFonts w:eastAsia="Times New Roman"/>
                <w:b/>
                <w:bCs/>
                <w:color w:val="000000"/>
                <w:lang w:val="en-GB" w:eastAsia="en-GB"/>
              </w:rPr>
            </w:pPr>
            <w:r>
              <w:rPr>
                <w:rFonts w:eastAsia="Times New Roman"/>
                <w:b/>
                <w:bCs/>
                <w:color w:val="000000"/>
                <w:lang w:val="en-GB" w:eastAsia="en-GB"/>
              </w:rPr>
              <w:t>Non-</w:t>
            </w:r>
            <w:r w:rsidR="00D0604C">
              <w:rPr>
                <w:rFonts w:eastAsia="Times New Roman"/>
                <w:b/>
                <w:bCs/>
                <w:color w:val="000000"/>
                <w:lang w:val="en-GB" w:eastAsia="en-GB"/>
              </w:rPr>
              <w:t>P</w:t>
            </w:r>
            <w:r>
              <w:rPr>
                <w:rFonts w:eastAsia="Times New Roman"/>
                <w:b/>
                <w:bCs/>
                <w:color w:val="000000"/>
                <w:lang w:val="en-GB" w:eastAsia="en-GB"/>
              </w:rPr>
              <w:t>riority Sector</w:t>
            </w:r>
          </w:p>
        </w:tc>
      </w:tr>
      <w:tr w:rsidR="003737C2" w14:paraId="5924D557" w14:textId="77777777" w:rsidTr="00717281">
        <w:trPr>
          <w:trHeight w:val="840"/>
          <w:jc w:val="center"/>
        </w:trPr>
        <w:tc>
          <w:tcPr>
            <w:tcW w:w="960" w:type="dxa"/>
            <w:vMerge w:val="restart"/>
            <w:tcBorders>
              <w:top w:val="nil"/>
              <w:left w:val="single" w:sz="12" w:space="0" w:color="auto"/>
              <w:bottom w:val="single" w:sz="12" w:space="0" w:color="000000"/>
              <w:right w:val="nil"/>
            </w:tcBorders>
            <w:textDirection w:val="btLr"/>
            <w:vAlign w:val="center"/>
            <w:hideMark/>
          </w:tcPr>
          <w:p w14:paraId="438D9E51" w14:textId="77777777" w:rsidR="003737C2" w:rsidRDefault="003737C2" w:rsidP="00717281">
            <w:pPr>
              <w:jc w:val="center"/>
              <w:rPr>
                <w:rFonts w:eastAsia="Times New Roman"/>
                <w:b/>
                <w:bCs/>
                <w:color w:val="000000"/>
                <w:lang w:val="en-GB" w:eastAsia="en-GB"/>
              </w:rPr>
            </w:pPr>
            <w:r>
              <w:rPr>
                <w:rFonts w:eastAsia="Times New Roman"/>
                <w:b/>
                <w:bCs/>
                <w:color w:val="000000"/>
                <w:lang w:val="en-GB" w:eastAsia="en-GB"/>
              </w:rPr>
              <w:t>SEZ firms</w:t>
            </w:r>
          </w:p>
        </w:tc>
        <w:tc>
          <w:tcPr>
            <w:tcW w:w="960" w:type="dxa"/>
            <w:tcBorders>
              <w:top w:val="nil"/>
              <w:left w:val="single" w:sz="4" w:space="0" w:color="auto"/>
              <w:bottom w:val="single" w:sz="4" w:space="0" w:color="auto"/>
              <w:right w:val="single" w:sz="12" w:space="0" w:color="auto"/>
            </w:tcBorders>
            <w:noWrap/>
            <w:vAlign w:val="center"/>
            <w:hideMark/>
          </w:tcPr>
          <w:p w14:paraId="2AFF61D8" w14:textId="77777777" w:rsidR="003737C2" w:rsidRDefault="003737C2" w:rsidP="00717281">
            <w:pPr>
              <w:jc w:val="center"/>
              <w:rPr>
                <w:rFonts w:eastAsia="Times New Roman"/>
                <w:color w:val="000000"/>
                <w:lang w:val="en-GB" w:eastAsia="en-GB"/>
              </w:rPr>
            </w:pPr>
            <w:r>
              <w:rPr>
                <w:rFonts w:eastAsia="Times New Roman"/>
                <w:color w:val="000000"/>
                <w:lang w:val="en-GB" w:eastAsia="en-GB"/>
              </w:rPr>
              <w:t>2006-07</w:t>
            </w:r>
          </w:p>
        </w:tc>
        <w:tc>
          <w:tcPr>
            <w:tcW w:w="7480" w:type="dxa"/>
            <w:gridSpan w:val="2"/>
            <w:tcBorders>
              <w:top w:val="single" w:sz="12" w:space="0" w:color="auto"/>
              <w:left w:val="nil"/>
              <w:bottom w:val="single" w:sz="4" w:space="0" w:color="auto"/>
              <w:right w:val="single" w:sz="12" w:space="0" w:color="000000"/>
            </w:tcBorders>
            <w:vAlign w:val="center"/>
            <w:hideMark/>
          </w:tcPr>
          <w:p w14:paraId="22595BD6" w14:textId="77777777" w:rsidR="003737C2" w:rsidRDefault="003737C2" w:rsidP="00717281">
            <w:pPr>
              <w:jc w:val="center"/>
              <w:rPr>
                <w:rFonts w:eastAsia="Times New Roman"/>
                <w:color w:val="000000"/>
                <w:sz w:val="20"/>
                <w:szCs w:val="20"/>
                <w:lang w:val="en-GB" w:eastAsia="en-GB"/>
              </w:rPr>
            </w:pPr>
            <w:r>
              <w:rPr>
                <w:rFonts w:eastAsia="Times New Roman"/>
                <w:color w:val="000000"/>
                <w:sz w:val="20"/>
                <w:szCs w:val="20"/>
                <w:lang w:val="en-GB" w:eastAsia="en-GB"/>
              </w:rPr>
              <w:t>80% ESR; duty-free imports of intermediate inputs and capital goods; full exemption of gross sales, registration, construction, export and re-export and transfer of industrial goods (ITBIS) taxes for 15 years (20 years for firms in border SEZ)</w:t>
            </w:r>
          </w:p>
        </w:tc>
      </w:tr>
      <w:tr w:rsidR="003737C2" w14:paraId="6428841B" w14:textId="77777777" w:rsidTr="00717281">
        <w:trPr>
          <w:trHeight w:val="780"/>
          <w:jc w:val="center"/>
        </w:trPr>
        <w:tc>
          <w:tcPr>
            <w:tcW w:w="0" w:type="auto"/>
            <w:vMerge/>
            <w:tcBorders>
              <w:top w:val="nil"/>
              <w:left w:val="single" w:sz="12" w:space="0" w:color="auto"/>
              <w:bottom w:val="single" w:sz="12" w:space="0" w:color="000000"/>
              <w:right w:val="nil"/>
            </w:tcBorders>
            <w:vAlign w:val="center"/>
            <w:hideMark/>
          </w:tcPr>
          <w:p w14:paraId="75195813" w14:textId="77777777" w:rsidR="003737C2" w:rsidRDefault="003737C2" w:rsidP="00717281">
            <w:pPr>
              <w:rPr>
                <w:rFonts w:eastAsia="Times New Roman"/>
                <w:b/>
                <w:bCs/>
                <w:color w:val="000000"/>
                <w:lang w:val="en-GB" w:eastAsia="en-GB"/>
              </w:rPr>
            </w:pPr>
          </w:p>
        </w:tc>
        <w:tc>
          <w:tcPr>
            <w:tcW w:w="960" w:type="dxa"/>
            <w:tcBorders>
              <w:top w:val="nil"/>
              <w:left w:val="single" w:sz="4" w:space="0" w:color="auto"/>
              <w:bottom w:val="single" w:sz="4" w:space="0" w:color="auto"/>
              <w:right w:val="single" w:sz="12" w:space="0" w:color="auto"/>
            </w:tcBorders>
            <w:noWrap/>
            <w:vAlign w:val="center"/>
            <w:hideMark/>
          </w:tcPr>
          <w:p w14:paraId="6854B933" w14:textId="77777777" w:rsidR="003737C2" w:rsidRDefault="003737C2" w:rsidP="00717281">
            <w:pPr>
              <w:jc w:val="center"/>
              <w:rPr>
                <w:rFonts w:eastAsia="Times New Roman"/>
                <w:color w:val="000000"/>
                <w:lang w:val="en-GB" w:eastAsia="en-GB"/>
              </w:rPr>
            </w:pPr>
            <w:r>
              <w:rPr>
                <w:rFonts w:eastAsia="Times New Roman"/>
                <w:color w:val="000000"/>
                <w:lang w:val="en-GB" w:eastAsia="en-GB"/>
              </w:rPr>
              <w:t>2008-11</w:t>
            </w:r>
          </w:p>
          <w:p w14:paraId="1551D3BD" w14:textId="77777777" w:rsidR="003737C2" w:rsidRDefault="003737C2" w:rsidP="00717281">
            <w:pPr>
              <w:jc w:val="center"/>
              <w:rPr>
                <w:rFonts w:eastAsia="Times New Roman"/>
                <w:color w:val="000000"/>
                <w:lang w:val="en-GB" w:eastAsia="en-GB"/>
              </w:rPr>
            </w:pPr>
            <w:r>
              <w:rPr>
                <w:rFonts w:eastAsia="Times New Roman"/>
                <w:color w:val="000000"/>
                <w:lang w:val="en-GB" w:eastAsia="en-GB"/>
              </w:rPr>
              <w:t>Law 56-07</w:t>
            </w:r>
          </w:p>
        </w:tc>
        <w:tc>
          <w:tcPr>
            <w:tcW w:w="3680" w:type="dxa"/>
            <w:tcBorders>
              <w:top w:val="nil"/>
              <w:left w:val="nil"/>
              <w:bottom w:val="single" w:sz="4" w:space="0" w:color="auto"/>
              <w:right w:val="single" w:sz="4" w:space="0" w:color="auto"/>
            </w:tcBorders>
            <w:vAlign w:val="center"/>
            <w:hideMark/>
          </w:tcPr>
          <w:p w14:paraId="7F34B6F3" w14:textId="77777777" w:rsidR="003737C2" w:rsidRDefault="003737C2" w:rsidP="00717281">
            <w:pPr>
              <w:rPr>
                <w:rFonts w:eastAsia="Times New Roman"/>
                <w:color w:val="000000"/>
                <w:sz w:val="20"/>
                <w:szCs w:val="20"/>
                <w:lang w:val="en-GB" w:eastAsia="en-GB"/>
              </w:rPr>
            </w:pPr>
            <w:r>
              <w:rPr>
                <w:rFonts w:eastAsia="Times New Roman"/>
                <w:color w:val="000000"/>
                <w:sz w:val="20"/>
                <w:szCs w:val="20"/>
                <w:lang w:val="en-GB" w:eastAsia="en-GB"/>
              </w:rPr>
              <w:t>ESR fully removed; duty-free access to domestic market</w:t>
            </w:r>
          </w:p>
        </w:tc>
        <w:tc>
          <w:tcPr>
            <w:tcW w:w="3800" w:type="dxa"/>
            <w:tcBorders>
              <w:top w:val="nil"/>
              <w:left w:val="nil"/>
              <w:bottom w:val="single" w:sz="4" w:space="0" w:color="auto"/>
              <w:right w:val="single" w:sz="12" w:space="0" w:color="auto"/>
            </w:tcBorders>
            <w:vAlign w:val="bottom"/>
            <w:hideMark/>
          </w:tcPr>
          <w:p w14:paraId="245B7872" w14:textId="0046721E" w:rsidR="003737C2" w:rsidRDefault="003737C2" w:rsidP="001F1DBB">
            <w:pPr>
              <w:rPr>
                <w:rFonts w:eastAsia="Times New Roman"/>
                <w:color w:val="000000"/>
                <w:sz w:val="20"/>
                <w:szCs w:val="20"/>
                <w:lang w:val="en-GB" w:eastAsia="en-GB"/>
              </w:rPr>
            </w:pPr>
            <w:r>
              <w:rPr>
                <w:rFonts w:eastAsia="Times New Roman"/>
                <w:color w:val="000000"/>
                <w:sz w:val="20"/>
                <w:szCs w:val="20"/>
                <w:lang w:val="en-GB" w:eastAsia="en-GB"/>
              </w:rPr>
              <w:t xml:space="preserve">80% ESR remains; duty-free access on domestic sales if product in question is not produced in </w:t>
            </w:r>
            <w:r w:rsidR="001F1DBB">
              <w:rPr>
                <w:rFonts w:eastAsia="Times New Roman"/>
                <w:color w:val="000000"/>
                <w:sz w:val="20"/>
                <w:szCs w:val="20"/>
                <w:lang w:val="en-GB" w:eastAsia="en-GB"/>
              </w:rPr>
              <w:t xml:space="preserve">Dominican Republic </w:t>
            </w:r>
            <w:r>
              <w:rPr>
                <w:rFonts w:eastAsia="Times New Roman"/>
                <w:color w:val="000000"/>
                <w:sz w:val="20"/>
                <w:szCs w:val="20"/>
                <w:lang w:val="en-GB" w:eastAsia="en-GB"/>
              </w:rPr>
              <w:t>or has at least 25% of local input content</w:t>
            </w:r>
          </w:p>
        </w:tc>
      </w:tr>
      <w:tr w:rsidR="003737C2" w14:paraId="17691A24" w14:textId="77777777" w:rsidTr="00717281">
        <w:trPr>
          <w:trHeight w:val="780"/>
          <w:jc w:val="center"/>
        </w:trPr>
        <w:tc>
          <w:tcPr>
            <w:tcW w:w="0" w:type="auto"/>
            <w:vMerge/>
            <w:tcBorders>
              <w:top w:val="nil"/>
              <w:left w:val="single" w:sz="12" w:space="0" w:color="auto"/>
              <w:bottom w:val="single" w:sz="12" w:space="0" w:color="000000"/>
              <w:right w:val="nil"/>
            </w:tcBorders>
            <w:vAlign w:val="center"/>
            <w:hideMark/>
          </w:tcPr>
          <w:p w14:paraId="0160DFB9" w14:textId="77777777" w:rsidR="003737C2" w:rsidRDefault="003737C2" w:rsidP="00717281">
            <w:pPr>
              <w:rPr>
                <w:rFonts w:eastAsia="Times New Roman"/>
                <w:b/>
                <w:bCs/>
                <w:color w:val="000000"/>
                <w:lang w:val="en-GB" w:eastAsia="en-GB"/>
              </w:rPr>
            </w:pPr>
          </w:p>
        </w:tc>
        <w:tc>
          <w:tcPr>
            <w:tcW w:w="960" w:type="dxa"/>
            <w:tcBorders>
              <w:top w:val="nil"/>
              <w:left w:val="single" w:sz="4" w:space="0" w:color="auto"/>
              <w:bottom w:val="single" w:sz="12" w:space="0" w:color="auto"/>
              <w:right w:val="single" w:sz="12" w:space="0" w:color="auto"/>
            </w:tcBorders>
            <w:noWrap/>
            <w:vAlign w:val="center"/>
            <w:hideMark/>
          </w:tcPr>
          <w:p w14:paraId="7C735C7F" w14:textId="77777777" w:rsidR="003737C2" w:rsidRDefault="003737C2" w:rsidP="00717281">
            <w:pPr>
              <w:jc w:val="center"/>
              <w:rPr>
                <w:rFonts w:eastAsia="Times New Roman"/>
                <w:color w:val="000000"/>
                <w:lang w:val="en-GB" w:eastAsia="en-GB"/>
              </w:rPr>
            </w:pPr>
            <w:r>
              <w:rPr>
                <w:rFonts w:eastAsia="Times New Roman"/>
                <w:color w:val="000000"/>
                <w:lang w:val="en-GB" w:eastAsia="en-GB"/>
              </w:rPr>
              <w:t>2012-14</w:t>
            </w:r>
          </w:p>
          <w:p w14:paraId="70B07F5A" w14:textId="77777777" w:rsidR="003737C2" w:rsidRDefault="003737C2" w:rsidP="00717281">
            <w:pPr>
              <w:jc w:val="center"/>
              <w:rPr>
                <w:rFonts w:eastAsia="Times New Roman"/>
                <w:color w:val="000000"/>
                <w:lang w:val="en-GB" w:eastAsia="en-GB"/>
              </w:rPr>
            </w:pPr>
            <w:r>
              <w:rPr>
                <w:rFonts w:eastAsia="Times New Roman"/>
                <w:color w:val="000000"/>
                <w:lang w:val="en-GB" w:eastAsia="en-GB"/>
              </w:rPr>
              <w:t>Law 139-11</w:t>
            </w:r>
          </w:p>
        </w:tc>
        <w:tc>
          <w:tcPr>
            <w:tcW w:w="3680" w:type="dxa"/>
            <w:tcBorders>
              <w:top w:val="nil"/>
              <w:left w:val="nil"/>
              <w:bottom w:val="single" w:sz="12" w:space="0" w:color="auto"/>
              <w:right w:val="single" w:sz="4" w:space="0" w:color="auto"/>
            </w:tcBorders>
            <w:vAlign w:val="center"/>
            <w:hideMark/>
          </w:tcPr>
          <w:p w14:paraId="3E1297CE" w14:textId="77777777" w:rsidR="003737C2" w:rsidRDefault="003737C2" w:rsidP="00717281">
            <w:pPr>
              <w:rPr>
                <w:rFonts w:eastAsia="Times New Roman"/>
                <w:color w:val="000000"/>
                <w:sz w:val="20"/>
                <w:szCs w:val="20"/>
                <w:lang w:val="en-GB" w:eastAsia="en-GB"/>
              </w:rPr>
            </w:pPr>
            <w:r>
              <w:rPr>
                <w:rFonts w:eastAsia="Times New Roman"/>
                <w:color w:val="000000"/>
                <w:sz w:val="20"/>
                <w:szCs w:val="20"/>
                <w:lang w:val="en-GB" w:eastAsia="en-GB"/>
              </w:rPr>
              <w:t>Domestic sales remain free of import duties but are subject to 3.5% tax on gross sales and 18% VAT</w:t>
            </w:r>
          </w:p>
        </w:tc>
        <w:tc>
          <w:tcPr>
            <w:tcW w:w="3800" w:type="dxa"/>
            <w:tcBorders>
              <w:top w:val="nil"/>
              <w:left w:val="nil"/>
              <w:bottom w:val="single" w:sz="12" w:space="0" w:color="auto"/>
              <w:right w:val="single" w:sz="12" w:space="0" w:color="auto"/>
            </w:tcBorders>
            <w:vAlign w:val="center"/>
            <w:hideMark/>
          </w:tcPr>
          <w:p w14:paraId="6A569A44" w14:textId="77777777" w:rsidR="003737C2" w:rsidRDefault="003737C2" w:rsidP="00717281">
            <w:pPr>
              <w:rPr>
                <w:rFonts w:eastAsia="Times New Roman"/>
                <w:color w:val="000000"/>
                <w:sz w:val="20"/>
                <w:szCs w:val="20"/>
                <w:lang w:val="en-GB" w:eastAsia="en-GB"/>
              </w:rPr>
            </w:pPr>
            <w:r>
              <w:rPr>
                <w:rFonts w:eastAsia="Times New Roman"/>
                <w:color w:val="000000"/>
                <w:sz w:val="20"/>
                <w:szCs w:val="20"/>
                <w:lang w:val="en-GB" w:eastAsia="en-GB"/>
              </w:rPr>
              <w:t>ESR fully removed; Domestic sales are subject to import duty, 3.5% tax on gross sales and 18% VAT</w:t>
            </w:r>
          </w:p>
        </w:tc>
      </w:tr>
      <w:tr w:rsidR="003737C2" w14:paraId="13B2B7F0" w14:textId="77777777" w:rsidTr="00717281">
        <w:trPr>
          <w:trHeight w:val="660"/>
          <w:jc w:val="center"/>
        </w:trPr>
        <w:tc>
          <w:tcPr>
            <w:tcW w:w="960" w:type="dxa"/>
            <w:vMerge w:val="restart"/>
            <w:tcBorders>
              <w:top w:val="nil"/>
              <w:left w:val="single" w:sz="12" w:space="0" w:color="auto"/>
              <w:bottom w:val="single" w:sz="12" w:space="0" w:color="000000"/>
              <w:right w:val="single" w:sz="4" w:space="0" w:color="auto"/>
            </w:tcBorders>
            <w:textDirection w:val="btLr"/>
            <w:vAlign w:val="center"/>
            <w:hideMark/>
          </w:tcPr>
          <w:p w14:paraId="361C9F16" w14:textId="77777777" w:rsidR="003737C2" w:rsidRDefault="003737C2" w:rsidP="00717281">
            <w:pPr>
              <w:jc w:val="center"/>
              <w:rPr>
                <w:rFonts w:eastAsia="Times New Roman"/>
                <w:b/>
                <w:bCs/>
                <w:color w:val="000000"/>
                <w:lang w:val="en-GB" w:eastAsia="en-GB"/>
              </w:rPr>
            </w:pPr>
            <w:r>
              <w:rPr>
                <w:rFonts w:eastAsia="Times New Roman"/>
                <w:b/>
                <w:bCs/>
                <w:color w:val="000000"/>
                <w:lang w:val="en-GB" w:eastAsia="en-GB"/>
              </w:rPr>
              <w:t>Non-SEZ firms</w:t>
            </w:r>
          </w:p>
        </w:tc>
        <w:tc>
          <w:tcPr>
            <w:tcW w:w="960" w:type="dxa"/>
            <w:tcBorders>
              <w:top w:val="nil"/>
              <w:left w:val="nil"/>
              <w:bottom w:val="nil"/>
              <w:right w:val="single" w:sz="12" w:space="0" w:color="auto"/>
            </w:tcBorders>
            <w:noWrap/>
            <w:vAlign w:val="center"/>
            <w:hideMark/>
          </w:tcPr>
          <w:p w14:paraId="030FD7D4" w14:textId="77777777" w:rsidR="003737C2" w:rsidRDefault="003737C2" w:rsidP="00717281">
            <w:pPr>
              <w:jc w:val="center"/>
              <w:rPr>
                <w:rFonts w:eastAsia="Times New Roman"/>
                <w:color w:val="000000"/>
                <w:lang w:val="en-GB" w:eastAsia="en-GB"/>
              </w:rPr>
            </w:pPr>
            <w:r>
              <w:rPr>
                <w:rFonts w:eastAsia="Times New Roman"/>
                <w:color w:val="000000"/>
                <w:lang w:val="en-GB" w:eastAsia="en-GB"/>
              </w:rPr>
              <w:t>2006-07</w:t>
            </w:r>
          </w:p>
        </w:tc>
        <w:tc>
          <w:tcPr>
            <w:tcW w:w="7480" w:type="dxa"/>
            <w:gridSpan w:val="2"/>
            <w:tcBorders>
              <w:top w:val="nil"/>
              <w:left w:val="nil"/>
              <w:bottom w:val="single" w:sz="4" w:space="0" w:color="auto"/>
              <w:right w:val="single" w:sz="12" w:space="0" w:color="000000"/>
            </w:tcBorders>
            <w:noWrap/>
            <w:vAlign w:val="center"/>
            <w:hideMark/>
          </w:tcPr>
          <w:p w14:paraId="11D78269" w14:textId="77777777" w:rsidR="003737C2" w:rsidRDefault="003737C2" w:rsidP="00717281">
            <w:pPr>
              <w:jc w:val="center"/>
              <w:rPr>
                <w:rFonts w:eastAsia="Times New Roman"/>
                <w:color w:val="000000"/>
                <w:sz w:val="20"/>
                <w:szCs w:val="20"/>
                <w:lang w:val="en-GB" w:eastAsia="en-GB"/>
              </w:rPr>
            </w:pPr>
            <w:r>
              <w:rPr>
                <w:rFonts w:eastAsia="Times New Roman"/>
                <w:color w:val="000000"/>
                <w:sz w:val="20"/>
                <w:szCs w:val="20"/>
                <w:lang w:val="en-GB" w:eastAsia="en-GB"/>
              </w:rPr>
              <w:t>No ESR; subject to national customs regime</w:t>
            </w:r>
          </w:p>
        </w:tc>
      </w:tr>
      <w:tr w:rsidR="003737C2" w14:paraId="3CCF628D" w14:textId="77777777" w:rsidTr="00717281">
        <w:trPr>
          <w:trHeight w:val="765"/>
          <w:jc w:val="center"/>
        </w:trPr>
        <w:tc>
          <w:tcPr>
            <w:tcW w:w="0" w:type="auto"/>
            <w:vMerge/>
            <w:tcBorders>
              <w:top w:val="nil"/>
              <w:left w:val="single" w:sz="12" w:space="0" w:color="auto"/>
              <w:bottom w:val="single" w:sz="12" w:space="0" w:color="000000"/>
              <w:right w:val="single" w:sz="4" w:space="0" w:color="auto"/>
            </w:tcBorders>
            <w:vAlign w:val="center"/>
            <w:hideMark/>
          </w:tcPr>
          <w:p w14:paraId="4A4728BC" w14:textId="77777777" w:rsidR="003737C2" w:rsidRDefault="003737C2" w:rsidP="00717281">
            <w:pPr>
              <w:rPr>
                <w:rFonts w:eastAsia="Times New Roman"/>
                <w:b/>
                <w:bCs/>
                <w:color w:val="000000"/>
                <w:lang w:val="en-GB" w:eastAsia="en-GB"/>
              </w:rPr>
            </w:pPr>
          </w:p>
        </w:tc>
        <w:tc>
          <w:tcPr>
            <w:tcW w:w="960" w:type="dxa"/>
            <w:tcBorders>
              <w:top w:val="single" w:sz="4" w:space="0" w:color="auto"/>
              <w:left w:val="nil"/>
              <w:bottom w:val="single" w:sz="4" w:space="0" w:color="auto"/>
              <w:right w:val="single" w:sz="12" w:space="0" w:color="auto"/>
            </w:tcBorders>
            <w:noWrap/>
            <w:vAlign w:val="center"/>
            <w:hideMark/>
          </w:tcPr>
          <w:p w14:paraId="26F29721" w14:textId="77777777" w:rsidR="003737C2" w:rsidRDefault="003737C2" w:rsidP="00717281">
            <w:pPr>
              <w:jc w:val="center"/>
              <w:rPr>
                <w:rFonts w:eastAsia="Times New Roman"/>
                <w:color w:val="000000"/>
                <w:lang w:val="en-GB" w:eastAsia="en-GB"/>
              </w:rPr>
            </w:pPr>
            <w:r>
              <w:rPr>
                <w:rFonts w:eastAsia="Times New Roman"/>
                <w:color w:val="000000"/>
                <w:lang w:val="en-GB" w:eastAsia="en-GB"/>
              </w:rPr>
              <w:t>2008-11</w:t>
            </w:r>
          </w:p>
          <w:p w14:paraId="439C96DE" w14:textId="77777777" w:rsidR="003737C2" w:rsidRDefault="003737C2" w:rsidP="00717281">
            <w:pPr>
              <w:jc w:val="center"/>
              <w:rPr>
                <w:rFonts w:eastAsia="Times New Roman"/>
                <w:color w:val="000000"/>
                <w:lang w:val="en-GB" w:eastAsia="en-GB"/>
              </w:rPr>
            </w:pPr>
            <w:r>
              <w:rPr>
                <w:rFonts w:eastAsia="Times New Roman"/>
                <w:color w:val="000000"/>
                <w:lang w:val="en-GB" w:eastAsia="en-GB"/>
              </w:rPr>
              <w:t>Law 56-07</w:t>
            </w:r>
          </w:p>
        </w:tc>
        <w:tc>
          <w:tcPr>
            <w:tcW w:w="3680" w:type="dxa"/>
            <w:tcBorders>
              <w:top w:val="nil"/>
              <w:left w:val="nil"/>
              <w:bottom w:val="single" w:sz="4" w:space="0" w:color="auto"/>
              <w:right w:val="single" w:sz="4" w:space="0" w:color="auto"/>
            </w:tcBorders>
            <w:vAlign w:val="center"/>
            <w:hideMark/>
          </w:tcPr>
          <w:p w14:paraId="6954A03B" w14:textId="77777777" w:rsidR="003737C2" w:rsidRDefault="003737C2" w:rsidP="00717281">
            <w:pPr>
              <w:rPr>
                <w:rFonts w:eastAsia="Times New Roman"/>
                <w:color w:val="000000"/>
                <w:sz w:val="20"/>
                <w:szCs w:val="20"/>
                <w:lang w:val="en-GB" w:eastAsia="en-GB"/>
              </w:rPr>
            </w:pPr>
            <w:r>
              <w:rPr>
                <w:rFonts w:eastAsia="Times New Roman"/>
                <w:color w:val="000000"/>
                <w:sz w:val="20"/>
                <w:szCs w:val="20"/>
                <w:lang w:val="en-GB" w:eastAsia="en-GB"/>
              </w:rPr>
              <w:t>Duty-free access to 126 'priority' intermediate inputs; exemption of  tax on industrial transfer of goods (ITBIS)</w:t>
            </w:r>
          </w:p>
        </w:tc>
        <w:tc>
          <w:tcPr>
            <w:tcW w:w="3800" w:type="dxa"/>
            <w:tcBorders>
              <w:top w:val="nil"/>
              <w:left w:val="nil"/>
              <w:bottom w:val="single" w:sz="4" w:space="0" w:color="auto"/>
              <w:right w:val="single" w:sz="12" w:space="0" w:color="auto"/>
            </w:tcBorders>
            <w:noWrap/>
            <w:vAlign w:val="center"/>
            <w:hideMark/>
          </w:tcPr>
          <w:p w14:paraId="6E93F29D" w14:textId="77777777" w:rsidR="003737C2" w:rsidRDefault="003737C2" w:rsidP="00717281">
            <w:pPr>
              <w:rPr>
                <w:rFonts w:eastAsia="Times New Roman"/>
                <w:color w:val="000000"/>
                <w:sz w:val="20"/>
                <w:szCs w:val="20"/>
                <w:lang w:val="en-GB" w:eastAsia="en-GB"/>
              </w:rPr>
            </w:pPr>
            <w:r>
              <w:rPr>
                <w:rFonts w:eastAsia="Times New Roman"/>
                <w:color w:val="000000"/>
                <w:sz w:val="20"/>
                <w:szCs w:val="20"/>
                <w:lang w:val="en-GB" w:eastAsia="en-GB"/>
              </w:rPr>
              <w:t>No change</w:t>
            </w:r>
          </w:p>
        </w:tc>
      </w:tr>
      <w:tr w:rsidR="003737C2" w14:paraId="69EBE7D5" w14:textId="77777777" w:rsidTr="00717281">
        <w:trPr>
          <w:trHeight w:val="375"/>
          <w:jc w:val="center"/>
        </w:trPr>
        <w:tc>
          <w:tcPr>
            <w:tcW w:w="0" w:type="auto"/>
            <w:vMerge/>
            <w:tcBorders>
              <w:top w:val="nil"/>
              <w:left w:val="single" w:sz="12" w:space="0" w:color="auto"/>
              <w:bottom w:val="single" w:sz="12" w:space="0" w:color="000000"/>
              <w:right w:val="single" w:sz="4" w:space="0" w:color="auto"/>
            </w:tcBorders>
            <w:vAlign w:val="center"/>
            <w:hideMark/>
          </w:tcPr>
          <w:p w14:paraId="7B049C40" w14:textId="77777777" w:rsidR="003737C2" w:rsidRDefault="003737C2" w:rsidP="00717281">
            <w:pPr>
              <w:rPr>
                <w:rFonts w:eastAsia="Times New Roman"/>
                <w:b/>
                <w:bCs/>
                <w:color w:val="000000"/>
                <w:lang w:val="en-GB" w:eastAsia="en-GB"/>
              </w:rPr>
            </w:pPr>
          </w:p>
        </w:tc>
        <w:tc>
          <w:tcPr>
            <w:tcW w:w="960" w:type="dxa"/>
            <w:tcBorders>
              <w:top w:val="nil"/>
              <w:left w:val="nil"/>
              <w:bottom w:val="single" w:sz="12" w:space="0" w:color="auto"/>
              <w:right w:val="single" w:sz="12" w:space="0" w:color="auto"/>
            </w:tcBorders>
            <w:noWrap/>
            <w:vAlign w:val="center"/>
            <w:hideMark/>
          </w:tcPr>
          <w:p w14:paraId="7AEB4C11" w14:textId="77777777" w:rsidR="003737C2" w:rsidRDefault="003737C2" w:rsidP="00717281">
            <w:pPr>
              <w:jc w:val="center"/>
              <w:rPr>
                <w:rFonts w:eastAsia="Times New Roman"/>
                <w:color w:val="000000"/>
                <w:lang w:val="en-GB" w:eastAsia="en-GB"/>
              </w:rPr>
            </w:pPr>
            <w:r>
              <w:rPr>
                <w:rFonts w:eastAsia="Times New Roman"/>
                <w:color w:val="000000"/>
                <w:lang w:val="en-GB" w:eastAsia="en-GB"/>
              </w:rPr>
              <w:t>2012-14</w:t>
            </w:r>
          </w:p>
          <w:p w14:paraId="2FD21C17" w14:textId="77777777" w:rsidR="003737C2" w:rsidRDefault="003737C2" w:rsidP="00717281">
            <w:pPr>
              <w:jc w:val="center"/>
              <w:rPr>
                <w:rFonts w:eastAsia="Times New Roman"/>
                <w:color w:val="000000"/>
                <w:lang w:val="en-GB" w:eastAsia="en-GB"/>
              </w:rPr>
            </w:pPr>
            <w:r>
              <w:rPr>
                <w:rFonts w:eastAsia="Times New Roman"/>
                <w:color w:val="000000"/>
                <w:lang w:val="en-GB" w:eastAsia="en-GB"/>
              </w:rPr>
              <w:t>Law 139-11</w:t>
            </w:r>
          </w:p>
        </w:tc>
        <w:tc>
          <w:tcPr>
            <w:tcW w:w="7480" w:type="dxa"/>
            <w:gridSpan w:val="2"/>
            <w:tcBorders>
              <w:top w:val="single" w:sz="4" w:space="0" w:color="auto"/>
              <w:left w:val="nil"/>
              <w:bottom w:val="single" w:sz="12" w:space="0" w:color="auto"/>
              <w:right w:val="single" w:sz="12" w:space="0" w:color="000000"/>
            </w:tcBorders>
            <w:noWrap/>
            <w:vAlign w:val="center"/>
            <w:hideMark/>
          </w:tcPr>
          <w:p w14:paraId="2A8C7832" w14:textId="77777777" w:rsidR="003737C2" w:rsidRDefault="003737C2" w:rsidP="00717281">
            <w:pPr>
              <w:jc w:val="center"/>
              <w:rPr>
                <w:rFonts w:eastAsia="Times New Roman"/>
                <w:color w:val="000000"/>
                <w:sz w:val="20"/>
                <w:szCs w:val="20"/>
                <w:lang w:val="en-GB" w:eastAsia="en-GB"/>
              </w:rPr>
            </w:pPr>
            <w:r>
              <w:rPr>
                <w:rFonts w:eastAsia="Times New Roman"/>
                <w:color w:val="000000"/>
                <w:sz w:val="20"/>
                <w:szCs w:val="20"/>
                <w:lang w:val="en-GB" w:eastAsia="en-GB"/>
              </w:rPr>
              <w:t>No change</w:t>
            </w:r>
          </w:p>
        </w:tc>
      </w:tr>
    </w:tbl>
    <w:p w14:paraId="1A29D622" w14:textId="77777777" w:rsidR="003737C2" w:rsidRPr="00F44671" w:rsidRDefault="003737C2" w:rsidP="003737C2">
      <w:pPr>
        <w:spacing w:after="120"/>
        <w:jc w:val="both"/>
        <w:rPr>
          <w:rFonts w:ascii="Times New Roman" w:hAnsi="Times New Roman"/>
          <w:sz w:val="20"/>
          <w:szCs w:val="20"/>
        </w:rPr>
      </w:pPr>
      <w:r w:rsidRPr="00F44671">
        <w:rPr>
          <w:rFonts w:ascii="Times New Roman" w:hAnsi="Times New Roman"/>
          <w:sz w:val="20"/>
          <w:szCs w:val="20"/>
        </w:rPr>
        <w:t>Source: Laws 8-90, 56-07 and 139-11.</w:t>
      </w:r>
    </w:p>
    <w:p w14:paraId="5208A493" w14:textId="77777777" w:rsidR="00E66463" w:rsidRDefault="00E66463" w:rsidP="00F7785C"/>
    <w:p w14:paraId="309E8D85" w14:textId="4ABAF2A8" w:rsidR="00CB755B" w:rsidRDefault="00F7785C" w:rsidP="00CB755B">
      <w:pPr>
        <w:spacing w:after="240" w:line="276" w:lineRule="auto"/>
        <w:jc w:val="both"/>
        <w:rPr>
          <w:rFonts w:asciiTheme="majorHAnsi" w:hAnsiTheme="majorHAnsi" w:cstheme="majorHAnsi"/>
          <w:sz w:val="24"/>
          <w:szCs w:val="24"/>
        </w:rPr>
      </w:pPr>
      <w:r w:rsidRPr="00792FE4">
        <w:rPr>
          <w:rFonts w:asciiTheme="majorHAnsi" w:hAnsiTheme="majorHAnsi" w:cstheme="majorHAnsi"/>
          <w:b/>
          <w:sz w:val="24"/>
          <w:szCs w:val="24"/>
        </w:rPr>
        <w:t xml:space="preserve">The </w:t>
      </w:r>
      <w:r w:rsidR="002702B3" w:rsidRPr="00792FE4">
        <w:rPr>
          <w:rFonts w:asciiTheme="majorHAnsi" w:hAnsiTheme="majorHAnsi" w:cstheme="majorHAnsi"/>
          <w:b/>
          <w:sz w:val="24"/>
          <w:szCs w:val="24"/>
        </w:rPr>
        <w:t xml:space="preserve">implications of </w:t>
      </w:r>
      <w:r w:rsidRPr="00792FE4">
        <w:rPr>
          <w:rFonts w:asciiTheme="majorHAnsi" w:hAnsiTheme="majorHAnsi" w:cstheme="majorHAnsi"/>
          <w:b/>
          <w:sz w:val="24"/>
          <w:szCs w:val="24"/>
        </w:rPr>
        <w:t xml:space="preserve">these </w:t>
      </w:r>
      <w:r w:rsidR="00E74416">
        <w:rPr>
          <w:rFonts w:asciiTheme="majorHAnsi" w:hAnsiTheme="majorHAnsi" w:cstheme="majorHAnsi"/>
          <w:b/>
          <w:sz w:val="24"/>
          <w:szCs w:val="24"/>
        </w:rPr>
        <w:t xml:space="preserve">externally </w:t>
      </w:r>
      <w:r w:rsidR="002702B3" w:rsidRPr="00792FE4">
        <w:rPr>
          <w:rFonts w:asciiTheme="majorHAnsi" w:hAnsiTheme="majorHAnsi" w:cstheme="majorHAnsi"/>
          <w:b/>
          <w:sz w:val="24"/>
          <w:szCs w:val="24"/>
        </w:rPr>
        <w:t xml:space="preserve">anchored </w:t>
      </w:r>
      <w:r w:rsidRPr="00792FE4">
        <w:rPr>
          <w:rFonts w:asciiTheme="majorHAnsi" w:hAnsiTheme="majorHAnsi" w:cstheme="majorHAnsi"/>
          <w:b/>
          <w:sz w:val="24"/>
          <w:szCs w:val="24"/>
        </w:rPr>
        <w:t xml:space="preserve">regulatory reforms </w:t>
      </w:r>
      <w:r w:rsidR="00427B2B">
        <w:rPr>
          <w:rFonts w:asciiTheme="majorHAnsi" w:hAnsiTheme="majorHAnsi" w:cstheme="majorHAnsi"/>
          <w:b/>
          <w:sz w:val="24"/>
          <w:szCs w:val="24"/>
        </w:rPr>
        <w:t>i</w:t>
      </w:r>
      <w:r w:rsidR="002702B3" w:rsidRPr="00792FE4">
        <w:rPr>
          <w:rFonts w:asciiTheme="majorHAnsi" w:hAnsiTheme="majorHAnsi" w:cstheme="majorHAnsi"/>
          <w:b/>
          <w:sz w:val="24"/>
          <w:szCs w:val="24"/>
        </w:rPr>
        <w:t>n SEZ</w:t>
      </w:r>
      <w:r w:rsidR="00F26BB9">
        <w:rPr>
          <w:rFonts w:asciiTheme="majorHAnsi" w:hAnsiTheme="majorHAnsi" w:cstheme="majorHAnsi"/>
          <w:b/>
          <w:sz w:val="24"/>
          <w:szCs w:val="24"/>
        </w:rPr>
        <w:t>s</w:t>
      </w:r>
      <w:r w:rsidR="002702B3" w:rsidRPr="00792FE4">
        <w:rPr>
          <w:rFonts w:asciiTheme="majorHAnsi" w:hAnsiTheme="majorHAnsi" w:cstheme="majorHAnsi"/>
          <w:b/>
          <w:sz w:val="24"/>
          <w:szCs w:val="24"/>
        </w:rPr>
        <w:t xml:space="preserve"> on the competitiveness of Dominican exporters is important from a policy perspective.</w:t>
      </w:r>
      <w:r w:rsidR="002702B3" w:rsidRPr="00792FE4">
        <w:rPr>
          <w:rFonts w:asciiTheme="majorHAnsi" w:hAnsiTheme="majorHAnsi" w:cstheme="majorHAnsi"/>
          <w:sz w:val="24"/>
          <w:szCs w:val="24"/>
        </w:rPr>
        <w:t xml:space="preserve"> While </w:t>
      </w:r>
      <w:r w:rsidR="002702B3" w:rsidRPr="00C9460C">
        <w:rPr>
          <w:rFonts w:asciiTheme="majorHAnsi" w:hAnsiTheme="majorHAnsi" w:cstheme="majorHAnsi"/>
          <w:sz w:val="24"/>
          <w:szCs w:val="24"/>
        </w:rPr>
        <w:t xml:space="preserve">nowadays there is a broad agreement on the fact that the current regulatory environment is </w:t>
      </w:r>
      <w:r w:rsidR="002702B3" w:rsidRPr="00C9460C">
        <w:rPr>
          <w:rFonts w:asciiTheme="majorHAnsi" w:hAnsiTheme="majorHAnsi" w:cstheme="majorHAnsi"/>
          <w:sz w:val="24"/>
          <w:szCs w:val="24"/>
        </w:rPr>
        <w:lastRenderedPageBreak/>
        <w:t>WTO</w:t>
      </w:r>
      <w:r w:rsidR="00F26BB9" w:rsidRPr="00C9460C">
        <w:rPr>
          <w:rFonts w:asciiTheme="majorHAnsi" w:hAnsiTheme="majorHAnsi" w:cstheme="majorHAnsi"/>
          <w:sz w:val="24"/>
          <w:szCs w:val="24"/>
        </w:rPr>
        <w:t>-</w:t>
      </w:r>
      <w:r w:rsidR="002702B3" w:rsidRPr="00C9460C">
        <w:rPr>
          <w:rFonts w:asciiTheme="majorHAnsi" w:hAnsiTheme="majorHAnsi" w:cstheme="majorHAnsi"/>
          <w:sz w:val="24"/>
          <w:szCs w:val="24"/>
        </w:rPr>
        <w:t xml:space="preserve">compliant, </w:t>
      </w:r>
      <w:r w:rsidR="00792FE4" w:rsidRPr="00C9460C">
        <w:rPr>
          <w:rFonts w:asciiTheme="majorHAnsi" w:hAnsiTheme="majorHAnsi" w:cstheme="majorHAnsi"/>
          <w:sz w:val="24"/>
          <w:szCs w:val="24"/>
        </w:rPr>
        <w:t xml:space="preserve">measuring the impact </w:t>
      </w:r>
      <w:r w:rsidR="002702B3" w:rsidRPr="00C9460C">
        <w:rPr>
          <w:rFonts w:asciiTheme="majorHAnsi" w:hAnsiTheme="majorHAnsi" w:cstheme="majorHAnsi"/>
          <w:sz w:val="24"/>
          <w:szCs w:val="24"/>
        </w:rPr>
        <w:t xml:space="preserve">of a de-facto </w:t>
      </w:r>
      <w:r w:rsidR="00792FE4" w:rsidRPr="00C9460C">
        <w:rPr>
          <w:rFonts w:asciiTheme="majorHAnsi" w:hAnsiTheme="majorHAnsi" w:cstheme="majorHAnsi"/>
          <w:sz w:val="24"/>
          <w:szCs w:val="24"/>
        </w:rPr>
        <w:t>nationalization of incentives around priority sectors in export performance is crucial to evaluat</w:t>
      </w:r>
      <w:r w:rsidR="00F26BB9" w:rsidRPr="00C9460C">
        <w:rPr>
          <w:rFonts w:asciiTheme="majorHAnsi" w:hAnsiTheme="majorHAnsi" w:cstheme="majorHAnsi"/>
          <w:sz w:val="24"/>
          <w:szCs w:val="24"/>
        </w:rPr>
        <w:t>ing</w:t>
      </w:r>
      <w:r w:rsidR="00792FE4" w:rsidRPr="00C9460C">
        <w:rPr>
          <w:rFonts w:asciiTheme="majorHAnsi" w:hAnsiTheme="majorHAnsi" w:cstheme="majorHAnsi"/>
          <w:sz w:val="24"/>
          <w:szCs w:val="24"/>
        </w:rPr>
        <w:t xml:space="preserve"> the existing framework for export promotion in the Dominican Republic.</w:t>
      </w:r>
      <w:r w:rsidR="00792FE4" w:rsidRPr="00792FE4">
        <w:rPr>
          <w:rFonts w:asciiTheme="majorHAnsi" w:hAnsiTheme="majorHAnsi" w:cstheme="majorHAnsi"/>
          <w:sz w:val="24"/>
          <w:szCs w:val="24"/>
        </w:rPr>
        <w:t xml:space="preserve"> </w:t>
      </w:r>
      <w:r w:rsidR="00065852">
        <w:rPr>
          <w:rFonts w:asciiTheme="majorHAnsi" w:hAnsiTheme="majorHAnsi" w:cstheme="majorHAnsi"/>
          <w:sz w:val="24"/>
          <w:szCs w:val="24"/>
        </w:rPr>
        <w:t>As the foregone fiscal revenue is sizeable</w:t>
      </w:r>
      <w:r w:rsidR="00E76256">
        <w:rPr>
          <w:rFonts w:asciiTheme="majorHAnsi" w:hAnsiTheme="majorHAnsi" w:cstheme="majorHAnsi"/>
          <w:sz w:val="24"/>
          <w:szCs w:val="24"/>
        </w:rPr>
        <w:t>,</w:t>
      </w:r>
      <w:r w:rsidR="00065852">
        <w:rPr>
          <w:rFonts w:asciiTheme="majorHAnsi" w:hAnsiTheme="majorHAnsi" w:cstheme="majorHAnsi"/>
          <w:sz w:val="24"/>
          <w:szCs w:val="24"/>
        </w:rPr>
        <w:t xml:space="preserve"> it is crucial to rigorously measure the trade impact of these reforms. </w:t>
      </w:r>
      <w:r w:rsidR="00792FE4">
        <w:rPr>
          <w:rFonts w:asciiTheme="majorHAnsi" w:hAnsiTheme="majorHAnsi" w:cstheme="majorHAnsi"/>
          <w:sz w:val="24"/>
          <w:szCs w:val="24"/>
        </w:rPr>
        <w:t>Defever, Reyes, Ria</w:t>
      </w:r>
      <w:r w:rsidR="00D00E32">
        <w:rPr>
          <w:rFonts w:asciiTheme="majorHAnsi" w:hAnsiTheme="majorHAnsi" w:cstheme="majorHAnsi"/>
          <w:sz w:val="24"/>
          <w:szCs w:val="24"/>
        </w:rPr>
        <w:t>ñ</w:t>
      </w:r>
      <w:r w:rsidR="00792FE4">
        <w:rPr>
          <w:rFonts w:asciiTheme="majorHAnsi" w:hAnsiTheme="majorHAnsi" w:cstheme="majorHAnsi"/>
          <w:sz w:val="24"/>
          <w:szCs w:val="24"/>
        </w:rPr>
        <w:t>o, and Sanch</w:t>
      </w:r>
      <w:r w:rsidR="00065852">
        <w:rPr>
          <w:rFonts w:asciiTheme="majorHAnsi" w:hAnsiTheme="majorHAnsi" w:cstheme="majorHAnsi"/>
          <w:sz w:val="24"/>
          <w:szCs w:val="24"/>
        </w:rPr>
        <w:t xml:space="preserve">éz (2016), in a paper commissioned for this report, measure the impact of these </w:t>
      </w:r>
      <w:r w:rsidR="00202217">
        <w:rPr>
          <w:rFonts w:asciiTheme="majorHAnsi" w:hAnsiTheme="majorHAnsi" w:cstheme="majorHAnsi"/>
          <w:sz w:val="24"/>
          <w:szCs w:val="24"/>
        </w:rPr>
        <w:t>regulatory changes</w:t>
      </w:r>
      <w:r w:rsidR="0014603B">
        <w:rPr>
          <w:rFonts w:asciiTheme="majorHAnsi" w:hAnsiTheme="majorHAnsi" w:cstheme="majorHAnsi"/>
          <w:sz w:val="24"/>
          <w:szCs w:val="24"/>
        </w:rPr>
        <w:t xml:space="preserve"> on export performance </w:t>
      </w:r>
      <w:r w:rsidR="00957768">
        <w:rPr>
          <w:rFonts w:asciiTheme="majorHAnsi" w:hAnsiTheme="majorHAnsi" w:cstheme="majorHAnsi"/>
          <w:sz w:val="24"/>
          <w:szCs w:val="24"/>
        </w:rPr>
        <w:t xml:space="preserve">at </w:t>
      </w:r>
      <w:r w:rsidR="0014603B">
        <w:rPr>
          <w:rFonts w:asciiTheme="majorHAnsi" w:hAnsiTheme="majorHAnsi" w:cstheme="majorHAnsi"/>
          <w:sz w:val="24"/>
          <w:szCs w:val="24"/>
        </w:rPr>
        <w:t xml:space="preserve">the product and </w:t>
      </w:r>
      <w:r w:rsidR="00C9460C">
        <w:rPr>
          <w:rFonts w:asciiTheme="majorHAnsi" w:hAnsiTheme="majorHAnsi" w:cstheme="majorHAnsi"/>
          <w:sz w:val="24"/>
          <w:szCs w:val="24"/>
        </w:rPr>
        <w:t>firm level</w:t>
      </w:r>
      <w:r w:rsidR="00065852">
        <w:rPr>
          <w:rFonts w:asciiTheme="majorHAnsi" w:hAnsiTheme="majorHAnsi" w:cstheme="majorHAnsi"/>
          <w:sz w:val="24"/>
          <w:szCs w:val="24"/>
        </w:rPr>
        <w:t>.</w:t>
      </w:r>
    </w:p>
    <w:p w14:paraId="4DA7F34B" w14:textId="7C08DB91" w:rsidR="003737C2" w:rsidRPr="002E5CDB" w:rsidRDefault="000C2DD5" w:rsidP="00CB755B">
      <w:pPr>
        <w:spacing w:after="240" w:line="276" w:lineRule="auto"/>
        <w:jc w:val="both"/>
        <w:rPr>
          <w:rFonts w:asciiTheme="majorHAnsi" w:hAnsiTheme="majorHAnsi" w:cstheme="majorHAnsi"/>
          <w:sz w:val="24"/>
          <w:szCs w:val="24"/>
        </w:rPr>
      </w:pPr>
      <w:r>
        <w:rPr>
          <w:rFonts w:ascii="Times New Roman" w:hAnsi="Times New Roman"/>
          <w:b/>
          <w:noProof/>
          <w:sz w:val="24"/>
          <w:szCs w:val="24"/>
        </w:rPr>
        <w:t>T</w:t>
      </w:r>
      <w:r w:rsidR="003737C2" w:rsidRPr="00B33778">
        <w:rPr>
          <w:rFonts w:ascii="Times New Roman" w:hAnsi="Times New Roman"/>
          <w:b/>
          <w:noProof/>
          <w:sz w:val="24"/>
          <w:szCs w:val="24"/>
        </w:rPr>
        <w:t xml:space="preserve">he elimination of the ESR for SEZ firms and the extension of fiscal incentives to non-SEZ firms in priority sectors mandated by Law 56-07 did </w:t>
      </w:r>
      <w:r w:rsidR="00BA325D">
        <w:rPr>
          <w:rFonts w:ascii="Times New Roman" w:hAnsi="Times New Roman"/>
          <w:b/>
          <w:noProof/>
          <w:sz w:val="24"/>
          <w:szCs w:val="24"/>
        </w:rPr>
        <w:t xml:space="preserve">not </w:t>
      </w:r>
      <w:r w:rsidR="003737C2" w:rsidRPr="00B33778">
        <w:rPr>
          <w:rFonts w:ascii="Times New Roman" w:hAnsi="Times New Roman"/>
          <w:b/>
          <w:noProof/>
          <w:sz w:val="24"/>
          <w:szCs w:val="24"/>
        </w:rPr>
        <w:t xml:space="preserve">have a strong impact on </w:t>
      </w:r>
      <w:r w:rsidR="0041512A">
        <w:rPr>
          <w:rFonts w:ascii="Times New Roman" w:hAnsi="Times New Roman"/>
          <w:b/>
          <w:noProof/>
          <w:sz w:val="24"/>
          <w:szCs w:val="24"/>
        </w:rPr>
        <w:t>export performance</w:t>
      </w:r>
      <w:r>
        <w:rPr>
          <w:rFonts w:ascii="Times New Roman" w:hAnsi="Times New Roman"/>
          <w:b/>
          <w:noProof/>
          <w:sz w:val="24"/>
          <w:szCs w:val="24"/>
        </w:rPr>
        <w:t>.</w:t>
      </w:r>
      <w:r w:rsidR="003737C2" w:rsidRPr="00DB2851">
        <w:rPr>
          <w:rFonts w:ascii="Times New Roman" w:hAnsi="Times New Roman"/>
          <w:noProof/>
          <w:sz w:val="24"/>
          <w:szCs w:val="24"/>
        </w:rPr>
        <w:t xml:space="preserve"> </w:t>
      </w:r>
      <w:r w:rsidR="00202217">
        <w:rPr>
          <w:rFonts w:ascii="Times New Roman" w:hAnsi="Times New Roman"/>
          <w:noProof/>
          <w:sz w:val="24"/>
          <w:szCs w:val="24"/>
        </w:rPr>
        <w:t>Figure 1 shows the export perfomance of priority and non-priority sectors over the last decade</w:t>
      </w:r>
      <w:r w:rsidR="0014603B">
        <w:rPr>
          <w:rFonts w:ascii="Times New Roman" w:hAnsi="Times New Roman"/>
          <w:noProof/>
          <w:sz w:val="24"/>
          <w:szCs w:val="24"/>
        </w:rPr>
        <w:t xml:space="preserve"> in terms of export value and number of exporting firms</w:t>
      </w:r>
      <w:r w:rsidR="00202217">
        <w:rPr>
          <w:rFonts w:ascii="Times New Roman" w:hAnsi="Times New Roman"/>
          <w:noProof/>
          <w:sz w:val="24"/>
          <w:szCs w:val="24"/>
        </w:rPr>
        <w:t>.</w:t>
      </w:r>
      <w:r w:rsidR="00202217">
        <w:rPr>
          <w:rStyle w:val="FootnoteReference"/>
          <w:rFonts w:ascii="Times New Roman" w:hAnsi="Times New Roman"/>
          <w:noProof/>
          <w:sz w:val="24"/>
          <w:szCs w:val="24"/>
        </w:rPr>
        <w:footnoteReference w:id="11"/>
      </w:r>
      <w:r w:rsidR="00202217">
        <w:rPr>
          <w:rFonts w:ascii="Times New Roman" w:hAnsi="Times New Roman"/>
          <w:noProof/>
          <w:sz w:val="24"/>
          <w:szCs w:val="24"/>
        </w:rPr>
        <w:t xml:space="preserve"> </w:t>
      </w:r>
      <w:r w:rsidR="003737C2" w:rsidRPr="00B33778">
        <w:rPr>
          <w:rFonts w:ascii="Times New Roman" w:hAnsi="Times New Roman"/>
          <w:noProof/>
          <w:sz w:val="24"/>
          <w:szCs w:val="24"/>
        </w:rPr>
        <w:t xml:space="preserve">The textiles and apparel, leather and footwear industries accounted for about one-fifth of </w:t>
      </w:r>
      <w:r w:rsidR="00E76256">
        <w:rPr>
          <w:rFonts w:ascii="Times New Roman" w:hAnsi="Times New Roman"/>
          <w:noProof/>
          <w:sz w:val="24"/>
          <w:szCs w:val="24"/>
        </w:rPr>
        <w:t xml:space="preserve">the </w:t>
      </w:r>
      <w:r w:rsidR="003737C2" w:rsidRPr="00B33778">
        <w:rPr>
          <w:rFonts w:ascii="Times New Roman" w:hAnsi="Times New Roman"/>
          <w:noProof/>
          <w:sz w:val="24"/>
          <w:szCs w:val="24"/>
        </w:rPr>
        <w:t>Dominican Republic’s aggregate exports, almost all of which originated from SEZ</w:t>
      </w:r>
      <w:r w:rsidR="00E76256">
        <w:rPr>
          <w:rFonts w:ascii="Times New Roman" w:hAnsi="Times New Roman"/>
          <w:noProof/>
          <w:sz w:val="24"/>
          <w:szCs w:val="24"/>
        </w:rPr>
        <w:t>s</w:t>
      </w:r>
      <w:r w:rsidR="003737C2" w:rsidRPr="00B33778">
        <w:rPr>
          <w:rFonts w:ascii="Times New Roman" w:hAnsi="Times New Roman"/>
          <w:noProof/>
          <w:sz w:val="24"/>
          <w:szCs w:val="24"/>
        </w:rPr>
        <w:t xml:space="preserve"> prior to the 2007 reform. </w:t>
      </w:r>
      <w:r w:rsidR="00202217">
        <w:rPr>
          <w:rFonts w:ascii="Times New Roman" w:hAnsi="Times New Roman"/>
          <w:noProof/>
          <w:sz w:val="24"/>
          <w:szCs w:val="24"/>
        </w:rPr>
        <w:t xml:space="preserve">Since the beginning of </w:t>
      </w:r>
      <w:r w:rsidR="00E76256">
        <w:rPr>
          <w:rFonts w:ascii="Times New Roman" w:hAnsi="Times New Roman"/>
          <w:noProof/>
          <w:sz w:val="24"/>
          <w:szCs w:val="24"/>
        </w:rPr>
        <w:t xml:space="preserve">the </w:t>
      </w:r>
      <w:r w:rsidR="00202217">
        <w:rPr>
          <w:rFonts w:ascii="Times New Roman" w:hAnsi="Times New Roman"/>
          <w:noProof/>
          <w:sz w:val="24"/>
          <w:szCs w:val="24"/>
        </w:rPr>
        <w:t>2000s, e</w:t>
      </w:r>
      <w:r w:rsidR="003737C2" w:rsidRPr="00B33778">
        <w:rPr>
          <w:rFonts w:ascii="Times New Roman" w:hAnsi="Times New Roman"/>
          <w:noProof/>
          <w:sz w:val="24"/>
          <w:szCs w:val="24"/>
        </w:rPr>
        <w:t xml:space="preserve">xports of these products </w:t>
      </w:r>
      <w:r w:rsidR="00202217">
        <w:rPr>
          <w:rFonts w:ascii="Times New Roman" w:hAnsi="Times New Roman"/>
          <w:noProof/>
          <w:sz w:val="24"/>
          <w:szCs w:val="24"/>
        </w:rPr>
        <w:t xml:space="preserve">had </w:t>
      </w:r>
      <w:r w:rsidR="003737C2" w:rsidRPr="00B33778">
        <w:rPr>
          <w:rFonts w:ascii="Times New Roman" w:hAnsi="Times New Roman"/>
          <w:noProof/>
          <w:sz w:val="24"/>
          <w:szCs w:val="24"/>
        </w:rPr>
        <w:t>experienced a secular decline du</w:t>
      </w:r>
      <w:r w:rsidR="0014603B">
        <w:rPr>
          <w:rFonts w:ascii="Times New Roman" w:hAnsi="Times New Roman"/>
          <w:noProof/>
          <w:sz w:val="24"/>
          <w:szCs w:val="24"/>
        </w:rPr>
        <w:t>e to more intense competition from</w:t>
      </w:r>
      <w:r w:rsidR="003737C2" w:rsidRPr="00B33778">
        <w:rPr>
          <w:rFonts w:ascii="Times New Roman" w:hAnsi="Times New Roman"/>
          <w:noProof/>
          <w:sz w:val="24"/>
          <w:szCs w:val="24"/>
        </w:rPr>
        <w:t xml:space="preserve"> low-wage producers at the regional (e.g. Haiti, Honduras and Nicaragua) and global level (e.g. Banglades</w:t>
      </w:r>
      <w:r w:rsidR="003737C2">
        <w:rPr>
          <w:rFonts w:ascii="Times New Roman" w:hAnsi="Times New Roman"/>
          <w:noProof/>
          <w:sz w:val="24"/>
          <w:szCs w:val="24"/>
        </w:rPr>
        <w:t>h, China and Vietnam), which</w:t>
      </w:r>
      <w:r w:rsidR="003737C2" w:rsidRPr="00B33778">
        <w:rPr>
          <w:rFonts w:ascii="Times New Roman" w:hAnsi="Times New Roman"/>
          <w:noProof/>
          <w:sz w:val="24"/>
          <w:szCs w:val="24"/>
        </w:rPr>
        <w:t xml:space="preserve"> resulted in Dominican exporters experiencing substantial market share losses in the </w:t>
      </w:r>
      <w:r w:rsidR="00016A88">
        <w:rPr>
          <w:rFonts w:ascii="Times New Roman" w:hAnsi="Times New Roman"/>
          <w:noProof/>
          <w:sz w:val="24"/>
          <w:szCs w:val="24"/>
        </w:rPr>
        <w:t>United States</w:t>
      </w:r>
      <w:r w:rsidR="003737C2">
        <w:rPr>
          <w:rFonts w:ascii="Times New Roman" w:hAnsi="Times New Roman"/>
          <w:noProof/>
          <w:sz w:val="24"/>
          <w:szCs w:val="24"/>
        </w:rPr>
        <w:t xml:space="preserve">. </w:t>
      </w:r>
      <w:r w:rsidR="003737C2" w:rsidRPr="00DB2851">
        <w:rPr>
          <w:rFonts w:ascii="Times New Roman" w:hAnsi="Times New Roman"/>
          <w:noProof/>
          <w:sz w:val="24"/>
          <w:szCs w:val="24"/>
        </w:rPr>
        <w:t>In terms of the composition of export flows, SEZ firms still account for the overwhelming majority of priority sector exports in terms of value</w:t>
      </w:r>
      <w:r w:rsidR="003737C2">
        <w:rPr>
          <w:rFonts w:ascii="Times New Roman" w:hAnsi="Times New Roman"/>
          <w:noProof/>
          <w:sz w:val="24"/>
          <w:szCs w:val="24"/>
        </w:rPr>
        <w:t xml:space="preserve"> </w:t>
      </w:r>
      <w:r w:rsidR="003737C2" w:rsidRPr="00B33778">
        <w:rPr>
          <w:rFonts w:ascii="Times New Roman" w:hAnsi="Times New Roman"/>
          <w:noProof/>
          <w:sz w:val="24"/>
          <w:szCs w:val="24"/>
        </w:rPr>
        <w:t>(the share of non-SEZ exports increased by 1 percentage point from 1.5 to 2.5</w:t>
      </w:r>
      <w:r w:rsidR="00E76256">
        <w:rPr>
          <w:rFonts w:ascii="Times New Roman" w:hAnsi="Times New Roman"/>
          <w:noProof/>
          <w:sz w:val="24"/>
          <w:szCs w:val="24"/>
        </w:rPr>
        <w:t xml:space="preserve"> percent</w:t>
      </w:r>
      <w:r w:rsidR="003737C2" w:rsidRPr="00B33778">
        <w:rPr>
          <w:rFonts w:ascii="Times New Roman" w:hAnsi="Times New Roman"/>
          <w:noProof/>
          <w:sz w:val="24"/>
          <w:szCs w:val="24"/>
        </w:rPr>
        <w:t>)</w:t>
      </w:r>
      <w:r w:rsidR="003737C2">
        <w:rPr>
          <w:rFonts w:ascii="Times New Roman" w:hAnsi="Times New Roman"/>
          <w:noProof/>
          <w:sz w:val="24"/>
          <w:szCs w:val="24"/>
        </w:rPr>
        <w:t xml:space="preserve">. </w:t>
      </w:r>
      <w:r w:rsidR="003737C2" w:rsidRPr="00C9460C">
        <w:rPr>
          <w:rFonts w:ascii="Times New Roman" w:hAnsi="Times New Roman"/>
          <w:noProof/>
          <w:sz w:val="24"/>
          <w:szCs w:val="24"/>
        </w:rPr>
        <w:t xml:space="preserve">Extending the fiscal incentives available </w:t>
      </w:r>
      <w:r w:rsidR="00E76256" w:rsidRPr="00C9460C">
        <w:rPr>
          <w:rFonts w:ascii="Times New Roman" w:hAnsi="Times New Roman"/>
          <w:noProof/>
          <w:sz w:val="24"/>
          <w:szCs w:val="24"/>
        </w:rPr>
        <w:t>i</w:t>
      </w:r>
      <w:r w:rsidR="003737C2" w:rsidRPr="00C9460C">
        <w:rPr>
          <w:rFonts w:ascii="Times New Roman" w:hAnsi="Times New Roman"/>
          <w:noProof/>
          <w:sz w:val="24"/>
          <w:szCs w:val="24"/>
        </w:rPr>
        <w:t>n SEZ</w:t>
      </w:r>
      <w:r w:rsidR="00E76256" w:rsidRPr="00C9460C">
        <w:rPr>
          <w:rFonts w:ascii="Times New Roman" w:hAnsi="Times New Roman"/>
          <w:noProof/>
          <w:sz w:val="24"/>
          <w:szCs w:val="24"/>
        </w:rPr>
        <w:t>s</w:t>
      </w:r>
      <w:r w:rsidR="003737C2" w:rsidRPr="00C9460C">
        <w:rPr>
          <w:rFonts w:ascii="Times New Roman" w:hAnsi="Times New Roman"/>
          <w:noProof/>
          <w:sz w:val="24"/>
          <w:szCs w:val="24"/>
        </w:rPr>
        <w:t xml:space="preserve"> to producers exporting under the national regime does not appear to have reoriented exports away from SEZ</w:t>
      </w:r>
      <w:r w:rsidR="00E76256" w:rsidRPr="00C9460C">
        <w:rPr>
          <w:rFonts w:ascii="Times New Roman" w:hAnsi="Times New Roman"/>
          <w:noProof/>
          <w:sz w:val="24"/>
          <w:szCs w:val="24"/>
        </w:rPr>
        <w:t>s</w:t>
      </w:r>
      <w:r w:rsidR="003737C2" w:rsidRPr="00C9460C">
        <w:rPr>
          <w:rFonts w:ascii="Times New Roman" w:hAnsi="Times New Roman"/>
          <w:noProof/>
          <w:sz w:val="24"/>
          <w:szCs w:val="24"/>
        </w:rPr>
        <w:t xml:space="preserve"> in priority sectors.</w:t>
      </w:r>
      <w:r w:rsidR="00BA325D">
        <w:rPr>
          <w:rFonts w:ascii="Times New Roman" w:hAnsi="Times New Roman"/>
          <w:noProof/>
          <w:sz w:val="24"/>
          <w:szCs w:val="24"/>
        </w:rPr>
        <w:t xml:space="preserve"> </w:t>
      </w:r>
    </w:p>
    <w:p w14:paraId="3F2D6521" w14:textId="404813F8" w:rsidR="003737C2" w:rsidRPr="002E5CDB" w:rsidRDefault="003737C2" w:rsidP="002E5CDB">
      <w:pPr>
        <w:spacing w:after="120" w:line="276" w:lineRule="auto"/>
        <w:jc w:val="both"/>
        <w:rPr>
          <w:rFonts w:asciiTheme="majorHAnsi" w:hAnsiTheme="majorHAnsi" w:cstheme="majorHAnsi"/>
          <w:noProof/>
          <w:sz w:val="24"/>
          <w:szCs w:val="24"/>
        </w:rPr>
      </w:pPr>
      <w:r w:rsidRPr="00C9460C">
        <w:rPr>
          <w:rFonts w:asciiTheme="majorHAnsi" w:hAnsiTheme="majorHAnsi" w:cstheme="majorHAnsi"/>
          <w:b/>
          <w:noProof/>
          <w:sz w:val="24"/>
          <w:szCs w:val="24"/>
        </w:rPr>
        <w:t xml:space="preserve">Following the full elimination of ESR across the board in 2012, however, there is a substantial surge in the number of exporting firms among non-SEZ producers in non-priority sectors. </w:t>
      </w:r>
      <w:r w:rsidRPr="00C9460C">
        <w:rPr>
          <w:rFonts w:asciiTheme="majorHAnsi" w:hAnsiTheme="majorHAnsi" w:cstheme="majorHAnsi"/>
          <w:noProof/>
          <w:sz w:val="24"/>
          <w:szCs w:val="24"/>
        </w:rPr>
        <w:t>This</w:t>
      </w:r>
      <w:r w:rsidRPr="002E5CDB">
        <w:rPr>
          <w:rFonts w:asciiTheme="majorHAnsi" w:hAnsiTheme="majorHAnsi" w:cstheme="majorHAnsi"/>
          <w:noProof/>
          <w:sz w:val="24"/>
          <w:szCs w:val="24"/>
        </w:rPr>
        <w:t xml:space="preserve"> pattern is consistent with a longer-term trend of greater export dynamism for firms operating outside SEZ</w:t>
      </w:r>
      <w:r w:rsidR="00E76256">
        <w:rPr>
          <w:rFonts w:asciiTheme="majorHAnsi" w:hAnsiTheme="majorHAnsi" w:cstheme="majorHAnsi"/>
          <w:noProof/>
          <w:sz w:val="24"/>
          <w:szCs w:val="24"/>
        </w:rPr>
        <w:t>s</w:t>
      </w:r>
      <w:r w:rsidRPr="002E5CDB">
        <w:rPr>
          <w:rFonts w:asciiTheme="majorHAnsi" w:hAnsiTheme="majorHAnsi" w:cstheme="majorHAnsi"/>
          <w:noProof/>
          <w:sz w:val="24"/>
          <w:szCs w:val="24"/>
        </w:rPr>
        <w:t xml:space="preserve"> identified by Burgaud and Farole (2011) and World Bank (2014). Although there is little mobility of continuing exporters into or out of SEZ status, a significant share of firms moved out of SEZ</w:t>
      </w:r>
      <w:r w:rsidR="00E76256">
        <w:rPr>
          <w:rFonts w:asciiTheme="majorHAnsi" w:hAnsiTheme="majorHAnsi" w:cstheme="majorHAnsi"/>
          <w:noProof/>
          <w:sz w:val="24"/>
          <w:szCs w:val="24"/>
        </w:rPr>
        <w:t>s</w:t>
      </w:r>
      <w:r w:rsidRPr="002E5CDB">
        <w:rPr>
          <w:rFonts w:asciiTheme="majorHAnsi" w:hAnsiTheme="majorHAnsi" w:cstheme="majorHAnsi"/>
          <w:noProof/>
          <w:sz w:val="24"/>
          <w:szCs w:val="24"/>
        </w:rPr>
        <w:t xml:space="preserve"> into the national customs regime after 2012, especially in non-priority sectors</w:t>
      </w:r>
      <w:r w:rsidR="00982224">
        <w:rPr>
          <w:rFonts w:asciiTheme="majorHAnsi" w:hAnsiTheme="majorHAnsi" w:cstheme="majorHAnsi"/>
          <w:noProof/>
          <w:sz w:val="24"/>
          <w:szCs w:val="24"/>
        </w:rPr>
        <w:t xml:space="preserve"> </w:t>
      </w:r>
      <w:r w:rsidR="00982224" w:rsidRPr="00982224">
        <w:rPr>
          <w:rFonts w:asciiTheme="majorHAnsi" w:hAnsiTheme="majorHAnsi" w:cstheme="majorHAnsi"/>
          <w:noProof/>
          <w:sz w:val="24"/>
          <w:szCs w:val="24"/>
        </w:rPr>
        <w:t>(</w:t>
      </w:r>
      <w:r w:rsidR="0014603B" w:rsidRPr="0014603B">
        <w:rPr>
          <w:rFonts w:asciiTheme="majorHAnsi" w:hAnsiTheme="majorHAnsi" w:cstheme="majorHAnsi"/>
          <w:noProof/>
          <w:sz w:val="24"/>
          <w:szCs w:val="24"/>
        </w:rPr>
        <w:fldChar w:fldCharType="begin"/>
      </w:r>
      <w:r w:rsidR="0014603B" w:rsidRPr="0014603B">
        <w:rPr>
          <w:rFonts w:asciiTheme="majorHAnsi" w:hAnsiTheme="majorHAnsi" w:cstheme="majorHAnsi"/>
          <w:noProof/>
          <w:sz w:val="24"/>
          <w:szCs w:val="24"/>
        </w:rPr>
        <w:instrText xml:space="preserve"> REF _Ref453206566 \h  \* MERGEFORMAT </w:instrText>
      </w:r>
      <w:r w:rsidR="0014603B" w:rsidRPr="0014603B">
        <w:rPr>
          <w:rFonts w:asciiTheme="majorHAnsi" w:hAnsiTheme="majorHAnsi" w:cstheme="majorHAnsi"/>
          <w:noProof/>
          <w:sz w:val="24"/>
          <w:szCs w:val="24"/>
        </w:rPr>
      </w:r>
      <w:r w:rsidR="0014603B" w:rsidRPr="0014603B">
        <w:rPr>
          <w:rFonts w:asciiTheme="majorHAnsi" w:hAnsiTheme="majorHAnsi" w:cstheme="majorHAnsi"/>
          <w:noProof/>
          <w:sz w:val="24"/>
          <w:szCs w:val="24"/>
        </w:rPr>
        <w:fldChar w:fldCharType="separate"/>
      </w:r>
      <w:r w:rsidR="00893CAD" w:rsidRPr="00893CAD">
        <w:rPr>
          <w:rFonts w:asciiTheme="majorHAnsi" w:hAnsiTheme="majorHAnsi" w:cstheme="majorHAnsi"/>
          <w:sz w:val="24"/>
          <w:szCs w:val="24"/>
        </w:rPr>
        <w:t xml:space="preserve">Figure </w:t>
      </w:r>
      <w:r w:rsidR="00893CAD" w:rsidRPr="00893CAD">
        <w:rPr>
          <w:rFonts w:asciiTheme="majorHAnsi" w:hAnsiTheme="majorHAnsi" w:cstheme="majorHAnsi"/>
          <w:noProof/>
          <w:sz w:val="24"/>
          <w:szCs w:val="24"/>
        </w:rPr>
        <w:t>11</w:t>
      </w:r>
      <w:r w:rsidR="0014603B" w:rsidRPr="0014603B">
        <w:rPr>
          <w:rFonts w:asciiTheme="majorHAnsi" w:hAnsiTheme="majorHAnsi" w:cstheme="majorHAnsi"/>
          <w:noProof/>
          <w:sz w:val="24"/>
          <w:szCs w:val="24"/>
        </w:rPr>
        <w:fldChar w:fldCharType="end"/>
      </w:r>
      <w:r w:rsidR="00982224" w:rsidRPr="00982224">
        <w:rPr>
          <w:rFonts w:asciiTheme="majorHAnsi" w:hAnsiTheme="majorHAnsi" w:cstheme="majorHAnsi"/>
          <w:noProof/>
          <w:sz w:val="24"/>
          <w:szCs w:val="24"/>
        </w:rPr>
        <w:t>)</w:t>
      </w:r>
      <w:r w:rsidRPr="00982224">
        <w:rPr>
          <w:rFonts w:asciiTheme="majorHAnsi" w:hAnsiTheme="majorHAnsi" w:cstheme="majorHAnsi"/>
          <w:noProof/>
          <w:sz w:val="24"/>
          <w:szCs w:val="24"/>
        </w:rPr>
        <w:t>.</w:t>
      </w:r>
      <w:r w:rsidR="004F1F51">
        <w:rPr>
          <w:rFonts w:asciiTheme="majorHAnsi" w:hAnsiTheme="majorHAnsi" w:cstheme="majorHAnsi"/>
          <w:noProof/>
          <w:sz w:val="24"/>
          <w:szCs w:val="24"/>
        </w:rPr>
        <w:t xml:space="preserve"> </w:t>
      </w:r>
      <w:r w:rsidR="004F1F51" w:rsidRPr="004F1F51">
        <w:rPr>
          <w:rFonts w:asciiTheme="majorHAnsi" w:hAnsiTheme="majorHAnsi" w:cstheme="majorHAnsi"/>
          <w:noProof/>
          <w:sz w:val="24"/>
          <w:szCs w:val="24"/>
        </w:rPr>
        <w:t>The number of exporting firms in priority sectors located outside SEZs increased noticeably in 2012-2014, compared to the previous period, while the share in total export volume remained modest.</w:t>
      </w:r>
    </w:p>
    <w:p w14:paraId="4B8D7782" w14:textId="711563CC" w:rsidR="00632E62" w:rsidRDefault="00632E62">
      <w:pPr>
        <w:spacing w:after="200" w:line="276" w:lineRule="auto"/>
        <w:jc w:val="both"/>
        <w:rPr>
          <w:rFonts w:ascii="Times New Roman" w:hAnsi="Times New Roman"/>
          <w:noProof/>
          <w:sz w:val="24"/>
          <w:szCs w:val="24"/>
        </w:rPr>
      </w:pPr>
      <w:r>
        <w:rPr>
          <w:rFonts w:ascii="Times New Roman" w:hAnsi="Times New Roman"/>
          <w:noProof/>
          <w:sz w:val="24"/>
          <w:szCs w:val="24"/>
        </w:rPr>
        <w:br w:type="page"/>
      </w:r>
    </w:p>
    <w:p w14:paraId="5CA2777B" w14:textId="77777777" w:rsidR="003737C2" w:rsidRDefault="003737C2" w:rsidP="003737C2">
      <w:pPr>
        <w:spacing w:after="120"/>
        <w:jc w:val="both"/>
        <w:rPr>
          <w:rFonts w:ascii="Times New Roman" w:hAnsi="Times New Roman"/>
          <w:noProof/>
          <w:sz w:val="24"/>
          <w:szCs w:val="24"/>
        </w:rPr>
      </w:pPr>
    </w:p>
    <w:tbl>
      <w:tblPr>
        <w:tblStyle w:val="TableGrid"/>
        <w:tblW w:w="11144"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654"/>
      </w:tblGrid>
      <w:tr w:rsidR="004A410F" w14:paraId="42080D58" w14:textId="77777777" w:rsidTr="004A410F">
        <w:tc>
          <w:tcPr>
            <w:tcW w:w="5490" w:type="dxa"/>
          </w:tcPr>
          <w:p w14:paraId="0D2E8BDF" w14:textId="77777777" w:rsidR="00982224" w:rsidRDefault="00982224" w:rsidP="00982224">
            <w:pPr>
              <w:spacing w:after="120"/>
              <w:jc w:val="center"/>
              <w:rPr>
                <w:rFonts w:ascii="Times New Roman" w:hAnsi="Times New Roman"/>
                <w:b/>
                <w:noProof/>
                <w:sz w:val="24"/>
                <w:szCs w:val="24"/>
              </w:rPr>
            </w:pPr>
            <w:r w:rsidRPr="00982224">
              <w:rPr>
                <w:rFonts w:asciiTheme="majorHAnsi" w:hAnsiTheme="majorHAnsi" w:cstheme="majorHAnsi"/>
                <w:b/>
                <w:sz w:val="24"/>
                <w:szCs w:val="24"/>
              </w:rPr>
              <w:t xml:space="preserve">Figure </w:t>
            </w:r>
            <w:r w:rsidRPr="00982224">
              <w:rPr>
                <w:rFonts w:asciiTheme="majorHAnsi" w:hAnsiTheme="majorHAnsi" w:cstheme="majorHAnsi"/>
                <w:b/>
                <w:sz w:val="24"/>
                <w:szCs w:val="24"/>
              </w:rPr>
              <w:fldChar w:fldCharType="begin"/>
            </w:r>
            <w:r w:rsidRPr="00982224">
              <w:rPr>
                <w:rFonts w:asciiTheme="majorHAnsi" w:hAnsiTheme="majorHAnsi" w:cstheme="majorHAnsi"/>
                <w:b/>
                <w:sz w:val="24"/>
                <w:szCs w:val="24"/>
              </w:rPr>
              <w:instrText xml:space="preserve"> SEQ Figure \* ARABIC </w:instrText>
            </w:r>
            <w:r w:rsidRPr="0098222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10</w:t>
            </w:r>
            <w:r w:rsidRPr="00982224">
              <w:rPr>
                <w:rFonts w:asciiTheme="majorHAnsi" w:hAnsiTheme="majorHAnsi" w:cstheme="majorHAnsi"/>
                <w:b/>
                <w:sz w:val="24"/>
                <w:szCs w:val="24"/>
              </w:rPr>
              <w:fldChar w:fldCharType="end"/>
            </w:r>
            <w:r w:rsidRPr="00982224">
              <w:rPr>
                <w:rFonts w:asciiTheme="majorHAnsi" w:hAnsiTheme="majorHAnsi" w:cstheme="majorHAnsi"/>
                <w:b/>
                <w:sz w:val="24"/>
                <w:szCs w:val="24"/>
              </w:rPr>
              <w:t xml:space="preserve">: </w:t>
            </w:r>
            <w:r w:rsidRPr="00982224">
              <w:rPr>
                <w:rFonts w:asciiTheme="majorHAnsi" w:hAnsiTheme="majorHAnsi" w:cstheme="majorHAnsi"/>
                <w:b/>
                <w:noProof/>
                <w:sz w:val="24"/>
                <w:szCs w:val="24"/>
              </w:rPr>
              <w:t xml:space="preserve">Export Volume by SEZ and </w:t>
            </w:r>
            <w:r w:rsidRPr="00D15883">
              <w:rPr>
                <w:rFonts w:ascii="Times New Roman" w:hAnsi="Times New Roman"/>
                <w:b/>
                <w:noProof/>
                <w:sz w:val="24"/>
                <w:szCs w:val="24"/>
              </w:rPr>
              <w:t>Priority Status</w:t>
            </w:r>
            <w:r>
              <w:rPr>
                <w:rFonts w:ascii="Times New Roman" w:hAnsi="Times New Roman"/>
                <w:b/>
                <w:noProof/>
                <w:sz w:val="24"/>
                <w:szCs w:val="24"/>
              </w:rPr>
              <w:t xml:space="preserve"> over Time</w:t>
            </w:r>
          </w:p>
        </w:tc>
        <w:tc>
          <w:tcPr>
            <w:tcW w:w="5654" w:type="dxa"/>
          </w:tcPr>
          <w:p w14:paraId="4DB8B517" w14:textId="77777777" w:rsidR="00982224" w:rsidRDefault="00982224" w:rsidP="00982224">
            <w:pPr>
              <w:spacing w:after="120"/>
              <w:jc w:val="center"/>
              <w:rPr>
                <w:rFonts w:ascii="Times New Roman" w:hAnsi="Times New Roman"/>
                <w:b/>
                <w:noProof/>
                <w:sz w:val="24"/>
                <w:szCs w:val="24"/>
              </w:rPr>
            </w:pPr>
            <w:bookmarkStart w:id="21" w:name="_Ref453206566"/>
            <w:r w:rsidRPr="00982224">
              <w:rPr>
                <w:rFonts w:asciiTheme="majorHAnsi" w:hAnsiTheme="majorHAnsi" w:cstheme="majorHAnsi"/>
                <w:b/>
                <w:sz w:val="24"/>
                <w:szCs w:val="24"/>
              </w:rPr>
              <w:t xml:space="preserve">Figure </w:t>
            </w:r>
            <w:r w:rsidRPr="00982224">
              <w:rPr>
                <w:rFonts w:asciiTheme="majorHAnsi" w:hAnsiTheme="majorHAnsi" w:cstheme="majorHAnsi"/>
                <w:b/>
                <w:sz w:val="24"/>
                <w:szCs w:val="24"/>
              </w:rPr>
              <w:fldChar w:fldCharType="begin"/>
            </w:r>
            <w:r w:rsidRPr="00982224">
              <w:rPr>
                <w:rFonts w:asciiTheme="majorHAnsi" w:hAnsiTheme="majorHAnsi" w:cstheme="majorHAnsi"/>
                <w:b/>
                <w:sz w:val="24"/>
                <w:szCs w:val="24"/>
              </w:rPr>
              <w:instrText xml:space="preserve"> SEQ Figure \* ARABIC </w:instrText>
            </w:r>
            <w:r w:rsidRPr="0098222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11</w:t>
            </w:r>
            <w:r w:rsidRPr="00982224">
              <w:rPr>
                <w:rFonts w:asciiTheme="majorHAnsi" w:hAnsiTheme="majorHAnsi" w:cstheme="majorHAnsi"/>
                <w:b/>
                <w:sz w:val="24"/>
                <w:szCs w:val="24"/>
              </w:rPr>
              <w:fldChar w:fldCharType="end"/>
            </w:r>
            <w:bookmarkEnd w:id="21"/>
            <w:r w:rsidRPr="00982224">
              <w:rPr>
                <w:rFonts w:asciiTheme="majorHAnsi" w:hAnsiTheme="majorHAnsi" w:cstheme="majorHAnsi"/>
                <w:b/>
                <w:sz w:val="24"/>
                <w:szCs w:val="24"/>
              </w:rPr>
              <w:t>:</w:t>
            </w:r>
            <w:r>
              <w:rPr>
                <w:rFonts w:asciiTheme="majorHAnsi" w:hAnsiTheme="majorHAnsi" w:cstheme="majorHAnsi"/>
                <w:b/>
                <w:sz w:val="24"/>
                <w:szCs w:val="24"/>
              </w:rPr>
              <w:t xml:space="preserve"> </w:t>
            </w:r>
            <w:r w:rsidRPr="005A3CFC">
              <w:rPr>
                <w:rFonts w:ascii="Times New Roman" w:hAnsi="Times New Roman"/>
                <w:b/>
                <w:noProof/>
                <w:sz w:val="24"/>
                <w:szCs w:val="24"/>
              </w:rPr>
              <w:t>Number of Exporting Firms by SEZ and Priority Status</w:t>
            </w:r>
            <w:r>
              <w:rPr>
                <w:rFonts w:ascii="Times New Roman" w:hAnsi="Times New Roman"/>
                <w:b/>
                <w:noProof/>
                <w:sz w:val="24"/>
                <w:szCs w:val="24"/>
              </w:rPr>
              <w:t xml:space="preserve"> over Time</w:t>
            </w:r>
          </w:p>
        </w:tc>
      </w:tr>
      <w:tr w:rsidR="004A410F" w14:paraId="29732DFC" w14:textId="77777777" w:rsidTr="004A410F">
        <w:tc>
          <w:tcPr>
            <w:tcW w:w="5490" w:type="dxa"/>
          </w:tcPr>
          <w:p w14:paraId="49F4C894" w14:textId="660F3C24" w:rsidR="00982224" w:rsidRDefault="004A410F" w:rsidP="004A410F">
            <w:pPr>
              <w:spacing w:after="120"/>
              <w:jc w:val="center"/>
              <w:rPr>
                <w:rFonts w:ascii="Times New Roman" w:hAnsi="Times New Roman"/>
                <w:b/>
                <w:noProof/>
                <w:sz w:val="24"/>
                <w:szCs w:val="24"/>
              </w:rPr>
            </w:pPr>
            <w:r>
              <w:rPr>
                <w:rFonts w:ascii="Times New Roman" w:hAnsi="Times New Roman"/>
                <w:b/>
                <w:noProof/>
                <w:sz w:val="24"/>
                <w:szCs w:val="24"/>
              </w:rPr>
              <w:drawing>
                <wp:inline distT="0" distB="0" distL="0" distR="0" wp14:anchorId="5097D540" wp14:editId="062677AD">
                  <wp:extent cx="3528588" cy="2307373"/>
                  <wp:effectExtent l="0" t="0" r="2540" b="444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1097" cy="2309014"/>
                          </a:xfrm>
                          <a:prstGeom prst="rect">
                            <a:avLst/>
                          </a:prstGeom>
                          <a:noFill/>
                          <a:ln>
                            <a:noFill/>
                          </a:ln>
                        </pic:spPr>
                      </pic:pic>
                    </a:graphicData>
                  </a:graphic>
                </wp:inline>
              </w:drawing>
            </w:r>
          </w:p>
        </w:tc>
        <w:tc>
          <w:tcPr>
            <w:tcW w:w="5654" w:type="dxa"/>
          </w:tcPr>
          <w:p w14:paraId="4EBFA6EA" w14:textId="0F1198AA" w:rsidR="00982224" w:rsidRDefault="004A410F" w:rsidP="004A410F">
            <w:pPr>
              <w:spacing w:after="120"/>
              <w:jc w:val="center"/>
              <w:rPr>
                <w:rFonts w:ascii="Times New Roman" w:hAnsi="Times New Roman"/>
                <w:b/>
                <w:noProof/>
                <w:sz w:val="24"/>
                <w:szCs w:val="24"/>
              </w:rPr>
            </w:pPr>
            <w:r>
              <w:rPr>
                <w:rFonts w:ascii="Times New Roman" w:hAnsi="Times New Roman"/>
                <w:b/>
                <w:noProof/>
                <w:sz w:val="24"/>
                <w:szCs w:val="24"/>
              </w:rPr>
              <w:drawing>
                <wp:inline distT="0" distB="0" distL="0" distR="0" wp14:anchorId="3DC9E49B" wp14:editId="75F9E6A1">
                  <wp:extent cx="3449320" cy="2254250"/>
                  <wp:effectExtent l="0" t="0" r="5080" b="635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9320" cy="2254250"/>
                          </a:xfrm>
                          <a:prstGeom prst="rect">
                            <a:avLst/>
                          </a:prstGeom>
                          <a:noFill/>
                          <a:ln>
                            <a:noFill/>
                          </a:ln>
                        </pic:spPr>
                      </pic:pic>
                    </a:graphicData>
                  </a:graphic>
                </wp:inline>
              </w:drawing>
            </w:r>
          </w:p>
        </w:tc>
      </w:tr>
      <w:tr w:rsidR="004A410F" w14:paraId="15590C78" w14:textId="77777777" w:rsidTr="004A410F">
        <w:tc>
          <w:tcPr>
            <w:tcW w:w="5490" w:type="dxa"/>
          </w:tcPr>
          <w:p w14:paraId="4E31307A" w14:textId="77777777" w:rsidR="004A410F" w:rsidRDefault="00982224" w:rsidP="004A410F">
            <w:pPr>
              <w:ind w:left="162"/>
              <w:jc w:val="both"/>
              <w:rPr>
                <w:rFonts w:ascii="Times New Roman" w:hAnsi="Times New Roman"/>
                <w:noProof/>
                <w:sz w:val="20"/>
                <w:szCs w:val="20"/>
              </w:rPr>
            </w:pPr>
            <w:r w:rsidRPr="005A3CFC">
              <w:rPr>
                <w:rFonts w:ascii="Times New Roman" w:hAnsi="Times New Roman"/>
                <w:noProof/>
                <w:sz w:val="20"/>
                <w:szCs w:val="20"/>
              </w:rPr>
              <w:t>Note</w:t>
            </w:r>
            <w:r>
              <w:rPr>
                <w:rFonts w:ascii="Times New Roman" w:hAnsi="Times New Roman"/>
                <w:noProof/>
                <w:sz w:val="20"/>
                <w:szCs w:val="20"/>
              </w:rPr>
              <w:t>: This figure shows the volume of total exports according to firms’ SEZ status and whether they produce national priority products.</w:t>
            </w:r>
          </w:p>
          <w:p w14:paraId="23496A1C" w14:textId="501D88CB" w:rsidR="00982224" w:rsidRPr="00982224" w:rsidRDefault="00982224" w:rsidP="004A410F">
            <w:pPr>
              <w:ind w:left="162"/>
              <w:jc w:val="both"/>
              <w:rPr>
                <w:rFonts w:ascii="Times New Roman" w:hAnsi="Times New Roman"/>
                <w:noProof/>
                <w:sz w:val="20"/>
                <w:szCs w:val="20"/>
              </w:rPr>
            </w:pPr>
            <w:r w:rsidRPr="005A3CFC">
              <w:rPr>
                <w:rFonts w:ascii="Times New Roman" w:hAnsi="Times New Roman"/>
                <w:noProof/>
                <w:sz w:val="20"/>
                <w:szCs w:val="20"/>
              </w:rPr>
              <w:t>Source: authors’ calculations.</w:t>
            </w:r>
          </w:p>
        </w:tc>
        <w:tc>
          <w:tcPr>
            <w:tcW w:w="5654" w:type="dxa"/>
          </w:tcPr>
          <w:p w14:paraId="635DF80B" w14:textId="77777777" w:rsidR="004A410F" w:rsidRDefault="00982224" w:rsidP="004A410F">
            <w:pPr>
              <w:ind w:left="416" w:right="162"/>
              <w:jc w:val="both"/>
              <w:rPr>
                <w:rFonts w:ascii="Times New Roman" w:hAnsi="Times New Roman"/>
                <w:noProof/>
                <w:sz w:val="20"/>
                <w:szCs w:val="20"/>
              </w:rPr>
            </w:pPr>
            <w:r w:rsidRPr="005A3CFC">
              <w:rPr>
                <w:rFonts w:ascii="Times New Roman" w:hAnsi="Times New Roman"/>
                <w:noProof/>
                <w:sz w:val="20"/>
                <w:szCs w:val="20"/>
              </w:rPr>
              <w:t>Note</w:t>
            </w:r>
            <w:r>
              <w:rPr>
                <w:rFonts w:ascii="Times New Roman" w:hAnsi="Times New Roman"/>
                <w:noProof/>
                <w:sz w:val="20"/>
                <w:szCs w:val="20"/>
              </w:rPr>
              <w:t>: This figure shows the number of exporting firms according to their SEZ status and whether they produce or not national priority products.</w:t>
            </w:r>
          </w:p>
          <w:p w14:paraId="71CB0A5A" w14:textId="2701B5A9" w:rsidR="00982224" w:rsidRPr="004A410F" w:rsidRDefault="00982224" w:rsidP="004A410F">
            <w:pPr>
              <w:ind w:left="416" w:right="-113"/>
              <w:jc w:val="both"/>
              <w:rPr>
                <w:rFonts w:ascii="Times New Roman" w:hAnsi="Times New Roman"/>
                <w:noProof/>
                <w:sz w:val="20"/>
                <w:szCs w:val="20"/>
              </w:rPr>
            </w:pPr>
            <w:r w:rsidRPr="005A3CFC">
              <w:rPr>
                <w:rFonts w:ascii="Times New Roman" w:hAnsi="Times New Roman"/>
                <w:noProof/>
                <w:sz w:val="20"/>
                <w:szCs w:val="20"/>
              </w:rPr>
              <w:t>Source: authors’ calculations.</w:t>
            </w:r>
          </w:p>
        </w:tc>
      </w:tr>
    </w:tbl>
    <w:p w14:paraId="14400F1E" w14:textId="77777777" w:rsidR="003737C2" w:rsidRDefault="003737C2" w:rsidP="003737C2">
      <w:pPr>
        <w:spacing w:after="120"/>
        <w:jc w:val="center"/>
        <w:rPr>
          <w:rFonts w:ascii="Times New Roman" w:hAnsi="Times New Roman"/>
          <w:b/>
          <w:noProof/>
          <w:sz w:val="24"/>
          <w:szCs w:val="24"/>
        </w:rPr>
      </w:pPr>
    </w:p>
    <w:p w14:paraId="7890BC39" w14:textId="42CFA672" w:rsidR="003737C2" w:rsidRDefault="00DC33D1" w:rsidP="007C45C5">
      <w:pPr>
        <w:spacing w:after="120" w:line="276" w:lineRule="auto"/>
        <w:jc w:val="both"/>
        <w:rPr>
          <w:rFonts w:ascii="Times New Roman" w:hAnsi="Times New Roman"/>
          <w:sz w:val="24"/>
          <w:szCs w:val="24"/>
        </w:rPr>
      </w:pPr>
      <w:r>
        <w:rPr>
          <w:rFonts w:ascii="Times New Roman" w:hAnsi="Times New Roman"/>
          <w:b/>
          <w:sz w:val="24"/>
          <w:szCs w:val="24"/>
        </w:rPr>
        <w:t>While the regulatory reforms did not statistically increase exports</w:t>
      </w:r>
      <w:r w:rsidR="00963C93">
        <w:rPr>
          <w:rFonts w:ascii="Times New Roman" w:hAnsi="Times New Roman"/>
          <w:b/>
          <w:sz w:val="24"/>
          <w:szCs w:val="24"/>
        </w:rPr>
        <w:t xml:space="preserve">, </w:t>
      </w:r>
      <w:r>
        <w:rPr>
          <w:rFonts w:ascii="Times New Roman" w:hAnsi="Times New Roman"/>
          <w:b/>
          <w:sz w:val="24"/>
          <w:szCs w:val="24"/>
        </w:rPr>
        <w:t xml:space="preserve">it </w:t>
      </w:r>
      <w:r w:rsidR="00963C93">
        <w:rPr>
          <w:rFonts w:ascii="Times New Roman" w:hAnsi="Times New Roman"/>
          <w:b/>
          <w:sz w:val="24"/>
          <w:szCs w:val="24"/>
        </w:rPr>
        <w:t>encourage</w:t>
      </w:r>
      <w:r>
        <w:rPr>
          <w:rFonts w:ascii="Times New Roman" w:hAnsi="Times New Roman"/>
          <w:b/>
          <w:sz w:val="24"/>
          <w:szCs w:val="24"/>
        </w:rPr>
        <w:t>d</w:t>
      </w:r>
      <w:r w:rsidR="00963C93">
        <w:rPr>
          <w:rFonts w:ascii="Times New Roman" w:hAnsi="Times New Roman"/>
          <w:b/>
          <w:sz w:val="24"/>
          <w:szCs w:val="24"/>
        </w:rPr>
        <w:t xml:space="preserve"> more firms to be established in SEZs</w:t>
      </w:r>
      <w:r w:rsidR="007C45C5">
        <w:rPr>
          <w:rFonts w:ascii="Times New Roman" w:hAnsi="Times New Roman"/>
          <w:b/>
          <w:sz w:val="24"/>
          <w:szCs w:val="24"/>
        </w:rPr>
        <w:t xml:space="preserve">. </w:t>
      </w:r>
      <w:r w:rsidR="007C45C5" w:rsidRPr="007C45C5">
        <w:rPr>
          <w:rFonts w:ascii="Times New Roman" w:hAnsi="Times New Roman"/>
          <w:sz w:val="24"/>
          <w:szCs w:val="24"/>
        </w:rPr>
        <w:t>Defever, Re</w:t>
      </w:r>
      <w:r w:rsidR="00BA325D">
        <w:rPr>
          <w:rFonts w:ascii="Times New Roman" w:hAnsi="Times New Roman"/>
          <w:sz w:val="24"/>
          <w:szCs w:val="24"/>
        </w:rPr>
        <w:t>yes, Ria</w:t>
      </w:r>
      <w:r w:rsidR="00D00E32">
        <w:rPr>
          <w:rFonts w:asciiTheme="majorHAnsi" w:hAnsiTheme="majorHAnsi" w:cstheme="majorHAnsi"/>
          <w:sz w:val="24"/>
          <w:szCs w:val="24"/>
        </w:rPr>
        <w:t>ñ</w:t>
      </w:r>
      <w:r w:rsidR="007C45C5">
        <w:rPr>
          <w:rFonts w:ascii="Times New Roman" w:hAnsi="Times New Roman"/>
          <w:sz w:val="24"/>
          <w:szCs w:val="24"/>
        </w:rPr>
        <w:t>o, and Sanchéz (2016) shows that t</w:t>
      </w:r>
      <w:r w:rsidR="003737C2" w:rsidRPr="007C45C5">
        <w:rPr>
          <w:rFonts w:ascii="Times New Roman" w:hAnsi="Times New Roman"/>
          <w:sz w:val="24"/>
          <w:szCs w:val="24"/>
        </w:rPr>
        <w:t>he elimination of the ESR constraint on SEZ firms increased the attractiveness of exporting from SEZ</w:t>
      </w:r>
      <w:r w:rsidR="00E76256">
        <w:rPr>
          <w:rFonts w:ascii="Times New Roman" w:hAnsi="Times New Roman"/>
          <w:sz w:val="24"/>
          <w:szCs w:val="24"/>
        </w:rPr>
        <w:t>s</w:t>
      </w:r>
      <w:r w:rsidR="003737C2" w:rsidRPr="007C45C5">
        <w:rPr>
          <w:rFonts w:ascii="Times New Roman" w:hAnsi="Times New Roman"/>
          <w:sz w:val="24"/>
          <w:szCs w:val="24"/>
        </w:rPr>
        <w:t>.</w:t>
      </w:r>
      <w:r w:rsidR="003737C2">
        <w:rPr>
          <w:rFonts w:ascii="Times New Roman" w:hAnsi="Times New Roman"/>
          <w:sz w:val="24"/>
          <w:szCs w:val="24"/>
        </w:rPr>
        <w:t xml:space="preserve"> The elimination of ESR in 2007 and 2011 increased the share of exports in terms of value originating from SEZ</w:t>
      </w:r>
      <w:r w:rsidR="00E76256">
        <w:rPr>
          <w:rFonts w:ascii="Times New Roman" w:hAnsi="Times New Roman"/>
          <w:sz w:val="24"/>
          <w:szCs w:val="24"/>
        </w:rPr>
        <w:t>s</w:t>
      </w:r>
      <w:r w:rsidR="003737C2">
        <w:rPr>
          <w:rFonts w:ascii="Times New Roman" w:hAnsi="Times New Roman"/>
          <w:sz w:val="24"/>
          <w:szCs w:val="24"/>
        </w:rPr>
        <w:t xml:space="preserve"> for narrowly-defined products (at HS-6 level of disaggregation).</w:t>
      </w:r>
      <w:r w:rsidR="007C45C5">
        <w:rPr>
          <w:rStyle w:val="FootnoteReference"/>
          <w:rFonts w:ascii="Times New Roman" w:hAnsi="Times New Roman"/>
          <w:sz w:val="24"/>
          <w:szCs w:val="24"/>
        </w:rPr>
        <w:footnoteReference w:id="12"/>
      </w:r>
      <w:r w:rsidR="003737C2">
        <w:rPr>
          <w:rFonts w:ascii="Times New Roman" w:hAnsi="Times New Roman"/>
          <w:sz w:val="24"/>
          <w:szCs w:val="24"/>
        </w:rPr>
        <w:t xml:space="preserve"> Scrapping the ESR had a positive and significant effect on the share of exporting firms operating in SEZ</w:t>
      </w:r>
      <w:r w:rsidR="00E76256">
        <w:rPr>
          <w:rFonts w:ascii="Times New Roman" w:hAnsi="Times New Roman"/>
          <w:sz w:val="24"/>
          <w:szCs w:val="24"/>
        </w:rPr>
        <w:t>s</w:t>
      </w:r>
      <w:r w:rsidR="003737C2">
        <w:rPr>
          <w:rFonts w:ascii="Times New Roman" w:hAnsi="Times New Roman"/>
          <w:sz w:val="24"/>
          <w:szCs w:val="24"/>
        </w:rPr>
        <w:t>. More precisely</w:t>
      </w:r>
      <w:r w:rsidR="003737C2" w:rsidRPr="00044862">
        <w:rPr>
          <w:rFonts w:ascii="Times New Roman" w:hAnsi="Times New Roman"/>
          <w:sz w:val="24"/>
          <w:szCs w:val="24"/>
        </w:rPr>
        <w:t>, the share of firms operating in SEZ</w:t>
      </w:r>
      <w:r w:rsidR="00E76256">
        <w:rPr>
          <w:rFonts w:ascii="Times New Roman" w:hAnsi="Times New Roman"/>
          <w:sz w:val="24"/>
          <w:szCs w:val="24"/>
        </w:rPr>
        <w:t>s</w:t>
      </w:r>
      <w:r w:rsidR="003737C2" w:rsidRPr="00044862">
        <w:rPr>
          <w:rFonts w:ascii="Times New Roman" w:hAnsi="Times New Roman"/>
          <w:sz w:val="24"/>
          <w:szCs w:val="24"/>
        </w:rPr>
        <w:t xml:space="preserve"> in priority sectors</w:t>
      </w:r>
      <w:r w:rsidR="00555A3C">
        <w:rPr>
          <w:rFonts w:ascii="Times New Roman" w:hAnsi="Times New Roman"/>
          <w:sz w:val="24"/>
          <w:szCs w:val="24"/>
        </w:rPr>
        <w:t xml:space="preserve">, relative to non-priority sectors, </w:t>
      </w:r>
      <w:r w:rsidR="003737C2" w:rsidRPr="00044862">
        <w:rPr>
          <w:rFonts w:ascii="Times New Roman" w:hAnsi="Times New Roman"/>
          <w:sz w:val="24"/>
          <w:szCs w:val="24"/>
        </w:rPr>
        <w:t>increase</w:t>
      </w:r>
      <w:r w:rsidR="003737C2">
        <w:rPr>
          <w:rFonts w:ascii="Times New Roman" w:hAnsi="Times New Roman"/>
          <w:sz w:val="24"/>
          <w:szCs w:val="24"/>
        </w:rPr>
        <w:t>d</w:t>
      </w:r>
      <w:r w:rsidR="003737C2" w:rsidRPr="00044862">
        <w:rPr>
          <w:rFonts w:ascii="Times New Roman" w:hAnsi="Times New Roman"/>
          <w:sz w:val="24"/>
          <w:szCs w:val="24"/>
        </w:rPr>
        <w:t xml:space="preserve"> by 7 percentage points on average following Law 56-07 over the period 2006-2011.</w:t>
      </w:r>
      <w:r w:rsidR="003737C2">
        <w:rPr>
          <w:rFonts w:ascii="Times New Roman" w:hAnsi="Times New Roman"/>
          <w:sz w:val="24"/>
          <w:szCs w:val="24"/>
        </w:rPr>
        <w:t xml:space="preserve"> Law 139-11, in turn, led to an increase of 5.4 percentage points in the share of SEZ exporters on average in non-priority sectors vi</w:t>
      </w:r>
      <w:r w:rsidR="00762737">
        <w:rPr>
          <w:rFonts w:ascii="Times New Roman" w:hAnsi="Times New Roman"/>
          <w:sz w:val="24"/>
          <w:szCs w:val="24"/>
        </w:rPr>
        <w:t>s-à-vis the situation with ESR (</w:t>
      </w:r>
      <w:r w:rsidR="00963C93" w:rsidRPr="00746513">
        <w:rPr>
          <w:rFonts w:ascii="Times New Roman" w:hAnsi="Times New Roman"/>
          <w:sz w:val="24"/>
          <w:szCs w:val="24"/>
        </w:rPr>
        <w:fldChar w:fldCharType="begin"/>
      </w:r>
      <w:r w:rsidR="00963C93" w:rsidRPr="00746513">
        <w:rPr>
          <w:rFonts w:ascii="Times New Roman" w:hAnsi="Times New Roman"/>
          <w:sz w:val="24"/>
          <w:szCs w:val="24"/>
        </w:rPr>
        <w:instrText xml:space="preserve"> REF _Ref447287369 \h </w:instrText>
      </w:r>
      <w:r w:rsidR="00746513" w:rsidRPr="00746513">
        <w:rPr>
          <w:rFonts w:ascii="Times New Roman" w:hAnsi="Times New Roman"/>
          <w:sz w:val="24"/>
          <w:szCs w:val="24"/>
        </w:rPr>
        <w:instrText xml:space="preserve"> \* MERGEFORMAT </w:instrText>
      </w:r>
      <w:r w:rsidR="00963C93" w:rsidRPr="00746513">
        <w:rPr>
          <w:rFonts w:ascii="Times New Roman" w:hAnsi="Times New Roman"/>
          <w:sz w:val="24"/>
          <w:szCs w:val="24"/>
        </w:rPr>
      </w:r>
      <w:r w:rsidR="00963C93" w:rsidRPr="00746513">
        <w:rPr>
          <w:rFonts w:ascii="Times New Roman" w:hAnsi="Times New Roman"/>
          <w:sz w:val="24"/>
          <w:szCs w:val="24"/>
        </w:rPr>
        <w:fldChar w:fldCharType="separate"/>
      </w:r>
      <w:r w:rsidR="00893CAD" w:rsidRPr="00893CAD">
        <w:rPr>
          <w:rFonts w:asciiTheme="majorHAnsi" w:hAnsiTheme="majorHAnsi" w:cstheme="majorHAnsi"/>
          <w:sz w:val="24"/>
          <w:szCs w:val="24"/>
        </w:rPr>
        <w:t xml:space="preserve">Figure </w:t>
      </w:r>
      <w:r w:rsidR="00893CAD" w:rsidRPr="00893CAD">
        <w:rPr>
          <w:rFonts w:asciiTheme="majorHAnsi" w:hAnsiTheme="majorHAnsi" w:cstheme="majorHAnsi"/>
          <w:noProof/>
          <w:sz w:val="24"/>
          <w:szCs w:val="24"/>
        </w:rPr>
        <w:t>12</w:t>
      </w:r>
      <w:r w:rsidR="00963C93" w:rsidRPr="00746513">
        <w:rPr>
          <w:rFonts w:ascii="Times New Roman" w:hAnsi="Times New Roman"/>
          <w:sz w:val="24"/>
          <w:szCs w:val="24"/>
        </w:rPr>
        <w:fldChar w:fldCharType="end"/>
      </w:r>
      <w:r w:rsidR="00762737">
        <w:rPr>
          <w:rFonts w:ascii="Times New Roman" w:hAnsi="Times New Roman"/>
          <w:sz w:val="24"/>
          <w:szCs w:val="24"/>
        </w:rPr>
        <w:t>)</w:t>
      </w:r>
      <w:r w:rsidR="003737C2">
        <w:rPr>
          <w:rFonts w:ascii="Times New Roman" w:hAnsi="Times New Roman"/>
          <w:sz w:val="24"/>
          <w:szCs w:val="24"/>
        </w:rPr>
        <w:t>.</w:t>
      </w:r>
    </w:p>
    <w:p w14:paraId="513BFE8D" w14:textId="05A13D3F" w:rsidR="004F1F51" w:rsidRDefault="00632E62" w:rsidP="00632E62">
      <w:pPr>
        <w:spacing w:after="200" w:line="276" w:lineRule="auto"/>
        <w:jc w:val="both"/>
        <w:rPr>
          <w:rFonts w:ascii="Times New Roman" w:hAnsi="Times New Roman"/>
          <w:sz w:val="24"/>
          <w:szCs w:val="24"/>
        </w:rPr>
      </w:pPr>
      <w:r>
        <w:rPr>
          <w:rFonts w:ascii="Times New Roman" w:hAnsi="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63C93" w14:paraId="6E026DF9" w14:textId="77777777" w:rsidTr="00963C93">
        <w:tc>
          <w:tcPr>
            <w:tcW w:w="9350" w:type="dxa"/>
          </w:tcPr>
          <w:p w14:paraId="6391DE1A" w14:textId="77777777" w:rsidR="00963C93" w:rsidRPr="00963C93" w:rsidRDefault="00963C93" w:rsidP="00E76256">
            <w:pPr>
              <w:spacing w:after="120" w:line="276" w:lineRule="auto"/>
              <w:jc w:val="center"/>
              <w:rPr>
                <w:rFonts w:ascii="Times New Roman" w:hAnsi="Times New Roman"/>
                <w:b/>
                <w:sz w:val="24"/>
                <w:szCs w:val="24"/>
              </w:rPr>
            </w:pPr>
            <w:bookmarkStart w:id="22" w:name="_Ref447287369"/>
            <w:r w:rsidRPr="00982224">
              <w:rPr>
                <w:rFonts w:asciiTheme="majorHAnsi" w:hAnsiTheme="majorHAnsi" w:cstheme="majorHAnsi"/>
                <w:b/>
                <w:sz w:val="24"/>
                <w:szCs w:val="24"/>
              </w:rPr>
              <w:lastRenderedPageBreak/>
              <w:t xml:space="preserve">Figure </w:t>
            </w:r>
            <w:r w:rsidRPr="00982224">
              <w:rPr>
                <w:rFonts w:asciiTheme="majorHAnsi" w:hAnsiTheme="majorHAnsi" w:cstheme="majorHAnsi"/>
                <w:b/>
                <w:sz w:val="24"/>
                <w:szCs w:val="24"/>
              </w:rPr>
              <w:fldChar w:fldCharType="begin"/>
            </w:r>
            <w:r w:rsidRPr="00982224">
              <w:rPr>
                <w:rFonts w:asciiTheme="majorHAnsi" w:hAnsiTheme="majorHAnsi" w:cstheme="majorHAnsi"/>
                <w:b/>
                <w:sz w:val="24"/>
                <w:szCs w:val="24"/>
              </w:rPr>
              <w:instrText xml:space="preserve"> SEQ Figure \* ARABIC </w:instrText>
            </w:r>
            <w:r w:rsidRPr="0098222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12</w:t>
            </w:r>
            <w:r w:rsidRPr="00982224">
              <w:rPr>
                <w:rFonts w:asciiTheme="majorHAnsi" w:hAnsiTheme="majorHAnsi" w:cstheme="majorHAnsi"/>
                <w:b/>
                <w:sz w:val="24"/>
                <w:szCs w:val="24"/>
              </w:rPr>
              <w:fldChar w:fldCharType="end"/>
            </w:r>
            <w:bookmarkEnd w:id="22"/>
            <w:r w:rsidRPr="002A29FB">
              <w:rPr>
                <w:rFonts w:ascii="Times New Roman" w:hAnsi="Times New Roman"/>
                <w:b/>
                <w:sz w:val="24"/>
                <w:szCs w:val="24"/>
              </w:rPr>
              <w:t>: How did the Removal of ESR in 2007 and 2011 affected the Share of SEZ in terms of Export Value and Number of Firms at the HS-6 Product-level?</w:t>
            </w:r>
          </w:p>
        </w:tc>
      </w:tr>
      <w:tr w:rsidR="00963C93" w14:paraId="70DBF3A8" w14:textId="77777777" w:rsidTr="00963C93">
        <w:tc>
          <w:tcPr>
            <w:tcW w:w="9350" w:type="dxa"/>
          </w:tcPr>
          <w:p w14:paraId="6E41E430" w14:textId="77777777" w:rsidR="00963C93" w:rsidRDefault="00963C93" w:rsidP="00427B2B">
            <w:pPr>
              <w:spacing w:after="120" w:line="276" w:lineRule="auto"/>
              <w:jc w:val="center"/>
              <w:rPr>
                <w:rFonts w:ascii="Times New Roman" w:hAnsi="Times New Roman"/>
                <w:sz w:val="24"/>
                <w:szCs w:val="24"/>
              </w:rPr>
            </w:pPr>
            <w:r w:rsidRPr="002A29FB">
              <w:rPr>
                <w:rFonts w:ascii="Times New Roman" w:hAnsi="Times New Roman"/>
                <w:noProof/>
                <w:sz w:val="24"/>
                <w:szCs w:val="24"/>
              </w:rPr>
              <w:drawing>
                <wp:inline distT="0" distB="0" distL="0" distR="0" wp14:anchorId="3ACFFEC7" wp14:editId="005C77A0">
                  <wp:extent cx="4495800" cy="19145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963C93" w14:paraId="1BCB90E7" w14:textId="77777777" w:rsidTr="00963C93">
        <w:tc>
          <w:tcPr>
            <w:tcW w:w="9350" w:type="dxa"/>
          </w:tcPr>
          <w:p w14:paraId="411F555D" w14:textId="77777777" w:rsidR="00963C93" w:rsidRDefault="00963C93" w:rsidP="00963C93">
            <w:pPr>
              <w:jc w:val="both"/>
              <w:rPr>
                <w:rFonts w:ascii="Times New Roman" w:hAnsi="Times New Roman"/>
                <w:sz w:val="20"/>
                <w:szCs w:val="20"/>
              </w:rPr>
            </w:pPr>
            <w:r>
              <w:rPr>
                <w:rFonts w:ascii="Times New Roman" w:hAnsi="Times New Roman"/>
                <w:sz w:val="20"/>
                <w:szCs w:val="20"/>
              </w:rPr>
              <w:t xml:space="preserve">Note: The bars are the estimated coefficients of a regression in which the dependent variable is the share of SEZ exports (in terms of value in blue and in terms of number of firms in yellow) on interaction terms for priority and non-priority sectors after 2008 and 2012 respectively. </w:t>
            </w:r>
            <w:r w:rsidRPr="006B1171">
              <w:rPr>
                <w:rFonts w:ascii="Times New Roman" w:hAnsi="Times New Roman"/>
                <w:sz w:val="20"/>
                <w:szCs w:val="20"/>
              </w:rPr>
              <w:t xml:space="preserve">All specifications include HS-6 product and year fixed effects and HS-2 product-specific linear trends. Robust standard errors clustered at the HS-6 product level. </w:t>
            </w:r>
            <w:r>
              <w:rPr>
                <w:rFonts w:ascii="Times New Roman" w:hAnsi="Times New Roman"/>
                <w:sz w:val="20"/>
                <w:szCs w:val="20"/>
              </w:rPr>
              <w:t>Vertical lines denote confidence intervals.</w:t>
            </w:r>
          </w:p>
          <w:p w14:paraId="6A1AA8D3" w14:textId="77777777" w:rsidR="00963C93" w:rsidRDefault="00963C93" w:rsidP="00963C93">
            <w:pPr>
              <w:jc w:val="both"/>
              <w:rPr>
                <w:rFonts w:ascii="Times New Roman" w:hAnsi="Times New Roman"/>
                <w:sz w:val="24"/>
                <w:szCs w:val="24"/>
              </w:rPr>
            </w:pPr>
            <w:r>
              <w:rPr>
                <w:rFonts w:ascii="Times New Roman" w:hAnsi="Times New Roman"/>
                <w:sz w:val="20"/>
                <w:szCs w:val="20"/>
              </w:rPr>
              <w:t xml:space="preserve">Source: authors’ calculations. </w:t>
            </w:r>
          </w:p>
        </w:tc>
      </w:tr>
    </w:tbl>
    <w:p w14:paraId="6B82B71F" w14:textId="77777777" w:rsidR="00963C93" w:rsidRDefault="00963C93" w:rsidP="003737C2">
      <w:pPr>
        <w:spacing w:after="120"/>
        <w:jc w:val="both"/>
        <w:rPr>
          <w:rFonts w:ascii="Times New Roman" w:hAnsi="Times New Roman"/>
          <w:b/>
          <w:sz w:val="24"/>
          <w:szCs w:val="24"/>
        </w:rPr>
      </w:pPr>
    </w:p>
    <w:p w14:paraId="10B80BDD" w14:textId="627AF930" w:rsidR="00427B2B" w:rsidRPr="00427B2B" w:rsidRDefault="00CB755B" w:rsidP="002015BA">
      <w:pPr>
        <w:spacing w:after="120" w:line="276" w:lineRule="auto"/>
        <w:jc w:val="both"/>
        <w:rPr>
          <w:rFonts w:ascii="Times New Roman" w:hAnsi="Times New Roman"/>
          <w:b/>
          <w:sz w:val="24"/>
          <w:szCs w:val="24"/>
        </w:rPr>
      </w:pPr>
      <w:r>
        <w:rPr>
          <w:rFonts w:ascii="Times New Roman" w:hAnsi="Times New Roman"/>
          <w:b/>
          <w:sz w:val="24"/>
          <w:szCs w:val="24"/>
        </w:rPr>
        <w:t xml:space="preserve">Although </w:t>
      </w:r>
      <w:r w:rsidR="00427B2B" w:rsidRPr="00427B2B">
        <w:rPr>
          <w:rFonts w:ascii="Times New Roman" w:hAnsi="Times New Roman"/>
          <w:b/>
          <w:sz w:val="24"/>
          <w:szCs w:val="24"/>
        </w:rPr>
        <w:t xml:space="preserve">the reforms allow firms </w:t>
      </w:r>
      <w:r w:rsidR="00550F44">
        <w:rPr>
          <w:rFonts w:ascii="Times New Roman" w:hAnsi="Times New Roman"/>
          <w:b/>
          <w:sz w:val="24"/>
          <w:szCs w:val="24"/>
        </w:rPr>
        <w:t xml:space="preserve">operating in SEZs </w:t>
      </w:r>
      <w:r w:rsidR="00427B2B" w:rsidRPr="00427B2B">
        <w:rPr>
          <w:rFonts w:ascii="Times New Roman" w:hAnsi="Times New Roman"/>
          <w:b/>
          <w:sz w:val="24"/>
          <w:szCs w:val="24"/>
        </w:rPr>
        <w:t xml:space="preserve">to sell products to the domestic market, very few of them </w:t>
      </w:r>
      <w:r w:rsidR="002015BA">
        <w:rPr>
          <w:rFonts w:ascii="Times New Roman" w:hAnsi="Times New Roman"/>
          <w:b/>
          <w:sz w:val="24"/>
          <w:szCs w:val="24"/>
        </w:rPr>
        <w:t xml:space="preserve">actually </w:t>
      </w:r>
      <w:r w:rsidR="00550F44">
        <w:rPr>
          <w:rFonts w:ascii="Times New Roman" w:hAnsi="Times New Roman"/>
          <w:b/>
          <w:sz w:val="24"/>
          <w:szCs w:val="24"/>
        </w:rPr>
        <w:t xml:space="preserve">do </w:t>
      </w:r>
      <w:r w:rsidR="00417311">
        <w:rPr>
          <w:rFonts w:ascii="Times New Roman" w:hAnsi="Times New Roman"/>
          <w:b/>
          <w:sz w:val="24"/>
          <w:szCs w:val="24"/>
        </w:rPr>
        <w:t>this</w:t>
      </w:r>
      <w:r>
        <w:rPr>
          <w:rFonts w:ascii="Times New Roman" w:hAnsi="Times New Roman"/>
          <w:b/>
          <w:sz w:val="24"/>
          <w:szCs w:val="24"/>
        </w:rPr>
        <w:t>.</w:t>
      </w:r>
      <w:r w:rsidRPr="00A40A94">
        <w:rPr>
          <w:rFonts w:ascii="Times New Roman" w:hAnsi="Times New Roman"/>
          <w:sz w:val="24"/>
          <w:szCs w:val="24"/>
        </w:rPr>
        <w:t xml:space="preserve"> </w:t>
      </w:r>
      <w:r w:rsidR="002015BA">
        <w:rPr>
          <w:rFonts w:ascii="Times New Roman" w:hAnsi="Times New Roman"/>
          <w:sz w:val="24"/>
          <w:szCs w:val="24"/>
        </w:rPr>
        <w:t xml:space="preserve">The majority of firms </w:t>
      </w:r>
      <w:r w:rsidR="002015BA" w:rsidRPr="002015BA">
        <w:rPr>
          <w:rFonts w:ascii="Times New Roman" w:hAnsi="Times New Roman"/>
          <w:sz w:val="24"/>
          <w:szCs w:val="24"/>
        </w:rPr>
        <w:t xml:space="preserve">are still primarily engaged in exporting, and only sell domestically on </w:t>
      </w:r>
      <w:r w:rsidR="002015BA">
        <w:rPr>
          <w:rFonts w:ascii="Times New Roman" w:hAnsi="Times New Roman"/>
          <w:sz w:val="24"/>
          <w:szCs w:val="24"/>
        </w:rPr>
        <w:t xml:space="preserve">very </w:t>
      </w:r>
      <w:r w:rsidR="002015BA" w:rsidRPr="002015BA">
        <w:rPr>
          <w:rFonts w:ascii="Times New Roman" w:hAnsi="Times New Roman"/>
          <w:sz w:val="24"/>
          <w:szCs w:val="24"/>
        </w:rPr>
        <w:t xml:space="preserve">rare occasions, either to fulfill small orders, </w:t>
      </w:r>
      <w:r w:rsidR="00A40A94">
        <w:rPr>
          <w:rFonts w:ascii="Times New Roman" w:hAnsi="Times New Roman"/>
          <w:sz w:val="24"/>
          <w:szCs w:val="24"/>
        </w:rPr>
        <w:t xml:space="preserve">to </w:t>
      </w:r>
      <w:r w:rsidR="002015BA" w:rsidRPr="002015BA">
        <w:rPr>
          <w:rFonts w:ascii="Times New Roman" w:hAnsi="Times New Roman"/>
          <w:sz w:val="24"/>
          <w:szCs w:val="24"/>
        </w:rPr>
        <w:t xml:space="preserve">sell surpluses of export orders or units that do not comply with international standards. </w:t>
      </w:r>
      <w:r w:rsidR="002015BA">
        <w:rPr>
          <w:rFonts w:ascii="Times New Roman" w:hAnsi="Times New Roman"/>
          <w:sz w:val="24"/>
          <w:szCs w:val="24"/>
        </w:rPr>
        <w:t xml:space="preserve">Only firms in the pharmaceutical </w:t>
      </w:r>
      <w:r w:rsidR="005241C4">
        <w:rPr>
          <w:rFonts w:ascii="Times New Roman" w:hAnsi="Times New Roman"/>
          <w:sz w:val="24"/>
          <w:szCs w:val="24"/>
        </w:rPr>
        <w:t xml:space="preserve">sector </w:t>
      </w:r>
      <w:r w:rsidR="002015BA">
        <w:rPr>
          <w:rFonts w:ascii="Times New Roman" w:hAnsi="Times New Roman"/>
          <w:sz w:val="24"/>
          <w:szCs w:val="24"/>
        </w:rPr>
        <w:t xml:space="preserve">sell </w:t>
      </w:r>
      <w:r w:rsidR="002015BA" w:rsidRPr="002015BA">
        <w:rPr>
          <w:rFonts w:ascii="Times New Roman" w:hAnsi="Times New Roman"/>
          <w:sz w:val="24"/>
          <w:szCs w:val="24"/>
        </w:rPr>
        <w:t xml:space="preserve">most of </w:t>
      </w:r>
      <w:r w:rsidR="00A40A94">
        <w:rPr>
          <w:rFonts w:ascii="Times New Roman" w:hAnsi="Times New Roman"/>
          <w:sz w:val="24"/>
          <w:szCs w:val="24"/>
        </w:rPr>
        <w:t xml:space="preserve">their </w:t>
      </w:r>
      <w:r w:rsidR="002015BA">
        <w:rPr>
          <w:rFonts w:ascii="Times New Roman" w:hAnsi="Times New Roman"/>
          <w:sz w:val="24"/>
          <w:szCs w:val="24"/>
        </w:rPr>
        <w:t xml:space="preserve">production </w:t>
      </w:r>
      <w:r w:rsidR="002015BA" w:rsidRPr="002015BA">
        <w:rPr>
          <w:rFonts w:ascii="Times New Roman" w:hAnsi="Times New Roman"/>
          <w:sz w:val="24"/>
          <w:szCs w:val="24"/>
        </w:rPr>
        <w:t xml:space="preserve">domestically. </w:t>
      </w:r>
      <w:r w:rsidR="00417311">
        <w:rPr>
          <w:rFonts w:ascii="Times New Roman" w:hAnsi="Times New Roman"/>
          <w:sz w:val="24"/>
          <w:szCs w:val="24"/>
        </w:rPr>
        <w:t>Many t</w:t>
      </w:r>
      <w:r w:rsidR="00417311" w:rsidRPr="002015BA">
        <w:rPr>
          <w:rFonts w:ascii="Times New Roman" w:hAnsi="Times New Roman"/>
          <w:sz w:val="24"/>
          <w:szCs w:val="24"/>
        </w:rPr>
        <w:t>extiles</w:t>
      </w:r>
      <w:r w:rsidR="002015BA" w:rsidRPr="002015BA">
        <w:rPr>
          <w:rFonts w:ascii="Times New Roman" w:hAnsi="Times New Roman"/>
          <w:sz w:val="24"/>
          <w:szCs w:val="24"/>
        </w:rPr>
        <w:t xml:space="preserve">, apparel and footwear firms interviewed </w:t>
      </w:r>
      <w:r w:rsidR="00286CD6">
        <w:rPr>
          <w:rFonts w:ascii="Times New Roman" w:hAnsi="Times New Roman"/>
          <w:sz w:val="24"/>
          <w:szCs w:val="24"/>
        </w:rPr>
        <w:t>for this report</w:t>
      </w:r>
      <w:r w:rsidR="005241C4">
        <w:rPr>
          <w:rFonts w:ascii="Times New Roman" w:hAnsi="Times New Roman"/>
          <w:sz w:val="24"/>
          <w:szCs w:val="24"/>
        </w:rPr>
        <w:t>,</w:t>
      </w:r>
      <w:r w:rsidR="00286CD6">
        <w:rPr>
          <w:rFonts w:ascii="Times New Roman" w:hAnsi="Times New Roman"/>
          <w:sz w:val="24"/>
          <w:szCs w:val="24"/>
        </w:rPr>
        <w:t xml:space="preserve"> </w:t>
      </w:r>
      <w:r w:rsidR="002015BA" w:rsidRPr="002015BA">
        <w:rPr>
          <w:rFonts w:ascii="Times New Roman" w:hAnsi="Times New Roman"/>
          <w:sz w:val="24"/>
          <w:szCs w:val="24"/>
        </w:rPr>
        <w:t xml:space="preserve">which belonged to the so called national priority sectors established under </w:t>
      </w:r>
      <w:r w:rsidR="00417311">
        <w:rPr>
          <w:rFonts w:ascii="Times New Roman" w:hAnsi="Times New Roman"/>
          <w:sz w:val="24"/>
          <w:szCs w:val="24"/>
        </w:rPr>
        <w:t>L</w:t>
      </w:r>
      <w:r w:rsidR="00417311" w:rsidRPr="002015BA">
        <w:rPr>
          <w:rFonts w:ascii="Times New Roman" w:hAnsi="Times New Roman"/>
          <w:sz w:val="24"/>
          <w:szCs w:val="24"/>
        </w:rPr>
        <w:t xml:space="preserve">aw </w:t>
      </w:r>
      <w:r w:rsidR="002015BA" w:rsidRPr="002015BA">
        <w:rPr>
          <w:rFonts w:ascii="Times New Roman" w:hAnsi="Times New Roman"/>
          <w:sz w:val="24"/>
          <w:szCs w:val="24"/>
        </w:rPr>
        <w:t>56-07</w:t>
      </w:r>
      <w:r w:rsidR="005241C4">
        <w:rPr>
          <w:rFonts w:ascii="Times New Roman" w:hAnsi="Times New Roman"/>
          <w:sz w:val="24"/>
          <w:szCs w:val="24"/>
        </w:rPr>
        <w:t>,</w:t>
      </w:r>
      <w:r w:rsidR="002015BA" w:rsidRPr="002015BA">
        <w:rPr>
          <w:rFonts w:ascii="Times New Roman" w:hAnsi="Times New Roman"/>
          <w:sz w:val="24"/>
          <w:szCs w:val="24"/>
        </w:rPr>
        <w:t xml:space="preserve"> were not even aware that this law had </w:t>
      </w:r>
      <w:r w:rsidR="00417311">
        <w:rPr>
          <w:rFonts w:ascii="Times New Roman" w:hAnsi="Times New Roman"/>
          <w:sz w:val="24"/>
          <w:szCs w:val="24"/>
        </w:rPr>
        <w:t>eliminated</w:t>
      </w:r>
      <w:r w:rsidR="00417311" w:rsidRPr="002015BA">
        <w:rPr>
          <w:rFonts w:ascii="Times New Roman" w:hAnsi="Times New Roman"/>
          <w:sz w:val="24"/>
          <w:szCs w:val="24"/>
        </w:rPr>
        <w:t xml:space="preserve"> </w:t>
      </w:r>
      <w:r w:rsidR="002015BA" w:rsidRPr="002015BA">
        <w:rPr>
          <w:rFonts w:ascii="Times New Roman" w:hAnsi="Times New Roman"/>
          <w:sz w:val="24"/>
          <w:szCs w:val="24"/>
        </w:rPr>
        <w:t>the 80</w:t>
      </w:r>
      <w:r w:rsidR="00A40A94">
        <w:rPr>
          <w:rFonts w:ascii="Times New Roman" w:hAnsi="Times New Roman"/>
          <w:sz w:val="24"/>
          <w:szCs w:val="24"/>
        </w:rPr>
        <w:t xml:space="preserve"> percent</w:t>
      </w:r>
      <w:r w:rsidR="002015BA" w:rsidRPr="002015BA">
        <w:rPr>
          <w:rFonts w:ascii="Times New Roman" w:hAnsi="Times New Roman"/>
          <w:sz w:val="24"/>
          <w:szCs w:val="24"/>
        </w:rPr>
        <w:t xml:space="preserve"> ESR. Moreover, </w:t>
      </w:r>
      <w:r w:rsidR="00286CD6">
        <w:rPr>
          <w:rFonts w:ascii="Times New Roman" w:hAnsi="Times New Roman"/>
          <w:sz w:val="24"/>
          <w:szCs w:val="24"/>
        </w:rPr>
        <w:t xml:space="preserve">the firms </w:t>
      </w:r>
      <w:r w:rsidR="00286CD6" w:rsidRPr="00286CD6">
        <w:rPr>
          <w:rFonts w:ascii="Times New Roman" w:hAnsi="Times New Roman"/>
          <w:sz w:val="24"/>
          <w:szCs w:val="24"/>
        </w:rPr>
        <w:t xml:space="preserve">also feel that the customs procedures involved in selling domestically are unduly confusing, and therefore do not justify the hassle of selling domestically given the small market size. </w:t>
      </w:r>
      <w:r w:rsidR="002015BA" w:rsidRPr="002015BA">
        <w:rPr>
          <w:rFonts w:ascii="Times New Roman" w:hAnsi="Times New Roman"/>
          <w:sz w:val="24"/>
          <w:szCs w:val="24"/>
        </w:rPr>
        <w:t xml:space="preserve">Furthermore, new firms wishing to operate within </w:t>
      </w:r>
      <w:r w:rsidR="00A40A94">
        <w:rPr>
          <w:rFonts w:ascii="Times New Roman" w:hAnsi="Times New Roman"/>
          <w:sz w:val="24"/>
          <w:szCs w:val="24"/>
        </w:rPr>
        <w:t xml:space="preserve">SEZs </w:t>
      </w:r>
      <w:r w:rsidR="002015BA" w:rsidRPr="002015BA">
        <w:rPr>
          <w:rFonts w:ascii="Times New Roman" w:hAnsi="Times New Roman"/>
          <w:sz w:val="24"/>
          <w:szCs w:val="24"/>
        </w:rPr>
        <w:t xml:space="preserve">need to be approved by the </w:t>
      </w:r>
      <w:r w:rsidR="002015BA" w:rsidRPr="00286CD6">
        <w:rPr>
          <w:rFonts w:ascii="Times New Roman" w:hAnsi="Times New Roman"/>
          <w:i/>
          <w:sz w:val="24"/>
          <w:szCs w:val="24"/>
        </w:rPr>
        <w:t>Consejo Nacional de Zonas Francas</w:t>
      </w:r>
      <w:r w:rsidR="002015BA" w:rsidRPr="002015BA">
        <w:rPr>
          <w:rFonts w:ascii="Times New Roman" w:hAnsi="Times New Roman"/>
          <w:sz w:val="24"/>
          <w:szCs w:val="24"/>
        </w:rPr>
        <w:t xml:space="preserve"> and this public-private body seems keen to </w:t>
      </w:r>
      <w:r w:rsidR="00A40A94">
        <w:rPr>
          <w:rFonts w:ascii="Times New Roman" w:hAnsi="Times New Roman"/>
          <w:sz w:val="24"/>
          <w:szCs w:val="24"/>
        </w:rPr>
        <w:t xml:space="preserve">only authorize </w:t>
      </w:r>
      <w:r w:rsidR="002015BA" w:rsidRPr="002015BA">
        <w:rPr>
          <w:rFonts w:ascii="Times New Roman" w:hAnsi="Times New Roman"/>
          <w:sz w:val="24"/>
          <w:szCs w:val="24"/>
        </w:rPr>
        <w:t xml:space="preserve">firms that </w:t>
      </w:r>
      <w:r w:rsidR="00286CD6">
        <w:rPr>
          <w:rFonts w:ascii="Times New Roman" w:hAnsi="Times New Roman"/>
          <w:sz w:val="24"/>
          <w:szCs w:val="24"/>
        </w:rPr>
        <w:t xml:space="preserve">are </w:t>
      </w:r>
      <w:r w:rsidR="002015BA" w:rsidRPr="002015BA">
        <w:rPr>
          <w:rFonts w:ascii="Times New Roman" w:hAnsi="Times New Roman"/>
          <w:sz w:val="24"/>
          <w:szCs w:val="24"/>
        </w:rPr>
        <w:t>focus</w:t>
      </w:r>
      <w:r w:rsidR="00286CD6">
        <w:rPr>
          <w:rFonts w:ascii="Times New Roman" w:hAnsi="Times New Roman"/>
          <w:sz w:val="24"/>
          <w:szCs w:val="24"/>
        </w:rPr>
        <w:t>ed</w:t>
      </w:r>
      <w:r w:rsidR="002015BA" w:rsidRPr="002015BA">
        <w:rPr>
          <w:rFonts w:ascii="Times New Roman" w:hAnsi="Times New Roman"/>
          <w:sz w:val="24"/>
          <w:szCs w:val="24"/>
        </w:rPr>
        <w:t xml:space="preserve"> on exporting activities</w:t>
      </w:r>
      <w:r w:rsidR="00286CD6">
        <w:rPr>
          <w:rFonts w:ascii="Times New Roman" w:hAnsi="Times New Roman"/>
          <w:sz w:val="24"/>
          <w:szCs w:val="24"/>
        </w:rPr>
        <w:t xml:space="preserve"> </w:t>
      </w:r>
      <w:r w:rsidR="00A40A94">
        <w:rPr>
          <w:rFonts w:ascii="Times New Roman" w:hAnsi="Times New Roman"/>
          <w:sz w:val="24"/>
          <w:szCs w:val="24"/>
        </w:rPr>
        <w:t xml:space="preserve">rather than those focused </w:t>
      </w:r>
      <w:r w:rsidR="00286CD6">
        <w:rPr>
          <w:rFonts w:ascii="Times New Roman" w:hAnsi="Times New Roman"/>
          <w:sz w:val="24"/>
          <w:szCs w:val="24"/>
        </w:rPr>
        <w:t>on serving the domestic market</w:t>
      </w:r>
      <w:r w:rsidR="002015BA" w:rsidRPr="002015BA">
        <w:rPr>
          <w:rFonts w:ascii="Times New Roman" w:hAnsi="Times New Roman"/>
          <w:sz w:val="24"/>
          <w:szCs w:val="24"/>
        </w:rPr>
        <w:t xml:space="preserve">. In summary, although the </w:t>
      </w:r>
      <w:r w:rsidR="002015BA" w:rsidRPr="00A00D1A">
        <w:rPr>
          <w:rFonts w:ascii="Times New Roman" w:hAnsi="Times New Roman"/>
          <w:i/>
          <w:sz w:val="24"/>
          <w:szCs w:val="24"/>
        </w:rPr>
        <w:t>de jure</w:t>
      </w:r>
      <w:r w:rsidR="002015BA" w:rsidRPr="002015BA">
        <w:rPr>
          <w:rFonts w:ascii="Times New Roman" w:hAnsi="Times New Roman"/>
          <w:sz w:val="24"/>
          <w:szCs w:val="24"/>
        </w:rPr>
        <w:t xml:space="preserve"> ESR has been removed, the interviews with firms and regulatory bodies suggest that there is currently a </w:t>
      </w:r>
      <w:r w:rsidR="002015BA" w:rsidRPr="00A00D1A">
        <w:rPr>
          <w:rFonts w:ascii="Times New Roman" w:hAnsi="Times New Roman"/>
          <w:i/>
          <w:sz w:val="24"/>
          <w:szCs w:val="24"/>
        </w:rPr>
        <w:t>de facto</w:t>
      </w:r>
      <w:r w:rsidR="002015BA" w:rsidRPr="002015BA">
        <w:rPr>
          <w:rFonts w:ascii="Times New Roman" w:hAnsi="Times New Roman"/>
          <w:sz w:val="24"/>
          <w:szCs w:val="24"/>
        </w:rPr>
        <w:t xml:space="preserve"> ESR in place.</w:t>
      </w:r>
    </w:p>
    <w:p w14:paraId="7FABCA77" w14:textId="3CE5BC92" w:rsidR="003737C2" w:rsidRPr="00400294" w:rsidRDefault="003737C2" w:rsidP="00746513">
      <w:pPr>
        <w:spacing w:after="120" w:line="276" w:lineRule="auto"/>
        <w:jc w:val="both"/>
        <w:rPr>
          <w:rFonts w:ascii="Times New Roman" w:hAnsi="Times New Roman"/>
          <w:sz w:val="24"/>
          <w:szCs w:val="24"/>
        </w:rPr>
      </w:pPr>
      <w:r>
        <w:rPr>
          <w:rFonts w:ascii="Times New Roman" w:hAnsi="Times New Roman"/>
          <w:b/>
          <w:sz w:val="24"/>
          <w:szCs w:val="24"/>
        </w:rPr>
        <w:t>Law 139-11 induced firms located in SEZ</w:t>
      </w:r>
      <w:r w:rsidR="00A40A94">
        <w:rPr>
          <w:rFonts w:ascii="Times New Roman" w:hAnsi="Times New Roman"/>
          <w:b/>
          <w:sz w:val="24"/>
          <w:szCs w:val="24"/>
        </w:rPr>
        <w:t>s</w:t>
      </w:r>
      <w:r>
        <w:rPr>
          <w:rFonts w:ascii="Times New Roman" w:hAnsi="Times New Roman"/>
          <w:b/>
          <w:sz w:val="24"/>
          <w:szCs w:val="24"/>
        </w:rPr>
        <w:t xml:space="preserve"> and </w:t>
      </w:r>
      <w:r w:rsidR="00A40A94">
        <w:rPr>
          <w:rFonts w:ascii="Times New Roman" w:hAnsi="Times New Roman"/>
          <w:b/>
          <w:sz w:val="24"/>
          <w:szCs w:val="24"/>
        </w:rPr>
        <w:t xml:space="preserve">those </w:t>
      </w:r>
      <w:r>
        <w:rPr>
          <w:rFonts w:ascii="Times New Roman" w:hAnsi="Times New Roman"/>
          <w:b/>
          <w:sz w:val="24"/>
          <w:szCs w:val="24"/>
        </w:rPr>
        <w:t xml:space="preserve">producing non-priority products to export new ‘varieties’ (combinations of new products and/or new destinations). </w:t>
      </w:r>
      <w:r>
        <w:rPr>
          <w:rFonts w:ascii="Times New Roman" w:hAnsi="Times New Roman"/>
          <w:sz w:val="24"/>
          <w:szCs w:val="24"/>
        </w:rPr>
        <w:t xml:space="preserve">More specifically, there is a 9 percentage point increase in exports of new varieties originating from non-priority SEZ firms relative to the pre-reform situation. Law 56-07, on the other hand, seemed to have triggered </w:t>
      </w:r>
      <w:r w:rsidR="00A40A94">
        <w:rPr>
          <w:rFonts w:ascii="Times New Roman" w:hAnsi="Times New Roman"/>
          <w:sz w:val="24"/>
          <w:szCs w:val="24"/>
        </w:rPr>
        <w:t xml:space="preserve">the </w:t>
      </w:r>
      <w:r>
        <w:rPr>
          <w:rFonts w:ascii="Times New Roman" w:hAnsi="Times New Roman"/>
          <w:sz w:val="24"/>
          <w:szCs w:val="24"/>
        </w:rPr>
        <w:t xml:space="preserve">exit of export varieties for non-SEZ firms in priority sectors, despite the fact that this law was more generous towards non-SEZ firms than Law 139-11. These results are illustrated in Figure 5. Neither the 2007 nor the 2011 reform appeared to have </w:t>
      </w:r>
      <w:r>
        <w:rPr>
          <w:rFonts w:ascii="Times New Roman" w:hAnsi="Times New Roman"/>
          <w:sz w:val="24"/>
          <w:szCs w:val="24"/>
        </w:rPr>
        <w:lastRenderedPageBreak/>
        <w:t>produced a significant effect on the value of exports or the number of destinations served by established exporters – i.e. those firms that export in every year of the period of analysis.</w:t>
      </w:r>
    </w:p>
    <w:p w14:paraId="7C83255F" w14:textId="35EFACFA" w:rsidR="003737C2" w:rsidRDefault="003737C2" w:rsidP="00795AAF">
      <w:pPr>
        <w:spacing w:after="120" w:line="276" w:lineRule="auto"/>
        <w:jc w:val="both"/>
        <w:rPr>
          <w:rFonts w:ascii="Times New Roman" w:hAnsi="Times New Roman"/>
          <w:sz w:val="24"/>
          <w:szCs w:val="24"/>
        </w:rPr>
      </w:pPr>
      <w:r>
        <w:rPr>
          <w:rFonts w:ascii="Times New Roman" w:hAnsi="Times New Roman"/>
          <w:b/>
          <w:sz w:val="24"/>
          <w:szCs w:val="24"/>
        </w:rPr>
        <w:t xml:space="preserve">The </w:t>
      </w:r>
      <w:r w:rsidRPr="00DA0795">
        <w:rPr>
          <w:rFonts w:ascii="Times New Roman" w:hAnsi="Times New Roman"/>
          <w:b/>
          <w:sz w:val="24"/>
          <w:szCs w:val="24"/>
        </w:rPr>
        <w:t>results overall show that removing the ESR for firms operating in SEZ</w:t>
      </w:r>
      <w:r w:rsidR="00A40A94">
        <w:rPr>
          <w:rFonts w:ascii="Times New Roman" w:hAnsi="Times New Roman"/>
          <w:b/>
          <w:sz w:val="24"/>
          <w:szCs w:val="24"/>
        </w:rPr>
        <w:t>s</w:t>
      </w:r>
      <w:r w:rsidRPr="00DA0795">
        <w:rPr>
          <w:rFonts w:ascii="Times New Roman" w:hAnsi="Times New Roman"/>
          <w:b/>
          <w:sz w:val="24"/>
          <w:szCs w:val="24"/>
        </w:rPr>
        <w:t xml:space="preserve"> without altering the fiscal incentives available to them has made SEZ</w:t>
      </w:r>
      <w:r w:rsidR="00A40A94">
        <w:rPr>
          <w:rFonts w:ascii="Times New Roman" w:hAnsi="Times New Roman"/>
          <w:b/>
          <w:sz w:val="24"/>
          <w:szCs w:val="24"/>
        </w:rPr>
        <w:t>s</w:t>
      </w:r>
      <w:r w:rsidRPr="00DA0795">
        <w:rPr>
          <w:rFonts w:ascii="Times New Roman" w:hAnsi="Times New Roman"/>
          <w:b/>
          <w:sz w:val="24"/>
          <w:szCs w:val="24"/>
        </w:rPr>
        <w:t xml:space="preserve"> in the Dominican Republic a more attractive location for firms to operate in. </w:t>
      </w:r>
      <w:r w:rsidRPr="00DA0795">
        <w:rPr>
          <w:rFonts w:ascii="Times New Roman" w:hAnsi="Times New Roman"/>
          <w:sz w:val="24"/>
          <w:szCs w:val="24"/>
        </w:rPr>
        <w:t>In terms of export performance, this means that in a given HS-6 industry, firms in SEZ</w:t>
      </w:r>
      <w:r w:rsidR="00A40A94">
        <w:rPr>
          <w:rFonts w:ascii="Times New Roman" w:hAnsi="Times New Roman"/>
          <w:sz w:val="24"/>
          <w:szCs w:val="24"/>
        </w:rPr>
        <w:t>s</w:t>
      </w:r>
      <w:r w:rsidRPr="00DA0795">
        <w:rPr>
          <w:rFonts w:ascii="Times New Roman" w:hAnsi="Times New Roman"/>
          <w:sz w:val="24"/>
          <w:szCs w:val="24"/>
        </w:rPr>
        <w:t xml:space="preserve"> account for a larger share of exporters following the scrapping of the ESR. This was the case both after the sector-specific policy change in 2007 and </w:t>
      </w:r>
      <w:r w:rsidR="00A40A94">
        <w:rPr>
          <w:rFonts w:ascii="Times New Roman" w:hAnsi="Times New Roman"/>
          <w:sz w:val="24"/>
          <w:szCs w:val="24"/>
        </w:rPr>
        <w:t xml:space="preserve">after </w:t>
      </w:r>
      <w:r w:rsidRPr="00DA0795">
        <w:rPr>
          <w:rFonts w:ascii="Times New Roman" w:hAnsi="Times New Roman"/>
          <w:sz w:val="24"/>
          <w:szCs w:val="24"/>
        </w:rPr>
        <w:t>the broad-based reform of 2011. Neither reform significantly affected the share of exports (in terms of value) accounted for by SEZ firms. There are two reasons which explain this finding: the fiscal incentives extended to non-SEZ firms in priority sectors were not sufficiently large to produce a substantial change in the composition of exports at the product level; particularly given that non-SEZ firms accounted for less than 2</w:t>
      </w:r>
      <w:r w:rsidR="00A40A94">
        <w:rPr>
          <w:rFonts w:ascii="Times New Roman" w:hAnsi="Times New Roman"/>
          <w:sz w:val="24"/>
          <w:szCs w:val="24"/>
        </w:rPr>
        <w:t xml:space="preserve"> percent</w:t>
      </w:r>
      <w:r w:rsidRPr="00DA0795">
        <w:rPr>
          <w:rFonts w:ascii="Times New Roman" w:hAnsi="Times New Roman"/>
          <w:sz w:val="24"/>
          <w:szCs w:val="24"/>
        </w:rPr>
        <w:t xml:space="preserve"> of textiles and apparel, leather and footwear before the reform. In non-priority sectors, which were less dominated by SEZ firms prior to the policy change, firms operating outside the zones had to compete with SEZ firms domestically and do so without receiving the same fiscal incentives as SEZ firms following the elimination of ESR</w:t>
      </w:r>
      <w:r w:rsidR="006843FE">
        <w:rPr>
          <w:rFonts w:ascii="Times New Roman" w:hAnsi="Times New Roman"/>
          <w:sz w:val="24"/>
          <w:szCs w:val="24"/>
        </w:rPr>
        <w:t>, which places them at a disadvantageous position</w:t>
      </w:r>
      <w:r w:rsidRPr="00DA0795">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57680" w14:paraId="2F551632" w14:textId="77777777" w:rsidTr="00717281">
        <w:tc>
          <w:tcPr>
            <w:tcW w:w="9350" w:type="dxa"/>
          </w:tcPr>
          <w:p w14:paraId="4E3DAE50" w14:textId="31BA6804" w:rsidR="00D57680" w:rsidRPr="00963C93" w:rsidRDefault="00D57680" w:rsidP="00C22F24">
            <w:pPr>
              <w:spacing w:after="120"/>
              <w:jc w:val="center"/>
              <w:rPr>
                <w:rFonts w:ascii="Times New Roman" w:hAnsi="Times New Roman"/>
                <w:b/>
                <w:sz w:val="24"/>
                <w:szCs w:val="24"/>
              </w:rPr>
            </w:pPr>
            <w:r w:rsidRPr="00982224">
              <w:rPr>
                <w:rFonts w:asciiTheme="majorHAnsi" w:hAnsiTheme="majorHAnsi" w:cstheme="majorHAnsi"/>
                <w:b/>
                <w:sz w:val="24"/>
                <w:szCs w:val="24"/>
              </w:rPr>
              <w:t xml:space="preserve">Figure </w:t>
            </w:r>
            <w:r w:rsidRPr="00982224">
              <w:rPr>
                <w:rFonts w:asciiTheme="majorHAnsi" w:hAnsiTheme="majorHAnsi" w:cstheme="majorHAnsi"/>
                <w:b/>
                <w:sz w:val="24"/>
                <w:szCs w:val="24"/>
              </w:rPr>
              <w:fldChar w:fldCharType="begin"/>
            </w:r>
            <w:r w:rsidRPr="00982224">
              <w:rPr>
                <w:rFonts w:asciiTheme="majorHAnsi" w:hAnsiTheme="majorHAnsi" w:cstheme="majorHAnsi"/>
                <w:b/>
                <w:sz w:val="24"/>
                <w:szCs w:val="24"/>
              </w:rPr>
              <w:instrText xml:space="preserve"> SEQ Figure \* ARABIC </w:instrText>
            </w:r>
            <w:r w:rsidRPr="00982224">
              <w:rPr>
                <w:rFonts w:asciiTheme="majorHAnsi" w:hAnsiTheme="majorHAnsi" w:cstheme="majorHAnsi"/>
                <w:b/>
                <w:sz w:val="24"/>
                <w:szCs w:val="24"/>
              </w:rPr>
              <w:fldChar w:fldCharType="separate"/>
            </w:r>
            <w:r w:rsidR="00893CAD">
              <w:rPr>
                <w:rFonts w:asciiTheme="majorHAnsi" w:hAnsiTheme="majorHAnsi" w:cstheme="majorHAnsi"/>
                <w:b/>
                <w:noProof/>
                <w:sz w:val="24"/>
                <w:szCs w:val="24"/>
              </w:rPr>
              <w:t>13</w:t>
            </w:r>
            <w:r w:rsidRPr="00982224">
              <w:rPr>
                <w:rFonts w:asciiTheme="majorHAnsi" w:hAnsiTheme="majorHAnsi" w:cstheme="majorHAnsi"/>
                <w:b/>
                <w:sz w:val="24"/>
                <w:szCs w:val="24"/>
              </w:rPr>
              <w:fldChar w:fldCharType="end"/>
            </w:r>
            <w:r w:rsidRPr="002A29FB">
              <w:rPr>
                <w:rFonts w:ascii="Times New Roman" w:hAnsi="Times New Roman"/>
                <w:b/>
                <w:sz w:val="24"/>
                <w:szCs w:val="24"/>
              </w:rPr>
              <w:t xml:space="preserve">: </w:t>
            </w:r>
            <w:r>
              <w:rPr>
                <w:rFonts w:ascii="Times New Roman" w:hAnsi="Times New Roman"/>
                <w:b/>
                <w:sz w:val="24"/>
                <w:szCs w:val="24"/>
              </w:rPr>
              <w:t>D</w:t>
            </w:r>
            <w:r w:rsidRPr="002A29FB">
              <w:rPr>
                <w:rFonts w:ascii="Times New Roman" w:hAnsi="Times New Roman"/>
                <w:b/>
                <w:sz w:val="24"/>
                <w:szCs w:val="24"/>
              </w:rPr>
              <w:t>id the</w:t>
            </w:r>
            <w:r>
              <w:rPr>
                <w:rFonts w:ascii="Times New Roman" w:hAnsi="Times New Roman"/>
                <w:b/>
                <w:sz w:val="24"/>
                <w:szCs w:val="24"/>
              </w:rPr>
              <w:t xml:space="preserve"> 2007 and 2011</w:t>
            </w:r>
            <w:r w:rsidRPr="002A29FB">
              <w:rPr>
                <w:rFonts w:ascii="Times New Roman" w:hAnsi="Times New Roman"/>
                <w:b/>
                <w:sz w:val="24"/>
                <w:szCs w:val="24"/>
              </w:rPr>
              <w:t xml:space="preserve"> </w:t>
            </w:r>
            <w:r>
              <w:rPr>
                <w:rFonts w:ascii="Times New Roman" w:hAnsi="Times New Roman"/>
                <w:b/>
                <w:sz w:val="24"/>
                <w:szCs w:val="24"/>
              </w:rPr>
              <w:t>Reforms Induce Entry or Exit of Exported Varieties?</w:t>
            </w:r>
          </w:p>
        </w:tc>
      </w:tr>
      <w:tr w:rsidR="00D57680" w14:paraId="579683B0" w14:textId="77777777" w:rsidTr="00717281">
        <w:tc>
          <w:tcPr>
            <w:tcW w:w="9350" w:type="dxa"/>
          </w:tcPr>
          <w:p w14:paraId="6E413B8D" w14:textId="77777777" w:rsidR="00D57680" w:rsidRDefault="00D57680" w:rsidP="00427B2B">
            <w:pPr>
              <w:spacing w:after="120"/>
              <w:jc w:val="center"/>
              <w:rPr>
                <w:rFonts w:ascii="Times New Roman" w:hAnsi="Times New Roman"/>
                <w:sz w:val="24"/>
                <w:szCs w:val="24"/>
              </w:rPr>
            </w:pPr>
            <w:r w:rsidRPr="007B11C6">
              <w:rPr>
                <w:rFonts w:ascii="Times New Roman" w:hAnsi="Times New Roman"/>
                <w:noProof/>
                <w:sz w:val="24"/>
                <w:szCs w:val="24"/>
              </w:rPr>
              <w:drawing>
                <wp:inline distT="0" distB="0" distL="0" distR="0" wp14:anchorId="0DFD07DF" wp14:editId="0C32A367">
                  <wp:extent cx="4842831" cy="2581369"/>
                  <wp:effectExtent l="0" t="0" r="34290" b="349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D57680" w14:paraId="10635D27" w14:textId="77777777" w:rsidTr="00717281">
        <w:tc>
          <w:tcPr>
            <w:tcW w:w="9350" w:type="dxa"/>
          </w:tcPr>
          <w:p w14:paraId="3A64A29A" w14:textId="77777777" w:rsidR="00C9460C" w:rsidRDefault="00D57680" w:rsidP="00C9460C">
            <w:pPr>
              <w:ind w:left="720" w:right="764"/>
              <w:jc w:val="both"/>
              <w:rPr>
                <w:rFonts w:ascii="Times New Roman" w:hAnsi="Times New Roman"/>
                <w:sz w:val="20"/>
                <w:szCs w:val="20"/>
              </w:rPr>
            </w:pPr>
            <w:r>
              <w:rPr>
                <w:rFonts w:ascii="Times New Roman" w:hAnsi="Times New Roman"/>
                <w:sz w:val="20"/>
                <w:szCs w:val="20"/>
              </w:rPr>
              <w:t xml:space="preserve">Note: The bars are the estimated coefficients of a regression in which the dependent variable is a dichotomous variable taking the value 1 </w:t>
            </w:r>
            <w:r w:rsidRPr="006B1171">
              <w:rPr>
                <w:rFonts w:ascii="Times New Roman" w:hAnsi="Times New Roman"/>
                <w:sz w:val="20"/>
                <w:szCs w:val="20"/>
              </w:rPr>
              <w:t>when a firm starts to export a new HS-6 product in a given year and 0 otherwise</w:t>
            </w:r>
            <w:r>
              <w:rPr>
                <w:rFonts w:ascii="Times New Roman" w:hAnsi="Times New Roman"/>
                <w:sz w:val="20"/>
                <w:szCs w:val="20"/>
              </w:rPr>
              <w:t xml:space="preserve"> on interaction terms between a firm’s SEZ and priority-sector status after 2008 and 2012 respectively. </w:t>
            </w:r>
            <w:r w:rsidRPr="000F44CD">
              <w:rPr>
                <w:rFonts w:ascii="Times New Roman" w:hAnsi="Times New Roman"/>
                <w:sz w:val="20"/>
                <w:szCs w:val="20"/>
              </w:rPr>
              <w:t xml:space="preserve">All specifications include HS-6 product x SEZ and year x SEZ fixed effects and HS-2 product-specific linear trends. Robust standard errors clustered at the HS-6 product level. </w:t>
            </w:r>
            <w:r>
              <w:rPr>
                <w:rFonts w:ascii="Times New Roman" w:hAnsi="Times New Roman"/>
                <w:sz w:val="20"/>
                <w:szCs w:val="20"/>
              </w:rPr>
              <w:t>Vertical lines denote confidence intervals.</w:t>
            </w:r>
          </w:p>
          <w:p w14:paraId="4AA7C0FB" w14:textId="41BEBDD2" w:rsidR="00D57680" w:rsidRPr="00C9460C" w:rsidRDefault="00D57680" w:rsidP="00C9460C">
            <w:pPr>
              <w:ind w:left="720" w:right="764"/>
              <w:jc w:val="both"/>
              <w:rPr>
                <w:rFonts w:ascii="Times New Roman" w:hAnsi="Times New Roman"/>
                <w:sz w:val="20"/>
                <w:szCs w:val="20"/>
              </w:rPr>
            </w:pPr>
            <w:r w:rsidRPr="003737C2">
              <w:rPr>
                <w:rFonts w:ascii="Times New Roman" w:hAnsi="Times New Roman"/>
                <w:sz w:val="20"/>
                <w:szCs w:val="20"/>
                <w:lang w:val="es-CO"/>
              </w:rPr>
              <w:t>Source: authors’ calculations</w:t>
            </w:r>
          </w:p>
          <w:p w14:paraId="20A3494F" w14:textId="77777777" w:rsidR="00417311" w:rsidRDefault="00417311" w:rsidP="00795AAF">
            <w:pPr>
              <w:jc w:val="both"/>
              <w:rPr>
                <w:rFonts w:ascii="Times New Roman" w:hAnsi="Times New Roman"/>
                <w:sz w:val="20"/>
                <w:szCs w:val="20"/>
                <w:lang w:val="es-CO"/>
              </w:rPr>
            </w:pPr>
          </w:p>
          <w:p w14:paraId="6B3FF9E9" w14:textId="77777777" w:rsidR="00417311" w:rsidRDefault="00417311" w:rsidP="00795AAF">
            <w:pPr>
              <w:jc w:val="both"/>
              <w:rPr>
                <w:rFonts w:ascii="Times New Roman" w:hAnsi="Times New Roman"/>
                <w:sz w:val="24"/>
                <w:szCs w:val="24"/>
              </w:rPr>
            </w:pPr>
          </w:p>
        </w:tc>
      </w:tr>
    </w:tbl>
    <w:p w14:paraId="32D183EC" w14:textId="4AF502F0" w:rsidR="0038400A" w:rsidRDefault="0038400A" w:rsidP="004A6C59">
      <w:pPr>
        <w:spacing w:after="200" w:line="276" w:lineRule="auto"/>
        <w:jc w:val="both"/>
      </w:pPr>
      <w:r>
        <w:br w:type="page"/>
      </w:r>
    </w:p>
    <w:p w14:paraId="2ABEC249" w14:textId="5487E98A" w:rsidR="00893F23" w:rsidRPr="003469F5" w:rsidRDefault="0004184B" w:rsidP="003469F5">
      <w:pPr>
        <w:pStyle w:val="Heading1"/>
        <w:spacing w:after="240"/>
        <w:rPr>
          <w:rFonts w:asciiTheme="majorHAnsi" w:hAnsiTheme="majorHAnsi" w:cstheme="majorHAnsi"/>
        </w:rPr>
      </w:pPr>
      <w:bookmarkStart w:id="23" w:name="_Toc461524382"/>
      <w:r w:rsidRPr="003469F5">
        <w:rPr>
          <w:rFonts w:asciiTheme="majorHAnsi" w:hAnsiTheme="majorHAnsi" w:cstheme="majorHAnsi"/>
        </w:rPr>
        <w:lastRenderedPageBreak/>
        <w:t xml:space="preserve">Conclusions and </w:t>
      </w:r>
      <w:r w:rsidR="00893F23" w:rsidRPr="003469F5">
        <w:rPr>
          <w:rFonts w:asciiTheme="majorHAnsi" w:hAnsiTheme="majorHAnsi" w:cstheme="majorHAnsi"/>
        </w:rPr>
        <w:t xml:space="preserve">Policy </w:t>
      </w:r>
      <w:bookmarkEnd w:id="23"/>
      <w:r w:rsidR="004B0BF8">
        <w:rPr>
          <w:rFonts w:asciiTheme="majorHAnsi" w:hAnsiTheme="majorHAnsi" w:cstheme="majorHAnsi"/>
        </w:rPr>
        <w:t>Directions</w:t>
      </w:r>
    </w:p>
    <w:p w14:paraId="0C061F0B" w14:textId="61D854E0" w:rsidR="003469F5" w:rsidRPr="003455A3" w:rsidRDefault="003469F5" w:rsidP="003455A3">
      <w:pPr>
        <w:spacing w:after="200" w:line="276" w:lineRule="auto"/>
        <w:jc w:val="both"/>
        <w:rPr>
          <w:rFonts w:asciiTheme="majorHAnsi" w:hAnsiTheme="majorHAnsi" w:cstheme="majorHAnsi"/>
          <w:sz w:val="24"/>
          <w:szCs w:val="24"/>
        </w:rPr>
      </w:pPr>
      <w:r w:rsidRPr="003455A3">
        <w:rPr>
          <w:rFonts w:asciiTheme="majorHAnsi" w:hAnsiTheme="majorHAnsi" w:cstheme="majorHAnsi"/>
          <w:b/>
          <w:sz w:val="24"/>
          <w:szCs w:val="24"/>
        </w:rPr>
        <w:t xml:space="preserve">Over the past decade, the </w:t>
      </w:r>
      <w:r w:rsidR="0033175A">
        <w:rPr>
          <w:rFonts w:asciiTheme="majorHAnsi" w:hAnsiTheme="majorHAnsi" w:cstheme="majorHAnsi"/>
          <w:b/>
          <w:sz w:val="24"/>
          <w:szCs w:val="24"/>
        </w:rPr>
        <w:t xml:space="preserve">elimination </w:t>
      </w:r>
      <w:r w:rsidR="0033175A" w:rsidRPr="003455A3">
        <w:rPr>
          <w:rFonts w:asciiTheme="majorHAnsi" w:hAnsiTheme="majorHAnsi" w:cstheme="majorHAnsi"/>
          <w:b/>
          <w:sz w:val="24"/>
          <w:szCs w:val="24"/>
        </w:rPr>
        <w:t xml:space="preserve">of trade preferences </w:t>
      </w:r>
      <w:r w:rsidR="0033175A">
        <w:rPr>
          <w:rFonts w:asciiTheme="majorHAnsi" w:hAnsiTheme="majorHAnsi" w:cstheme="majorHAnsi"/>
          <w:b/>
          <w:sz w:val="24"/>
          <w:szCs w:val="24"/>
        </w:rPr>
        <w:t xml:space="preserve">in </w:t>
      </w:r>
      <w:r w:rsidR="0033175A" w:rsidRPr="003455A3">
        <w:rPr>
          <w:rFonts w:asciiTheme="majorHAnsi" w:hAnsiTheme="majorHAnsi" w:cstheme="majorHAnsi"/>
          <w:b/>
          <w:sz w:val="24"/>
          <w:szCs w:val="24"/>
        </w:rPr>
        <w:t xml:space="preserve">the garment industry has hit the </w:t>
      </w:r>
      <w:r w:rsidR="0033175A">
        <w:rPr>
          <w:rFonts w:asciiTheme="majorHAnsi" w:hAnsiTheme="majorHAnsi" w:cstheme="majorHAnsi"/>
          <w:b/>
          <w:sz w:val="24"/>
          <w:szCs w:val="24"/>
        </w:rPr>
        <w:t xml:space="preserve">SEZs in the </w:t>
      </w:r>
      <w:r w:rsidR="0033175A" w:rsidRPr="003455A3">
        <w:rPr>
          <w:rFonts w:asciiTheme="majorHAnsi" w:hAnsiTheme="majorHAnsi" w:cstheme="majorHAnsi"/>
          <w:b/>
          <w:sz w:val="24"/>
          <w:szCs w:val="24"/>
        </w:rPr>
        <w:t>Dominican Republic</w:t>
      </w:r>
      <w:r w:rsidRPr="003455A3">
        <w:rPr>
          <w:rFonts w:asciiTheme="majorHAnsi" w:hAnsiTheme="majorHAnsi" w:cstheme="majorHAnsi"/>
          <w:b/>
          <w:sz w:val="24"/>
          <w:szCs w:val="24"/>
        </w:rPr>
        <w:t xml:space="preserve">, but some revival in </w:t>
      </w:r>
      <w:r w:rsidR="003455A3" w:rsidRPr="003455A3">
        <w:rPr>
          <w:rFonts w:asciiTheme="majorHAnsi" w:hAnsiTheme="majorHAnsi" w:cstheme="majorHAnsi"/>
          <w:b/>
          <w:sz w:val="24"/>
          <w:szCs w:val="24"/>
        </w:rPr>
        <w:t xml:space="preserve">SEZs’ </w:t>
      </w:r>
      <w:r w:rsidRPr="003455A3">
        <w:rPr>
          <w:rFonts w:asciiTheme="majorHAnsi" w:hAnsiTheme="majorHAnsi" w:cstheme="majorHAnsi"/>
          <w:b/>
          <w:sz w:val="24"/>
          <w:szCs w:val="24"/>
        </w:rPr>
        <w:t>activity has been observed since 200</w:t>
      </w:r>
      <w:r w:rsidR="003455A3" w:rsidRPr="003455A3">
        <w:rPr>
          <w:rFonts w:asciiTheme="majorHAnsi" w:hAnsiTheme="majorHAnsi" w:cstheme="majorHAnsi"/>
          <w:b/>
          <w:sz w:val="24"/>
          <w:szCs w:val="24"/>
        </w:rPr>
        <w:t>9</w:t>
      </w:r>
      <w:r w:rsidRPr="003455A3">
        <w:rPr>
          <w:rFonts w:asciiTheme="majorHAnsi" w:hAnsiTheme="majorHAnsi" w:cstheme="majorHAnsi"/>
          <w:b/>
          <w:sz w:val="24"/>
          <w:szCs w:val="24"/>
        </w:rPr>
        <w:t xml:space="preserve">. </w:t>
      </w:r>
      <w:r w:rsidRPr="003455A3">
        <w:rPr>
          <w:rFonts w:asciiTheme="majorHAnsi" w:hAnsiTheme="majorHAnsi" w:cstheme="majorHAnsi"/>
          <w:sz w:val="24"/>
          <w:szCs w:val="24"/>
        </w:rPr>
        <w:t xml:space="preserve">The sharp decline in export-oriented textile manufacturing in the aftermath of the </w:t>
      </w:r>
      <w:r w:rsidR="003455A3">
        <w:rPr>
          <w:rFonts w:asciiTheme="majorHAnsi" w:hAnsiTheme="majorHAnsi" w:cstheme="majorHAnsi"/>
          <w:sz w:val="24"/>
          <w:szCs w:val="24"/>
        </w:rPr>
        <w:t xml:space="preserve">MFA in </w:t>
      </w:r>
      <w:r w:rsidRPr="003455A3">
        <w:rPr>
          <w:rFonts w:asciiTheme="majorHAnsi" w:hAnsiTheme="majorHAnsi" w:cstheme="majorHAnsi"/>
          <w:sz w:val="24"/>
          <w:szCs w:val="24"/>
        </w:rPr>
        <w:t xml:space="preserve">2005 is also reflected in a </w:t>
      </w:r>
      <w:r w:rsidR="00A764FC">
        <w:rPr>
          <w:rFonts w:asciiTheme="majorHAnsi" w:hAnsiTheme="majorHAnsi" w:cstheme="majorHAnsi"/>
          <w:sz w:val="24"/>
          <w:szCs w:val="24"/>
        </w:rPr>
        <w:t xml:space="preserve">subsequent </w:t>
      </w:r>
      <w:r w:rsidRPr="003455A3">
        <w:rPr>
          <w:rFonts w:asciiTheme="majorHAnsi" w:hAnsiTheme="majorHAnsi" w:cstheme="majorHAnsi"/>
          <w:sz w:val="24"/>
          <w:szCs w:val="24"/>
        </w:rPr>
        <w:t xml:space="preserve">falling </w:t>
      </w:r>
      <w:r w:rsidR="00A764FC">
        <w:rPr>
          <w:rFonts w:asciiTheme="majorHAnsi" w:hAnsiTheme="majorHAnsi" w:cstheme="majorHAnsi"/>
          <w:sz w:val="24"/>
          <w:szCs w:val="24"/>
        </w:rPr>
        <w:t xml:space="preserve">in </w:t>
      </w:r>
      <w:r w:rsidRPr="003455A3">
        <w:rPr>
          <w:rFonts w:asciiTheme="majorHAnsi" w:hAnsiTheme="majorHAnsi" w:cstheme="majorHAnsi"/>
          <w:sz w:val="24"/>
          <w:szCs w:val="24"/>
        </w:rPr>
        <w:t>export share</w:t>
      </w:r>
      <w:r w:rsidR="00A764FC">
        <w:rPr>
          <w:rFonts w:asciiTheme="majorHAnsi" w:hAnsiTheme="majorHAnsi" w:cstheme="majorHAnsi"/>
          <w:sz w:val="24"/>
          <w:szCs w:val="24"/>
        </w:rPr>
        <w:t>s</w:t>
      </w:r>
      <w:r w:rsidRPr="003455A3">
        <w:rPr>
          <w:rFonts w:asciiTheme="majorHAnsi" w:hAnsiTheme="majorHAnsi" w:cstheme="majorHAnsi"/>
          <w:sz w:val="24"/>
          <w:szCs w:val="24"/>
        </w:rPr>
        <w:t>, prior to a modest recovery</w:t>
      </w:r>
      <w:r w:rsidR="00A764FC">
        <w:rPr>
          <w:rFonts w:asciiTheme="majorHAnsi" w:hAnsiTheme="majorHAnsi" w:cstheme="majorHAnsi"/>
          <w:sz w:val="24"/>
          <w:szCs w:val="24"/>
        </w:rPr>
        <w:t xml:space="preserve"> in 2010</w:t>
      </w:r>
      <w:r w:rsidRPr="003455A3">
        <w:rPr>
          <w:rFonts w:asciiTheme="majorHAnsi" w:hAnsiTheme="majorHAnsi" w:cstheme="majorHAnsi"/>
          <w:sz w:val="24"/>
          <w:szCs w:val="24"/>
        </w:rPr>
        <w:t xml:space="preserve">. The decline in garment manufacturing was accompanied by a decrease in garment imports, closure of companies in this sector and </w:t>
      </w:r>
      <w:r w:rsidR="002E4F15">
        <w:rPr>
          <w:rFonts w:asciiTheme="majorHAnsi" w:hAnsiTheme="majorHAnsi" w:cstheme="majorHAnsi"/>
          <w:sz w:val="24"/>
          <w:szCs w:val="24"/>
        </w:rPr>
        <w:t xml:space="preserve">declining </w:t>
      </w:r>
      <w:r w:rsidRPr="003455A3">
        <w:rPr>
          <w:rFonts w:asciiTheme="majorHAnsi" w:hAnsiTheme="majorHAnsi" w:cstheme="majorHAnsi"/>
          <w:sz w:val="24"/>
          <w:szCs w:val="24"/>
        </w:rPr>
        <w:t xml:space="preserve">real wages. At the same time, a shift towards </w:t>
      </w:r>
      <w:r w:rsidR="00FA2D82">
        <w:rPr>
          <w:rFonts w:asciiTheme="majorHAnsi" w:hAnsiTheme="majorHAnsi" w:cstheme="majorHAnsi"/>
          <w:sz w:val="24"/>
          <w:szCs w:val="24"/>
        </w:rPr>
        <w:t xml:space="preserve">more </w:t>
      </w:r>
      <w:r w:rsidRPr="003455A3">
        <w:rPr>
          <w:rFonts w:asciiTheme="majorHAnsi" w:hAnsiTheme="majorHAnsi" w:cstheme="majorHAnsi"/>
          <w:sz w:val="24"/>
          <w:szCs w:val="24"/>
        </w:rPr>
        <w:t>capital</w:t>
      </w:r>
      <w:r w:rsidR="00FA2D82">
        <w:rPr>
          <w:rFonts w:asciiTheme="majorHAnsi" w:hAnsiTheme="majorHAnsi" w:cstheme="majorHAnsi"/>
          <w:sz w:val="24"/>
          <w:szCs w:val="24"/>
        </w:rPr>
        <w:t>-</w:t>
      </w:r>
      <w:r w:rsidRPr="003455A3">
        <w:rPr>
          <w:rFonts w:asciiTheme="majorHAnsi" w:hAnsiTheme="majorHAnsi" w:cstheme="majorHAnsi"/>
          <w:sz w:val="24"/>
          <w:szCs w:val="24"/>
        </w:rPr>
        <w:t xml:space="preserve">intensive manufacturing, accompanied by increasing wages in these sectors, </w:t>
      </w:r>
      <w:r w:rsidR="00FA2D82">
        <w:rPr>
          <w:rFonts w:asciiTheme="majorHAnsi" w:hAnsiTheme="majorHAnsi" w:cstheme="majorHAnsi"/>
          <w:sz w:val="24"/>
          <w:szCs w:val="24"/>
        </w:rPr>
        <w:t xml:space="preserve">is </w:t>
      </w:r>
      <w:r w:rsidRPr="003455A3">
        <w:rPr>
          <w:rFonts w:asciiTheme="majorHAnsi" w:hAnsiTheme="majorHAnsi" w:cstheme="majorHAnsi"/>
          <w:sz w:val="24"/>
          <w:szCs w:val="24"/>
        </w:rPr>
        <w:t xml:space="preserve">observed. Following the </w:t>
      </w:r>
      <w:r w:rsidR="00A764FC">
        <w:rPr>
          <w:rFonts w:asciiTheme="majorHAnsi" w:hAnsiTheme="majorHAnsi" w:cstheme="majorHAnsi"/>
          <w:sz w:val="24"/>
          <w:szCs w:val="24"/>
        </w:rPr>
        <w:t xml:space="preserve">global </w:t>
      </w:r>
      <w:r w:rsidRPr="003455A3">
        <w:rPr>
          <w:rFonts w:asciiTheme="majorHAnsi" w:hAnsiTheme="majorHAnsi" w:cstheme="majorHAnsi"/>
          <w:sz w:val="24"/>
          <w:szCs w:val="24"/>
        </w:rPr>
        <w:t xml:space="preserve">slowdown </w:t>
      </w:r>
      <w:r w:rsidR="00A764FC">
        <w:rPr>
          <w:rFonts w:asciiTheme="majorHAnsi" w:hAnsiTheme="majorHAnsi" w:cstheme="majorHAnsi"/>
          <w:sz w:val="24"/>
          <w:szCs w:val="24"/>
        </w:rPr>
        <w:t xml:space="preserve">in </w:t>
      </w:r>
      <w:r w:rsidRPr="003455A3">
        <w:rPr>
          <w:rFonts w:asciiTheme="majorHAnsi" w:hAnsiTheme="majorHAnsi" w:cstheme="majorHAnsi"/>
          <w:sz w:val="24"/>
          <w:szCs w:val="24"/>
        </w:rPr>
        <w:t xml:space="preserve">2009, </w:t>
      </w:r>
      <w:r w:rsidR="00FA2D82">
        <w:rPr>
          <w:rFonts w:asciiTheme="majorHAnsi" w:hAnsiTheme="majorHAnsi" w:cstheme="majorHAnsi"/>
          <w:sz w:val="24"/>
          <w:szCs w:val="24"/>
        </w:rPr>
        <w:t xml:space="preserve">SEZs </w:t>
      </w:r>
      <w:r w:rsidR="00A764FC">
        <w:rPr>
          <w:rFonts w:asciiTheme="majorHAnsi" w:hAnsiTheme="majorHAnsi" w:cstheme="majorHAnsi"/>
          <w:sz w:val="24"/>
          <w:szCs w:val="24"/>
        </w:rPr>
        <w:t xml:space="preserve">in the Dominican Republic </w:t>
      </w:r>
      <w:r w:rsidRPr="003455A3">
        <w:rPr>
          <w:rFonts w:asciiTheme="majorHAnsi" w:hAnsiTheme="majorHAnsi" w:cstheme="majorHAnsi"/>
          <w:sz w:val="24"/>
          <w:szCs w:val="24"/>
        </w:rPr>
        <w:t xml:space="preserve">started to accelerate their diversification into footwear, surgical equipment, </w:t>
      </w:r>
      <w:r w:rsidR="00F561B1">
        <w:rPr>
          <w:rFonts w:asciiTheme="majorHAnsi" w:hAnsiTheme="majorHAnsi" w:cstheme="majorHAnsi"/>
          <w:sz w:val="24"/>
          <w:szCs w:val="24"/>
        </w:rPr>
        <w:t>electrical products, and pharmaceuticals</w:t>
      </w:r>
      <w:r w:rsidRPr="003455A3">
        <w:rPr>
          <w:rFonts w:asciiTheme="majorHAnsi" w:hAnsiTheme="majorHAnsi" w:cstheme="majorHAnsi"/>
          <w:sz w:val="24"/>
          <w:szCs w:val="24"/>
        </w:rPr>
        <w:t>. As of 201</w:t>
      </w:r>
      <w:r w:rsidR="00F561B1">
        <w:rPr>
          <w:rFonts w:asciiTheme="majorHAnsi" w:hAnsiTheme="majorHAnsi" w:cstheme="majorHAnsi"/>
          <w:sz w:val="24"/>
          <w:szCs w:val="24"/>
        </w:rPr>
        <w:t>5</w:t>
      </w:r>
      <w:r w:rsidRPr="003455A3">
        <w:rPr>
          <w:rFonts w:asciiTheme="majorHAnsi" w:hAnsiTheme="majorHAnsi" w:cstheme="majorHAnsi"/>
          <w:sz w:val="24"/>
          <w:szCs w:val="24"/>
        </w:rPr>
        <w:t>, SEZs remain a main driver of export performance, concentrating around half of total exports, although their share has declined notably vis-à-vis increasingly dynamic local exports (</w:t>
      </w:r>
      <w:r w:rsidR="00FA2D82">
        <w:rPr>
          <w:rFonts w:asciiTheme="majorHAnsi" w:hAnsiTheme="majorHAnsi" w:cstheme="majorHAnsi"/>
          <w:sz w:val="24"/>
          <w:szCs w:val="24"/>
        </w:rPr>
        <w:t>mostly resource-based production</w:t>
      </w:r>
      <w:r w:rsidRPr="003455A3">
        <w:rPr>
          <w:rFonts w:asciiTheme="majorHAnsi" w:hAnsiTheme="majorHAnsi" w:cstheme="majorHAnsi"/>
          <w:sz w:val="24"/>
          <w:szCs w:val="24"/>
        </w:rPr>
        <w:t xml:space="preserve">). </w:t>
      </w:r>
    </w:p>
    <w:p w14:paraId="61E19F78" w14:textId="15DF8991" w:rsidR="003469F5" w:rsidRPr="003455A3" w:rsidRDefault="003469F5" w:rsidP="003455A3">
      <w:pPr>
        <w:spacing w:after="200" w:line="276" w:lineRule="auto"/>
        <w:jc w:val="both"/>
        <w:rPr>
          <w:rFonts w:asciiTheme="majorHAnsi" w:hAnsiTheme="majorHAnsi" w:cstheme="majorHAnsi"/>
          <w:sz w:val="24"/>
          <w:szCs w:val="24"/>
        </w:rPr>
      </w:pPr>
      <w:r w:rsidRPr="00FA2D82">
        <w:rPr>
          <w:rFonts w:asciiTheme="majorHAnsi" w:hAnsiTheme="majorHAnsi" w:cstheme="majorHAnsi"/>
          <w:b/>
          <w:sz w:val="24"/>
          <w:szCs w:val="24"/>
        </w:rPr>
        <w:t xml:space="preserve">An increasing reliance on imported inputs has been observed over the past decade in SEZs </w:t>
      </w:r>
      <w:r w:rsidR="00FA2D82">
        <w:rPr>
          <w:rFonts w:asciiTheme="majorHAnsi" w:hAnsiTheme="majorHAnsi" w:cstheme="majorHAnsi"/>
          <w:b/>
          <w:sz w:val="24"/>
          <w:szCs w:val="24"/>
        </w:rPr>
        <w:t xml:space="preserve">at the same time that </w:t>
      </w:r>
      <w:r w:rsidRPr="00FA2D82">
        <w:rPr>
          <w:rFonts w:asciiTheme="majorHAnsi" w:hAnsiTheme="majorHAnsi" w:cstheme="majorHAnsi"/>
          <w:b/>
          <w:sz w:val="24"/>
          <w:szCs w:val="24"/>
        </w:rPr>
        <w:t xml:space="preserve">the Dominican Republic </w:t>
      </w:r>
      <w:r w:rsidR="00FA2D82">
        <w:rPr>
          <w:rFonts w:asciiTheme="majorHAnsi" w:hAnsiTheme="majorHAnsi" w:cstheme="majorHAnsi"/>
          <w:b/>
          <w:sz w:val="24"/>
          <w:szCs w:val="24"/>
        </w:rPr>
        <w:t xml:space="preserve">joined more sophisticated </w:t>
      </w:r>
      <w:r w:rsidRPr="00FA2D82">
        <w:rPr>
          <w:rFonts w:asciiTheme="majorHAnsi" w:hAnsiTheme="majorHAnsi" w:cstheme="majorHAnsi"/>
          <w:b/>
          <w:sz w:val="24"/>
          <w:szCs w:val="24"/>
        </w:rPr>
        <w:t>global value chains</w:t>
      </w:r>
      <w:r w:rsidR="00FA2D82">
        <w:rPr>
          <w:rFonts w:asciiTheme="majorHAnsi" w:hAnsiTheme="majorHAnsi" w:cstheme="majorHAnsi"/>
          <w:b/>
          <w:sz w:val="24"/>
          <w:szCs w:val="24"/>
        </w:rPr>
        <w:t xml:space="preserve"> and reduce</w:t>
      </w:r>
      <w:r w:rsidR="00650183">
        <w:rPr>
          <w:rFonts w:asciiTheme="majorHAnsi" w:hAnsiTheme="majorHAnsi" w:cstheme="majorHAnsi"/>
          <w:b/>
          <w:sz w:val="24"/>
          <w:szCs w:val="24"/>
        </w:rPr>
        <w:t>d</w:t>
      </w:r>
      <w:r w:rsidR="00FA2D82">
        <w:rPr>
          <w:rFonts w:asciiTheme="majorHAnsi" w:hAnsiTheme="majorHAnsi" w:cstheme="majorHAnsi"/>
          <w:b/>
          <w:sz w:val="24"/>
          <w:szCs w:val="24"/>
        </w:rPr>
        <w:t xml:space="preserve"> its reliance on garment production</w:t>
      </w:r>
      <w:r w:rsidRPr="00FA2D82">
        <w:rPr>
          <w:rFonts w:asciiTheme="majorHAnsi" w:hAnsiTheme="majorHAnsi" w:cstheme="majorHAnsi"/>
          <w:b/>
          <w:sz w:val="24"/>
          <w:szCs w:val="24"/>
        </w:rPr>
        <w:t>.</w:t>
      </w:r>
      <w:r w:rsidRPr="003455A3">
        <w:rPr>
          <w:rFonts w:asciiTheme="majorHAnsi" w:hAnsiTheme="majorHAnsi" w:cstheme="majorHAnsi"/>
          <w:sz w:val="24"/>
          <w:szCs w:val="24"/>
        </w:rPr>
        <w:t xml:space="preserve"> </w:t>
      </w:r>
      <w:r w:rsidR="00650183">
        <w:rPr>
          <w:rFonts w:asciiTheme="majorHAnsi" w:hAnsiTheme="majorHAnsi" w:cstheme="majorHAnsi"/>
          <w:sz w:val="24"/>
          <w:szCs w:val="24"/>
        </w:rPr>
        <w:t xml:space="preserve">The emergence of more sophisticated sectors </w:t>
      </w:r>
      <w:r w:rsidR="002E4F15">
        <w:rPr>
          <w:rFonts w:asciiTheme="majorHAnsi" w:hAnsiTheme="majorHAnsi" w:cstheme="majorHAnsi"/>
          <w:sz w:val="24"/>
          <w:szCs w:val="24"/>
        </w:rPr>
        <w:t xml:space="preserve">led to </w:t>
      </w:r>
      <w:r w:rsidR="00650183">
        <w:rPr>
          <w:rFonts w:asciiTheme="majorHAnsi" w:hAnsiTheme="majorHAnsi" w:cstheme="majorHAnsi"/>
          <w:sz w:val="24"/>
          <w:szCs w:val="24"/>
        </w:rPr>
        <w:t xml:space="preserve">more production stages being </w:t>
      </w:r>
      <w:r w:rsidR="00562EFB">
        <w:rPr>
          <w:rFonts w:asciiTheme="majorHAnsi" w:hAnsiTheme="majorHAnsi" w:cstheme="majorHAnsi"/>
          <w:sz w:val="24"/>
          <w:szCs w:val="24"/>
        </w:rPr>
        <w:t xml:space="preserve">carried out </w:t>
      </w:r>
      <w:r w:rsidR="00650183">
        <w:rPr>
          <w:rFonts w:asciiTheme="majorHAnsi" w:hAnsiTheme="majorHAnsi" w:cstheme="majorHAnsi"/>
          <w:sz w:val="24"/>
          <w:szCs w:val="24"/>
        </w:rPr>
        <w:t xml:space="preserve">in the country, increasing the </w:t>
      </w:r>
      <w:r w:rsidR="00F561B1">
        <w:rPr>
          <w:rFonts w:asciiTheme="majorHAnsi" w:hAnsiTheme="majorHAnsi" w:cstheme="majorHAnsi"/>
          <w:sz w:val="24"/>
          <w:szCs w:val="24"/>
        </w:rPr>
        <w:t xml:space="preserve">domestic </w:t>
      </w:r>
      <w:r w:rsidR="00650183">
        <w:rPr>
          <w:rFonts w:asciiTheme="majorHAnsi" w:hAnsiTheme="majorHAnsi" w:cstheme="majorHAnsi"/>
          <w:sz w:val="24"/>
          <w:szCs w:val="24"/>
        </w:rPr>
        <w:t xml:space="preserve">value added embedded in exports. Even the clothing sector experienced more domestic value </w:t>
      </w:r>
      <w:r w:rsidR="00562EFB">
        <w:rPr>
          <w:rFonts w:asciiTheme="majorHAnsi" w:hAnsiTheme="majorHAnsi" w:cstheme="majorHAnsi"/>
          <w:sz w:val="24"/>
          <w:szCs w:val="24"/>
        </w:rPr>
        <w:t>addition</w:t>
      </w:r>
      <w:r w:rsidR="00650183">
        <w:rPr>
          <w:rFonts w:asciiTheme="majorHAnsi" w:hAnsiTheme="majorHAnsi" w:cstheme="majorHAnsi"/>
          <w:sz w:val="24"/>
          <w:szCs w:val="24"/>
        </w:rPr>
        <w:t xml:space="preserve"> in exports. However, the degree of domestic linkages, proxied by the </w:t>
      </w:r>
      <w:r w:rsidR="00180541">
        <w:rPr>
          <w:rFonts w:asciiTheme="majorHAnsi" w:hAnsiTheme="majorHAnsi" w:cstheme="majorHAnsi"/>
          <w:sz w:val="24"/>
          <w:szCs w:val="24"/>
        </w:rPr>
        <w:t xml:space="preserve">share of inputs acquired domestically, remain low. </w:t>
      </w:r>
      <w:r w:rsidR="00F561B1">
        <w:rPr>
          <w:rFonts w:asciiTheme="majorHAnsi" w:hAnsiTheme="majorHAnsi" w:cstheme="majorHAnsi"/>
          <w:sz w:val="24"/>
          <w:szCs w:val="24"/>
        </w:rPr>
        <w:t xml:space="preserve">There is a widespread agreement that the current regulatory framework is compliant with WTO commitments, which the country was bound to meet in December 2015. </w:t>
      </w:r>
    </w:p>
    <w:p w14:paraId="1B9AA477" w14:textId="1D65A233" w:rsidR="00F561B1" w:rsidRDefault="00F561B1" w:rsidP="003455A3">
      <w:pPr>
        <w:spacing w:after="200" w:line="276" w:lineRule="auto"/>
        <w:jc w:val="both"/>
        <w:rPr>
          <w:rFonts w:asciiTheme="majorHAnsi" w:hAnsiTheme="majorHAnsi" w:cstheme="majorHAnsi"/>
          <w:b/>
          <w:sz w:val="24"/>
          <w:szCs w:val="24"/>
        </w:rPr>
      </w:pPr>
      <w:r>
        <w:rPr>
          <w:rFonts w:asciiTheme="majorHAnsi" w:hAnsiTheme="majorHAnsi" w:cstheme="majorHAnsi"/>
          <w:b/>
          <w:sz w:val="24"/>
          <w:szCs w:val="24"/>
        </w:rPr>
        <w:t>In order to leverage SEZs as a vehicle of inclusive and sustainable economic growth, this report suggest</w:t>
      </w:r>
      <w:r w:rsidR="002E4F15">
        <w:rPr>
          <w:rFonts w:asciiTheme="majorHAnsi" w:hAnsiTheme="majorHAnsi" w:cstheme="majorHAnsi"/>
          <w:b/>
          <w:sz w:val="24"/>
          <w:szCs w:val="24"/>
        </w:rPr>
        <w:t>s</w:t>
      </w:r>
      <w:r>
        <w:rPr>
          <w:rFonts w:asciiTheme="majorHAnsi" w:hAnsiTheme="majorHAnsi" w:cstheme="majorHAnsi"/>
          <w:b/>
          <w:sz w:val="24"/>
          <w:szCs w:val="24"/>
        </w:rPr>
        <w:t xml:space="preserve"> </w:t>
      </w:r>
      <w:r w:rsidR="007D0503">
        <w:rPr>
          <w:rFonts w:asciiTheme="majorHAnsi" w:hAnsiTheme="majorHAnsi" w:cstheme="majorHAnsi"/>
          <w:b/>
          <w:sz w:val="24"/>
          <w:szCs w:val="24"/>
        </w:rPr>
        <w:t>intervention</w:t>
      </w:r>
      <w:r w:rsidR="002E4F15">
        <w:rPr>
          <w:rFonts w:asciiTheme="majorHAnsi" w:hAnsiTheme="majorHAnsi" w:cstheme="majorHAnsi"/>
          <w:b/>
          <w:sz w:val="24"/>
          <w:szCs w:val="24"/>
        </w:rPr>
        <w:t>s</w:t>
      </w:r>
      <w:r w:rsidR="007D0503">
        <w:rPr>
          <w:rFonts w:asciiTheme="majorHAnsi" w:hAnsiTheme="majorHAnsi" w:cstheme="majorHAnsi"/>
          <w:b/>
          <w:sz w:val="24"/>
          <w:szCs w:val="24"/>
        </w:rPr>
        <w:t xml:space="preserve"> </w:t>
      </w:r>
      <w:r w:rsidR="002E4F15">
        <w:rPr>
          <w:rFonts w:asciiTheme="majorHAnsi" w:hAnsiTheme="majorHAnsi" w:cstheme="majorHAnsi"/>
          <w:b/>
          <w:sz w:val="24"/>
          <w:szCs w:val="24"/>
        </w:rPr>
        <w:t xml:space="preserve">focused </w:t>
      </w:r>
      <w:r>
        <w:rPr>
          <w:rFonts w:asciiTheme="majorHAnsi" w:hAnsiTheme="majorHAnsi" w:cstheme="majorHAnsi"/>
          <w:b/>
          <w:sz w:val="24"/>
          <w:szCs w:val="24"/>
        </w:rPr>
        <w:t xml:space="preserve">around three priority </w:t>
      </w:r>
      <w:r w:rsidR="007D0503">
        <w:rPr>
          <w:rFonts w:asciiTheme="majorHAnsi" w:hAnsiTheme="majorHAnsi" w:cstheme="majorHAnsi"/>
          <w:b/>
          <w:sz w:val="24"/>
          <w:szCs w:val="24"/>
        </w:rPr>
        <w:t xml:space="preserve">policy </w:t>
      </w:r>
      <w:r>
        <w:rPr>
          <w:rFonts w:asciiTheme="majorHAnsi" w:hAnsiTheme="majorHAnsi" w:cstheme="majorHAnsi"/>
          <w:b/>
          <w:sz w:val="24"/>
          <w:szCs w:val="24"/>
        </w:rPr>
        <w:t>areas:</w:t>
      </w:r>
    </w:p>
    <w:p w14:paraId="14C53F06" w14:textId="53383C13" w:rsidR="00B07780" w:rsidRPr="00B07780" w:rsidRDefault="00F561B1" w:rsidP="00B07780">
      <w:pPr>
        <w:pStyle w:val="ListParagraph"/>
        <w:numPr>
          <w:ilvl w:val="1"/>
          <w:numId w:val="8"/>
        </w:numPr>
        <w:tabs>
          <w:tab w:val="clear" w:pos="1440"/>
          <w:tab w:val="num" w:pos="540"/>
        </w:tabs>
        <w:spacing w:after="200" w:line="276" w:lineRule="auto"/>
        <w:ind w:left="450" w:hanging="450"/>
        <w:jc w:val="both"/>
        <w:rPr>
          <w:rFonts w:asciiTheme="majorHAnsi" w:hAnsiTheme="majorHAnsi" w:cstheme="majorHAnsi"/>
          <w:b/>
          <w:sz w:val="24"/>
          <w:szCs w:val="24"/>
        </w:rPr>
      </w:pPr>
      <w:r>
        <w:rPr>
          <w:rFonts w:asciiTheme="majorHAnsi" w:hAnsiTheme="majorHAnsi" w:cstheme="majorHAnsi"/>
          <w:b/>
          <w:sz w:val="24"/>
          <w:szCs w:val="24"/>
        </w:rPr>
        <w:t>Policies aimed at encourag</w:t>
      </w:r>
      <w:r w:rsidR="002E4F15">
        <w:rPr>
          <w:rFonts w:asciiTheme="majorHAnsi" w:hAnsiTheme="majorHAnsi" w:cstheme="majorHAnsi"/>
          <w:b/>
          <w:sz w:val="24"/>
          <w:szCs w:val="24"/>
        </w:rPr>
        <w:t>ing</w:t>
      </w:r>
      <w:r>
        <w:rPr>
          <w:rFonts w:asciiTheme="majorHAnsi" w:hAnsiTheme="majorHAnsi" w:cstheme="majorHAnsi"/>
          <w:b/>
          <w:sz w:val="24"/>
          <w:szCs w:val="24"/>
        </w:rPr>
        <w:t xml:space="preserve"> domestic linkages: </w:t>
      </w:r>
      <w:r w:rsidR="00232A5E">
        <w:rPr>
          <w:rFonts w:asciiTheme="majorHAnsi" w:hAnsiTheme="majorHAnsi" w:cstheme="majorHAnsi"/>
          <w:sz w:val="24"/>
          <w:szCs w:val="24"/>
        </w:rPr>
        <w:t xml:space="preserve">A comprehensive strategy to support and develop </w:t>
      </w:r>
      <w:r w:rsidR="00AA11ED">
        <w:rPr>
          <w:rFonts w:asciiTheme="majorHAnsi" w:hAnsiTheme="majorHAnsi" w:cstheme="majorHAnsi"/>
          <w:sz w:val="24"/>
          <w:szCs w:val="24"/>
        </w:rPr>
        <w:t>linkages include</w:t>
      </w:r>
      <w:r w:rsidR="00957768">
        <w:rPr>
          <w:rFonts w:asciiTheme="majorHAnsi" w:hAnsiTheme="majorHAnsi" w:cstheme="majorHAnsi"/>
          <w:sz w:val="24"/>
          <w:szCs w:val="24"/>
        </w:rPr>
        <w:t>s</w:t>
      </w:r>
      <w:r w:rsidR="00AA11ED">
        <w:rPr>
          <w:rFonts w:asciiTheme="majorHAnsi" w:hAnsiTheme="majorHAnsi" w:cstheme="majorHAnsi"/>
          <w:sz w:val="24"/>
          <w:szCs w:val="24"/>
        </w:rPr>
        <w:t xml:space="preserve"> actions around three </w:t>
      </w:r>
      <w:r w:rsidR="009B2BC9">
        <w:rPr>
          <w:rFonts w:asciiTheme="majorHAnsi" w:hAnsiTheme="majorHAnsi" w:cstheme="majorHAnsi"/>
          <w:sz w:val="24"/>
          <w:szCs w:val="24"/>
        </w:rPr>
        <w:t>areas</w:t>
      </w:r>
      <w:r w:rsidR="00FB6169">
        <w:rPr>
          <w:rFonts w:asciiTheme="majorHAnsi" w:hAnsiTheme="majorHAnsi" w:cstheme="majorHAnsi"/>
          <w:sz w:val="24"/>
          <w:szCs w:val="24"/>
        </w:rPr>
        <w:t>.</w:t>
      </w:r>
      <w:r w:rsidR="009B2BC9">
        <w:rPr>
          <w:rFonts w:asciiTheme="majorHAnsi" w:hAnsiTheme="majorHAnsi" w:cstheme="majorHAnsi"/>
          <w:sz w:val="24"/>
          <w:szCs w:val="24"/>
        </w:rPr>
        <w:t xml:space="preserve"> </w:t>
      </w:r>
      <w:r w:rsidR="00FB6169">
        <w:rPr>
          <w:rFonts w:asciiTheme="majorHAnsi" w:hAnsiTheme="majorHAnsi" w:cstheme="majorHAnsi"/>
          <w:sz w:val="24"/>
          <w:szCs w:val="24"/>
        </w:rPr>
        <w:t>First</w:t>
      </w:r>
      <w:r w:rsidR="002E4F15">
        <w:rPr>
          <w:rFonts w:asciiTheme="majorHAnsi" w:hAnsiTheme="majorHAnsi" w:cstheme="majorHAnsi"/>
          <w:sz w:val="24"/>
          <w:szCs w:val="24"/>
        </w:rPr>
        <w:t>ly</w:t>
      </w:r>
      <w:r w:rsidR="00FB6169">
        <w:rPr>
          <w:rFonts w:asciiTheme="majorHAnsi" w:hAnsiTheme="majorHAnsi" w:cstheme="majorHAnsi"/>
          <w:sz w:val="24"/>
          <w:szCs w:val="24"/>
        </w:rPr>
        <w:t xml:space="preserve">, </w:t>
      </w:r>
      <w:r w:rsidR="002E4F15">
        <w:rPr>
          <w:rFonts w:asciiTheme="majorHAnsi" w:hAnsiTheme="majorHAnsi" w:cstheme="majorHAnsi"/>
          <w:sz w:val="24"/>
          <w:szCs w:val="24"/>
        </w:rPr>
        <w:t xml:space="preserve">it prescribes </w:t>
      </w:r>
      <w:r w:rsidR="00FB6169">
        <w:rPr>
          <w:rFonts w:asciiTheme="majorHAnsi" w:hAnsiTheme="majorHAnsi" w:cstheme="majorHAnsi"/>
          <w:sz w:val="24"/>
          <w:szCs w:val="24"/>
        </w:rPr>
        <w:t xml:space="preserve">a </w:t>
      </w:r>
      <w:r w:rsidR="009B2BC9">
        <w:rPr>
          <w:rFonts w:asciiTheme="majorHAnsi" w:hAnsiTheme="majorHAnsi" w:cstheme="majorHAnsi"/>
          <w:sz w:val="24"/>
          <w:szCs w:val="24"/>
        </w:rPr>
        <w:t xml:space="preserve">regulatory review to remove ineffective policies such as harmful local content requirements </w:t>
      </w:r>
      <w:r w:rsidR="008B2F07">
        <w:rPr>
          <w:rFonts w:asciiTheme="majorHAnsi" w:hAnsiTheme="majorHAnsi" w:cstheme="majorHAnsi"/>
          <w:sz w:val="24"/>
          <w:szCs w:val="24"/>
        </w:rPr>
        <w:t xml:space="preserve">and </w:t>
      </w:r>
      <w:r w:rsidR="009B2BC9">
        <w:rPr>
          <w:rFonts w:asciiTheme="majorHAnsi" w:hAnsiTheme="majorHAnsi" w:cstheme="majorHAnsi"/>
          <w:sz w:val="24"/>
          <w:szCs w:val="24"/>
        </w:rPr>
        <w:t>protectionist non-tariff measures that restrict the ability of domestic firms to import key inputs</w:t>
      </w:r>
      <w:r w:rsidR="00C60C40">
        <w:rPr>
          <w:rFonts w:asciiTheme="majorHAnsi" w:hAnsiTheme="majorHAnsi" w:cstheme="majorHAnsi"/>
          <w:sz w:val="24"/>
          <w:szCs w:val="24"/>
        </w:rPr>
        <w:t xml:space="preserve"> that can be transformed and sold to SEZ firms</w:t>
      </w:r>
      <w:r w:rsidR="00FB6169">
        <w:rPr>
          <w:rFonts w:asciiTheme="majorHAnsi" w:hAnsiTheme="majorHAnsi" w:cstheme="majorHAnsi"/>
          <w:sz w:val="24"/>
          <w:szCs w:val="24"/>
        </w:rPr>
        <w:t xml:space="preserve">. </w:t>
      </w:r>
      <w:r w:rsidR="00C60C40">
        <w:rPr>
          <w:rFonts w:asciiTheme="majorHAnsi" w:hAnsiTheme="majorHAnsi" w:cstheme="majorHAnsi"/>
          <w:sz w:val="24"/>
          <w:szCs w:val="24"/>
        </w:rPr>
        <w:t xml:space="preserve">Other </w:t>
      </w:r>
      <w:r w:rsidR="00C60C40" w:rsidRPr="00C60C40">
        <w:rPr>
          <w:rFonts w:asciiTheme="majorHAnsi" w:hAnsiTheme="majorHAnsi" w:cstheme="majorHAnsi"/>
          <w:i/>
          <w:sz w:val="24"/>
          <w:szCs w:val="24"/>
        </w:rPr>
        <w:t>de jure</w:t>
      </w:r>
      <w:r w:rsidR="00C60C40">
        <w:rPr>
          <w:rFonts w:asciiTheme="majorHAnsi" w:hAnsiTheme="majorHAnsi" w:cstheme="majorHAnsi"/>
          <w:sz w:val="24"/>
          <w:szCs w:val="24"/>
        </w:rPr>
        <w:t xml:space="preserve"> or </w:t>
      </w:r>
      <w:r w:rsidR="00C60C40" w:rsidRPr="00C60C40">
        <w:rPr>
          <w:rFonts w:asciiTheme="majorHAnsi" w:hAnsiTheme="majorHAnsi" w:cstheme="majorHAnsi"/>
          <w:i/>
          <w:sz w:val="24"/>
          <w:szCs w:val="24"/>
        </w:rPr>
        <w:t>de facto</w:t>
      </w:r>
      <w:r w:rsidR="00C60C40">
        <w:rPr>
          <w:rFonts w:asciiTheme="majorHAnsi" w:hAnsiTheme="majorHAnsi" w:cstheme="majorHAnsi"/>
          <w:sz w:val="24"/>
          <w:szCs w:val="24"/>
        </w:rPr>
        <w:t xml:space="preserve"> regulatory </w:t>
      </w:r>
      <w:r w:rsidR="00FB6169">
        <w:rPr>
          <w:rFonts w:asciiTheme="majorHAnsi" w:hAnsiTheme="majorHAnsi" w:cstheme="majorHAnsi"/>
          <w:sz w:val="24"/>
          <w:szCs w:val="24"/>
        </w:rPr>
        <w:t xml:space="preserve">barriers for supplying SEZ firm </w:t>
      </w:r>
      <w:r w:rsidR="00FB6169" w:rsidRPr="00FB6169">
        <w:rPr>
          <w:rFonts w:asciiTheme="majorHAnsi" w:hAnsiTheme="majorHAnsi" w:cstheme="majorHAnsi"/>
          <w:sz w:val="24"/>
          <w:szCs w:val="24"/>
        </w:rPr>
        <w:t xml:space="preserve">from </w:t>
      </w:r>
      <w:r w:rsidR="00FB6169">
        <w:rPr>
          <w:rFonts w:asciiTheme="majorHAnsi" w:hAnsiTheme="majorHAnsi" w:cstheme="majorHAnsi"/>
          <w:sz w:val="24"/>
          <w:szCs w:val="24"/>
        </w:rPr>
        <w:t xml:space="preserve">national </w:t>
      </w:r>
      <w:r w:rsidR="00FB6169" w:rsidRPr="00FB6169">
        <w:rPr>
          <w:rFonts w:asciiTheme="majorHAnsi" w:hAnsiTheme="majorHAnsi" w:cstheme="majorHAnsi"/>
          <w:sz w:val="24"/>
          <w:szCs w:val="24"/>
        </w:rPr>
        <w:t>territory</w:t>
      </w:r>
      <w:r w:rsidR="000B5096">
        <w:rPr>
          <w:rFonts w:asciiTheme="majorHAnsi" w:hAnsiTheme="majorHAnsi" w:cstheme="majorHAnsi"/>
          <w:sz w:val="24"/>
          <w:szCs w:val="24"/>
        </w:rPr>
        <w:t xml:space="preserve"> should also be removed</w:t>
      </w:r>
      <w:r w:rsidR="00FB6169">
        <w:rPr>
          <w:rFonts w:asciiTheme="majorHAnsi" w:hAnsiTheme="majorHAnsi" w:cstheme="majorHAnsi"/>
          <w:sz w:val="24"/>
          <w:szCs w:val="24"/>
        </w:rPr>
        <w:t>.</w:t>
      </w:r>
      <w:r w:rsidR="00FB6169">
        <w:rPr>
          <w:rStyle w:val="FootnoteReference"/>
          <w:rFonts w:asciiTheme="majorHAnsi" w:hAnsiTheme="majorHAnsi" w:cstheme="majorHAnsi"/>
          <w:sz w:val="24"/>
          <w:szCs w:val="24"/>
        </w:rPr>
        <w:footnoteReference w:id="13"/>
      </w:r>
      <w:r w:rsidR="009B2BC9">
        <w:rPr>
          <w:rFonts w:asciiTheme="majorHAnsi" w:hAnsiTheme="majorHAnsi" w:cstheme="majorHAnsi"/>
          <w:sz w:val="24"/>
          <w:szCs w:val="24"/>
        </w:rPr>
        <w:t xml:space="preserve"> </w:t>
      </w:r>
      <w:r w:rsidR="002E4F15">
        <w:rPr>
          <w:rFonts w:asciiTheme="majorHAnsi" w:hAnsiTheme="majorHAnsi" w:cstheme="majorHAnsi"/>
          <w:sz w:val="24"/>
          <w:szCs w:val="24"/>
        </w:rPr>
        <w:t xml:space="preserve">Secondly, it involves </w:t>
      </w:r>
      <w:r w:rsidR="008B2F07">
        <w:rPr>
          <w:rFonts w:asciiTheme="majorHAnsi" w:hAnsiTheme="majorHAnsi" w:cstheme="majorHAnsi"/>
          <w:sz w:val="24"/>
          <w:szCs w:val="24"/>
        </w:rPr>
        <w:t>connect</w:t>
      </w:r>
      <w:r w:rsidR="002E4F15">
        <w:rPr>
          <w:rFonts w:asciiTheme="majorHAnsi" w:hAnsiTheme="majorHAnsi" w:cstheme="majorHAnsi"/>
          <w:sz w:val="24"/>
          <w:szCs w:val="24"/>
        </w:rPr>
        <w:t>ing</w:t>
      </w:r>
      <w:r w:rsidR="008B2F07">
        <w:rPr>
          <w:rFonts w:asciiTheme="majorHAnsi" w:hAnsiTheme="majorHAnsi" w:cstheme="majorHAnsi"/>
          <w:sz w:val="24"/>
          <w:szCs w:val="24"/>
        </w:rPr>
        <w:t xml:space="preserve"> domestic supp</w:t>
      </w:r>
      <w:r w:rsidR="00E23BD2">
        <w:rPr>
          <w:rFonts w:asciiTheme="majorHAnsi" w:hAnsiTheme="majorHAnsi" w:cstheme="majorHAnsi"/>
          <w:sz w:val="24"/>
          <w:szCs w:val="24"/>
        </w:rPr>
        <w:t xml:space="preserve">liers by designing targeted programs </w:t>
      </w:r>
      <w:r w:rsidR="000B5096">
        <w:rPr>
          <w:rFonts w:asciiTheme="majorHAnsi" w:hAnsiTheme="majorHAnsi" w:cstheme="majorHAnsi"/>
          <w:sz w:val="24"/>
          <w:szCs w:val="24"/>
        </w:rPr>
        <w:t>for</w:t>
      </w:r>
      <w:r w:rsidR="00E23BD2">
        <w:rPr>
          <w:rFonts w:asciiTheme="majorHAnsi" w:hAnsiTheme="majorHAnsi" w:cstheme="majorHAnsi"/>
          <w:sz w:val="24"/>
          <w:szCs w:val="24"/>
        </w:rPr>
        <w:t xml:space="preserve"> local suppliers, develop</w:t>
      </w:r>
      <w:r w:rsidR="000B5096">
        <w:rPr>
          <w:rFonts w:asciiTheme="majorHAnsi" w:hAnsiTheme="majorHAnsi" w:cstheme="majorHAnsi"/>
          <w:sz w:val="24"/>
          <w:szCs w:val="24"/>
        </w:rPr>
        <w:t>ing</w:t>
      </w:r>
      <w:r w:rsidR="00E23BD2">
        <w:rPr>
          <w:rFonts w:asciiTheme="majorHAnsi" w:hAnsiTheme="majorHAnsi" w:cstheme="majorHAnsi"/>
          <w:sz w:val="24"/>
          <w:szCs w:val="24"/>
        </w:rPr>
        <w:t xml:space="preserve"> a supplier database</w:t>
      </w:r>
      <w:r w:rsidR="00FB6169">
        <w:rPr>
          <w:rFonts w:asciiTheme="majorHAnsi" w:hAnsiTheme="majorHAnsi" w:cstheme="majorHAnsi"/>
          <w:sz w:val="24"/>
          <w:szCs w:val="24"/>
        </w:rPr>
        <w:t>,</w:t>
      </w:r>
      <w:r w:rsidR="00E23BD2">
        <w:rPr>
          <w:rFonts w:asciiTheme="majorHAnsi" w:hAnsiTheme="majorHAnsi" w:cstheme="majorHAnsi"/>
          <w:sz w:val="24"/>
          <w:szCs w:val="24"/>
        </w:rPr>
        <w:t xml:space="preserve"> </w:t>
      </w:r>
      <w:r w:rsidR="000B5096">
        <w:rPr>
          <w:rFonts w:asciiTheme="majorHAnsi" w:hAnsiTheme="majorHAnsi" w:cstheme="majorHAnsi"/>
          <w:sz w:val="24"/>
          <w:szCs w:val="24"/>
        </w:rPr>
        <w:t xml:space="preserve">creating </w:t>
      </w:r>
      <w:r w:rsidR="00E23BD2">
        <w:rPr>
          <w:rFonts w:asciiTheme="majorHAnsi" w:hAnsiTheme="majorHAnsi" w:cstheme="majorHAnsi"/>
          <w:sz w:val="24"/>
          <w:szCs w:val="24"/>
        </w:rPr>
        <w:t xml:space="preserve">matchmaking services, and </w:t>
      </w:r>
      <w:r w:rsidR="000B5096">
        <w:rPr>
          <w:rFonts w:asciiTheme="majorHAnsi" w:hAnsiTheme="majorHAnsi" w:cstheme="majorHAnsi"/>
          <w:sz w:val="24"/>
          <w:szCs w:val="24"/>
        </w:rPr>
        <w:t xml:space="preserve">introducing </w:t>
      </w:r>
      <w:r w:rsidR="00E23BD2">
        <w:rPr>
          <w:rFonts w:asciiTheme="majorHAnsi" w:hAnsiTheme="majorHAnsi" w:cstheme="majorHAnsi"/>
          <w:sz w:val="24"/>
          <w:szCs w:val="24"/>
        </w:rPr>
        <w:t>incentives to encourage local sourcing from SEZ firms</w:t>
      </w:r>
      <w:r w:rsidR="002E4F15">
        <w:rPr>
          <w:rFonts w:asciiTheme="majorHAnsi" w:hAnsiTheme="majorHAnsi" w:cstheme="majorHAnsi"/>
          <w:sz w:val="24"/>
          <w:szCs w:val="24"/>
        </w:rPr>
        <w:t xml:space="preserve">. Thirdly, it requires </w:t>
      </w:r>
      <w:r w:rsidR="00E23BD2">
        <w:rPr>
          <w:rFonts w:asciiTheme="majorHAnsi" w:hAnsiTheme="majorHAnsi" w:cstheme="majorHAnsi"/>
          <w:sz w:val="24"/>
          <w:szCs w:val="24"/>
        </w:rPr>
        <w:t>attract</w:t>
      </w:r>
      <w:r w:rsidR="002E4F15">
        <w:rPr>
          <w:rFonts w:asciiTheme="majorHAnsi" w:hAnsiTheme="majorHAnsi" w:cstheme="majorHAnsi"/>
          <w:sz w:val="24"/>
          <w:szCs w:val="24"/>
        </w:rPr>
        <w:t>ing</w:t>
      </w:r>
      <w:r w:rsidR="00E23BD2">
        <w:rPr>
          <w:rFonts w:asciiTheme="majorHAnsi" w:hAnsiTheme="majorHAnsi" w:cstheme="majorHAnsi"/>
          <w:sz w:val="24"/>
          <w:szCs w:val="24"/>
        </w:rPr>
        <w:t xml:space="preserve"> competitive international suppliers and support the upgrading of domestic suppliers.</w:t>
      </w:r>
      <w:r w:rsidR="00FB6169">
        <w:rPr>
          <w:rFonts w:asciiTheme="majorHAnsi" w:hAnsiTheme="majorHAnsi" w:cstheme="majorHAnsi"/>
          <w:sz w:val="24"/>
          <w:szCs w:val="24"/>
        </w:rPr>
        <w:t xml:space="preserve"> </w:t>
      </w:r>
      <w:r w:rsidR="00E44314">
        <w:rPr>
          <w:rFonts w:asciiTheme="majorHAnsi" w:hAnsiTheme="majorHAnsi" w:cstheme="majorHAnsi"/>
          <w:sz w:val="24"/>
          <w:szCs w:val="24"/>
        </w:rPr>
        <w:t>A sector</w:t>
      </w:r>
      <w:r w:rsidR="00BB64F4">
        <w:rPr>
          <w:rFonts w:asciiTheme="majorHAnsi" w:hAnsiTheme="majorHAnsi" w:cstheme="majorHAnsi"/>
          <w:sz w:val="24"/>
          <w:szCs w:val="24"/>
        </w:rPr>
        <w:t>-</w:t>
      </w:r>
      <w:r w:rsidR="00E44314">
        <w:rPr>
          <w:rFonts w:asciiTheme="majorHAnsi" w:hAnsiTheme="majorHAnsi" w:cstheme="majorHAnsi"/>
          <w:sz w:val="24"/>
          <w:szCs w:val="24"/>
        </w:rPr>
        <w:t xml:space="preserve">specific analysis to assess the competitiveness </w:t>
      </w:r>
      <w:r w:rsidR="00BB64F4">
        <w:rPr>
          <w:rFonts w:asciiTheme="majorHAnsi" w:hAnsiTheme="majorHAnsi" w:cstheme="majorHAnsi"/>
          <w:sz w:val="24"/>
          <w:szCs w:val="24"/>
        </w:rPr>
        <w:t xml:space="preserve">and binding constraints </w:t>
      </w:r>
      <w:r w:rsidR="00E44314">
        <w:rPr>
          <w:rFonts w:asciiTheme="majorHAnsi" w:hAnsiTheme="majorHAnsi" w:cstheme="majorHAnsi"/>
          <w:sz w:val="24"/>
          <w:szCs w:val="24"/>
        </w:rPr>
        <w:t xml:space="preserve">of </w:t>
      </w:r>
      <w:r w:rsidR="00BB64F4">
        <w:rPr>
          <w:rFonts w:asciiTheme="majorHAnsi" w:hAnsiTheme="majorHAnsi" w:cstheme="majorHAnsi"/>
          <w:sz w:val="24"/>
          <w:szCs w:val="24"/>
        </w:rPr>
        <w:t xml:space="preserve">domestic </w:t>
      </w:r>
      <w:r w:rsidR="00E44314">
        <w:rPr>
          <w:rFonts w:asciiTheme="majorHAnsi" w:hAnsiTheme="majorHAnsi" w:cstheme="majorHAnsi"/>
          <w:sz w:val="24"/>
          <w:szCs w:val="24"/>
        </w:rPr>
        <w:lastRenderedPageBreak/>
        <w:t xml:space="preserve">suppliers in a value chain </w:t>
      </w:r>
      <w:r w:rsidR="00E81907">
        <w:rPr>
          <w:rFonts w:asciiTheme="majorHAnsi" w:hAnsiTheme="majorHAnsi" w:cstheme="majorHAnsi"/>
          <w:sz w:val="24"/>
          <w:szCs w:val="24"/>
        </w:rPr>
        <w:t xml:space="preserve">with potential to develop domestic linkages </w:t>
      </w:r>
      <w:r w:rsidR="00E44314">
        <w:rPr>
          <w:rFonts w:asciiTheme="majorHAnsi" w:hAnsiTheme="majorHAnsi" w:cstheme="majorHAnsi"/>
          <w:sz w:val="24"/>
          <w:szCs w:val="24"/>
        </w:rPr>
        <w:t xml:space="preserve">is warranted. </w:t>
      </w:r>
      <w:r w:rsidR="00E81907">
        <w:rPr>
          <w:rFonts w:asciiTheme="majorHAnsi" w:hAnsiTheme="majorHAnsi" w:cstheme="majorHAnsi"/>
          <w:sz w:val="24"/>
          <w:szCs w:val="24"/>
        </w:rPr>
        <w:t xml:space="preserve">Footwear and electrical products can be good candidates. </w:t>
      </w:r>
      <w:r w:rsidR="00A11AA6">
        <w:rPr>
          <w:rFonts w:asciiTheme="majorHAnsi" w:hAnsiTheme="majorHAnsi" w:cstheme="majorHAnsi"/>
          <w:sz w:val="24"/>
          <w:szCs w:val="24"/>
        </w:rPr>
        <w:t xml:space="preserve">Anecdotal evidence suggests that </w:t>
      </w:r>
      <w:r w:rsidR="00E81907">
        <w:rPr>
          <w:rFonts w:asciiTheme="majorHAnsi" w:hAnsiTheme="majorHAnsi" w:cstheme="majorHAnsi"/>
          <w:sz w:val="24"/>
          <w:szCs w:val="24"/>
        </w:rPr>
        <w:t xml:space="preserve">the </w:t>
      </w:r>
      <w:r w:rsidR="00A11AA6">
        <w:rPr>
          <w:rFonts w:asciiTheme="majorHAnsi" w:hAnsiTheme="majorHAnsi" w:cstheme="majorHAnsi"/>
          <w:sz w:val="24"/>
          <w:szCs w:val="24"/>
        </w:rPr>
        <w:t xml:space="preserve">low scale as well as </w:t>
      </w:r>
      <w:r w:rsidR="00E81907">
        <w:rPr>
          <w:rFonts w:asciiTheme="majorHAnsi" w:hAnsiTheme="majorHAnsi" w:cstheme="majorHAnsi"/>
          <w:sz w:val="24"/>
          <w:szCs w:val="24"/>
        </w:rPr>
        <w:t xml:space="preserve">the </w:t>
      </w:r>
      <w:r w:rsidR="00A11AA6">
        <w:rPr>
          <w:rFonts w:asciiTheme="majorHAnsi" w:hAnsiTheme="majorHAnsi" w:cstheme="majorHAnsi"/>
          <w:sz w:val="24"/>
          <w:szCs w:val="24"/>
        </w:rPr>
        <w:t xml:space="preserve">inability to meet string technical standards </w:t>
      </w:r>
      <w:r w:rsidR="00E81907">
        <w:rPr>
          <w:rFonts w:asciiTheme="majorHAnsi" w:hAnsiTheme="majorHAnsi" w:cstheme="majorHAnsi"/>
          <w:sz w:val="24"/>
          <w:szCs w:val="24"/>
        </w:rPr>
        <w:t xml:space="preserve">greatly limit the ability of </w:t>
      </w:r>
      <w:r w:rsidR="00A11AA6">
        <w:rPr>
          <w:rFonts w:asciiTheme="majorHAnsi" w:hAnsiTheme="majorHAnsi" w:cstheme="majorHAnsi"/>
          <w:sz w:val="24"/>
          <w:szCs w:val="24"/>
        </w:rPr>
        <w:t xml:space="preserve">domestic suppliers </w:t>
      </w:r>
      <w:r w:rsidR="00E81907">
        <w:rPr>
          <w:rFonts w:asciiTheme="majorHAnsi" w:hAnsiTheme="majorHAnsi" w:cstheme="majorHAnsi"/>
          <w:sz w:val="24"/>
          <w:szCs w:val="24"/>
        </w:rPr>
        <w:t xml:space="preserve">to connect </w:t>
      </w:r>
      <w:r w:rsidR="00A11AA6">
        <w:rPr>
          <w:rFonts w:asciiTheme="majorHAnsi" w:hAnsiTheme="majorHAnsi" w:cstheme="majorHAnsi"/>
          <w:sz w:val="24"/>
          <w:szCs w:val="24"/>
        </w:rPr>
        <w:t xml:space="preserve">with SEZs </w:t>
      </w:r>
      <w:r w:rsidR="00E81907">
        <w:rPr>
          <w:rFonts w:asciiTheme="majorHAnsi" w:hAnsiTheme="majorHAnsi" w:cstheme="majorHAnsi"/>
          <w:sz w:val="24"/>
          <w:szCs w:val="24"/>
        </w:rPr>
        <w:t>enterprises</w:t>
      </w:r>
      <w:r w:rsidR="00A11AA6">
        <w:rPr>
          <w:rFonts w:asciiTheme="majorHAnsi" w:hAnsiTheme="majorHAnsi" w:cstheme="majorHAnsi"/>
          <w:sz w:val="24"/>
          <w:szCs w:val="24"/>
        </w:rPr>
        <w:t>.</w:t>
      </w:r>
      <w:r w:rsidR="00B5407E">
        <w:rPr>
          <w:rFonts w:asciiTheme="majorHAnsi" w:hAnsiTheme="majorHAnsi" w:cstheme="majorHAnsi"/>
          <w:sz w:val="24"/>
          <w:szCs w:val="24"/>
        </w:rPr>
        <w:t xml:space="preserve"> </w:t>
      </w:r>
      <w:r w:rsidR="006A0E07">
        <w:rPr>
          <w:rFonts w:asciiTheme="majorHAnsi" w:hAnsiTheme="majorHAnsi" w:cstheme="majorHAnsi"/>
          <w:sz w:val="24"/>
          <w:szCs w:val="24"/>
        </w:rPr>
        <w:t xml:space="preserve">Annex 1 provides example of </w:t>
      </w:r>
      <w:r w:rsidR="008E0618">
        <w:rPr>
          <w:rFonts w:asciiTheme="majorHAnsi" w:hAnsiTheme="majorHAnsi" w:cstheme="majorHAnsi"/>
          <w:sz w:val="24"/>
          <w:szCs w:val="24"/>
        </w:rPr>
        <w:t>successful suppliers’ development programs in Chile, Costa Rica, and Hungary.</w:t>
      </w:r>
    </w:p>
    <w:p w14:paraId="6222B6BB" w14:textId="77777777" w:rsidR="00B07780" w:rsidRPr="00B07780" w:rsidRDefault="00B07780" w:rsidP="00B07780">
      <w:pPr>
        <w:pStyle w:val="ListParagraph"/>
        <w:spacing w:after="200" w:line="276" w:lineRule="auto"/>
        <w:ind w:left="450"/>
        <w:jc w:val="both"/>
        <w:rPr>
          <w:rFonts w:asciiTheme="majorHAnsi" w:hAnsiTheme="majorHAnsi" w:cstheme="majorHAnsi"/>
          <w:b/>
          <w:sz w:val="24"/>
          <w:szCs w:val="24"/>
        </w:rPr>
      </w:pPr>
    </w:p>
    <w:p w14:paraId="5B49C1EF" w14:textId="2CCB42E0" w:rsidR="00B07780" w:rsidRPr="00B07780" w:rsidRDefault="00F561B1" w:rsidP="00B07780">
      <w:pPr>
        <w:pStyle w:val="ListParagraph"/>
        <w:numPr>
          <w:ilvl w:val="1"/>
          <w:numId w:val="8"/>
        </w:numPr>
        <w:tabs>
          <w:tab w:val="clear" w:pos="1440"/>
          <w:tab w:val="num" w:pos="540"/>
        </w:tabs>
        <w:spacing w:after="200" w:line="276" w:lineRule="auto"/>
        <w:ind w:left="450" w:hanging="450"/>
        <w:jc w:val="both"/>
        <w:rPr>
          <w:rFonts w:asciiTheme="majorHAnsi" w:hAnsiTheme="majorHAnsi" w:cstheme="majorHAnsi"/>
          <w:b/>
          <w:sz w:val="24"/>
          <w:szCs w:val="24"/>
        </w:rPr>
      </w:pPr>
      <w:r w:rsidRPr="00B07780">
        <w:rPr>
          <w:rFonts w:asciiTheme="majorHAnsi" w:hAnsiTheme="majorHAnsi" w:cstheme="majorHAnsi"/>
          <w:b/>
          <w:sz w:val="24"/>
          <w:szCs w:val="24"/>
        </w:rPr>
        <w:t xml:space="preserve">Support policies </w:t>
      </w:r>
      <w:r w:rsidR="002E4F15" w:rsidRPr="00B07780">
        <w:rPr>
          <w:rFonts w:asciiTheme="majorHAnsi" w:hAnsiTheme="majorHAnsi" w:cstheme="majorHAnsi"/>
          <w:b/>
          <w:sz w:val="24"/>
          <w:szCs w:val="24"/>
        </w:rPr>
        <w:t xml:space="preserve">that </w:t>
      </w:r>
      <w:r w:rsidR="006E7C08" w:rsidRPr="00B07780">
        <w:rPr>
          <w:rFonts w:asciiTheme="majorHAnsi" w:hAnsiTheme="majorHAnsi" w:cstheme="majorHAnsi"/>
          <w:b/>
          <w:sz w:val="24"/>
          <w:szCs w:val="24"/>
        </w:rPr>
        <w:t>ameliorate labor adjustment costs accrued by the structural change in sectoral specialization in SEZs:</w:t>
      </w:r>
      <w:r w:rsidR="00452CC1" w:rsidRPr="00B07780">
        <w:rPr>
          <w:rFonts w:asciiTheme="majorHAnsi" w:hAnsiTheme="majorHAnsi" w:cstheme="majorHAnsi"/>
          <w:b/>
          <w:sz w:val="24"/>
          <w:szCs w:val="24"/>
        </w:rPr>
        <w:t xml:space="preserve"> </w:t>
      </w:r>
      <w:r w:rsidR="00380975" w:rsidRPr="00B07780">
        <w:rPr>
          <w:rFonts w:asciiTheme="majorHAnsi" w:hAnsiTheme="majorHAnsi" w:cstheme="majorHAnsi"/>
          <w:sz w:val="24"/>
          <w:szCs w:val="24"/>
        </w:rPr>
        <w:t xml:space="preserve">The Government should consider social assistance programs designed to accelerate worker employment transitions to lower labor-intensity industries. </w:t>
      </w:r>
      <w:r w:rsidR="007644C2" w:rsidRPr="00B07780">
        <w:rPr>
          <w:rFonts w:asciiTheme="majorHAnsi" w:hAnsiTheme="majorHAnsi" w:cstheme="majorHAnsi"/>
          <w:sz w:val="24"/>
          <w:szCs w:val="24"/>
        </w:rPr>
        <w:t xml:space="preserve">These </w:t>
      </w:r>
      <w:r w:rsidR="00380975" w:rsidRPr="00B07780">
        <w:rPr>
          <w:rFonts w:asciiTheme="majorHAnsi" w:hAnsiTheme="majorHAnsi" w:cstheme="majorHAnsi"/>
          <w:sz w:val="24"/>
          <w:szCs w:val="24"/>
        </w:rPr>
        <w:t>programs include vocational training</w:t>
      </w:r>
      <w:r w:rsidR="00D26A69" w:rsidRPr="00B07780">
        <w:rPr>
          <w:rFonts w:asciiTheme="majorHAnsi" w:hAnsiTheme="majorHAnsi" w:cstheme="majorHAnsi"/>
          <w:sz w:val="24"/>
          <w:szCs w:val="24"/>
        </w:rPr>
        <w:t xml:space="preserve"> in new skills demanded by SEZ firms</w:t>
      </w:r>
      <w:r w:rsidR="00380975" w:rsidRPr="00B07780">
        <w:rPr>
          <w:rFonts w:asciiTheme="majorHAnsi" w:hAnsiTheme="majorHAnsi" w:cstheme="majorHAnsi"/>
          <w:sz w:val="24"/>
          <w:szCs w:val="24"/>
        </w:rPr>
        <w:t>, job search assistance, and transitional income support.</w:t>
      </w:r>
      <w:r w:rsidR="00B155ED" w:rsidRPr="00B07780">
        <w:rPr>
          <w:rFonts w:asciiTheme="majorHAnsi" w:hAnsiTheme="majorHAnsi" w:cstheme="majorHAnsi"/>
          <w:sz w:val="24"/>
          <w:szCs w:val="24"/>
        </w:rPr>
        <w:t xml:space="preserve"> Because open-ended financing for skills upgrading that is not targeted may have little if any financial returns, training programs need to be carefully designed, targeted, and incentivized, for example, through cost sharing by the worker (see Hollweg et al. 2014)</w:t>
      </w:r>
      <w:r w:rsidR="0033175A" w:rsidRPr="00B07780">
        <w:rPr>
          <w:rFonts w:asciiTheme="majorHAnsi" w:hAnsiTheme="majorHAnsi" w:cstheme="majorHAnsi"/>
          <w:sz w:val="24"/>
          <w:szCs w:val="24"/>
        </w:rPr>
        <w:t>.</w:t>
      </w:r>
      <w:r w:rsidR="00B5407E">
        <w:rPr>
          <w:rFonts w:asciiTheme="majorHAnsi" w:hAnsiTheme="majorHAnsi" w:cstheme="majorHAnsi"/>
          <w:sz w:val="24"/>
          <w:szCs w:val="24"/>
        </w:rPr>
        <w:t xml:space="preserve"> </w:t>
      </w:r>
    </w:p>
    <w:p w14:paraId="58A2E652" w14:textId="77777777" w:rsidR="00B07780" w:rsidRPr="00B07780" w:rsidRDefault="00B07780" w:rsidP="00B07780">
      <w:pPr>
        <w:pStyle w:val="ListParagraph"/>
        <w:rPr>
          <w:rFonts w:asciiTheme="majorHAnsi" w:hAnsiTheme="majorHAnsi" w:cstheme="majorHAnsi"/>
          <w:b/>
          <w:sz w:val="24"/>
          <w:szCs w:val="24"/>
        </w:rPr>
      </w:pPr>
    </w:p>
    <w:p w14:paraId="78F99AB5" w14:textId="76E7BF59" w:rsidR="006E7C08" w:rsidRPr="00B07780" w:rsidRDefault="006E7C08" w:rsidP="00B07780">
      <w:pPr>
        <w:pStyle w:val="ListParagraph"/>
        <w:numPr>
          <w:ilvl w:val="1"/>
          <w:numId w:val="8"/>
        </w:numPr>
        <w:tabs>
          <w:tab w:val="clear" w:pos="1440"/>
          <w:tab w:val="num" w:pos="540"/>
        </w:tabs>
        <w:spacing w:after="200" w:line="276" w:lineRule="auto"/>
        <w:ind w:left="450" w:hanging="450"/>
        <w:jc w:val="both"/>
        <w:rPr>
          <w:rFonts w:asciiTheme="majorHAnsi" w:hAnsiTheme="majorHAnsi" w:cstheme="majorHAnsi"/>
          <w:b/>
          <w:sz w:val="24"/>
          <w:szCs w:val="24"/>
        </w:rPr>
      </w:pPr>
      <w:r w:rsidRPr="00B07780">
        <w:rPr>
          <w:rFonts w:asciiTheme="majorHAnsi" w:hAnsiTheme="majorHAnsi" w:cstheme="majorHAnsi"/>
          <w:b/>
          <w:sz w:val="24"/>
          <w:szCs w:val="24"/>
        </w:rPr>
        <w:t xml:space="preserve">Improve </w:t>
      </w:r>
      <w:r w:rsidR="00AD428A" w:rsidRPr="00B07780">
        <w:rPr>
          <w:rFonts w:asciiTheme="majorHAnsi" w:hAnsiTheme="majorHAnsi" w:cstheme="majorHAnsi"/>
          <w:b/>
          <w:sz w:val="24"/>
          <w:szCs w:val="24"/>
        </w:rPr>
        <w:t xml:space="preserve">the </w:t>
      </w:r>
      <w:r w:rsidR="007D0503" w:rsidRPr="00B07780">
        <w:rPr>
          <w:rFonts w:asciiTheme="majorHAnsi" w:hAnsiTheme="majorHAnsi" w:cstheme="majorHAnsi"/>
          <w:b/>
          <w:sz w:val="24"/>
          <w:szCs w:val="24"/>
        </w:rPr>
        <w:t xml:space="preserve">institutional </w:t>
      </w:r>
      <w:r w:rsidRPr="00B07780">
        <w:rPr>
          <w:rFonts w:asciiTheme="majorHAnsi" w:hAnsiTheme="majorHAnsi" w:cstheme="majorHAnsi"/>
          <w:b/>
          <w:sz w:val="24"/>
          <w:szCs w:val="24"/>
        </w:rPr>
        <w:t xml:space="preserve">coordination </w:t>
      </w:r>
      <w:r w:rsidR="007D0503" w:rsidRPr="00B07780">
        <w:rPr>
          <w:rFonts w:asciiTheme="majorHAnsi" w:hAnsiTheme="majorHAnsi" w:cstheme="majorHAnsi"/>
          <w:b/>
          <w:sz w:val="24"/>
          <w:szCs w:val="24"/>
        </w:rPr>
        <w:t xml:space="preserve">across </w:t>
      </w:r>
      <w:r w:rsidR="001345D8" w:rsidRPr="00B07780">
        <w:rPr>
          <w:rFonts w:asciiTheme="majorHAnsi" w:hAnsiTheme="majorHAnsi" w:cstheme="majorHAnsi"/>
          <w:b/>
          <w:sz w:val="24"/>
          <w:szCs w:val="24"/>
        </w:rPr>
        <w:t xml:space="preserve">multiple actors working on the </w:t>
      </w:r>
      <w:r w:rsidRPr="00B07780">
        <w:rPr>
          <w:rFonts w:asciiTheme="majorHAnsi" w:hAnsiTheme="majorHAnsi" w:cstheme="majorHAnsi"/>
          <w:b/>
          <w:sz w:val="24"/>
          <w:szCs w:val="24"/>
        </w:rPr>
        <w:t>overall support framework for trade and FDI</w:t>
      </w:r>
      <w:r w:rsidR="002B75BB" w:rsidRPr="00B07780">
        <w:rPr>
          <w:rFonts w:asciiTheme="majorHAnsi" w:hAnsiTheme="majorHAnsi" w:cstheme="majorHAnsi"/>
          <w:b/>
          <w:sz w:val="24"/>
          <w:szCs w:val="24"/>
        </w:rPr>
        <w:t xml:space="preserve"> </w:t>
      </w:r>
      <w:r w:rsidR="001345D8" w:rsidRPr="00B07780">
        <w:rPr>
          <w:rFonts w:asciiTheme="majorHAnsi" w:hAnsiTheme="majorHAnsi" w:cstheme="majorHAnsi"/>
          <w:b/>
          <w:sz w:val="24"/>
          <w:szCs w:val="24"/>
        </w:rPr>
        <w:t>competitiveness</w:t>
      </w:r>
      <w:r w:rsidRPr="00B07780">
        <w:rPr>
          <w:rFonts w:asciiTheme="majorHAnsi" w:hAnsiTheme="majorHAnsi" w:cstheme="majorHAnsi"/>
          <w:b/>
          <w:sz w:val="24"/>
          <w:szCs w:val="24"/>
        </w:rPr>
        <w:t>:</w:t>
      </w:r>
      <w:r w:rsidR="002B75BB" w:rsidRPr="00B07780">
        <w:rPr>
          <w:rFonts w:asciiTheme="majorHAnsi" w:hAnsiTheme="majorHAnsi" w:cstheme="majorHAnsi"/>
          <w:b/>
          <w:sz w:val="24"/>
          <w:szCs w:val="24"/>
        </w:rPr>
        <w:t xml:space="preserve"> </w:t>
      </w:r>
      <w:r w:rsidR="003F03E9" w:rsidRPr="003F03E9">
        <w:rPr>
          <w:rFonts w:asciiTheme="majorHAnsi" w:hAnsiTheme="majorHAnsi" w:cstheme="majorHAnsi"/>
          <w:sz w:val="24"/>
          <w:szCs w:val="24"/>
        </w:rPr>
        <w:t>The</w:t>
      </w:r>
      <w:r w:rsidR="003F03E9">
        <w:rPr>
          <w:rFonts w:asciiTheme="majorHAnsi" w:hAnsiTheme="majorHAnsi" w:cstheme="majorHAnsi"/>
          <w:b/>
          <w:sz w:val="24"/>
          <w:szCs w:val="24"/>
        </w:rPr>
        <w:t xml:space="preserve"> </w:t>
      </w:r>
      <w:r w:rsidR="003F03E9">
        <w:rPr>
          <w:rFonts w:asciiTheme="majorHAnsi" w:hAnsiTheme="majorHAnsi" w:cstheme="majorHAnsi"/>
          <w:sz w:val="24"/>
          <w:szCs w:val="24"/>
        </w:rPr>
        <w:t>lack of institutional coordination is pervasive in the Dominican Republic. In the case of trade and competitiveness, t</w:t>
      </w:r>
      <w:r w:rsidR="001345D8" w:rsidRPr="00B07780">
        <w:rPr>
          <w:rFonts w:asciiTheme="majorHAnsi" w:hAnsiTheme="majorHAnsi" w:cstheme="majorHAnsi"/>
          <w:sz w:val="24"/>
          <w:szCs w:val="24"/>
        </w:rPr>
        <w:t xml:space="preserve">here are multiple actors involved in trade and investment promotion. On the one hand, public entities, such as the export and investment promotion agency (CEI-RD), have the mandate to delineate the policy and strategy but in reality their work is limited due to thin budgets. On the other hand, private </w:t>
      </w:r>
      <w:r w:rsidR="00073AE1" w:rsidRPr="00B07780">
        <w:rPr>
          <w:rFonts w:asciiTheme="majorHAnsi" w:hAnsiTheme="majorHAnsi" w:cstheme="majorHAnsi"/>
          <w:sz w:val="24"/>
          <w:szCs w:val="24"/>
        </w:rPr>
        <w:t xml:space="preserve">or mixed entities, such as the national commission of SEZ (CNZFE), work with more resources to attract FDI into the multiple parks. Additionally, the fact that many parks are privately-owned generates incentives for private actors to attract international investors. A national </w:t>
      </w:r>
      <w:r w:rsidR="004F49CB" w:rsidRPr="00B07780">
        <w:rPr>
          <w:rFonts w:asciiTheme="majorHAnsi" w:hAnsiTheme="majorHAnsi" w:cstheme="majorHAnsi"/>
          <w:sz w:val="24"/>
          <w:szCs w:val="24"/>
        </w:rPr>
        <w:t xml:space="preserve">export and investment strategy coordinated and vetted by the different actors in conjunction with an empowered CEI-RD could </w:t>
      </w:r>
      <w:r w:rsidR="00745040" w:rsidRPr="00B07780">
        <w:rPr>
          <w:rFonts w:asciiTheme="majorHAnsi" w:hAnsiTheme="majorHAnsi" w:cstheme="majorHAnsi"/>
          <w:sz w:val="24"/>
          <w:szCs w:val="24"/>
        </w:rPr>
        <w:t xml:space="preserve">improve the overall support framework for trade and competitiveness. </w:t>
      </w:r>
      <w:r w:rsidR="00B26D56">
        <w:rPr>
          <w:rFonts w:asciiTheme="majorHAnsi" w:hAnsiTheme="majorHAnsi" w:cstheme="majorHAnsi"/>
          <w:sz w:val="24"/>
          <w:szCs w:val="24"/>
        </w:rPr>
        <w:t>This strategy should include a robust cost-benefit analysis of the SEZ framework.</w:t>
      </w:r>
    </w:p>
    <w:p w14:paraId="1DB86F3A" w14:textId="77777777" w:rsidR="003302C7" w:rsidRDefault="003302C7">
      <w:pPr>
        <w:spacing w:after="200" w:line="276" w:lineRule="auto"/>
        <w:jc w:val="both"/>
        <w:rPr>
          <w:rFonts w:asciiTheme="majorHAnsi" w:hAnsiTheme="majorHAnsi" w:cstheme="majorHAnsi"/>
          <w:highlight w:val="cyan"/>
        </w:rPr>
      </w:pPr>
      <w:r>
        <w:rPr>
          <w:rFonts w:asciiTheme="majorHAnsi" w:hAnsiTheme="majorHAnsi" w:cstheme="majorHAnsi"/>
          <w:highlight w:val="cyan"/>
        </w:rPr>
        <w:br w:type="page"/>
      </w:r>
    </w:p>
    <w:p w14:paraId="5762B454" w14:textId="77777777" w:rsidR="00D57680" w:rsidRDefault="00D57680" w:rsidP="009F32F0">
      <w:pPr>
        <w:pStyle w:val="Heading1"/>
        <w:spacing w:after="240"/>
        <w:rPr>
          <w:rFonts w:asciiTheme="majorHAnsi" w:hAnsiTheme="majorHAnsi" w:cstheme="majorHAnsi"/>
          <w:lang w:val="es-CO"/>
        </w:rPr>
      </w:pPr>
      <w:bookmarkStart w:id="24" w:name="_Toc461524383"/>
      <w:r w:rsidRPr="00795AAF">
        <w:rPr>
          <w:rFonts w:asciiTheme="majorHAnsi" w:hAnsiTheme="majorHAnsi" w:cstheme="majorHAnsi"/>
          <w:lang w:val="es-CO"/>
        </w:rPr>
        <w:lastRenderedPageBreak/>
        <w:t>References</w:t>
      </w:r>
      <w:bookmarkEnd w:id="24"/>
    </w:p>
    <w:p w14:paraId="51753645" w14:textId="77777777" w:rsidR="004C50C4" w:rsidRPr="00970E55" w:rsidRDefault="004C50C4" w:rsidP="004C50C4">
      <w:pPr>
        <w:spacing w:after="120"/>
        <w:jc w:val="both"/>
        <w:rPr>
          <w:rFonts w:asciiTheme="majorHAnsi" w:hAnsiTheme="majorHAnsi" w:cstheme="majorHAnsi"/>
          <w:sz w:val="24"/>
          <w:szCs w:val="24"/>
        </w:rPr>
      </w:pPr>
      <w:r w:rsidRPr="00970E55">
        <w:rPr>
          <w:rFonts w:asciiTheme="majorHAnsi" w:hAnsiTheme="majorHAnsi" w:cstheme="majorHAnsi"/>
          <w:sz w:val="24"/>
          <w:szCs w:val="24"/>
        </w:rPr>
        <w:t>Antràs, P., D. Chor, T. Fally, and R. Hillberry (2012): “Measuring the Upstreamness of Production and Trade Flows,” NBER Working Paper 17819.</w:t>
      </w:r>
    </w:p>
    <w:p w14:paraId="3C914CBF" w14:textId="7C94D849" w:rsidR="00F85817" w:rsidRDefault="00F85817" w:rsidP="004C50C4">
      <w:pPr>
        <w:spacing w:after="120"/>
        <w:jc w:val="both"/>
        <w:rPr>
          <w:rFonts w:asciiTheme="majorHAnsi" w:hAnsiTheme="majorHAnsi" w:cstheme="majorHAnsi"/>
          <w:sz w:val="24"/>
          <w:szCs w:val="24"/>
          <w:lang w:val="es-CO"/>
        </w:rPr>
      </w:pPr>
      <w:r w:rsidRPr="00F85817">
        <w:rPr>
          <w:rFonts w:asciiTheme="majorHAnsi" w:hAnsiTheme="majorHAnsi" w:cstheme="majorHAnsi"/>
          <w:sz w:val="24"/>
          <w:szCs w:val="24"/>
          <w:lang w:val="es-CO"/>
        </w:rPr>
        <w:t xml:space="preserve">Arráiz, Irani, Francisca Henríquez, and Rodolfo Stucchi. </w:t>
      </w:r>
      <w:r w:rsidRPr="00F85817">
        <w:rPr>
          <w:rFonts w:asciiTheme="majorHAnsi" w:hAnsiTheme="majorHAnsi" w:cstheme="majorHAnsi"/>
          <w:sz w:val="24"/>
          <w:szCs w:val="24"/>
        </w:rPr>
        <w:t xml:space="preserve">"Supplier development programs and firm performance: evidence from Chile." </w:t>
      </w:r>
      <w:r w:rsidRPr="00F85817">
        <w:rPr>
          <w:rFonts w:asciiTheme="majorHAnsi" w:hAnsiTheme="majorHAnsi" w:cstheme="majorHAnsi"/>
          <w:sz w:val="24"/>
          <w:szCs w:val="24"/>
          <w:lang w:val="es-CO"/>
        </w:rPr>
        <w:t>Small Business Economics 41.1 (2013): 277-293.</w:t>
      </w:r>
    </w:p>
    <w:p w14:paraId="18AFC64B" w14:textId="77777777" w:rsidR="004C50C4" w:rsidRPr="00970E55" w:rsidRDefault="004C50C4" w:rsidP="004C50C4">
      <w:pPr>
        <w:spacing w:after="120"/>
        <w:jc w:val="both"/>
        <w:rPr>
          <w:rFonts w:asciiTheme="majorHAnsi" w:hAnsiTheme="majorHAnsi" w:cstheme="majorHAnsi"/>
          <w:sz w:val="24"/>
          <w:szCs w:val="24"/>
          <w:lang w:val="es-CO"/>
        </w:rPr>
      </w:pPr>
      <w:r w:rsidRPr="00970E55">
        <w:rPr>
          <w:rFonts w:asciiTheme="majorHAnsi" w:hAnsiTheme="majorHAnsi" w:cstheme="majorHAnsi"/>
          <w:sz w:val="24"/>
          <w:szCs w:val="24"/>
          <w:lang w:val="es-CO"/>
        </w:rPr>
        <w:t>Banco Central de la República Dominicana (2014): “El Reto de las Zonas Francas con el Cambio en las Reglas de Juego en 2015,” Análisis de Coyuntura Internacional, No. 29.</w:t>
      </w:r>
    </w:p>
    <w:p w14:paraId="2A56DAD4" w14:textId="77777777" w:rsidR="004C50C4" w:rsidRPr="00970E55" w:rsidRDefault="004C50C4" w:rsidP="004C50C4">
      <w:pPr>
        <w:spacing w:after="120"/>
        <w:jc w:val="both"/>
        <w:rPr>
          <w:rFonts w:asciiTheme="majorHAnsi" w:hAnsiTheme="majorHAnsi" w:cstheme="majorHAnsi"/>
          <w:sz w:val="24"/>
          <w:szCs w:val="24"/>
        </w:rPr>
      </w:pPr>
      <w:r w:rsidRPr="00970E55">
        <w:rPr>
          <w:rFonts w:asciiTheme="majorHAnsi" w:hAnsiTheme="majorHAnsi" w:cstheme="majorHAnsi"/>
          <w:sz w:val="24"/>
          <w:szCs w:val="24"/>
        </w:rPr>
        <w:t>Burgaud, J.-M., and T. Farole (2011): “When Trade Preferences and Tax Breaks are no Longer Enough: The Challenges of Adjustment in the Dominican Republic’s Free Zones,” in T. Farole and G. Akinci eds. Special Economic Zones: Progress, Emerging Challenges and Future Directions, Washington DC: World Bank.</w:t>
      </w:r>
    </w:p>
    <w:p w14:paraId="3626F674" w14:textId="50A513E9" w:rsidR="00421E5E" w:rsidRDefault="00421E5E" w:rsidP="00421E5E">
      <w:pPr>
        <w:spacing w:after="120"/>
        <w:jc w:val="both"/>
        <w:rPr>
          <w:rFonts w:asciiTheme="majorHAnsi" w:hAnsiTheme="majorHAnsi" w:cstheme="majorHAnsi"/>
          <w:sz w:val="24"/>
          <w:szCs w:val="24"/>
        </w:rPr>
      </w:pPr>
      <w:r w:rsidRPr="00421E5E">
        <w:rPr>
          <w:rFonts w:asciiTheme="majorHAnsi" w:hAnsiTheme="majorHAnsi" w:cstheme="majorHAnsi"/>
          <w:sz w:val="24"/>
          <w:szCs w:val="24"/>
        </w:rPr>
        <w:t>Cordero, J. and E. Paus. 2008. “Foreign Investment and Economic</w:t>
      </w:r>
      <w:r>
        <w:rPr>
          <w:rFonts w:asciiTheme="majorHAnsi" w:hAnsiTheme="majorHAnsi" w:cstheme="majorHAnsi"/>
          <w:sz w:val="24"/>
          <w:szCs w:val="24"/>
        </w:rPr>
        <w:t xml:space="preserve"> </w:t>
      </w:r>
      <w:r w:rsidRPr="00421E5E">
        <w:rPr>
          <w:rFonts w:asciiTheme="majorHAnsi" w:hAnsiTheme="majorHAnsi" w:cstheme="majorHAnsi"/>
          <w:sz w:val="24"/>
          <w:szCs w:val="24"/>
        </w:rPr>
        <w:t>Development in Costa Rica: The Unrealized Potential.” Foreign</w:t>
      </w:r>
      <w:r>
        <w:rPr>
          <w:rFonts w:asciiTheme="majorHAnsi" w:hAnsiTheme="majorHAnsi" w:cstheme="majorHAnsi"/>
          <w:sz w:val="24"/>
          <w:szCs w:val="24"/>
        </w:rPr>
        <w:t xml:space="preserve"> </w:t>
      </w:r>
      <w:r w:rsidRPr="00421E5E">
        <w:rPr>
          <w:rFonts w:asciiTheme="majorHAnsi" w:hAnsiTheme="majorHAnsi" w:cstheme="majorHAnsi"/>
          <w:sz w:val="24"/>
          <w:szCs w:val="24"/>
        </w:rPr>
        <w:t>Investment and Sustainable Development: Lessons from the</w:t>
      </w:r>
      <w:r>
        <w:rPr>
          <w:rFonts w:asciiTheme="majorHAnsi" w:hAnsiTheme="majorHAnsi" w:cstheme="majorHAnsi"/>
          <w:sz w:val="24"/>
          <w:szCs w:val="24"/>
        </w:rPr>
        <w:t xml:space="preserve"> </w:t>
      </w:r>
      <w:r w:rsidRPr="00421E5E">
        <w:rPr>
          <w:rFonts w:asciiTheme="majorHAnsi" w:hAnsiTheme="majorHAnsi" w:cstheme="majorHAnsi"/>
          <w:sz w:val="24"/>
          <w:szCs w:val="24"/>
        </w:rPr>
        <w:t>Americas. Working Group Discussion Paper Number 13. Working</w:t>
      </w:r>
      <w:r>
        <w:rPr>
          <w:rFonts w:asciiTheme="majorHAnsi" w:hAnsiTheme="majorHAnsi" w:cstheme="majorHAnsi"/>
          <w:sz w:val="24"/>
          <w:szCs w:val="24"/>
        </w:rPr>
        <w:t xml:space="preserve"> </w:t>
      </w:r>
      <w:r w:rsidRPr="00421E5E">
        <w:rPr>
          <w:rFonts w:asciiTheme="majorHAnsi" w:hAnsiTheme="majorHAnsi" w:cstheme="majorHAnsi"/>
          <w:sz w:val="24"/>
          <w:szCs w:val="24"/>
        </w:rPr>
        <w:t>Group on Development and Environment in the Americas, Tufts</w:t>
      </w:r>
      <w:r>
        <w:rPr>
          <w:rFonts w:asciiTheme="majorHAnsi" w:hAnsiTheme="majorHAnsi" w:cstheme="majorHAnsi"/>
          <w:sz w:val="24"/>
          <w:szCs w:val="24"/>
        </w:rPr>
        <w:t xml:space="preserve"> </w:t>
      </w:r>
      <w:r w:rsidRPr="00421E5E">
        <w:rPr>
          <w:rFonts w:asciiTheme="majorHAnsi" w:hAnsiTheme="majorHAnsi" w:cstheme="majorHAnsi"/>
          <w:sz w:val="24"/>
          <w:szCs w:val="24"/>
        </w:rPr>
        <w:t>University</w:t>
      </w:r>
      <w:r>
        <w:rPr>
          <w:rFonts w:asciiTheme="majorHAnsi" w:hAnsiTheme="majorHAnsi" w:cstheme="majorHAnsi"/>
          <w:sz w:val="24"/>
          <w:szCs w:val="24"/>
        </w:rPr>
        <w:t>.</w:t>
      </w:r>
    </w:p>
    <w:p w14:paraId="6115B79A" w14:textId="77777777" w:rsidR="004C50C4" w:rsidRPr="00970E55" w:rsidRDefault="004C50C4" w:rsidP="004C50C4">
      <w:pPr>
        <w:spacing w:after="120"/>
        <w:jc w:val="both"/>
        <w:rPr>
          <w:rFonts w:asciiTheme="majorHAnsi" w:hAnsiTheme="majorHAnsi" w:cstheme="majorHAnsi"/>
          <w:sz w:val="24"/>
          <w:szCs w:val="24"/>
        </w:rPr>
      </w:pPr>
      <w:r w:rsidRPr="00970E55">
        <w:rPr>
          <w:rFonts w:asciiTheme="majorHAnsi" w:hAnsiTheme="majorHAnsi" w:cstheme="majorHAnsi"/>
          <w:sz w:val="24"/>
          <w:szCs w:val="24"/>
        </w:rPr>
        <w:t>De La Cruz, J., R. B. Koopman, Z. Wang, and S.-J. Wei (2011): “Estimating Foreign Value-Added in Mexico’s Manufacturing Exports,” U.S. International Trade Commission Working Paper, (2011-04A).</w:t>
      </w:r>
    </w:p>
    <w:p w14:paraId="19317ED1" w14:textId="77777777" w:rsidR="004C50C4" w:rsidRPr="00970E55" w:rsidRDefault="004C50C4" w:rsidP="004C50C4">
      <w:pPr>
        <w:spacing w:after="120"/>
        <w:jc w:val="both"/>
        <w:rPr>
          <w:rFonts w:asciiTheme="majorHAnsi" w:hAnsiTheme="majorHAnsi" w:cstheme="majorHAnsi"/>
          <w:sz w:val="24"/>
          <w:szCs w:val="24"/>
        </w:rPr>
      </w:pPr>
      <w:r w:rsidRPr="00970E55">
        <w:rPr>
          <w:rFonts w:asciiTheme="majorHAnsi" w:hAnsiTheme="majorHAnsi" w:cstheme="majorHAnsi"/>
          <w:sz w:val="24"/>
          <w:szCs w:val="24"/>
        </w:rPr>
        <w:t>Defever, F. and A. Riaño (2016): “Protectionism through Exporting: Subsidies with Export Share Requirements in China,” CEP Working Paper 1431.</w:t>
      </w:r>
    </w:p>
    <w:p w14:paraId="1ADAD2AC" w14:textId="77777777" w:rsidR="004C50C4" w:rsidRPr="00970E55" w:rsidRDefault="004C50C4" w:rsidP="004C50C4">
      <w:pPr>
        <w:spacing w:after="120"/>
        <w:jc w:val="both"/>
        <w:rPr>
          <w:rFonts w:asciiTheme="majorHAnsi" w:hAnsiTheme="majorHAnsi" w:cstheme="majorHAnsi"/>
          <w:sz w:val="24"/>
          <w:szCs w:val="24"/>
        </w:rPr>
      </w:pPr>
      <w:r w:rsidRPr="00970E55">
        <w:rPr>
          <w:rFonts w:asciiTheme="majorHAnsi" w:hAnsiTheme="majorHAnsi" w:cstheme="majorHAnsi"/>
          <w:sz w:val="24"/>
          <w:szCs w:val="24"/>
        </w:rPr>
        <w:t>Defever, F., J.-D. Reyes, A. Riaño and M. E. Sánchez-Martín (2016): “Does the Elimination of Export Requirements in Special Economic Zones affect Export Performance? Evidence from the Dominican Republic,” Working Paper, forthcoming.</w:t>
      </w:r>
    </w:p>
    <w:p w14:paraId="57D0D38B" w14:textId="77777777" w:rsidR="004C50C4" w:rsidRPr="009F32F0" w:rsidRDefault="004C50C4" w:rsidP="004C50C4">
      <w:pPr>
        <w:spacing w:after="120"/>
        <w:jc w:val="both"/>
        <w:rPr>
          <w:rFonts w:asciiTheme="majorHAnsi" w:hAnsiTheme="majorHAnsi" w:cstheme="majorHAnsi"/>
          <w:sz w:val="24"/>
          <w:szCs w:val="24"/>
        </w:rPr>
      </w:pPr>
      <w:r w:rsidRPr="00970E55">
        <w:rPr>
          <w:rFonts w:asciiTheme="majorHAnsi" w:hAnsiTheme="majorHAnsi" w:cstheme="majorHAnsi"/>
          <w:sz w:val="24"/>
          <w:szCs w:val="24"/>
        </w:rPr>
        <w:t>Dunning, J. H. (1993) “Multinational Enterprises and the Global Economy,” Harlow: Addison-Wesley.</w:t>
      </w:r>
    </w:p>
    <w:p w14:paraId="01506B25" w14:textId="77777777" w:rsidR="004C50C4" w:rsidRPr="009F32F0" w:rsidRDefault="004C50C4" w:rsidP="004C50C4">
      <w:pPr>
        <w:spacing w:after="120"/>
        <w:jc w:val="both"/>
        <w:rPr>
          <w:rFonts w:asciiTheme="majorHAnsi" w:hAnsiTheme="majorHAnsi" w:cstheme="majorHAnsi"/>
          <w:sz w:val="24"/>
          <w:szCs w:val="24"/>
        </w:rPr>
      </w:pPr>
      <w:r w:rsidRPr="006B1D3F">
        <w:rPr>
          <w:rFonts w:asciiTheme="majorHAnsi" w:hAnsiTheme="majorHAnsi" w:cstheme="majorHAnsi"/>
          <w:sz w:val="24"/>
          <w:szCs w:val="24"/>
        </w:rPr>
        <w:t>Engel, J., J</w:t>
      </w:r>
      <w:r>
        <w:rPr>
          <w:rFonts w:asciiTheme="majorHAnsi" w:hAnsiTheme="majorHAnsi" w:cstheme="majorHAnsi"/>
          <w:sz w:val="24"/>
          <w:szCs w:val="24"/>
        </w:rPr>
        <w:t>.</w:t>
      </w:r>
      <w:r w:rsidRPr="006B1D3F">
        <w:rPr>
          <w:rFonts w:asciiTheme="majorHAnsi" w:hAnsiTheme="majorHAnsi" w:cstheme="majorHAnsi"/>
          <w:sz w:val="24"/>
          <w:szCs w:val="24"/>
        </w:rPr>
        <w:t>-D</w:t>
      </w:r>
      <w:r>
        <w:rPr>
          <w:rFonts w:asciiTheme="majorHAnsi" w:hAnsiTheme="majorHAnsi" w:cstheme="majorHAnsi"/>
          <w:sz w:val="24"/>
          <w:szCs w:val="24"/>
        </w:rPr>
        <w:t>.</w:t>
      </w:r>
      <w:r w:rsidRPr="006B1D3F">
        <w:rPr>
          <w:rFonts w:asciiTheme="majorHAnsi" w:hAnsiTheme="majorHAnsi" w:cstheme="majorHAnsi"/>
          <w:sz w:val="24"/>
          <w:szCs w:val="24"/>
        </w:rPr>
        <w:t xml:space="preserve"> </w:t>
      </w:r>
      <w:r>
        <w:rPr>
          <w:rFonts w:asciiTheme="majorHAnsi" w:hAnsiTheme="majorHAnsi" w:cstheme="majorHAnsi"/>
          <w:sz w:val="24"/>
          <w:szCs w:val="24"/>
        </w:rPr>
        <w:t>Reyes, and M. E. Sánchez-Martín</w:t>
      </w:r>
      <w:r w:rsidRPr="006B1D3F">
        <w:rPr>
          <w:rFonts w:asciiTheme="majorHAnsi" w:hAnsiTheme="majorHAnsi" w:cstheme="majorHAnsi"/>
          <w:sz w:val="24"/>
          <w:szCs w:val="24"/>
        </w:rPr>
        <w:t xml:space="preserve"> (2016): </w:t>
      </w:r>
      <w:r w:rsidRPr="009F32F0">
        <w:rPr>
          <w:rFonts w:asciiTheme="majorHAnsi" w:hAnsiTheme="majorHAnsi" w:cstheme="majorHAnsi"/>
          <w:sz w:val="24"/>
          <w:szCs w:val="24"/>
        </w:rPr>
        <w:t xml:space="preserve">“The </w:t>
      </w:r>
      <w:r>
        <w:rPr>
          <w:rFonts w:asciiTheme="majorHAnsi" w:hAnsiTheme="majorHAnsi" w:cstheme="majorHAnsi"/>
          <w:sz w:val="24"/>
          <w:szCs w:val="24"/>
        </w:rPr>
        <w:t>E</w:t>
      </w:r>
      <w:r w:rsidRPr="009F32F0">
        <w:rPr>
          <w:rFonts w:asciiTheme="majorHAnsi" w:hAnsiTheme="majorHAnsi" w:cstheme="majorHAnsi"/>
          <w:sz w:val="24"/>
          <w:szCs w:val="24"/>
        </w:rPr>
        <w:t xml:space="preserve">volution of </w:t>
      </w:r>
      <w:r>
        <w:rPr>
          <w:rFonts w:asciiTheme="majorHAnsi" w:hAnsiTheme="majorHAnsi" w:cstheme="majorHAnsi"/>
          <w:sz w:val="24"/>
          <w:szCs w:val="24"/>
        </w:rPr>
        <w:t>B</w:t>
      </w:r>
      <w:r w:rsidRPr="009F32F0">
        <w:rPr>
          <w:rFonts w:asciiTheme="majorHAnsi" w:hAnsiTheme="majorHAnsi" w:cstheme="majorHAnsi"/>
          <w:sz w:val="24"/>
          <w:szCs w:val="24"/>
        </w:rPr>
        <w:t xml:space="preserve">ackward </w:t>
      </w:r>
      <w:r>
        <w:rPr>
          <w:rFonts w:asciiTheme="majorHAnsi" w:hAnsiTheme="majorHAnsi" w:cstheme="majorHAnsi"/>
          <w:sz w:val="24"/>
          <w:szCs w:val="24"/>
        </w:rPr>
        <w:t>L</w:t>
      </w:r>
      <w:r w:rsidRPr="009F32F0">
        <w:rPr>
          <w:rFonts w:asciiTheme="majorHAnsi" w:hAnsiTheme="majorHAnsi" w:cstheme="majorHAnsi"/>
          <w:sz w:val="24"/>
          <w:szCs w:val="24"/>
        </w:rPr>
        <w:t xml:space="preserve">inkages in a </w:t>
      </w:r>
      <w:r>
        <w:rPr>
          <w:rFonts w:asciiTheme="majorHAnsi" w:hAnsiTheme="majorHAnsi" w:cstheme="majorHAnsi"/>
          <w:sz w:val="24"/>
          <w:szCs w:val="24"/>
        </w:rPr>
        <w:t>D</w:t>
      </w:r>
      <w:r w:rsidRPr="009F32F0">
        <w:rPr>
          <w:rFonts w:asciiTheme="majorHAnsi" w:hAnsiTheme="majorHAnsi" w:cstheme="majorHAnsi"/>
          <w:sz w:val="24"/>
          <w:szCs w:val="24"/>
        </w:rPr>
        <w:t xml:space="preserve">ual </w:t>
      </w:r>
      <w:r>
        <w:rPr>
          <w:rFonts w:asciiTheme="majorHAnsi" w:hAnsiTheme="majorHAnsi" w:cstheme="majorHAnsi"/>
          <w:sz w:val="24"/>
          <w:szCs w:val="24"/>
        </w:rPr>
        <w:t>E</w:t>
      </w:r>
      <w:r w:rsidRPr="009F32F0">
        <w:rPr>
          <w:rFonts w:asciiTheme="majorHAnsi" w:hAnsiTheme="majorHAnsi" w:cstheme="majorHAnsi"/>
          <w:sz w:val="24"/>
          <w:szCs w:val="24"/>
        </w:rPr>
        <w:t xml:space="preserve">conomy: </w:t>
      </w:r>
      <w:r>
        <w:rPr>
          <w:rFonts w:asciiTheme="majorHAnsi" w:hAnsiTheme="majorHAnsi" w:cstheme="majorHAnsi"/>
          <w:sz w:val="24"/>
          <w:szCs w:val="24"/>
        </w:rPr>
        <w:t>T</w:t>
      </w:r>
      <w:r w:rsidRPr="009F32F0">
        <w:rPr>
          <w:rFonts w:asciiTheme="majorHAnsi" w:hAnsiTheme="majorHAnsi" w:cstheme="majorHAnsi"/>
          <w:sz w:val="24"/>
          <w:szCs w:val="24"/>
        </w:rPr>
        <w:t xml:space="preserve">he </w:t>
      </w:r>
      <w:r>
        <w:rPr>
          <w:rFonts w:asciiTheme="majorHAnsi" w:hAnsiTheme="majorHAnsi" w:cstheme="majorHAnsi"/>
          <w:sz w:val="24"/>
          <w:szCs w:val="24"/>
        </w:rPr>
        <w:t>C</w:t>
      </w:r>
      <w:r w:rsidRPr="009F32F0">
        <w:rPr>
          <w:rFonts w:asciiTheme="majorHAnsi" w:hAnsiTheme="majorHAnsi" w:cstheme="majorHAnsi"/>
          <w:sz w:val="24"/>
          <w:szCs w:val="24"/>
        </w:rPr>
        <w:t>ase of the D</w:t>
      </w:r>
      <w:r>
        <w:rPr>
          <w:rFonts w:asciiTheme="majorHAnsi" w:hAnsiTheme="majorHAnsi" w:cstheme="majorHAnsi"/>
          <w:sz w:val="24"/>
          <w:szCs w:val="24"/>
        </w:rPr>
        <w:t xml:space="preserve">ominican Republic, 1993-2010,” </w:t>
      </w:r>
      <w:r w:rsidRPr="009F32F0">
        <w:rPr>
          <w:rFonts w:asciiTheme="majorHAnsi" w:hAnsiTheme="majorHAnsi" w:cstheme="majorHAnsi"/>
          <w:sz w:val="24"/>
          <w:szCs w:val="24"/>
        </w:rPr>
        <w:t xml:space="preserve">Working Paper, forthcoming. </w:t>
      </w:r>
    </w:p>
    <w:p w14:paraId="052B1049" w14:textId="77777777" w:rsidR="004C50C4" w:rsidRPr="009F32F0" w:rsidRDefault="004C50C4" w:rsidP="004C50C4">
      <w:pPr>
        <w:spacing w:after="120"/>
        <w:jc w:val="both"/>
        <w:rPr>
          <w:rFonts w:asciiTheme="majorHAnsi" w:hAnsiTheme="majorHAnsi" w:cstheme="majorHAnsi"/>
          <w:sz w:val="24"/>
          <w:szCs w:val="24"/>
        </w:rPr>
      </w:pPr>
      <w:r w:rsidRPr="009F32F0">
        <w:rPr>
          <w:rFonts w:asciiTheme="majorHAnsi" w:hAnsiTheme="majorHAnsi" w:cstheme="majorHAnsi"/>
          <w:sz w:val="24"/>
          <w:szCs w:val="24"/>
        </w:rPr>
        <w:t xml:space="preserve">Farole, </w:t>
      </w:r>
      <w:r>
        <w:rPr>
          <w:rFonts w:asciiTheme="majorHAnsi" w:hAnsiTheme="majorHAnsi" w:cstheme="majorHAnsi"/>
          <w:sz w:val="24"/>
          <w:szCs w:val="24"/>
        </w:rPr>
        <w:t>T</w:t>
      </w:r>
      <w:r w:rsidRPr="009F32F0">
        <w:rPr>
          <w:rFonts w:asciiTheme="majorHAnsi" w:hAnsiTheme="majorHAnsi" w:cstheme="majorHAnsi"/>
          <w:sz w:val="24"/>
          <w:szCs w:val="24"/>
        </w:rPr>
        <w:t xml:space="preserve">. and </w:t>
      </w:r>
      <w:r>
        <w:rPr>
          <w:rFonts w:asciiTheme="majorHAnsi" w:hAnsiTheme="majorHAnsi" w:cstheme="majorHAnsi"/>
          <w:sz w:val="24"/>
          <w:szCs w:val="24"/>
        </w:rPr>
        <w:t>G.</w:t>
      </w:r>
      <w:r w:rsidRPr="009F32F0">
        <w:rPr>
          <w:rFonts w:asciiTheme="majorHAnsi" w:hAnsiTheme="majorHAnsi" w:cstheme="majorHAnsi"/>
          <w:sz w:val="24"/>
          <w:szCs w:val="24"/>
        </w:rPr>
        <w:t xml:space="preserve"> Akinci (2011): “Special Economic Zones: Progress, Emerging Challenges and Future Directions,” Washington DC: World Bank.</w:t>
      </w:r>
    </w:p>
    <w:p w14:paraId="601C6994" w14:textId="77777777" w:rsidR="004C50C4" w:rsidRDefault="004C50C4" w:rsidP="004C50C4">
      <w:pPr>
        <w:spacing w:after="120"/>
        <w:jc w:val="both"/>
        <w:rPr>
          <w:rFonts w:asciiTheme="majorHAnsi" w:hAnsiTheme="majorHAnsi" w:cstheme="majorHAnsi"/>
          <w:sz w:val="24"/>
          <w:szCs w:val="24"/>
        </w:rPr>
      </w:pPr>
      <w:r w:rsidRPr="009F32F0">
        <w:rPr>
          <w:rFonts w:asciiTheme="majorHAnsi" w:hAnsiTheme="majorHAnsi" w:cstheme="majorHAnsi"/>
          <w:sz w:val="24"/>
          <w:szCs w:val="24"/>
        </w:rPr>
        <w:t xml:space="preserve">Fujii-Gambero, </w:t>
      </w:r>
      <w:r>
        <w:rPr>
          <w:rFonts w:asciiTheme="majorHAnsi" w:hAnsiTheme="majorHAnsi" w:cstheme="majorHAnsi"/>
          <w:sz w:val="24"/>
          <w:szCs w:val="24"/>
        </w:rPr>
        <w:t xml:space="preserve">G. </w:t>
      </w:r>
      <w:r w:rsidRPr="009F32F0">
        <w:rPr>
          <w:rFonts w:asciiTheme="majorHAnsi" w:hAnsiTheme="majorHAnsi" w:cstheme="majorHAnsi"/>
          <w:sz w:val="24"/>
          <w:szCs w:val="24"/>
        </w:rPr>
        <w:t xml:space="preserve">and </w:t>
      </w:r>
      <w:r>
        <w:rPr>
          <w:rFonts w:asciiTheme="majorHAnsi" w:hAnsiTheme="majorHAnsi" w:cstheme="majorHAnsi"/>
          <w:sz w:val="24"/>
          <w:szCs w:val="24"/>
        </w:rPr>
        <w:t>R. Cervantes-Martínez</w:t>
      </w:r>
      <w:r w:rsidRPr="009F32F0">
        <w:rPr>
          <w:rFonts w:asciiTheme="majorHAnsi" w:hAnsiTheme="majorHAnsi" w:cstheme="majorHAnsi"/>
          <w:sz w:val="24"/>
          <w:szCs w:val="24"/>
        </w:rPr>
        <w:t xml:space="preserve"> (2013): “Indirect Domestic Value Added in Mexico's Manufacturing Exports, by Origin and Dest</w:t>
      </w:r>
      <w:r>
        <w:rPr>
          <w:rFonts w:asciiTheme="majorHAnsi" w:hAnsiTheme="majorHAnsi" w:cstheme="majorHAnsi"/>
          <w:sz w:val="24"/>
          <w:szCs w:val="24"/>
        </w:rPr>
        <w:t>ination Sector,”</w:t>
      </w:r>
      <w:r w:rsidRPr="009F32F0">
        <w:rPr>
          <w:rFonts w:asciiTheme="majorHAnsi" w:hAnsiTheme="majorHAnsi" w:cstheme="majorHAnsi"/>
          <w:sz w:val="24"/>
          <w:szCs w:val="24"/>
        </w:rPr>
        <w:t xml:space="preserve"> Levy Economics Institute, Working Papers, (760).</w:t>
      </w:r>
    </w:p>
    <w:p w14:paraId="488046E8" w14:textId="19637D41" w:rsidR="00B155ED" w:rsidRPr="009F32F0" w:rsidRDefault="00B155ED" w:rsidP="004C50C4">
      <w:pPr>
        <w:spacing w:after="120"/>
        <w:jc w:val="both"/>
        <w:rPr>
          <w:rFonts w:asciiTheme="majorHAnsi" w:hAnsiTheme="majorHAnsi" w:cstheme="majorHAnsi"/>
          <w:sz w:val="24"/>
          <w:szCs w:val="24"/>
        </w:rPr>
      </w:pPr>
      <w:r>
        <w:rPr>
          <w:rFonts w:asciiTheme="majorHAnsi" w:hAnsiTheme="majorHAnsi" w:cstheme="majorHAnsi"/>
          <w:sz w:val="24"/>
          <w:szCs w:val="24"/>
        </w:rPr>
        <w:t>Hollweg C. H., D. Lederman, D. Rojas, and E. Ruppert (2014): “How Labor Market Frictions Shape the Impact of International Trade on Jobs and Wages” The World Bank.</w:t>
      </w:r>
    </w:p>
    <w:p w14:paraId="3D0B4CC8" w14:textId="77777777" w:rsidR="004C50C4" w:rsidRPr="009F32F0" w:rsidRDefault="004C50C4" w:rsidP="004C50C4">
      <w:pPr>
        <w:spacing w:after="120"/>
        <w:jc w:val="both"/>
        <w:rPr>
          <w:rFonts w:asciiTheme="majorHAnsi" w:hAnsiTheme="majorHAnsi" w:cstheme="majorHAnsi"/>
          <w:sz w:val="24"/>
          <w:szCs w:val="24"/>
        </w:rPr>
      </w:pPr>
      <w:r w:rsidRPr="009F32F0">
        <w:rPr>
          <w:rFonts w:asciiTheme="majorHAnsi" w:hAnsiTheme="majorHAnsi" w:cstheme="majorHAnsi"/>
          <w:sz w:val="24"/>
          <w:szCs w:val="24"/>
        </w:rPr>
        <w:t>Hummels, D.</w:t>
      </w:r>
      <w:r>
        <w:rPr>
          <w:rFonts w:asciiTheme="majorHAnsi" w:hAnsiTheme="majorHAnsi" w:cstheme="majorHAnsi"/>
          <w:sz w:val="24"/>
          <w:szCs w:val="24"/>
        </w:rPr>
        <w:t>, J. Ishii, and K.-M. Yi (2001):</w:t>
      </w:r>
      <w:r w:rsidRPr="009F32F0">
        <w:rPr>
          <w:rFonts w:asciiTheme="majorHAnsi" w:hAnsiTheme="majorHAnsi" w:cstheme="majorHAnsi"/>
          <w:sz w:val="24"/>
          <w:szCs w:val="24"/>
        </w:rPr>
        <w:t xml:space="preserve"> “The </w:t>
      </w:r>
      <w:r>
        <w:rPr>
          <w:rFonts w:asciiTheme="majorHAnsi" w:hAnsiTheme="majorHAnsi" w:cstheme="majorHAnsi"/>
          <w:sz w:val="24"/>
          <w:szCs w:val="24"/>
        </w:rPr>
        <w:t>N</w:t>
      </w:r>
      <w:r w:rsidRPr="009F32F0">
        <w:rPr>
          <w:rFonts w:asciiTheme="majorHAnsi" w:hAnsiTheme="majorHAnsi" w:cstheme="majorHAnsi"/>
          <w:sz w:val="24"/>
          <w:szCs w:val="24"/>
        </w:rPr>
        <w:t xml:space="preserve">ature and </w:t>
      </w:r>
      <w:r>
        <w:rPr>
          <w:rFonts w:asciiTheme="majorHAnsi" w:hAnsiTheme="majorHAnsi" w:cstheme="majorHAnsi"/>
          <w:sz w:val="24"/>
          <w:szCs w:val="24"/>
        </w:rPr>
        <w:t>G</w:t>
      </w:r>
      <w:r w:rsidRPr="009F32F0">
        <w:rPr>
          <w:rFonts w:asciiTheme="majorHAnsi" w:hAnsiTheme="majorHAnsi" w:cstheme="majorHAnsi"/>
          <w:sz w:val="24"/>
          <w:szCs w:val="24"/>
        </w:rPr>
        <w:t xml:space="preserve">rowth of </w:t>
      </w:r>
      <w:r>
        <w:rPr>
          <w:rFonts w:asciiTheme="majorHAnsi" w:hAnsiTheme="majorHAnsi" w:cstheme="majorHAnsi"/>
          <w:sz w:val="24"/>
          <w:szCs w:val="24"/>
        </w:rPr>
        <w:t>V</w:t>
      </w:r>
      <w:r w:rsidRPr="009F32F0">
        <w:rPr>
          <w:rFonts w:asciiTheme="majorHAnsi" w:hAnsiTheme="majorHAnsi" w:cstheme="majorHAnsi"/>
          <w:sz w:val="24"/>
          <w:szCs w:val="24"/>
        </w:rPr>
        <w:t>ertical</w:t>
      </w:r>
      <w:r>
        <w:rPr>
          <w:rFonts w:asciiTheme="majorHAnsi" w:hAnsiTheme="majorHAnsi" w:cstheme="majorHAnsi"/>
          <w:sz w:val="24"/>
          <w:szCs w:val="24"/>
        </w:rPr>
        <w:t xml:space="preserve"> Specialization in World Trade,” Journal of International Economics 54(1)</w:t>
      </w:r>
      <w:r w:rsidRPr="009F32F0">
        <w:rPr>
          <w:rFonts w:asciiTheme="majorHAnsi" w:hAnsiTheme="majorHAnsi" w:cstheme="majorHAnsi"/>
          <w:sz w:val="24"/>
          <w:szCs w:val="24"/>
        </w:rPr>
        <w:t>: 75-96.</w:t>
      </w:r>
    </w:p>
    <w:p w14:paraId="758D7277" w14:textId="77777777" w:rsidR="004C50C4" w:rsidRPr="009F32F0" w:rsidRDefault="004C50C4" w:rsidP="004C50C4">
      <w:pPr>
        <w:spacing w:after="120"/>
        <w:jc w:val="both"/>
        <w:rPr>
          <w:rFonts w:asciiTheme="majorHAnsi" w:hAnsiTheme="majorHAnsi" w:cstheme="majorHAnsi"/>
          <w:sz w:val="24"/>
          <w:szCs w:val="24"/>
        </w:rPr>
      </w:pPr>
      <w:r w:rsidRPr="009F32F0">
        <w:rPr>
          <w:rFonts w:asciiTheme="majorHAnsi" w:hAnsiTheme="majorHAnsi" w:cstheme="majorHAnsi"/>
          <w:sz w:val="24"/>
          <w:szCs w:val="24"/>
        </w:rPr>
        <w:t>Kapl</w:t>
      </w:r>
      <w:r>
        <w:rPr>
          <w:rFonts w:asciiTheme="majorHAnsi" w:hAnsiTheme="majorHAnsi" w:cstheme="majorHAnsi"/>
          <w:sz w:val="24"/>
          <w:szCs w:val="24"/>
        </w:rPr>
        <w:t>insky, R.</w:t>
      </w:r>
      <w:r w:rsidRPr="009F32F0">
        <w:rPr>
          <w:rFonts w:asciiTheme="majorHAnsi" w:hAnsiTheme="majorHAnsi" w:cstheme="majorHAnsi"/>
          <w:sz w:val="24"/>
          <w:szCs w:val="24"/>
        </w:rPr>
        <w:t xml:space="preserve"> (1993): “Export </w:t>
      </w:r>
      <w:r>
        <w:rPr>
          <w:rFonts w:asciiTheme="majorHAnsi" w:hAnsiTheme="majorHAnsi" w:cstheme="majorHAnsi"/>
          <w:sz w:val="24"/>
          <w:szCs w:val="24"/>
        </w:rPr>
        <w:t>P</w:t>
      </w:r>
      <w:r w:rsidRPr="009F32F0">
        <w:rPr>
          <w:rFonts w:asciiTheme="majorHAnsi" w:hAnsiTheme="majorHAnsi" w:cstheme="majorHAnsi"/>
          <w:sz w:val="24"/>
          <w:szCs w:val="24"/>
        </w:rPr>
        <w:t xml:space="preserve">rocessing </w:t>
      </w:r>
      <w:r>
        <w:rPr>
          <w:rFonts w:asciiTheme="majorHAnsi" w:hAnsiTheme="majorHAnsi" w:cstheme="majorHAnsi"/>
          <w:sz w:val="24"/>
          <w:szCs w:val="24"/>
        </w:rPr>
        <w:t>Z</w:t>
      </w:r>
      <w:r w:rsidRPr="009F32F0">
        <w:rPr>
          <w:rFonts w:asciiTheme="majorHAnsi" w:hAnsiTheme="majorHAnsi" w:cstheme="majorHAnsi"/>
          <w:sz w:val="24"/>
          <w:szCs w:val="24"/>
        </w:rPr>
        <w:t>ones in the Dominican Republic: Transformin</w:t>
      </w:r>
      <w:r>
        <w:rPr>
          <w:rFonts w:asciiTheme="majorHAnsi" w:hAnsiTheme="majorHAnsi" w:cstheme="majorHAnsi"/>
          <w:sz w:val="24"/>
          <w:szCs w:val="24"/>
        </w:rPr>
        <w:t>g Manufactures into Commodities,” World Development 21(11)</w:t>
      </w:r>
      <w:r w:rsidRPr="009F32F0">
        <w:rPr>
          <w:rFonts w:asciiTheme="majorHAnsi" w:hAnsiTheme="majorHAnsi" w:cstheme="majorHAnsi"/>
          <w:sz w:val="24"/>
          <w:szCs w:val="24"/>
        </w:rPr>
        <w:t>: 1851-1865.</w:t>
      </w:r>
    </w:p>
    <w:p w14:paraId="4E6D28F4" w14:textId="77777777" w:rsidR="004C50C4" w:rsidRPr="009F32F0" w:rsidRDefault="004C50C4" w:rsidP="004C50C4">
      <w:pPr>
        <w:spacing w:after="120"/>
        <w:jc w:val="both"/>
        <w:rPr>
          <w:rFonts w:asciiTheme="majorHAnsi" w:hAnsiTheme="majorHAnsi" w:cstheme="majorHAnsi"/>
          <w:sz w:val="24"/>
          <w:szCs w:val="24"/>
        </w:rPr>
      </w:pPr>
      <w:r>
        <w:rPr>
          <w:rFonts w:asciiTheme="majorHAnsi" w:hAnsiTheme="majorHAnsi" w:cstheme="majorHAnsi"/>
          <w:sz w:val="24"/>
          <w:szCs w:val="24"/>
        </w:rPr>
        <w:lastRenderedPageBreak/>
        <w:t>Koopman, R.</w:t>
      </w:r>
      <w:r w:rsidRPr="009F32F0">
        <w:rPr>
          <w:rFonts w:asciiTheme="majorHAnsi" w:hAnsiTheme="majorHAnsi" w:cstheme="majorHAnsi"/>
          <w:sz w:val="24"/>
          <w:szCs w:val="24"/>
        </w:rPr>
        <w:t xml:space="preserve">, </w:t>
      </w:r>
      <w:r>
        <w:rPr>
          <w:rFonts w:asciiTheme="majorHAnsi" w:hAnsiTheme="majorHAnsi" w:cstheme="majorHAnsi"/>
          <w:sz w:val="24"/>
          <w:szCs w:val="24"/>
        </w:rPr>
        <w:t>Z. Wang, and S.-J.</w:t>
      </w:r>
      <w:r w:rsidRPr="009F32F0">
        <w:rPr>
          <w:rFonts w:asciiTheme="majorHAnsi" w:hAnsiTheme="majorHAnsi" w:cstheme="majorHAnsi"/>
          <w:sz w:val="24"/>
          <w:szCs w:val="24"/>
        </w:rPr>
        <w:t xml:space="preserve"> </w:t>
      </w:r>
      <w:r>
        <w:rPr>
          <w:rFonts w:asciiTheme="majorHAnsi" w:hAnsiTheme="majorHAnsi" w:cstheme="majorHAnsi"/>
          <w:sz w:val="24"/>
          <w:szCs w:val="24"/>
        </w:rPr>
        <w:t>Wei (2008)</w:t>
      </w:r>
      <w:r w:rsidRPr="009F32F0">
        <w:rPr>
          <w:rFonts w:asciiTheme="majorHAnsi" w:hAnsiTheme="majorHAnsi" w:cstheme="majorHAnsi"/>
          <w:sz w:val="24"/>
          <w:szCs w:val="24"/>
        </w:rPr>
        <w:t xml:space="preserve">: “How </w:t>
      </w:r>
      <w:r>
        <w:rPr>
          <w:rFonts w:asciiTheme="majorHAnsi" w:hAnsiTheme="majorHAnsi" w:cstheme="majorHAnsi"/>
          <w:sz w:val="24"/>
          <w:szCs w:val="24"/>
        </w:rPr>
        <w:t>M</w:t>
      </w:r>
      <w:r w:rsidRPr="009F32F0">
        <w:rPr>
          <w:rFonts w:asciiTheme="majorHAnsi" w:hAnsiTheme="majorHAnsi" w:cstheme="majorHAnsi"/>
          <w:sz w:val="24"/>
          <w:szCs w:val="24"/>
        </w:rPr>
        <w:t xml:space="preserve">uch of Chinese </w:t>
      </w:r>
      <w:r>
        <w:rPr>
          <w:rFonts w:asciiTheme="majorHAnsi" w:hAnsiTheme="majorHAnsi" w:cstheme="majorHAnsi"/>
          <w:sz w:val="24"/>
          <w:szCs w:val="24"/>
        </w:rPr>
        <w:t>E</w:t>
      </w:r>
      <w:r w:rsidRPr="009F32F0">
        <w:rPr>
          <w:rFonts w:asciiTheme="majorHAnsi" w:hAnsiTheme="majorHAnsi" w:cstheme="majorHAnsi"/>
          <w:sz w:val="24"/>
          <w:szCs w:val="24"/>
        </w:rPr>
        <w:t xml:space="preserve">xports is </w:t>
      </w:r>
      <w:r>
        <w:rPr>
          <w:rFonts w:asciiTheme="majorHAnsi" w:hAnsiTheme="majorHAnsi" w:cstheme="majorHAnsi"/>
          <w:sz w:val="24"/>
          <w:szCs w:val="24"/>
        </w:rPr>
        <w:t>R</w:t>
      </w:r>
      <w:r w:rsidRPr="009F32F0">
        <w:rPr>
          <w:rFonts w:asciiTheme="majorHAnsi" w:hAnsiTheme="majorHAnsi" w:cstheme="majorHAnsi"/>
          <w:sz w:val="24"/>
          <w:szCs w:val="24"/>
        </w:rPr>
        <w:t xml:space="preserve">eally </w:t>
      </w:r>
      <w:r>
        <w:rPr>
          <w:rFonts w:asciiTheme="majorHAnsi" w:hAnsiTheme="majorHAnsi" w:cstheme="majorHAnsi"/>
          <w:sz w:val="24"/>
          <w:szCs w:val="24"/>
        </w:rPr>
        <w:t>M</w:t>
      </w:r>
      <w:r w:rsidRPr="009F32F0">
        <w:rPr>
          <w:rFonts w:asciiTheme="majorHAnsi" w:hAnsiTheme="majorHAnsi" w:cstheme="majorHAnsi"/>
          <w:sz w:val="24"/>
          <w:szCs w:val="24"/>
        </w:rPr>
        <w:t xml:space="preserve">ade in China? Assessing </w:t>
      </w:r>
      <w:r>
        <w:rPr>
          <w:rFonts w:asciiTheme="majorHAnsi" w:hAnsiTheme="majorHAnsi" w:cstheme="majorHAnsi"/>
          <w:sz w:val="24"/>
          <w:szCs w:val="24"/>
        </w:rPr>
        <w:t>D</w:t>
      </w:r>
      <w:r w:rsidRPr="009F32F0">
        <w:rPr>
          <w:rFonts w:asciiTheme="majorHAnsi" w:hAnsiTheme="majorHAnsi" w:cstheme="majorHAnsi"/>
          <w:sz w:val="24"/>
          <w:szCs w:val="24"/>
        </w:rPr>
        <w:t xml:space="preserve">omestic </w:t>
      </w:r>
      <w:r>
        <w:rPr>
          <w:rFonts w:asciiTheme="majorHAnsi" w:hAnsiTheme="majorHAnsi" w:cstheme="majorHAnsi"/>
          <w:sz w:val="24"/>
          <w:szCs w:val="24"/>
        </w:rPr>
        <w:t>V</w:t>
      </w:r>
      <w:r w:rsidRPr="009F32F0">
        <w:rPr>
          <w:rFonts w:asciiTheme="majorHAnsi" w:hAnsiTheme="majorHAnsi" w:cstheme="majorHAnsi"/>
          <w:sz w:val="24"/>
          <w:szCs w:val="24"/>
        </w:rPr>
        <w:t>alue-</w:t>
      </w:r>
      <w:r>
        <w:rPr>
          <w:rFonts w:asciiTheme="majorHAnsi" w:hAnsiTheme="majorHAnsi" w:cstheme="majorHAnsi"/>
          <w:sz w:val="24"/>
          <w:szCs w:val="24"/>
        </w:rPr>
        <w:t>A</w:t>
      </w:r>
      <w:r w:rsidRPr="009F32F0">
        <w:rPr>
          <w:rFonts w:asciiTheme="majorHAnsi" w:hAnsiTheme="majorHAnsi" w:cstheme="majorHAnsi"/>
          <w:sz w:val="24"/>
          <w:szCs w:val="24"/>
        </w:rPr>
        <w:t xml:space="preserve">dded </w:t>
      </w:r>
      <w:r>
        <w:rPr>
          <w:rFonts w:asciiTheme="majorHAnsi" w:hAnsiTheme="majorHAnsi" w:cstheme="majorHAnsi"/>
          <w:sz w:val="24"/>
          <w:szCs w:val="24"/>
        </w:rPr>
        <w:t>W</w:t>
      </w:r>
      <w:r w:rsidRPr="009F32F0">
        <w:rPr>
          <w:rFonts w:asciiTheme="majorHAnsi" w:hAnsiTheme="majorHAnsi" w:cstheme="majorHAnsi"/>
          <w:sz w:val="24"/>
          <w:szCs w:val="24"/>
        </w:rPr>
        <w:t xml:space="preserve">hen </w:t>
      </w:r>
      <w:r>
        <w:rPr>
          <w:rFonts w:asciiTheme="majorHAnsi" w:hAnsiTheme="majorHAnsi" w:cstheme="majorHAnsi"/>
          <w:sz w:val="24"/>
          <w:szCs w:val="24"/>
        </w:rPr>
        <w:t>P</w:t>
      </w:r>
      <w:r w:rsidRPr="009F32F0">
        <w:rPr>
          <w:rFonts w:asciiTheme="majorHAnsi" w:hAnsiTheme="majorHAnsi" w:cstheme="majorHAnsi"/>
          <w:sz w:val="24"/>
          <w:szCs w:val="24"/>
        </w:rPr>
        <w:t xml:space="preserve">rocessing </w:t>
      </w:r>
      <w:r>
        <w:rPr>
          <w:rFonts w:asciiTheme="majorHAnsi" w:hAnsiTheme="majorHAnsi" w:cstheme="majorHAnsi"/>
          <w:sz w:val="24"/>
          <w:szCs w:val="24"/>
        </w:rPr>
        <w:t>T</w:t>
      </w:r>
      <w:r w:rsidRPr="009F32F0">
        <w:rPr>
          <w:rFonts w:asciiTheme="majorHAnsi" w:hAnsiTheme="majorHAnsi" w:cstheme="majorHAnsi"/>
          <w:sz w:val="24"/>
          <w:szCs w:val="24"/>
        </w:rPr>
        <w:t xml:space="preserve">rade is </w:t>
      </w:r>
      <w:r>
        <w:rPr>
          <w:rFonts w:asciiTheme="majorHAnsi" w:hAnsiTheme="majorHAnsi" w:cstheme="majorHAnsi"/>
          <w:sz w:val="24"/>
          <w:szCs w:val="24"/>
        </w:rPr>
        <w:t>P</w:t>
      </w:r>
      <w:r w:rsidRPr="009F32F0">
        <w:rPr>
          <w:rFonts w:asciiTheme="majorHAnsi" w:hAnsiTheme="majorHAnsi" w:cstheme="majorHAnsi"/>
          <w:sz w:val="24"/>
          <w:szCs w:val="24"/>
        </w:rPr>
        <w:t>ervasive (No. w14109)” National Bureau of Economic Research.</w:t>
      </w:r>
    </w:p>
    <w:p w14:paraId="4CC8FDDE" w14:textId="77777777" w:rsidR="004C50C4" w:rsidRPr="009F32F0" w:rsidRDefault="004C50C4" w:rsidP="004C50C4">
      <w:pPr>
        <w:spacing w:after="120"/>
        <w:jc w:val="both"/>
        <w:rPr>
          <w:rFonts w:asciiTheme="majorHAnsi" w:hAnsiTheme="majorHAnsi" w:cstheme="majorHAnsi"/>
          <w:sz w:val="24"/>
          <w:szCs w:val="24"/>
        </w:rPr>
      </w:pPr>
      <w:r w:rsidRPr="009F32F0">
        <w:rPr>
          <w:rFonts w:asciiTheme="majorHAnsi" w:hAnsiTheme="majorHAnsi" w:cstheme="majorHAnsi"/>
          <w:sz w:val="24"/>
          <w:szCs w:val="24"/>
        </w:rPr>
        <w:t xml:space="preserve">Lenzen, M., </w:t>
      </w:r>
      <w:r>
        <w:rPr>
          <w:rFonts w:asciiTheme="majorHAnsi" w:hAnsiTheme="majorHAnsi" w:cstheme="majorHAnsi"/>
          <w:sz w:val="24"/>
          <w:szCs w:val="24"/>
        </w:rPr>
        <w:t>D</w:t>
      </w:r>
      <w:r w:rsidRPr="009F32F0">
        <w:rPr>
          <w:rFonts w:asciiTheme="majorHAnsi" w:hAnsiTheme="majorHAnsi" w:cstheme="majorHAnsi"/>
          <w:sz w:val="24"/>
          <w:szCs w:val="24"/>
        </w:rPr>
        <w:t xml:space="preserve">. Monran, K. </w:t>
      </w:r>
      <w:r>
        <w:rPr>
          <w:rFonts w:asciiTheme="majorHAnsi" w:hAnsiTheme="majorHAnsi" w:cstheme="majorHAnsi"/>
          <w:sz w:val="24"/>
          <w:szCs w:val="24"/>
        </w:rPr>
        <w:t xml:space="preserve">Kanemoto, and A. </w:t>
      </w:r>
      <w:r w:rsidRPr="009F32F0">
        <w:rPr>
          <w:rFonts w:asciiTheme="majorHAnsi" w:hAnsiTheme="majorHAnsi" w:cstheme="majorHAnsi"/>
          <w:sz w:val="24"/>
          <w:szCs w:val="24"/>
        </w:rPr>
        <w:t>Geschke (2013): “Building EORA: A Global Multi-</w:t>
      </w:r>
      <w:r>
        <w:rPr>
          <w:rFonts w:asciiTheme="majorHAnsi" w:hAnsiTheme="majorHAnsi" w:cstheme="majorHAnsi"/>
          <w:sz w:val="24"/>
          <w:szCs w:val="24"/>
        </w:rPr>
        <w:t>R</w:t>
      </w:r>
      <w:r w:rsidRPr="009F32F0">
        <w:rPr>
          <w:rFonts w:asciiTheme="majorHAnsi" w:hAnsiTheme="majorHAnsi" w:cstheme="majorHAnsi"/>
          <w:sz w:val="24"/>
          <w:szCs w:val="24"/>
        </w:rPr>
        <w:t xml:space="preserve">egion </w:t>
      </w:r>
      <w:r>
        <w:rPr>
          <w:rFonts w:asciiTheme="majorHAnsi" w:hAnsiTheme="majorHAnsi" w:cstheme="majorHAnsi"/>
          <w:sz w:val="24"/>
          <w:szCs w:val="24"/>
        </w:rPr>
        <w:t>I</w:t>
      </w:r>
      <w:r w:rsidRPr="009F32F0">
        <w:rPr>
          <w:rFonts w:asciiTheme="majorHAnsi" w:hAnsiTheme="majorHAnsi" w:cstheme="majorHAnsi"/>
          <w:sz w:val="24"/>
          <w:szCs w:val="24"/>
        </w:rPr>
        <w:t>nput-</w:t>
      </w:r>
      <w:r>
        <w:rPr>
          <w:rFonts w:asciiTheme="majorHAnsi" w:hAnsiTheme="majorHAnsi" w:cstheme="majorHAnsi"/>
          <w:sz w:val="24"/>
          <w:szCs w:val="24"/>
        </w:rPr>
        <w:t>O</w:t>
      </w:r>
      <w:r w:rsidRPr="009F32F0">
        <w:rPr>
          <w:rFonts w:asciiTheme="majorHAnsi" w:hAnsiTheme="majorHAnsi" w:cstheme="majorHAnsi"/>
          <w:sz w:val="24"/>
          <w:szCs w:val="24"/>
        </w:rPr>
        <w:t xml:space="preserve">utput </w:t>
      </w:r>
      <w:r>
        <w:rPr>
          <w:rFonts w:asciiTheme="majorHAnsi" w:hAnsiTheme="majorHAnsi" w:cstheme="majorHAnsi"/>
          <w:sz w:val="24"/>
          <w:szCs w:val="24"/>
        </w:rPr>
        <w:t>D</w:t>
      </w:r>
      <w:r w:rsidRPr="009F32F0">
        <w:rPr>
          <w:rFonts w:asciiTheme="majorHAnsi" w:hAnsiTheme="majorHAnsi" w:cstheme="majorHAnsi"/>
          <w:sz w:val="24"/>
          <w:szCs w:val="24"/>
        </w:rPr>
        <w:t xml:space="preserve">atabase at </w:t>
      </w:r>
      <w:r>
        <w:rPr>
          <w:rFonts w:asciiTheme="majorHAnsi" w:hAnsiTheme="majorHAnsi" w:cstheme="majorHAnsi"/>
          <w:sz w:val="24"/>
          <w:szCs w:val="24"/>
        </w:rPr>
        <w:t>H</w:t>
      </w:r>
      <w:r w:rsidRPr="009F32F0">
        <w:rPr>
          <w:rFonts w:asciiTheme="majorHAnsi" w:hAnsiTheme="majorHAnsi" w:cstheme="majorHAnsi"/>
          <w:sz w:val="24"/>
          <w:szCs w:val="24"/>
        </w:rPr>
        <w:t xml:space="preserve">igh </w:t>
      </w:r>
      <w:r>
        <w:rPr>
          <w:rFonts w:asciiTheme="majorHAnsi" w:hAnsiTheme="majorHAnsi" w:cstheme="majorHAnsi"/>
          <w:sz w:val="24"/>
          <w:szCs w:val="24"/>
        </w:rPr>
        <w:t>Country and Sector Resolution,”</w:t>
      </w:r>
      <w:r w:rsidRPr="009F32F0">
        <w:rPr>
          <w:rFonts w:asciiTheme="majorHAnsi" w:hAnsiTheme="majorHAnsi" w:cstheme="majorHAnsi"/>
          <w:sz w:val="24"/>
          <w:szCs w:val="24"/>
        </w:rPr>
        <w:t xml:space="preserve"> Economy System Research, Vol. 25, issue 125(1). </w:t>
      </w:r>
    </w:p>
    <w:p w14:paraId="55C016B2" w14:textId="77777777" w:rsidR="004C50C4" w:rsidRPr="009F32F0" w:rsidRDefault="004C50C4" w:rsidP="004C50C4">
      <w:pPr>
        <w:spacing w:after="120"/>
        <w:jc w:val="both"/>
        <w:rPr>
          <w:rFonts w:asciiTheme="majorHAnsi" w:hAnsiTheme="majorHAnsi" w:cstheme="majorHAnsi"/>
          <w:sz w:val="24"/>
          <w:szCs w:val="24"/>
          <w:lang w:val="es-CO"/>
        </w:rPr>
      </w:pPr>
      <w:r w:rsidRPr="00970E55">
        <w:rPr>
          <w:rFonts w:asciiTheme="majorHAnsi" w:hAnsiTheme="majorHAnsi" w:cstheme="majorHAnsi"/>
          <w:sz w:val="24"/>
          <w:szCs w:val="24"/>
          <w:lang w:val="es-CO"/>
        </w:rPr>
        <w:t>Manzano, O., C. Richaud, R. L.-K. Agüero, M. E. Sanchez Martin (</w:t>
      </w:r>
      <w:r w:rsidRPr="009F32F0">
        <w:rPr>
          <w:rFonts w:asciiTheme="majorHAnsi" w:hAnsiTheme="majorHAnsi" w:cstheme="majorHAnsi"/>
          <w:sz w:val="24"/>
          <w:szCs w:val="24"/>
          <w:lang w:val="es-CO"/>
        </w:rPr>
        <w:t xml:space="preserve">2013): “República Dominicana - </w:t>
      </w:r>
      <w:r>
        <w:rPr>
          <w:rFonts w:asciiTheme="majorHAnsi" w:hAnsiTheme="majorHAnsi" w:cstheme="majorHAnsi"/>
          <w:sz w:val="24"/>
          <w:szCs w:val="24"/>
          <w:lang w:val="es-CO"/>
        </w:rPr>
        <w:t>N</w:t>
      </w:r>
      <w:r w:rsidRPr="009F32F0">
        <w:rPr>
          <w:rFonts w:asciiTheme="majorHAnsi" w:hAnsiTheme="majorHAnsi" w:cstheme="majorHAnsi"/>
          <w:sz w:val="24"/>
          <w:szCs w:val="24"/>
          <w:lang w:val="es-CO"/>
        </w:rPr>
        <w:t xml:space="preserve">otas de </w:t>
      </w:r>
      <w:r>
        <w:rPr>
          <w:rFonts w:asciiTheme="majorHAnsi" w:hAnsiTheme="majorHAnsi" w:cstheme="majorHAnsi"/>
          <w:sz w:val="24"/>
          <w:szCs w:val="24"/>
          <w:lang w:val="es-CO"/>
        </w:rPr>
        <w:t>P</w:t>
      </w:r>
      <w:r w:rsidRPr="009F32F0">
        <w:rPr>
          <w:rFonts w:asciiTheme="majorHAnsi" w:hAnsiTheme="majorHAnsi" w:cstheme="majorHAnsi"/>
          <w:sz w:val="24"/>
          <w:szCs w:val="24"/>
          <w:lang w:val="es-CO"/>
        </w:rPr>
        <w:t xml:space="preserve">olitica: </w:t>
      </w:r>
      <w:r>
        <w:rPr>
          <w:rFonts w:asciiTheme="majorHAnsi" w:hAnsiTheme="majorHAnsi" w:cstheme="majorHAnsi"/>
          <w:sz w:val="24"/>
          <w:szCs w:val="24"/>
          <w:lang w:val="es-CO"/>
        </w:rPr>
        <w:t>Versión Para el Día del Diálogo</w:t>
      </w:r>
      <w:r w:rsidRPr="009F32F0">
        <w:rPr>
          <w:rFonts w:asciiTheme="majorHAnsi" w:hAnsiTheme="majorHAnsi" w:cstheme="majorHAnsi"/>
          <w:sz w:val="24"/>
          <w:szCs w:val="24"/>
          <w:lang w:val="es-CO"/>
        </w:rPr>
        <w:t>,” Washington DC: The World Bank Group. http://documents.worldbank.org/curated/en/2013/03/19436485/rep%C3%BAblica-dominicana-notas-de-politica-versi%C3%B3n-para-el-d%C3%ADa-del-di%C3%A1logo.</w:t>
      </w:r>
    </w:p>
    <w:p w14:paraId="45339DD4" w14:textId="77777777" w:rsidR="004C50C4" w:rsidRPr="009F32F0" w:rsidRDefault="004C50C4" w:rsidP="004C50C4">
      <w:pPr>
        <w:spacing w:after="120"/>
        <w:jc w:val="both"/>
        <w:rPr>
          <w:rFonts w:asciiTheme="majorHAnsi" w:hAnsiTheme="majorHAnsi" w:cstheme="majorHAnsi"/>
          <w:sz w:val="24"/>
          <w:szCs w:val="24"/>
        </w:rPr>
      </w:pPr>
      <w:r w:rsidRPr="009F32F0">
        <w:rPr>
          <w:rFonts w:asciiTheme="majorHAnsi" w:hAnsiTheme="majorHAnsi" w:cstheme="majorHAnsi"/>
          <w:sz w:val="24"/>
          <w:szCs w:val="24"/>
        </w:rPr>
        <w:t xml:space="preserve">Ozer, </w:t>
      </w:r>
      <w:r>
        <w:rPr>
          <w:rFonts w:asciiTheme="majorHAnsi" w:hAnsiTheme="majorHAnsi" w:cstheme="majorHAnsi"/>
          <w:sz w:val="24"/>
          <w:szCs w:val="24"/>
        </w:rPr>
        <w:t>S.</w:t>
      </w:r>
      <w:r w:rsidRPr="009F32F0">
        <w:rPr>
          <w:rFonts w:asciiTheme="majorHAnsi" w:hAnsiTheme="majorHAnsi" w:cstheme="majorHAnsi"/>
          <w:sz w:val="24"/>
          <w:szCs w:val="24"/>
        </w:rPr>
        <w:t xml:space="preserve"> </w:t>
      </w:r>
      <w:r>
        <w:rPr>
          <w:rFonts w:asciiTheme="majorHAnsi" w:hAnsiTheme="majorHAnsi" w:cstheme="majorHAnsi"/>
          <w:sz w:val="24"/>
          <w:szCs w:val="24"/>
        </w:rPr>
        <w:t>K.</w:t>
      </w:r>
      <w:r w:rsidRPr="009F32F0">
        <w:rPr>
          <w:rFonts w:asciiTheme="majorHAnsi" w:hAnsiTheme="majorHAnsi" w:cstheme="majorHAnsi"/>
          <w:sz w:val="24"/>
          <w:szCs w:val="24"/>
        </w:rPr>
        <w:t>, D</w:t>
      </w:r>
      <w:r>
        <w:rPr>
          <w:rFonts w:asciiTheme="majorHAnsi" w:hAnsiTheme="majorHAnsi" w:cstheme="majorHAnsi"/>
          <w:sz w:val="24"/>
          <w:szCs w:val="24"/>
        </w:rPr>
        <w:t xml:space="preserve">. </w:t>
      </w:r>
      <w:r w:rsidRPr="009F32F0">
        <w:rPr>
          <w:rFonts w:asciiTheme="majorHAnsi" w:hAnsiTheme="majorHAnsi" w:cstheme="majorHAnsi"/>
          <w:sz w:val="24"/>
          <w:szCs w:val="24"/>
        </w:rPr>
        <w:t>Taglioni, and D</w:t>
      </w:r>
      <w:r>
        <w:rPr>
          <w:rFonts w:asciiTheme="majorHAnsi" w:hAnsiTheme="majorHAnsi" w:cstheme="majorHAnsi"/>
          <w:sz w:val="24"/>
          <w:szCs w:val="24"/>
        </w:rPr>
        <w:t>.</w:t>
      </w:r>
      <w:r w:rsidRPr="009F32F0">
        <w:rPr>
          <w:rFonts w:asciiTheme="majorHAnsi" w:hAnsiTheme="majorHAnsi" w:cstheme="majorHAnsi"/>
          <w:sz w:val="24"/>
          <w:szCs w:val="24"/>
        </w:rPr>
        <w:t xml:space="preserve"> Winkler (2016): "Turkey’s Participation and Economic Upgrading in Global Value Chains</w:t>
      </w:r>
      <w:r>
        <w:rPr>
          <w:rFonts w:asciiTheme="majorHAnsi" w:hAnsiTheme="majorHAnsi" w:cstheme="majorHAnsi"/>
          <w:sz w:val="24"/>
          <w:szCs w:val="24"/>
        </w:rPr>
        <w:t>,</w:t>
      </w:r>
      <w:r w:rsidRPr="009F32F0">
        <w:rPr>
          <w:rFonts w:asciiTheme="majorHAnsi" w:hAnsiTheme="majorHAnsi" w:cstheme="majorHAnsi"/>
          <w:sz w:val="24"/>
          <w:szCs w:val="24"/>
        </w:rPr>
        <w:t>" Handbook of Research on Comparative Economic Development Perspectives on Europe and the MENA Region: 381.</w:t>
      </w:r>
    </w:p>
    <w:p w14:paraId="683AAED2" w14:textId="77777777" w:rsidR="004C50C4" w:rsidRDefault="004C50C4" w:rsidP="004C50C4">
      <w:pPr>
        <w:spacing w:after="120"/>
        <w:jc w:val="both"/>
        <w:rPr>
          <w:rFonts w:asciiTheme="majorHAnsi" w:hAnsiTheme="majorHAnsi" w:cstheme="majorHAnsi"/>
          <w:sz w:val="24"/>
          <w:szCs w:val="24"/>
        </w:rPr>
      </w:pPr>
      <w:r w:rsidRPr="00584F49">
        <w:rPr>
          <w:rFonts w:asciiTheme="majorHAnsi" w:hAnsiTheme="majorHAnsi" w:cstheme="majorHAnsi"/>
          <w:sz w:val="24"/>
          <w:szCs w:val="24"/>
        </w:rPr>
        <w:t>Rodrik, D. (2004): “Industrial Policy for the Twenty-First Century,” CEPR Discussion Paper 4767.</w:t>
      </w:r>
    </w:p>
    <w:p w14:paraId="2E51A234" w14:textId="77777777" w:rsidR="004C50C4" w:rsidRPr="009F32F0" w:rsidRDefault="004C50C4" w:rsidP="004C50C4">
      <w:pPr>
        <w:spacing w:after="120"/>
        <w:jc w:val="both"/>
        <w:rPr>
          <w:rFonts w:asciiTheme="majorHAnsi" w:hAnsiTheme="majorHAnsi" w:cstheme="majorHAnsi"/>
          <w:sz w:val="24"/>
          <w:szCs w:val="24"/>
        </w:rPr>
      </w:pPr>
      <w:r w:rsidRPr="009F32F0">
        <w:rPr>
          <w:rFonts w:asciiTheme="majorHAnsi" w:hAnsiTheme="majorHAnsi" w:cstheme="majorHAnsi"/>
          <w:sz w:val="24"/>
          <w:szCs w:val="24"/>
        </w:rPr>
        <w:t xml:space="preserve">Sánchez-Ancochea, </w:t>
      </w:r>
      <w:r>
        <w:rPr>
          <w:rFonts w:asciiTheme="majorHAnsi" w:hAnsiTheme="majorHAnsi" w:cstheme="majorHAnsi"/>
          <w:sz w:val="24"/>
          <w:szCs w:val="24"/>
        </w:rPr>
        <w:t>D. (2012):</w:t>
      </w:r>
      <w:r w:rsidRPr="009F32F0">
        <w:rPr>
          <w:rFonts w:asciiTheme="majorHAnsi" w:hAnsiTheme="majorHAnsi" w:cstheme="majorHAnsi"/>
          <w:sz w:val="24"/>
          <w:szCs w:val="24"/>
        </w:rPr>
        <w:t xml:space="preserve"> “A </w:t>
      </w:r>
      <w:r>
        <w:rPr>
          <w:rFonts w:asciiTheme="majorHAnsi" w:hAnsiTheme="majorHAnsi" w:cstheme="majorHAnsi"/>
          <w:sz w:val="24"/>
          <w:szCs w:val="24"/>
        </w:rPr>
        <w:t>Fast Herd and a Slow Tortoise?</w:t>
      </w:r>
      <w:r w:rsidRPr="009F32F0">
        <w:rPr>
          <w:rFonts w:asciiTheme="majorHAnsi" w:hAnsiTheme="majorHAnsi" w:cstheme="majorHAnsi"/>
          <w:sz w:val="24"/>
          <w:szCs w:val="24"/>
        </w:rPr>
        <w:t>” Studies in Compar</w:t>
      </w:r>
      <w:r>
        <w:rPr>
          <w:rFonts w:asciiTheme="majorHAnsi" w:hAnsiTheme="majorHAnsi" w:cstheme="majorHAnsi"/>
          <w:sz w:val="24"/>
          <w:szCs w:val="24"/>
        </w:rPr>
        <w:t>ative International Development</w:t>
      </w:r>
      <w:r w:rsidRPr="009F32F0">
        <w:rPr>
          <w:rFonts w:asciiTheme="majorHAnsi" w:hAnsiTheme="majorHAnsi" w:cstheme="majorHAnsi"/>
          <w:sz w:val="24"/>
          <w:szCs w:val="24"/>
        </w:rPr>
        <w:t xml:space="preserve"> 47(2): 208-230.</w:t>
      </w:r>
    </w:p>
    <w:p w14:paraId="0CC87EA8" w14:textId="77777777" w:rsidR="004C50C4" w:rsidRDefault="004C50C4" w:rsidP="004C50C4">
      <w:pPr>
        <w:spacing w:after="120"/>
        <w:jc w:val="both"/>
        <w:rPr>
          <w:rFonts w:asciiTheme="majorHAnsi" w:hAnsiTheme="majorHAnsi" w:cstheme="majorHAnsi"/>
          <w:sz w:val="24"/>
          <w:szCs w:val="24"/>
        </w:rPr>
      </w:pPr>
      <w:r>
        <w:rPr>
          <w:rFonts w:asciiTheme="majorHAnsi" w:hAnsiTheme="majorHAnsi" w:cstheme="majorHAnsi"/>
          <w:sz w:val="24"/>
          <w:szCs w:val="24"/>
        </w:rPr>
        <w:t>Schrank, A. (2008): “</w:t>
      </w:r>
      <w:r w:rsidRPr="00173D5A">
        <w:rPr>
          <w:rFonts w:asciiTheme="majorHAnsi" w:hAnsiTheme="majorHAnsi" w:cstheme="majorHAnsi"/>
          <w:sz w:val="24"/>
          <w:szCs w:val="24"/>
        </w:rPr>
        <w:t>Export Processing Zones in the Dominican</w:t>
      </w:r>
      <w:r>
        <w:rPr>
          <w:rFonts w:asciiTheme="majorHAnsi" w:hAnsiTheme="majorHAnsi" w:cstheme="majorHAnsi"/>
          <w:sz w:val="24"/>
          <w:szCs w:val="24"/>
        </w:rPr>
        <w:t xml:space="preserve"> </w:t>
      </w:r>
      <w:r w:rsidRPr="00173D5A">
        <w:rPr>
          <w:rFonts w:asciiTheme="majorHAnsi" w:hAnsiTheme="majorHAnsi" w:cstheme="majorHAnsi"/>
          <w:sz w:val="24"/>
          <w:szCs w:val="24"/>
        </w:rPr>
        <w:t>Republic: Schools or Stopgaps?</w:t>
      </w:r>
      <w:r>
        <w:rPr>
          <w:rFonts w:asciiTheme="majorHAnsi" w:hAnsiTheme="majorHAnsi" w:cstheme="majorHAnsi"/>
          <w:sz w:val="24"/>
          <w:szCs w:val="24"/>
        </w:rPr>
        <w:t xml:space="preserve">” </w:t>
      </w:r>
      <w:r w:rsidRPr="00D92BD2">
        <w:rPr>
          <w:rFonts w:asciiTheme="majorHAnsi" w:hAnsiTheme="majorHAnsi" w:cstheme="majorHAnsi"/>
          <w:i/>
          <w:sz w:val="24"/>
          <w:szCs w:val="24"/>
        </w:rPr>
        <w:t>World Development</w:t>
      </w:r>
      <w:r>
        <w:rPr>
          <w:rFonts w:asciiTheme="majorHAnsi" w:hAnsiTheme="majorHAnsi" w:cstheme="majorHAnsi"/>
          <w:sz w:val="24"/>
          <w:szCs w:val="24"/>
        </w:rPr>
        <w:t xml:space="preserve"> 36: 1381-1397.</w:t>
      </w:r>
    </w:p>
    <w:p w14:paraId="1DFF3203" w14:textId="13AD55DB" w:rsidR="001F29D9" w:rsidRDefault="001F29D9" w:rsidP="004C50C4">
      <w:pPr>
        <w:spacing w:after="120"/>
        <w:jc w:val="both"/>
        <w:rPr>
          <w:rFonts w:asciiTheme="majorHAnsi" w:hAnsiTheme="majorHAnsi" w:cstheme="majorHAnsi"/>
          <w:sz w:val="24"/>
          <w:szCs w:val="24"/>
        </w:rPr>
      </w:pPr>
      <w:r w:rsidRPr="001F29D9">
        <w:rPr>
          <w:rFonts w:asciiTheme="majorHAnsi" w:hAnsiTheme="majorHAnsi" w:cstheme="majorHAnsi"/>
          <w:sz w:val="24"/>
          <w:szCs w:val="24"/>
        </w:rPr>
        <w:t>Szanyi, M. (2002), Spillover effects and Business Linkages of Foreign–owned Firms in Hungary, Hungarian Academy of Sciences Working Papers, No. 126 (Budapest: Institute for World Economics).</w:t>
      </w:r>
    </w:p>
    <w:p w14:paraId="7DC78366" w14:textId="6C6FF462" w:rsidR="001F29D9" w:rsidRDefault="001F29D9" w:rsidP="004C50C4">
      <w:pPr>
        <w:spacing w:after="120"/>
        <w:jc w:val="both"/>
        <w:rPr>
          <w:rFonts w:asciiTheme="majorHAnsi" w:hAnsiTheme="majorHAnsi" w:cstheme="majorHAnsi"/>
          <w:sz w:val="24"/>
          <w:szCs w:val="24"/>
        </w:rPr>
      </w:pPr>
      <w:r w:rsidRPr="001F29D9">
        <w:rPr>
          <w:rFonts w:asciiTheme="majorHAnsi" w:hAnsiTheme="majorHAnsi" w:cstheme="majorHAnsi"/>
          <w:sz w:val="24"/>
          <w:szCs w:val="24"/>
        </w:rPr>
        <w:t>UNCTAD (2001), World Investment Report: Promoting linkages (New York and Geneva: United Nations).</w:t>
      </w:r>
    </w:p>
    <w:p w14:paraId="2FBA7B41" w14:textId="309B4D11" w:rsidR="00781BFC" w:rsidRDefault="00781BFC" w:rsidP="00781BFC">
      <w:pPr>
        <w:spacing w:after="120"/>
        <w:jc w:val="both"/>
        <w:rPr>
          <w:rFonts w:asciiTheme="majorHAnsi" w:hAnsiTheme="majorHAnsi" w:cstheme="majorHAnsi"/>
          <w:sz w:val="24"/>
          <w:szCs w:val="24"/>
        </w:rPr>
      </w:pPr>
      <w:r w:rsidRPr="001F29D9">
        <w:rPr>
          <w:rFonts w:asciiTheme="majorHAnsi" w:hAnsiTheme="majorHAnsi" w:cstheme="majorHAnsi"/>
          <w:sz w:val="24"/>
          <w:szCs w:val="24"/>
        </w:rPr>
        <w:t>UNCTAD (200</w:t>
      </w:r>
      <w:r>
        <w:rPr>
          <w:rFonts w:asciiTheme="majorHAnsi" w:hAnsiTheme="majorHAnsi" w:cstheme="majorHAnsi"/>
          <w:sz w:val="24"/>
          <w:szCs w:val="24"/>
        </w:rPr>
        <w:t>9</w:t>
      </w:r>
      <w:r w:rsidRPr="001F29D9">
        <w:rPr>
          <w:rFonts w:asciiTheme="majorHAnsi" w:hAnsiTheme="majorHAnsi" w:cstheme="majorHAnsi"/>
          <w:sz w:val="24"/>
          <w:szCs w:val="24"/>
        </w:rPr>
        <w:t xml:space="preserve">), </w:t>
      </w:r>
      <w:r>
        <w:rPr>
          <w:rFonts w:asciiTheme="majorHAnsi" w:hAnsiTheme="majorHAnsi" w:cstheme="majorHAnsi"/>
          <w:sz w:val="24"/>
          <w:szCs w:val="24"/>
        </w:rPr>
        <w:t xml:space="preserve">Investment Policy review, Dominican Republic </w:t>
      </w:r>
      <w:r w:rsidRPr="001F29D9">
        <w:rPr>
          <w:rFonts w:asciiTheme="majorHAnsi" w:hAnsiTheme="majorHAnsi" w:cstheme="majorHAnsi"/>
          <w:sz w:val="24"/>
          <w:szCs w:val="24"/>
        </w:rPr>
        <w:t>(New York and Geneva: United Nations).</w:t>
      </w:r>
    </w:p>
    <w:p w14:paraId="2B0EB2CF" w14:textId="0821D343" w:rsidR="004C50C4" w:rsidRDefault="004C50C4" w:rsidP="007F699F">
      <w:pPr>
        <w:spacing w:after="120"/>
        <w:jc w:val="both"/>
      </w:pPr>
      <w:r w:rsidRPr="009F32F0">
        <w:rPr>
          <w:rFonts w:asciiTheme="majorHAnsi" w:hAnsiTheme="majorHAnsi" w:cstheme="majorHAnsi"/>
          <w:sz w:val="24"/>
          <w:szCs w:val="24"/>
        </w:rPr>
        <w:t xml:space="preserve">World Bank </w:t>
      </w:r>
      <w:r>
        <w:rPr>
          <w:rFonts w:asciiTheme="majorHAnsi" w:hAnsiTheme="majorHAnsi" w:cstheme="majorHAnsi"/>
          <w:sz w:val="24"/>
          <w:szCs w:val="24"/>
        </w:rPr>
        <w:t>(</w:t>
      </w:r>
      <w:r w:rsidRPr="009F32F0">
        <w:rPr>
          <w:rFonts w:asciiTheme="majorHAnsi" w:hAnsiTheme="majorHAnsi" w:cstheme="majorHAnsi"/>
          <w:sz w:val="24"/>
          <w:szCs w:val="24"/>
        </w:rPr>
        <w:t>2015</w:t>
      </w:r>
      <w:r>
        <w:rPr>
          <w:rFonts w:asciiTheme="majorHAnsi" w:hAnsiTheme="majorHAnsi" w:cstheme="majorHAnsi"/>
          <w:sz w:val="24"/>
          <w:szCs w:val="24"/>
        </w:rPr>
        <w:t>): “How to Sustain E</w:t>
      </w:r>
      <w:r w:rsidRPr="009F32F0">
        <w:rPr>
          <w:rFonts w:asciiTheme="majorHAnsi" w:hAnsiTheme="majorHAnsi" w:cstheme="majorHAnsi"/>
          <w:sz w:val="24"/>
          <w:szCs w:val="24"/>
        </w:rPr>
        <w:t xml:space="preserve">xport </w:t>
      </w:r>
      <w:r>
        <w:rPr>
          <w:rFonts w:asciiTheme="majorHAnsi" w:hAnsiTheme="majorHAnsi" w:cstheme="majorHAnsi"/>
          <w:sz w:val="24"/>
          <w:szCs w:val="24"/>
        </w:rPr>
        <w:t>D</w:t>
      </w:r>
      <w:r w:rsidRPr="009F32F0">
        <w:rPr>
          <w:rFonts w:asciiTheme="majorHAnsi" w:hAnsiTheme="majorHAnsi" w:cstheme="majorHAnsi"/>
          <w:sz w:val="24"/>
          <w:szCs w:val="24"/>
        </w:rPr>
        <w:t xml:space="preserve">ynamism by </w:t>
      </w:r>
      <w:r>
        <w:rPr>
          <w:rFonts w:asciiTheme="majorHAnsi" w:hAnsiTheme="majorHAnsi" w:cstheme="majorHAnsi"/>
          <w:sz w:val="24"/>
          <w:szCs w:val="24"/>
        </w:rPr>
        <w:t>R</w:t>
      </w:r>
      <w:r w:rsidRPr="009F32F0">
        <w:rPr>
          <w:rFonts w:asciiTheme="majorHAnsi" w:hAnsiTheme="majorHAnsi" w:cstheme="majorHAnsi"/>
          <w:sz w:val="24"/>
          <w:szCs w:val="24"/>
        </w:rPr>
        <w:t xml:space="preserve">educing </w:t>
      </w:r>
      <w:r>
        <w:rPr>
          <w:rFonts w:asciiTheme="majorHAnsi" w:hAnsiTheme="majorHAnsi" w:cstheme="majorHAnsi"/>
          <w:sz w:val="24"/>
          <w:szCs w:val="24"/>
        </w:rPr>
        <w:t>D</w:t>
      </w:r>
      <w:r w:rsidRPr="009F32F0">
        <w:rPr>
          <w:rFonts w:asciiTheme="majorHAnsi" w:hAnsiTheme="majorHAnsi" w:cstheme="majorHAnsi"/>
          <w:sz w:val="24"/>
          <w:szCs w:val="24"/>
        </w:rPr>
        <w:t>uality in the Do</w:t>
      </w:r>
      <w:r>
        <w:rPr>
          <w:rFonts w:asciiTheme="majorHAnsi" w:hAnsiTheme="majorHAnsi" w:cstheme="majorHAnsi"/>
          <w:sz w:val="24"/>
          <w:szCs w:val="24"/>
        </w:rPr>
        <w:t>minican Republic: A World Bank Trade Competitiveness D</w:t>
      </w:r>
      <w:r w:rsidRPr="009F32F0">
        <w:rPr>
          <w:rFonts w:asciiTheme="majorHAnsi" w:hAnsiTheme="majorHAnsi" w:cstheme="majorHAnsi"/>
          <w:sz w:val="24"/>
          <w:szCs w:val="24"/>
        </w:rPr>
        <w:t>iagnostic,” Wash</w:t>
      </w:r>
      <w:r>
        <w:rPr>
          <w:rFonts w:asciiTheme="majorHAnsi" w:hAnsiTheme="majorHAnsi" w:cstheme="majorHAnsi"/>
          <w:sz w:val="24"/>
          <w:szCs w:val="24"/>
        </w:rPr>
        <w:t>ington, D.C.: World Bank Group.</w:t>
      </w:r>
    </w:p>
    <w:p w14:paraId="6B88DA57" w14:textId="45E32664" w:rsidR="00A67E06" w:rsidRDefault="00A67E06" w:rsidP="00A67E06">
      <w:pPr>
        <w:spacing w:after="120"/>
        <w:jc w:val="both"/>
      </w:pPr>
      <w:r w:rsidRPr="009F32F0">
        <w:rPr>
          <w:rFonts w:asciiTheme="majorHAnsi" w:hAnsiTheme="majorHAnsi" w:cstheme="majorHAnsi"/>
          <w:sz w:val="24"/>
          <w:szCs w:val="24"/>
        </w:rPr>
        <w:t xml:space="preserve">World Bank </w:t>
      </w:r>
      <w:r>
        <w:rPr>
          <w:rFonts w:asciiTheme="majorHAnsi" w:hAnsiTheme="majorHAnsi" w:cstheme="majorHAnsi"/>
          <w:sz w:val="24"/>
          <w:szCs w:val="24"/>
        </w:rPr>
        <w:t>(</w:t>
      </w:r>
      <w:r w:rsidRPr="009F32F0">
        <w:rPr>
          <w:rFonts w:asciiTheme="majorHAnsi" w:hAnsiTheme="majorHAnsi" w:cstheme="majorHAnsi"/>
          <w:sz w:val="24"/>
          <w:szCs w:val="24"/>
        </w:rPr>
        <w:t>201</w:t>
      </w:r>
      <w:r>
        <w:rPr>
          <w:rFonts w:asciiTheme="majorHAnsi" w:hAnsiTheme="majorHAnsi" w:cstheme="majorHAnsi"/>
          <w:sz w:val="24"/>
          <w:szCs w:val="24"/>
        </w:rPr>
        <w:t>6): “Do Labor Markets Limit the Inclusiveness of Growth in the Dominican Republic?</w:t>
      </w:r>
      <w:r w:rsidRPr="009F32F0">
        <w:rPr>
          <w:rFonts w:asciiTheme="majorHAnsi" w:hAnsiTheme="majorHAnsi" w:cstheme="majorHAnsi"/>
          <w:sz w:val="24"/>
          <w:szCs w:val="24"/>
        </w:rPr>
        <w:t>” Wash</w:t>
      </w:r>
      <w:r>
        <w:rPr>
          <w:rFonts w:asciiTheme="majorHAnsi" w:hAnsiTheme="majorHAnsi" w:cstheme="majorHAnsi"/>
          <w:sz w:val="24"/>
          <w:szCs w:val="24"/>
        </w:rPr>
        <w:t>ington, D.C.: World Bank Group.</w:t>
      </w:r>
    </w:p>
    <w:p w14:paraId="3D5DC5AC" w14:textId="59AA2A0F" w:rsidR="00557DE4" w:rsidRDefault="00557DE4">
      <w:pPr>
        <w:spacing w:after="200" w:line="276" w:lineRule="auto"/>
        <w:jc w:val="both"/>
      </w:pPr>
      <w:r>
        <w:br w:type="page"/>
      </w:r>
    </w:p>
    <w:p w14:paraId="701C78F5" w14:textId="2BCF962B" w:rsidR="004C50C4" w:rsidRDefault="00557DE4" w:rsidP="00557DE4">
      <w:pPr>
        <w:jc w:val="center"/>
        <w:rPr>
          <w:rFonts w:asciiTheme="majorHAnsi" w:hAnsiTheme="majorHAnsi" w:cstheme="majorHAnsi"/>
          <w:b/>
          <w:sz w:val="24"/>
          <w:szCs w:val="24"/>
        </w:rPr>
      </w:pPr>
      <w:r w:rsidRPr="00557DE4">
        <w:rPr>
          <w:rFonts w:asciiTheme="majorHAnsi" w:hAnsiTheme="majorHAnsi" w:cstheme="majorHAnsi"/>
          <w:b/>
          <w:sz w:val="24"/>
          <w:szCs w:val="24"/>
        </w:rPr>
        <w:lastRenderedPageBreak/>
        <w:t>Annex 1</w:t>
      </w:r>
      <w:r>
        <w:rPr>
          <w:rFonts w:asciiTheme="majorHAnsi" w:hAnsiTheme="majorHAnsi" w:cstheme="majorHAnsi"/>
          <w:b/>
          <w:sz w:val="24"/>
          <w:szCs w:val="24"/>
        </w:rPr>
        <w:t>: Supplier Development Programs</w:t>
      </w:r>
    </w:p>
    <w:p w14:paraId="55C0AFAF" w14:textId="77777777" w:rsidR="00557DE4" w:rsidRDefault="00557DE4" w:rsidP="00557DE4">
      <w:pPr>
        <w:jc w:val="center"/>
        <w:rPr>
          <w:rFonts w:asciiTheme="majorHAnsi" w:hAnsiTheme="majorHAnsi" w:cstheme="majorHAnsi"/>
          <w:b/>
          <w:sz w:val="24"/>
          <w:szCs w:val="24"/>
        </w:rPr>
      </w:pPr>
    </w:p>
    <w:p w14:paraId="5C20B207" w14:textId="7E0DE7E1" w:rsidR="00557DE4" w:rsidRDefault="001F29D9" w:rsidP="00557DE4">
      <w:pPr>
        <w:jc w:val="both"/>
        <w:rPr>
          <w:rFonts w:asciiTheme="majorHAnsi" w:hAnsiTheme="majorHAnsi" w:cstheme="majorHAnsi"/>
          <w:b/>
          <w:sz w:val="24"/>
          <w:szCs w:val="24"/>
        </w:rPr>
      </w:pPr>
      <w:r>
        <w:rPr>
          <w:rFonts w:asciiTheme="majorHAnsi" w:hAnsiTheme="majorHAnsi" w:cstheme="majorHAnsi"/>
          <w:b/>
          <w:sz w:val="24"/>
          <w:szCs w:val="24"/>
        </w:rPr>
        <w:t>Costa Rica</w:t>
      </w:r>
    </w:p>
    <w:p w14:paraId="553C0082" w14:textId="77777777" w:rsidR="0062506E" w:rsidRDefault="0062506E" w:rsidP="00557DE4">
      <w:pPr>
        <w:jc w:val="both"/>
        <w:rPr>
          <w:rFonts w:asciiTheme="majorHAnsi" w:hAnsiTheme="majorHAnsi" w:cstheme="majorHAnsi"/>
          <w:b/>
          <w:sz w:val="24"/>
          <w:szCs w:val="24"/>
        </w:rPr>
      </w:pPr>
    </w:p>
    <w:p w14:paraId="259521C9" w14:textId="11DA2C11" w:rsidR="00557DE4" w:rsidRDefault="00557DE4" w:rsidP="00557DE4">
      <w:pPr>
        <w:spacing w:line="276" w:lineRule="auto"/>
        <w:jc w:val="both"/>
        <w:rPr>
          <w:rFonts w:asciiTheme="majorHAnsi" w:hAnsiTheme="majorHAnsi" w:cstheme="majorHAnsi"/>
          <w:sz w:val="24"/>
          <w:szCs w:val="24"/>
        </w:rPr>
      </w:pPr>
      <w:r w:rsidRPr="00557DE4">
        <w:rPr>
          <w:rFonts w:asciiTheme="majorHAnsi" w:hAnsiTheme="majorHAnsi" w:cstheme="majorHAnsi"/>
          <w:sz w:val="24"/>
          <w:szCs w:val="24"/>
        </w:rPr>
        <w:t>The Supplier Development Project for High-Tech Multinational Companies of Costa Rica was</w:t>
      </w:r>
      <w:r>
        <w:rPr>
          <w:rFonts w:asciiTheme="majorHAnsi" w:hAnsiTheme="majorHAnsi" w:cstheme="majorHAnsi"/>
          <w:sz w:val="24"/>
          <w:szCs w:val="24"/>
        </w:rPr>
        <w:t xml:space="preserve"> </w:t>
      </w:r>
      <w:r w:rsidRPr="00557DE4">
        <w:rPr>
          <w:rFonts w:asciiTheme="majorHAnsi" w:hAnsiTheme="majorHAnsi" w:cstheme="majorHAnsi"/>
          <w:sz w:val="24"/>
          <w:szCs w:val="24"/>
        </w:rPr>
        <w:t xml:space="preserve">established in 1999 as a pilot project, aimed at </w:t>
      </w:r>
      <w:r>
        <w:rPr>
          <w:rFonts w:asciiTheme="majorHAnsi" w:hAnsiTheme="majorHAnsi" w:cstheme="majorHAnsi"/>
          <w:sz w:val="24"/>
          <w:szCs w:val="24"/>
        </w:rPr>
        <w:t>(i) h</w:t>
      </w:r>
      <w:r w:rsidRPr="00557DE4">
        <w:rPr>
          <w:rFonts w:asciiTheme="majorHAnsi" w:hAnsiTheme="majorHAnsi" w:cstheme="majorHAnsi"/>
          <w:sz w:val="24"/>
          <w:szCs w:val="24"/>
        </w:rPr>
        <w:t>elping to increase domestic added value in the output of high-tech transnational corporations</w:t>
      </w:r>
      <w:r>
        <w:rPr>
          <w:rFonts w:asciiTheme="majorHAnsi" w:hAnsiTheme="majorHAnsi" w:cstheme="majorHAnsi"/>
          <w:sz w:val="24"/>
          <w:szCs w:val="24"/>
        </w:rPr>
        <w:t>; (ii) i</w:t>
      </w:r>
      <w:r w:rsidRPr="00557DE4">
        <w:rPr>
          <w:rFonts w:asciiTheme="majorHAnsi" w:hAnsiTheme="majorHAnsi" w:cstheme="majorHAnsi"/>
          <w:sz w:val="24"/>
          <w:szCs w:val="24"/>
        </w:rPr>
        <w:t>mproving the competitiveness of small and medium-sized enterprises (SMEs)</w:t>
      </w:r>
      <w:r>
        <w:rPr>
          <w:rFonts w:asciiTheme="majorHAnsi" w:hAnsiTheme="majorHAnsi" w:cstheme="majorHAnsi"/>
          <w:sz w:val="24"/>
          <w:szCs w:val="24"/>
        </w:rPr>
        <w:t>; and (iii) e</w:t>
      </w:r>
      <w:r w:rsidRPr="00557DE4">
        <w:rPr>
          <w:rFonts w:asciiTheme="majorHAnsi" w:hAnsiTheme="majorHAnsi" w:cstheme="majorHAnsi"/>
          <w:sz w:val="24"/>
          <w:szCs w:val="24"/>
        </w:rPr>
        <w:t>nhancing the technological capacities of SMEs.</w:t>
      </w:r>
      <w:r>
        <w:rPr>
          <w:rFonts w:asciiTheme="majorHAnsi" w:hAnsiTheme="majorHAnsi" w:cstheme="majorHAnsi"/>
          <w:sz w:val="24"/>
          <w:szCs w:val="24"/>
        </w:rPr>
        <w:t xml:space="preserve"> </w:t>
      </w:r>
      <w:r w:rsidRPr="00557DE4">
        <w:rPr>
          <w:rFonts w:asciiTheme="majorHAnsi" w:hAnsiTheme="majorHAnsi" w:cstheme="majorHAnsi"/>
          <w:sz w:val="24"/>
          <w:szCs w:val="24"/>
        </w:rPr>
        <w:t>The overall aim of the project was to enable SMEs to attain the technology levels necessary for their</w:t>
      </w:r>
      <w:r>
        <w:rPr>
          <w:rFonts w:asciiTheme="majorHAnsi" w:hAnsiTheme="majorHAnsi" w:cstheme="majorHAnsi"/>
          <w:sz w:val="24"/>
          <w:szCs w:val="24"/>
        </w:rPr>
        <w:t xml:space="preserve"> </w:t>
      </w:r>
      <w:r w:rsidRPr="00557DE4">
        <w:rPr>
          <w:rFonts w:asciiTheme="majorHAnsi" w:hAnsiTheme="majorHAnsi" w:cstheme="majorHAnsi"/>
          <w:sz w:val="24"/>
          <w:szCs w:val="24"/>
        </w:rPr>
        <w:t>vertical integration into high-tech transnational corporations’ production chains.</w:t>
      </w:r>
      <w:r>
        <w:rPr>
          <w:rFonts w:asciiTheme="majorHAnsi" w:hAnsiTheme="majorHAnsi" w:cstheme="majorHAnsi"/>
          <w:sz w:val="24"/>
          <w:szCs w:val="24"/>
        </w:rPr>
        <w:t xml:space="preserve"> </w:t>
      </w:r>
      <w:r w:rsidRPr="00557DE4">
        <w:rPr>
          <w:rFonts w:asciiTheme="majorHAnsi" w:hAnsiTheme="majorHAnsi" w:cstheme="majorHAnsi"/>
          <w:sz w:val="24"/>
          <w:szCs w:val="24"/>
        </w:rPr>
        <w:t>The pilot project was funded by the Foreign Trade Promotion Agency of Costa Rica, the Costa Rican</w:t>
      </w:r>
      <w:r>
        <w:rPr>
          <w:rFonts w:asciiTheme="majorHAnsi" w:hAnsiTheme="majorHAnsi" w:cstheme="majorHAnsi"/>
          <w:sz w:val="24"/>
          <w:szCs w:val="24"/>
        </w:rPr>
        <w:t xml:space="preserve"> </w:t>
      </w:r>
      <w:r w:rsidRPr="00557DE4">
        <w:rPr>
          <w:rFonts w:asciiTheme="majorHAnsi" w:hAnsiTheme="majorHAnsi" w:cstheme="majorHAnsi"/>
          <w:sz w:val="24"/>
          <w:szCs w:val="24"/>
        </w:rPr>
        <w:t>Coalition of Development Initiatives, the Chamber of Industry, transnational corporations and SMEs.</w:t>
      </w:r>
    </w:p>
    <w:p w14:paraId="79D93594" w14:textId="77777777" w:rsidR="00557DE4" w:rsidRPr="00557DE4" w:rsidRDefault="00557DE4" w:rsidP="00557DE4">
      <w:pPr>
        <w:spacing w:line="276" w:lineRule="auto"/>
        <w:jc w:val="both"/>
        <w:rPr>
          <w:rFonts w:asciiTheme="majorHAnsi" w:hAnsiTheme="majorHAnsi" w:cstheme="majorHAnsi"/>
          <w:sz w:val="24"/>
          <w:szCs w:val="24"/>
        </w:rPr>
      </w:pPr>
    </w:p>
    <w:p w14:paraId="5BE2681B" w14:textId="2CD302B6" w:rsidR="00557DE4" w:rsidRDefault="00557DE4" w:rsidP="00557DE4">
      <w:pPr>
        <w:spacing w:line="276" w:lineRule="auto"/>
        <w:jc w:val="both"/>
        <w:rPr>
          <w:rFonts w:asciiTheme="majorHAnsi" w:hAnsiTheme="majorHAnsi" w:cstheme="majorHAnsi"/>
          <w:sz w:val="24"/>
          <w:szCs w:val="24"/>
        </w:rPr>
      </w:pPr>
      <w:r w:rsidRPr="00557DE4">
        <w:rPr>
          <w:rFonts w:asciiTheme="majorHAnsi" w:hAnsiTheme="majorHAnsi" w:cstheme="majorHAnsi"/>
          <w:sz w:val="24"/>
          <w:szCs w:val="24"/>
        </w:rPr>
        <w:t>Following successful completion of the pilot project in 2003, a domestic-supplier development office</w:t>
      </w:r>
      <w:r>
        <w:rPr>
          <w:rFonts w:asciiTheme="majorHAnsi" w:hAnsiTheme="majorHAnsi" w:cstheme="majorHAnsi"/>
          <w:sz w:val="24"/>
          <w:szCs w:val="24"/>
        </w:rPr>
        <w:t xml:space="preserve"> </w:t>
      </w:r>
      <w:r w:rsidRPr="00557DE4">
        <w:rPr>
          <w:rFonts w:asciiTheme="majorHAnsi" w:hAnsiTheme="majorHAnsi" w:cstheme="majorHAnsi"/>
          <w:sz w:val="24"/>
          <w:szCs w:val="24"/>
        </w:rPr>
        <w:t>(Costa Rica Provee) was created, which has been integrated into the Foreign Trade Corporation of Costa</w:t>
      </w:r>
      <w:r>
        <w:rPr>
          <w:rFonts w:asciiTheme="majorHAnsi" w:hAnsiTheme="majorHAnsi" w:cstheme="majorHAnsi"/>
          <w:sz w:val="24"/>
          <w:szCs w:val="24"/>
        </w:rPr>
        <w:t xml:space="preserve"> </w:t>
      </w:r>
      <w:r w:rsidRPr="00557DE4">
        <w:rPr>
          <w:rFonts w:asciiTheme="majorHAnsi" w:hAnsiTheme="majorHAnsi" w:cstheme="majorHAnsi"/>
          <w:sz w:val="24"/>
          <w:szCs w:val="24"/>
        </w:rPr>
        <w:t>Rica (PROCOMER).</w:t>
      </w:r>
      <w:r>
        <w:rPr>
          <w:rFonts w:asciiTheme="majorHAnsi" w:hAnsiTheme="majorHAnsi" w:cstheme="majorHAnsi"/>
          <w:sz w:val="24"/>
          <w:szCs w:val="24"/>
        </w:rPr>
        <w:t xml:space="preserve"> </w:t>
      </w:r>
      <w:r w:rsidRPr="00557DE4">
        <w:rPr>
          <w:rFonts w:asciiTheme="majorHAnsi" w:hAnsiTheme="majorHAnsi" w:cstheme="majorHAnsi"/>
          <w:sz w:val="24"/>
          <w:szCs w:val="24"/>
        </w:rPr>
        <w:t>The project supports the manufacture of products by SMEs for high-tech transnational corporations’</w:t>
      </w:r>
      <w:r>
        <w:rPr>
          <w:rFonts w:asciiTheme="majorHAnsi" w:hAnsiTheme="majorHAnsi" w:cstheme="majorHAnsi"/>
          <w:sz w:val="24"/>
          <w:szCs w:val="24"/>
        </w:rPr>
        <w:t xml:space="preserve"> </w:t>
      </w:r>
      <w:r w:rsidRPr="00557DE4">
        <w:rPr>
          <w:rFonts w:asciiTheme="majorHAnsi" w:hAnsiTheme="majorHAnsi" w:cstheme="majorHAnsi"/>
          <w:sz w:val="24"/>
          <w:szCs w:val="24"/>
        </w:rPr>
        <w:t>production chains. It selects, according to motivation and quality criteria, SMEs to be admitted to the</w:t>
      </w:r>
      <w:r>
        <w:rPr>
          <w:rFonts w:asciiTheme="majorHAnsi" w:hAnsiTheme="majorHAnsi" w:cstheme="majorHAnsi"/>
          <w:sz w:val="24"/>
          <w:szCs w:val="24"/>
        </w:rPr>
        <w:t xml:space="preserve"> </w:t>
      </w:r>
      <w:r w:rsidR="00562E42">
        <w:rPr>
          <w:rFonts w:asciiTheme="majorHAnsi" w:hAnsiTheme="majorHAnsi" w:cstheme="majorHAnsi"/>
          <w:sz w:val="24"/>
          <w:szCs w:val="24"/>
        </w:rPr>
        <w:t>program</w:t>
      </w:r>
      <w:r w:rsidRPr="00557DE4">
        <w:rPr>
          <w:rFonts w:asciiTheme="majorHAnsi" w:hAnsiTheme="majorHAnsi" w:cstheme="majorHAnsi"/>
          <w:sz w:val="24"/>
          <w:szCs w:val="24"/>
        </w:rPr>
        <w:t>. A methodology is then drawn up by an international expert, on the basis of analysis of product</w:t>
      </w:r>
      <w:r>
        <w:rPr>
          <w:rFonts w:asciiTheme="majorHAnsi" w:hAnsiTheme="majorHAnsi" w:cstheme="majorHAnsi"/>
          <w:sz w:val="24"/>
          <w:szCs w:val="24"/>
        </w:rPr>
        <w:t xml:space="preserve"> </w:t>
      </w:r>
      <w:r w:rsidRPr="00557DE4">
        <w:rPr>
          <w:rFonts w:asciiTheme="majorHAnsi" w:hAnsiTheme="majorHAnsi" w:cstheme="majorHAnsi"/>
          <w:sz w:val="24"/>
          <w:szCs w:val="24"/>
        </w:rPr>
        <w:t>demand from the high-tech multinational companies and on the technical and entrepreneurial status of the</w:t>
      </w:r>
      <w:r>
        <w:rPr>
          <w:rFonts w:asciiTheme="majorHAnsi" w:hAnsiTheme="majorHAnsi" w:cstheme="majorHAnsi"/>
          <w:sz w:val="24"/>
          <w:szCs w:val="24"/>
        </w:rPr>
        <w:t xml:space="preserve"> </w:t>
      </w:r>
      <w:r w:rsidRPr="00557DE4">
        <w:rPr>
          <w:rFonts w:asciiTheme="majorHAnsi" w:hAnsiTheme="majorHAnsi" w:cstheme="majorHAnsi"/>
          <w:sz w:val="24"/>
          <w:szCs w:val="24"/>
        </w:rPr>
        <w:t xml:space="preserve">SMEs. </w:t>
      </w:r>
      <w:r w:rsidR="00562E42">
        <w:rPr>
          <w:rFonts w:asciiTheme="majorHAnsi" w:hAnsiTheme="majorHAnsi" w:cstheme="majorHAnsi"/>
          <w:sz w:val="24"/>
          <w:szCs w:val="24"/>
        </w:rPr>
        <w:t>According to Intel-Costa Rica’s business development manager, within its first three years, this program helped to increase the number of suppliers Intel used by a factor of ten (Villalta 2005)</w:t>
      </w:r>
      <w:r w:rsidR="00781BFC">
        <w:rPr>
          <w:rFonts w:asciiTheme="majorHAnsi" w:hAnsiTheme="majorHAnsi" w:cstheme="majorHAnsi"/>
          <w:sz w:val="24"/>
          <w:szCs w:val="24"/>
        </w:rPr>
        <w:t>.</w:t>
      </w:r>
      <w:r w:rsidR="00562E42">
        <w:rPr>
          <w:rFonts w:asciiTheme="majorHAnsi" w:hAnsiTheme="majorHAnsi" w:cstheme="majorHAnsi"/>
          <w:sz w:val="24"/>
          <w:szCs w:val="24"/>
        </w:rPr>
        <w:t xml:space="preserve"> Costa Rica Provee increase</w:t>
      </w:r>
      <w:r w:rsidR="00781BFC">
        <w:rPr>
          <w:rFonts w:asciiTheme="majorHAnsi" w:hAnsiTheme="majorHAnsi" w:cstheme="majorHAnsi"/>
          <w:sz w:val="24"/>
          <w:szCs w:val="24"/>
        </w:rPr>
        <w:t>d</w:t>
      </w:r>
      <w:r w:rsidR="00562E42">
        <w:rPr>
          <w:rFonts w:asciiTheme="majorHAnsi" w:hAnsiTheme="majorHAnsi" w:cstheme="majorHAnsi"/>
          <w:sz w:val="24"/>
          <w:szCs w:val="24"/>
        </w:rPr>
        <w:t xml:space="preserve"> the number of linkages it facilitated with all companies, overall, from 18 in 2003 to 150 in 2006 (Cordero and Paus 200</w:t>
      </w:r>
      <w:r w:rsidR="00421E5E">
        <w:rPr>
          <w:rFonts w:asciiTheme="majorHAnsi" w:hAnsiTheme="majorHAnsi" w:cstheme="majorHAnsi"/>
          <w:sz w:val="24"/>
          <w:szCs w:val="24"/>
        </w:rPr>
        <w:t>8</w:t>
      </w:r>
      <w:r w:rsidR="00562E42">
        <w:rPr>
          <w:rFonts w:asciiTheme="majorHAnsi" w:hAnsiTheme="majorHAnsi" w:cstheme="majorHAnsi"/>
          <w:sz w:val="24"/>
          <w:szCs w:val="24"/>
        </w:rPr>
        <w:t xml:space="preserve">). </w:t>
      </w:r>
    </w:p>
    <w:p w14:paraId="5542D171" w14:textId="77777777" w:rsidR="00557DE4" w:rsidRDefault="00557DE4" w:rsidP="00557DE4">
      <w:pPr>
        <w:spacing w:line="276" w:lineRule="auto"/>
        <w:jc w:val="both"/>
        <w:rPr>
          <w:rFonts w:asciiTheme="majorHAnsi" w:hAnsiTheme="majorHAnsi" w:cstheme="majorHAnsi"/>
          <w:sz w:val="24"/>
          <w:szCs w:val="24"/>
        </w:rPr>
      </w:pPr>
    </w:p>
    <w:p w14:paraId="6D5A8E22" w14:textId="66CE44C5" w:rsidR="00557DE4" w:rsidRDefault="00557DE4" w:rsidP="00557DE4">
      <w:pPr>
        <w:spacing w:line="276" w:lineRule="auto"/>
        <w:jc w:val="both"/>
        <w:rPr>
          <w:rFonts w:asciiTheme="majorHAnsi" w:hAnsiTheme="majorHAnsi" w:cstheme="majorHAnsi"/>
          <w:sz w:val="24"/>
          <w:szCs w:val="24"/>
        </w:rPr>
      </w:pPr>
      <w:r w:rsidRPr="00557DE4">
        <w:rPr>
          <w:rFonts w:asciiTheme="majorHAnsi" w:hAnsiTheme="majorHAnsi" w:cstheme="majorHAnsi"/>
          <w:sz w:val="24"/>
          <w:szCs w:val="24"/>
        </w:rPr>
        <w:t>The project fosters the development of the selected SMEs through technical assistance and training</w:t>
      </w:r>
      <w:r>
        <w:rPr>
          <w:rFonts w:asciiTheme="majorHAnsi" w:hAnsiTheme="majorHAnsi" w:cstheme="majorHAnsi"/>
          <w:sz w:val="24"/>
          <w:szCs w:val="24"/>
        </w:rPr>
        <w:t xml:space="preserve"> </w:t>
      </w:r>
      <w:r w:rsidRPr="00557DE4">
        <w:rPr>
          <w:rFonts w:asciiTheme="majorHAnsi" w:hAnsiTheme="majorHAnsi" w:cstheme="majorHAnsi"/>
          <w:sz w:val="24"/>
          <w:szCs w:val="24"/>
        </w:rPr>
        <w:t>activities.</w:t>
      </w:r>
      <w:r>
        <w:rPr>
          <w:rFonts w:asciiTheme="majorHAnsi" w:hAnsiTheme="majorHAnsi" w:cstheme="majorHAnsi"/>
          <w:sz w:val="24"/>
          <w:szCs w:val="24"/>
        </w:rPr>
        <w:t xml:space="preserve"> </w:t>
      </w:r>
      <w:r w:rsidRPr="00557DE4">
        <w:rPr>
          <w:rFonts w:asciiTheme="majorHAnsi" w:hAnsiTheme="majorHAnsi" w:cstheme="majorHAnsi"/>
          <w:sz w:val="24"/>
          <w:szCs w:val="24"/>
        </w:rPr>
        <w:t>There is also an information-gathering system in operation to provide the enterprises involved in the</w:t>
      </w:r>
      <w:r>
        <w:rPr>
          <w:rFonts w:asciiTheme="majorHAnsi" w:hAnsiTheme="majorHAnsi" w:cstheme="majorHAnsi"/>
          <w:sz w:val="24"/>
          <w:szCs w:val="24"/>
        </w:rPr>
        <w:t xml:space="preserve"> </w:t>
      </w:r>
      <w:r w:rsidRPr="00557DE4">
        <w:rPr>
          <w:rFonts w:asciiTheme="majorHAnsi" w:hAnsiTheme="majorHAnsi" w:cstheme="majorHAnsi"/>
          <w:sz w:val="24"/>
          <w:szCs w:val="24"/>
        </w:rPr>
        <w:t>project with access to sources of supply of and demand for products and services, to establish links with</w:t>
      </w:r>
      <w:r>
        <w:rPr>
          <w:rFonts w:asciiTheme="majorHAnsi" w:hAnsiTheme="majorHAnsi" w:cstheme="majorHAnsi"/>
          <w:sz w:val="24"/>
          <w:szCs w:val="24"/>
        </w:rPr>
        <w:t xml:space="preserve"> </w:t>
      </w:r>
      <w:r w:rsidRPr="00557DE4">
        <w:rPr>
          <w:rFonts w:asciiTheme="majorHAnsi" w:hAnsiTheme="majorHAnsi" w:cstheme="majorHAnsi"/>
          <w:sz w:val="24"/>
          <w:szCs w:val="24"/>
        </w:rPr>
        <w:t>SME support institutions and to guide the SMEs in their search for funding and venture capital.</w:t>
      </w:r>
    </w:p>
    <w:p w14:paraId="07C58EB6" w14:textId="77777777" w:rsidR="001F29D9" w:rsidRDefault="001F29D9" w:rsidP="00557DE4">
      <w:pPr>
        <w:spacing w:line="276" w:lineRule="auto"/>
        <w:jc w:val="both"/>
        <w:rPr>
          <w:rFonts w:asciiTheme="majorHAnsi" w:hAnsiTheme="majorHAnsi" w:cstheme="majorHAnsi"/>
          <w:sz w:val="24"/>
          <w:szCs w:val="24"/>
        </w:rPr>
      </w:pPr>
    </w:p>
    <w:p w14:paraId="41009C1B" w14:textId="432F5779" w:rsidR="001F29D9" w:rsidRDefault="001F29D9" w:rsidP="001F29D9">
      <w:pPr>
        <w:spacing w:line="276" w:lineRule="auto"/>
        <w:jc w:val="right"/>
        <w:rPr>
          <w:rFonts w:asciiTheme="majorHAnsi" w:hAnsiTheme="majorHAnsi" w:cstheme="majorHAnsi"/>
          <w:sz w:val="24"/>
          <w:szCs w:val="24"/>
        </w:rPr>
      </w:pPr>
      <w:r>
        <w:rPr>
          <w:rFonts w:asciiTheme="majorHAnsi" w:hAnsiTheme="majorHAnsi" w:cstheme="majorHAnsi"/>
          <w:sz w:val="24"/>
          <w:szCs w:val="24"/>
        </w:rPr>
        <w:t>Source: UNCTA</w:t>
      </w:r>
      <w:r w:rsidR="00781BFC">
        <w:rPr>
          <w:rFonts w:asciiTheme="majorHAnsi" w:hAnsiTheme="majorHAnsi" w:cstheme="majorHAnsi"/>
          <w:sz w:val="24"/>
          <w:szCs w:val="24"/>
        </w:rPr>
        <w:t>D (2009)</w:t>
      </w:r>
    </w:p>
    <w:p w14:paraId="539F96F5" w14:textId="77777777" w:rsidR="001F29D9" w:rsidRDefault="001F29D9" w:rsidP="001F29D9">
      <w:pPr>
        <w:spacing w:line="276" w:lineRule="auto"/>
        <w:jc w:val="right"/>
        <w:rPr>
          <w:rFonts w:asciiTheme="majorHAnsi" w:hAnsiTheme="majorHAnsi" w:cstheme="majorHAnsi"/>
          <w:sz w:val="24"/>
          <w:szCs w:val="24"/>
        </w:rPr>
      </w:pPr>
    </w:p>
    <w:p w14:paraId="74E11C12" w14:textId="5ACA4D2A" w:rsidR="002E2BFB" w:rsidRDefault="002E2BFB" w:rsidP="001F29D9">
      <w:pPr>
        <w:spacing w:line="276" w:lineRule="auto"/>
        <w:jc w:val="both"/>
        <w:rPr>
          <w:rFonts w:asciiTheme="majorHAnsi" w:hAnsiTheme="majorHAnsi" w:cstheme="majorHAnsi"/>
          <w:b/>
          <w:sz w:val="24"/>
          <w:szCs w:val="24"/>
        </w:rPr>
      </w:pPr>
      <w:r>
        <w:rPr>
          <w:rFonts w:asciiTheme="majorHAnsi" w:hAnsiTheme="majorHAnsi" w:cstheme="majorHAnsi"/>
          <w:b/>
          <w:sz w:val="24"/>
          <w:szCs w:val="24"/>
        </w:rPr>
        <w:t>Chile</w:t>
      </w:r>
    </w:p>
    <w:p w14:paraId="1DBF9BD7" w14:textId="77777777" w:rsidR="002E2BFB" w:rsidRDefault="002E2BFB" w:rsidP="001F29D9">
      <w:pPr>
        <w:spacing w:line="276" w:lineRule="auto"/>
        <w:jc w:val="both"/>
        <w:rPr>
          <w:rFonts w:asciiTheme="majorHAnsi" w:hAnsiTheme="majorHAnsi" w:cstheme="majorHAnsi"/>
          <w:b/>
          <w:sz w:val="24"/>
          <w:szCs w:val="24"/>
        </w:rPr>
      </w:pPr>
    </w:p>
    <w:p w14:paraId="129C92D9" w14:textId="71CF9489" w:rsidR="00F85817" w:rsidRDefault="00F85817" w:rsidP="00F85817">
      <w:pPr>
        <w:spacing w:line="276" w:lineRule="auto"/>
        <w:jc w:val="both"/>
        <w:rPr>
          <w:rFonts w:asciiTheme="majorHAnsi" w:hAnsiTheme="majorHAnsi" w:cstheme="majorHAnsi"/>
          <w:sz w:val="24"/>
          <w:szCs w:val="24"/>
        </w:rPr>
      </w:pPr>
      <w:r w:rsidRPr="00F85817">
        <w:rPr>
          <w:rFonts w:asciiTheme="majorHAnsi" w:hAnsiTheme="majorHAnsi" w:cstheme="majorHAnsi"/>
          <w:sz w:val="24"/>
          <w:szCs w:val="24"/>
        </w:rPr>
        <w:t xml:space="preserve">The Suppliers Development Program </w:t>
      </w:r>
      <w:r>
        <w:rPr>
          <w:rFonts w:asciiTheme="majorHAnsi" w:hAnsiTheme="majorHAnsi" w:cstheme="majorHAnsi"/>
          <w:sz w:val="24"/>
          <w:szCs w:val="24"/>
        </w:rPr>
        <w:t xml:space="preserve">(SDP) </w:t>
      </w:r>
      <w:r w:rsidRPr="00F85817">
        <w:rPr>
          <w:rFonts w:asciiTheme="majorHAnsi" w:hAnsiTheme="majorHAnsi" w:cstheme="majorHAnsi"/>
          <w:sz w:val="24"/>
          <w:szCs w:val="24"/>
        </w:rPr>
        <w:t xml:space="preserve">was launched by CORFO </w:t>
      </w:r>
      <w:r>
        <w:rPr>
          <w:rFonts w:asciiTheme="majorHAnsi" w:hAnsiTheme="majorHAnsi" w:cstheme="majorHAnsi"/>
          <w:sz w:val="24"/>
          <w:szCs w:val="24"/>
        </w:rPr>
        <w:t>(</w:t>
      </w:r>
      <w:r w:rsidRPr="00F85817">
        <w:rPr>
          <w:rFonts w:asciiTheme="majorHAnsi" w:hAnsiTheme="majorHAnsi" w:cstheme="majorHAnsi"/>
          <w:i/>
          <w:sz w:val="24"/>
          <w:szCs w:val="24"/>
        </w:rPr>
        <w:t>Corporación de Fomento a la Produccción</w:t>
      </w:r>
      <w:r>
        <w:rPr>
          <w:rFonts w:asciiTheme="majorHAnsi" w:hAnsiTheme="majorHAnsi" w:cstheme="majorHAnsi"/>
          <w:sz w:val="24"/>
          <w:szCs w:val="24"/>
        </w:rPr>
        <w:t xml:space="preserve">) </w:t>
      </w:r>
      <w:r w:rsidRPr="00F85817">
        <w:rPr>
          <w:rFonts w:asciiTheme="majorHAnsi" w:hAnsiTheme="majorHAnsi" w:cstheme="majorHAnsi"/>
          <w:sz w:val="24"/>
          <w:szCs w:val="24"/>
        </w:rPr>
        <w:t>in 1998. The program was</w:t>
      </w:r>
      <w:r>
        <w:rPr>
          <w:rFonts w:asciiTheme="majorHAnsi" w:hAnsiTheme="majorHAnsi" w:cstheme="majorHAnsi"/>
          <w:sz w:val="24"/>
          <w:szCs w:val="24"/>
        </w:rPr>
        <w:t xml:space="preserve"> </w:t>
      </w:r>
      <w:r w:rsidRPr="00F85817">
        <w:rPr>
          <w:rFonts w:asciiTheme="majorHAnsi" w:hAnsiTheme="majorHAnsi" w:cstheme="majorHAnsi"/>
          <w:sz w:val="24"/>
          <w:szCs w:val="24"/>
        </w:rPr>
        <w:t>motivated by the trade agreements signed by Chile that created the need for compliance with</w:t>
      </w:r>
      <w:r>
        <w:rPr>
          <w:rFonts w:asciiTheme="majorHAnsi" w:hAnsiTheme="majorHAnsi" w:cstheme="majorHAnsi"/>
          <w:sz w:val="24"/>
          <w:szCs w:val="24"/>
        </w:rPr>
        <w:t xml:space="preserve"> </w:t>
      </w:r>
      <w:r w:rsidRPr="00F85817">
        <w:rPr>
          <w:rFonts w:asciiTheme="majorHAnsi" w:hAnsiTheme="majorHAnsi" w:cstheme="majorHAnsi"/>
          <w:sz w:val="24"/>
          <w:szCs w:val="24"/>
        </w:rPr>
        <w:t xml:space="preserve">international production standards by Chilean exporters and potential exporters. The </w:t>
      </w:r>
      <w:r>
        <w:rPr>
          <w:rFonts w:asciiTheme="majorHAnsi" w:hAnsiTheme="majorHAnsi" w:cstheme="majorHAnsi"/>
          <w:sz w:val="24"/>
          <w:szCs w:val="24"/>
        </w:rPr>
        <w:t>S</w:t>
      </w:r>
      <w:r w:rsidRPr="00F85817">
        <w:rPr>
          <w:rFonts w:asciiTheme="majorHAnsi" w:hAnsiTheme="majorHAnsi" w:cstheme="majorHAnsi"/>
          <w:sz w:val="24"/>
          <w:szCs w:val="24"/>
        </w:rPr>
        <w:t>DP</w:t>
      </w:r>
      <w:r>
        <w:rPr>
          <w:rFonts w:asciiTheme="majorHAnsi" w:hAnsiTheme="majorHAnsi" w:cstheme="majorHAnsi"/>
          <w:sz w:val="24"/>
          <w:szCs w:val="24"/>
        </w:rPr>
        <w:t xml:space="preserve"> </w:t>
      </w:r>
      <w:r w:rsidRPr="00F85817">
        <w:rPr>
          <w:rFonts w:asciiTheme="majorHAnsi" w:hAnsiTheme="majorHAnsi" w:cstheme="majorHAnsi"/>
          <w:sz w:val="24"/>
          <w:szCs w:val="24"/>
        </w:rPr>
        <w:t>aimed at improving and stabilizing the commercial linkages between small and medium-sized</w:t>
      </w:r>
      <w:r>
        <w:rPr>
          <w:rFonts w:asciiTheme="majorHAnsi" w:hAnsiTheme="majorHAnsi" w:cstheme="majorHAnsi"/>
          <w:sz w:val="24"/>
          <w:szCs w:val="24"/>
        </w:rPr>
        <w:t xml:space="preserve"> </w:t>
      </w:r>
      <w:r w:rsidRPr="00F85817">
        <w:rPr>
          <w:rFonts w:asciiTheme="majorHAnsi" w:hAnsiTheme="majorHAnsi" w:cstheme="majorHAnsi"/>
          <w:sz w:val="24"/>
          <w:szCs w:val="24"/>
        </w:rPr>
        <w:t xml:space="preserve">suppliers and their large </w:t>
      </w:r>
      <w:r>
        <w:rPr>
          <w:rFonts w:asciiTheme="majorHAnsi" w:hAnsiTheme="majorHAnsi" w:cstheme="majorHAnsi"/>
          <w:sz w:val="24"/>
          <w:szCs w:val="24"/>
        </w:rPr>
        <w:t>fi</w:t>
      </w:r>
      <w:r w:rsidRPr="00F85817">
        <w:rPr>
          <w:rFonts w:asciiTheme="majorHAnsi" w:hAnsiTheme="majorHAnsi" w:cstheme="majorHAnsi"/>
          <w:sz w:val="24"/>
          <w:szCs w:val="24"/>
        </w:rPr>
        <w:t>rm customers</w:t>
      </w:r>
      <w:r>
        <w:rPr>
          <w:rFonts w:asciiTheme="majorHAnsi" w:hAnsiTheme="majorHAnsi" w:cstheme="majorHAnsi"/>
          <w:sz w:val="24"/>
          <w:szCs w:val="24"/>
        </w:rPr>
        <w:t xml:space="preserve"> –potential </w:t>
      </w:r>
      <w:r w:rsidRPr="00F85817">
        <w:rPr>
          <w:rFonts w:asciiTheme="majorHAnsi" w:hAnsiTheme="majorHAnsi" w:cstheme="majorHAnsi"/>
          <w:sz w:val="24"/>
          <w:szCs w:val="24"/>
        </w:rPr>
        <w:lastRenderedPageBreak/>
        <w:t>exporters</w:t>
      </w:r>
      <w:r>
        <w:rPr>
          <w:rFonts w:asciiTheme="majorHAnsi" w:hAnsiTheme="majorHAnsi" w:cstheme="majorHAnsi"/>
          <w:sz w:val="24"/>
          <w:szCs w:val="24"/>
        </w:rPr>
        <w:t xml:space="preserve">– </w:t>
      </w:r>
      <w:r w:rsidRPr="00F85817">
        <w:rPr>
          <w:rFonts w:asciiTheme="majorHAnsi" w:hAnsiTheme="majorHAnsi" w:cstheme="majorHAnsi"/>
          <w:sz w:val="24"/>
          <w:szCs w:val="24"/>
        </w:rPr>
        <w:t>as to achieve higher levels of</w:t>
      </w:r>
      <w:r>
        <w:rPr>
          <w:rFonts w:asciiTheme="majorHAnsi" w:hAnsiTheme="majorHAnsi" w:cstheme="majorHAnsi"/>
          <w:sz w:val="24"/>
          <w:szCs w:val="24"/>
        </w:rPr>
        <w:t xml:space="preserve"> fl</w:t>
      </w:r>
      <w:r w:rsidRPr="00F85817">
        <w:rPr>
          <w:rFonts w:asciiTheme="majorHAnsi" w:hAnsiTheme="majorHAnsi" w:cstheme="majorHAnsi"/>
          <w:sz w:val="24"/>
          <w:szCs w:val="24"/>
        </w:rPr>
        <w:t>exibility and adaptability and guarantee the quality of products and services at di</w:t>
      </w:r>
      <w:r>
        <w:rPr>
          <w:rFonts w:asciiTheme="majorHAnsi" w:hAnsiTheme="majorHAnsi" w:cstheme="majorHAnsi"/>
          <w:sz w:val="24"/>
          <w:szCs w:val="24"/>
        </w:rPr>
        <w:t>ff</w:t>
      </w:r>
      <w:r w:rsidRPr="00F85817">
        <w:rPr>
          <w:rFonts w:asciiTheme="majorHAnsi" w:hAnsiTheme="majorHAnsi" w:cstheme="majorHAnsi"/>
          <w:sz w:val="24"/>
          <w:szCs w:val="24"/>
        </w:rPr>
        <w:t>erent</w:t>
      </w:r>
      <w:r>
        <w:rPr>
          <w:rFonts w:asciiTheme="majorHAnsi" w:hAnsiTheme="majorHAnsi" w:cstheme="majorHAnsi"/>
          <w:sz w:val="24"/>
          <w:szCs w:val="24"/>
        </w:rPr>
        <w:t xml:space="preserve"> </w:t>
      </w:r>
      <w:r w:rsidRPr="00F85817">
        <w:rPr>
          <w:rFonts w:asciiTheme="majorHAnsi" w:hAnsiTheme="majorHAnsi" w:cstheme="majorHAnsi"/>
          <w:sz w:val="24"/>
          <w:szCs w:val="24"/>
        </w:rPr>
        <w:t>stages of production.</w:t>
      </w:r>
    </w:p>
    <w:p w14:paraId="4382471A" w14:textId="77777777" w:rsidR="00F85817" w:rsidRPr="00F85817" w:rsidRDefault="00F85817" w:rsidP="00F85817">
      <w:pPr>
        <w:spacing w:line="276" w:lineRule="auto"/>
        <w:jc w:val="both"/>
        <w:rPr>
          <w:rFonts w:asciiTheme="majorHAnsi" w:hAnsiTheme="majorHAnsi" w:cstheme="majorHAnsi"/>
          <w:sz w:val="24"/>
          <w:szCs w:val="24"/>
        </w:rPr>
      </w:pPr>
    </w:p>
    <w:p w14:paraId="38167A35" w14:textId="77777777" w:rsidR="00F85817" w:rsidRDefault="00F85817" w:rsidP="00F85817">
      <w:pPr>
        <w:spacing w:line="276" w:lineRule="auto"/>
        <w:jc w:val="both"/>
        <w:rPr>
          <w:rFonts w:asciiTheme="majorHAnsi" w:hAnsiTheme="majorHAnsi" w:cstheme="majorHAnsi"/>
          <w:sz w:val="24"/>
          <w:szCs w:val="24"/>
        </w:rPr>
      </w:pPr>
      <w:r w:rsidRPr="00F85817">
        <w:rPr>
          <w:rFonts w:asciiTheme="majorHAnsi" w:hAnsiTheme="majorHAnsi" w:cstheme="majorHAnsi"/>
          <w:sz w:val="24"/>
          <w:szCs w:val="24"/>
        </w:rPr>
        <w:t>The government program subsidizes projects aimed at strengthening the management of</w:t>
      </w:r>
      <w:r>
        <w:rPr>
          <w:rFonts w:asciiTheme="majorHAnsi" w:hAnsiTheme="majorHAnsi" w:cstheme="majorHAnsi"/>
          <w:sz w:val="24"/>
          <w:szCs w:val="24"/>
        </w:rPr>
        <w:t xml:space="preserve"> </w:t>
      </w:r>
      <w:r w:rsidRPr="00F85817">
        <w:rPr>
          <w:rFonts w:asciiTheme="majorHAnsi" w:hAnsiTheme="majorHAnsi" w:cstheme="majorHAnsi"/>
          <w:sz w:val="24"/>
          <w:szCs w:val="24"/>
        </w:rPr>
        <w:t xml:space="preserve">SME that are suppliers of large </w:t>
      </w:r>
      <w:r>
        <w:rPr>
          <w:rFonts w:asciiTheme="majorHAnsi" w:hAnsiTheme="majorHAnsi" w:cstheme="majorHAnsi"/>
          <w:sz w:val="24"/>
          <w:szCs w:val="24"/>
        </w:rPr>
        <w:t>fi</w:t>
      </w:r>
      <w:r w:rsidRPr="00F85817">
        <w:rPr>
          <w:rFonts w:asciiTheme="majorHAnsi" w:hAnsiTheme="majorHAnsi" w:cstheme="majorHAnsi"/>
          <w:sz w:val="24"/>
          <w:szCs w:val="24"/>
        </w:rPr>
        <w:t>rms; which in turn are the ones that sponsor the projects.</w:t>
      </w:r>
      <w:r>
        <w:rPr>
          <w:rFonts w:asciiTheme="majorHAnsi" w:hAnsiTheme="majorHAnsi" w:cstheme="majorHAnsi"/>
          <w:sz w:val="24"/>
          <w:szCs w:val="24"/>
        </w:rPr>
        <w:t xml:space="preserve"> </w:t>
      </w:r>
      <w:r w:rsidRPr="00F85817">
        <w:rPr>
          <w:rFonts w:asciiTheme="majorHAnsi" w:hAnsiTheme="majorHAnsi" w:cstheme="majorHAnsi"/>
          <w:sz w:val="24"/>
          <w:szCs w:val="24"/>
        </w:rPr>
        <w:t>The program also subsidizes additional activities complementary to the activities these large</w:t>
      </w:r>
      <w:r>
        <w:rPr>
          <w:rFonts w:asciiTheme="majorHAnsi" w:hAnsiTheme="majorHAnsi" w:cstheme="majorHAnsi"/>
          <w:sz w:val="24"/>
          <w:szCs w:val="24"/>
        </w:rPr>
        <w:t xml:space="preserve"> fi</w:t>
      </w:r>
      <w:r w:rsidRPr="00F85817">
        <w:rPr>
          <w:rFonts w:asciiTheme="majorHAnsi" w:hAnsiTheme="majorHAnsi" w:cstheme="majorHAnsi"/>
          <w:sz w:val="24"/>
          <w:szCs w:val="24"/>
        </w:rPr>
        <w:t>rms</w:t>
      </w:r>
      <w:r>
        <w:rPr>
          <w:rFonts w:asciiTheme="majorHAnsi" w:hAnsiTheme="majorHAnsi" w:cstheme="majorHAnsi"/>
          <w:sz w:val="24"/>
          <w:szCs w:val="24"/>
        </w:rPr>
        <w:t xml:space="preserve"> –the </w:t>
      </w:r>
      <w:r w:rsidRPr="00F85817">
        <w:rPr>
          <w:rFonts w:asciiTheme="majorHAnsi" w:hAnsiTheme="majorHAnsi" w:cstheme="majorHAnsi"/>
          <w:sz w:val="24"/>
          <w:szCs w:val="24"/>
        </w:rPr>
        <w:t xml:space="preserve">sponsor </w:t>
      </w:r>
      <w:r>
        <w:rPr>
          <w:rFonts w:asciiTheme="majorHAnsi" w:hAnsiTheme="majorHAnsi" w:cstheme="majorHAnsi"/>
          <w:sz w:val="24"/>
          <w:szCs w:val="24"/>
        </w:rPr>
        <w:t>fi</w:t>
      </w:r>
      <w:r w:rsidRPr="00F85817">
        <w:rPr>
          <w:rFonts w:asciiTheme="majorHAnsi" w:hAnsiTheme="majorHAnsi" w:cstheme="majorHAnsi"/>
          <w:sz w:val="24"/>
          <w:szCs w:val="24"/>
        </w:rPr>
        <w:t>rms</w:t>
      </w:r>
      <w:r>
        <w:rPr>
          <w:rFonts w:asciiTheme="majorHAnsi" w:hAnsiTheme="majorHAnsi" w:cstheme="majorHAnsi"/>
          <w:sz w:val="24"/>
          <w:szCs w:val="24"/>
        </w:rPr>
        <w:t xml:space="preserve">– </w:t>
      </w:r>
      <w:r w:rsidRPr="00F85817">
        <w:rPr>
          <w:rFonts w:asciiTheme="majorHAnsi" w:hAnsiTheme="majorHAnsi" w:cstheme="majorHAnsi"/>
          <w:sz w:val="24"/>
          <w:szCs w:val="24"/>
        </w:rPr>
        <w:t>normally run: specialized services, professional advice, training,</w:t>
      </w:r>
      <w:r>
        <w:rPr>
          <w:rFonts w:asciiTheme="majorHAnsi" w:hAnsiTheme="majorHAnsi" w:cstheme="majorHAnsi"/>
          <w:sz w:val="24"/>
          <w:szCs w:val="24"/>
        </w:rPr>
        <w:t xml:space="preserve"> </w:t>
      </w:r>
      <w:r w:rsidRPr="00F85817">
        <w:rPr>
          <w:rFonts w:asciiTheme="majorHAnsi" w:hAnsiTheme="majorHAnsi" w:cstheme="majorHAnsi"/>
          <w:sz w:val="24"/>
          <w:szCs w:val="24"/>
        </w:rPr>
        <w:t>technical assistance, and technology transfer. SME appropriate the bene</w:t>
      </w:r>
      <w:r>
        <w:rPr>
          <w:rFonts w:asciiTheme="majorHAnsi" w:hAnsiTheme="majorHAnsi" w:cstheme="majorHAnsi"/>
          <w:sz w:val="24"/>
          <w:szCs w:val="24"/>
        </w:rPr>
        <w:t>fi</w:t>
      </w:r>
      <w:r w:rsidRPr="00F85817">
        <w:rPr>
          <w:rFonts w:asciiTheme="majorHAnsi" w:hAnsiTheme="majorHAnsi" w:cstheme="majorHAnsi"/>
          <w:sz w:val="24"/>
          <w:szCs w:val="24"/>
        </w:rPr>
        <w:t>ts of the development projects achieving a stable market for their products and services, while the sponsor</w:t>
      </w:r>
      <w:r>
        <w:rPr>
          <w:rFonts w:asciiTheme="majorHAnsi" w:hAnsiTheme="majorHAnsi" w:cstheme="majorHAnsi"/>
          <w:sz w:val="24"/>
          <w:szCs w:val="24"/>
        </w:rPr>
        <w:t xml:space="preserve"> fi</w:t>
      </w:r>
      <w:r w:rsidRPr="00F85817">
        <w:rPr>
          <w:rFonts w:asciiTheme="majorHAnsi" w:hAnsiTheme="majorHAnsi" w:cstheme="majorHAnsi"/>
          <w:sz w:val="24"/>
          <w:szCs w:val="24"/>
        </w:rPr>
        <w:t>rm ensures a continuous supply of quality products and services.</w:t>
      </w:r>
    </w:p>
    <w:p w14:paraId="3035AADB" w14:textId="77777777" w:rsidR="00F85817" w:rsidRDefault="00F85817" w:rsidP="00F85817">
      <w:pPr>
        <w:spacing w:line="276" w:lineRule="auto"/>
        <w:jc w:val="both"/>
        <w:rPr>
          <w:rFonts w:asciiTheme="majorHAnsi" w:hAnsiTheme="majorHAnsi" w:cstheme="majorHAnsi"/>
          <w:sz w:val="24"/>
          <w:szCs w:val="24"/>
        </w:rPr>
      </w:pPr>
    </w:p>
    <w:p w14:paraId="7E57B455" w14:textId="2012D4D0" w:rsidR="00F85817" w:rsidRDefault="00F85817" w:rsidP="00F85817">
      <w:pPr>
        <w:spacing w:line="276" w:lineRule="auto"/>
        <w:jc w:val="both"/>
        <w:rPr>
          <w:rFonts w:asciiTheme="majorHAnsi" w:hAnsiTheme="majorHAnsi" w:cstheme="majorHAnsi"/>
          <w:sz w:val="24"/>
          <w:szCs w:val="24"/>
        </w:rPr>
      </w:pPr>
      <w:r w:rsidRPr="00F85817">
        <w:rPr>
          <w:rFonts w:asciiTheme="majorHAnsi" w:hAnsiTheme="majorHAnsi" w:cstheme="majorHAnsi"/>
          <w:sz w:val="24"/>
          <w:szCs w:val="24"/>
        </w:rPr>
        <w:t xml:space="preserve">For a large </w:t>
      </w:r>
      <w:r>
        <w:rPr>
          <w:rFonts w:asciiTheme="majorHAnsi" w:hAnsiTheme="majorHAnsi" w:cstheme="majorHAnsi"/>
          <w:sz w:val="24"/>
          <w:szCs w:val="24"/>
        </w:rPr>
        <w:t>fi</w:t>
      </w:r>
      <w:r w:rsidRPr="00F85817">
        <w:rPr>
          <w:rFonts w:asciiTheme="majorHAnsi" w:hAnsiTheme="majorHAnsi" w:cstheme="majorHAnsi"/>
          <w:sz w:val="24"/>
          <w:szCs w:val="24"/>
        </w:rPr>
        <w:t>rm to be eligible to participate in the program and sponsor the SME that make</w:t>
      </w:r>
      <w:r>
        <w:rPr>
          <w:rFonts w:asciiTheme="majorHAnsi" w:hAnsiTheme="majorHAnsi" w:cstheme="majorHAnsi"/>
          <w:sz w:val="24"/>
          <w:szCs w:val="24"/>
        </w:rPr>
        <w:t xml:space="preserve"> </w:t>
      </w:r>
      <w:r w:rsidRPr="00F85817">
        <w:rPr>
          <w:rFonts w:asciiTheme="majorHAnsi" w:hAnsiTheme="majorHAnsi" w:cstheme="majorHAnsi"/>
          <w:sz w:val="24"/>
          <w:szCs w:val="24"/>
        </w:rPr>
        <w:t xml:space="preserve">up its supply chain, its net annual sales must be greater than or equal to 100,000 </w:t>
      </w:r>
      <w:r w:rsidRPr="00F85817">
        <w:rPr>
          <w:rFonts w:asciiTheme="majorHAnsi" w:hAnsiTheme="majorHAnsi" w:cstheme="majorHAnsi"/>
          <w:i/>
          <w:sz w:val="24"/>
          <w:szCs w:val="24"/>
        </w:rPr>
        <w:t xml:space="preserve">Unidades de Fomento </w:t>
      </w:r>
      <w:r>
        <w:rPr>
          <w:rFonts w:asciiTheme="majorHAnsi" w:hAnsiTheme="majorHAnsi" w:cstheme="majorHAnsi"/>
          <w:sz w:val="24"/>
          <w:szCs w:val="24"/>
        </w:rPr>
        <w:t>–</w:t>
      </w:r>
      <w:r w:rsidRPr="00F85817">
        <w:rPr>
          <w:rFonts w:asciiTheme="majorHAnsi" w:hAnsiTheme="majorHAnsi" w:cstheme="majorHAnsi"/>
          <w:sz w:val="24"/>
          <w:szCs w:val="24"/>
        </w:rPr>
        <w:t>equivalent to US$42.6 million in August 2010. Each project must include at</w:t>
      </w:r>
      <w:r>
        <w:rPr>
          <w:rFonts w:asciiTheme="majorHAnsi" w:hAnsiTheme="majorHAnsi" w:cstheme="majorHAnsi"/>
          <w:sz w:val="24"/>
          <w:szCs w:val="24"/>
        </w:rPr>
        <w:t xml:space="preserve"> </w:t>
      </w:r>
      <w:r w:rsidRPr="00F85817">
        <w:rPr>
          <w:rFonts w:asciiTheme="majorHAnsi" w:hAnsiTheme="majorHAnsi" w:cstheme="majorHAnsi"/>
          <w:sz w:val="24"/>
          <w:szCs w:val="24"/>
        </w:rPr>
        <w:t>least 20 SME in the agriculture and forestry sector or a minimum of 10 SME in other economic</w:t>
      </w:r>
      <w:r>
        <w:rPr>
          <w:rFonts w:asciiTheme="majorHAnsi" w:hAnsiTheme="majorHAnsi" w:cstheme="majorHAnsi"/>
          <w:sz w:val="24"/>
          <w:szCs w:val="24"/>
        </w:rPr>
        <w:t xml:space="preserve"> </w:t>
      </w:r>
      <w:r w:rsidRPr="00F85817">
        <w:rPr>
          <w:rFonts w:asciiTheme="majorHAnsi" w:hAnsiTheme="majorHAnsi" w:cstheme="majorHAnsi"/>
          <w:sz w:val="24"/>
          <w:szCs w:val="24"/>
        </w:rPr>
        <w:t>activity sectors such as manufacturing, industrial services and others; these SME must have</w:t>
      </w:r>
      <w:r>
        <w:rPr>
          <w:rFonts w:asciiTheme="majorHAnsi" w:hAnsiTheme="majorHAnsi" w:cstheme="majorHAnsi"/>
          <w:sz w:val="24"/>
          <w:szCs w:val="24"/>
        </w:rPr>
        <w:t xml:space="preserve"> </w:t>
      </w:r>
      <w:r w:rsidRPr="00F85817">
        <w:rPr>
          <w:rFonts w:asciiTheme="majorHAnsi" w:hAnsiTheme="majorHAnsi" w:cstheme="majorHAnsi"/>
          <w:sz w:val="24"/>
          <w:szCs w:val="24"/>
        </w:rPr>
        <w:t xml:space="preserve">net annual sales up to 100,000 UF. Once the sponsor </w:t>
      </w:r>
      <w:r>
        <w:rPr>
          <w:rFonts w:asciiTheme="majorHAnsi" w:hAnsiTheme="majorHAnsi" w:cstheme="majorHAnsi"/>
          <w:sz w:val="24"/>
          <w:szCs w:val="24"/>
        </w:rPr>
        <w:t>fi</w:t>
      </w:r>
      <w:r w:rsidRPr="00F85817">
        <w:rPr>
          <w:rFonts w:asciiTheme="majorHAnsi" w:hAnsiTheme="majorHAnsi" w:cstheme="majorHAnsi"/>
          <w:sz w:val="24"/>
          <w:szCs w:val="24"/>
        </w:rPr>
        <w:t>rm approaches an intermediary agent,</w:t>
      </w:r>
      <w:r>
        <w:rPr>
          <w:rFonts w:asciiTheme="majorHAnsi" w:hAnsiTheme="majorHAnsi" w:cstheme="majorHAnsi"/>
          <w:sz w:val="24"/>
          <w:szCs w:val="24"/>
        </w:rPr>
        <w:t xml:space="preserve"> </w:t>
      </w:r>
      <w:r w:rsidRPr="00F85817">
        <w:rPr>
          <w:rFonts w:asciiTheme="majorHAnsi" w:hAnsiTheme="majorHAnsi" w:cstheme="majorHAnsi"/>
          <w:sz w:val="24"/>
          <w:szCs w:val="24"/>
        </w:rPr>
        <w:t xml:space="preserve">who helps the sponsor </w:t>
      </w:r>
      <w:r>
        <w:rPr>
          <w:rFonts w:asciiTheme="majorHAnsi" w:hAnsiTheme="majorHAnsi" w:cstheme="majorHAnsi"/>
          <w:sz w:val="24"/>
          <w:szCs w:val="24"/>
        </w:rPr>
        <w:t>fi</w:t>
      </w:r>
      <w:r w:rsidRPr="00F85817">
        <w:rPr>
          <w:rFonts w:asciiTheme="majorHAnsi" w:hAnsiTheme="majorHAnsi" w:cstheme="majorHAnsi"/>
          <w:sz w:val="24"/>
          <w:szCs w:val="24"/>
        </w:rPr>
        <w:t xml:space="preserve">rm prepare the project, the </w:t>
      </w:r>
      <w:r>
        <w:rPr>
          <w:rFonts w:asciiTheme="majorHAnsi" w:hAnsiTheme="majorHAnsi" w:cstheme="majorHAnsi"/>
          <w:sz w:val="24"/>
          <w:szCs w:val="24"/>
        </w:rPr>
        <w:t>fi</w:t>
      </w:r>
      <w:r w:rsidRPr="00F85817">
        <w:rPr>
          <w:rFonts w:asciiTheme="majorHAnsi" w:hAnsiTheme="majorHAnsi" w:cstheme="majorHAnsi"/>
          <w:sz w:val="24"/>
          <w:szCs w:val="24"/>
        </w:rPr>
        <w:t>rm can present its project to a CORFO</w:t>
      </w:r>
      <w:r>
        <w:rPr>
          <w:rFonts w:asciiTheme="majorHAnsi" w:hAnsiTheme="majorHAnsi" w:cstheme="majorHAnsi"/>
          <w:sz w:val="24"/>
          <w:szCs w:val="24"/>
        </w:rPr>
        <w:t xml:space="preserve"> </w:t>
      </w:r>
      <w:r w:rsidRPr="00F85817">
        <w:rPr>
          <w:rFonts w:asciiTheme="majorHAnsi" w:hAnsiTheme="majorHAnsi" w:cstheme="majorHAnsi"/>
          <w:sz w:val="24"/>
          <w:szCs w:val="24"/>
        </w:rPr>
        <w:t>regional bureau that decides to reject, approve, or request the reformulation of the project</w:t>
      </w:r>
      <w:r>
        <w:rPr>
          <w:rFonts w:asciiTheme="majorHAnsi" w:hAnsiTheme="majorHAnsi" w:cstheme="majorHAnsi"/>
          <w:sz w:val="24"/>
          <w:szCs w:val="24"/>
        </w:rPr>
        <w:t xml:space="preserve"> </w:t>
      </w:r>
      <w:r w:rsidRPr="00F85817">
        <w:rPr>
          <w:rFonts w:asciiTheme="majorHAnsi" w:hAnsiTheme="majorHAnsi" w:cstheme="majorHAnsi"/>
          <w:sz w:val="24"/>
          <w:szCs w:val="24"/>
        </w:rPr>
        <w:t>submitted according to the eligibility requirements and the technical quality of the application.</w:t>
      </w:r>
    </w:p>
    <w:p w14:paraId="0D7AE0F2" w14:textId="77777777" w:rsidR="00F85817" w:rsidRPr="00F85817" w:rsidRDefault="00F85817" w:rsidP="00F85817">
      <w:pPr>
        <w:spacing w:line="276" w:lineRule="auto"/>
        <w:jc w:val="both"/>
        <w:rPr>
          <w:rFonts w:asciiTheme="majorHAnsi" w:hAnsiTheme="majorHAnsi" w:cstheme="majorHAnsi"/>
          <w:sz w:val="24"/>
          <w:szCs w:val="24"/>
        </w:rPr>
      </w:pPr>
    </w:p>
    <w:p w14:paraId="6E1A7A96" w14:textId="1613B037" w:rsidR="00F85817" w:rsidRDefault="00F85817" w:rsidP="00F85817">
      <w:pPr>
        <w:spacing w:line="276" w:lineRule="auto"/>
        <w:jc w:val="both"/>
        <w:rPr>
          <w:rFonts w:asciiTheme="majorHAnsi" w:hAnsiTheme="majorHAnsi" w:cstheme="majorHAnsi"/>
          <w:sz w:val="24"/>
          <w:szCs w:val="24"/>
        </w:rPr>
      </w:pPr>
      <w:r w:rsidRPr="00F85817">
        <w:rPr>
          <w:rFonts w:asciiTheme="majorHAnsi" w:hAnsiTheme="majorHAnsi" w:cstheme="majorHAnsi"/>
          <w:sz w:val="24"/>
          <w:szCs w:val="24"/>
        </w:rPr>
        <w:t>After the project is approved the program is implemented in two stages: a diagnostic stage</w:t>
      </w:r>
      <w:r>
        <w:rPr>
          <w:rFonts w:asciiTheme="majorHAnsi" w:hAnsiTheme="majorHAnsi" w:cstheme="majorHAnsi"/>
          <w:sz w:val="24"/>
          <w:szCs w:val="24"/>
        </w:rPr>
        <w:t xml:space="preserve"> </w:t>
      </w:r>
      <w:r w:rsidRPr="00F85817">
        <w:rPr>
          <w:rFonts w:asciiTheme="majorHAnsi" w:hAnsiTheme="majorHAnsi" w:cstheme="majorHAnsi"/>
          <w:sz w:val="24"/>
          <w:szCs w:val="24"/>
        </w:rPr>
        <w:t>and a development stage. The diagnostic stage lasts up to six months after the signing of</w:t>
      </w:r>
      <w:r>
        <w:rPr>
          <w:rFonts w:asciiTheme="majorHAnsi" w:hAnsiTheme="majorHAnsi" w:cstheme="majorHAnsi"/>
          <w:sz w:val="24"/>
          <w:szCs w:val="24"/>
        </w:rPr>
        <w:t xml:space="preserve"> </w:t>
      </w:r>
      <w:r w:rsidRPr="00F85817">
        <w:rPr>
          <w:rFonts w:asciiTheme="majorHAnsi" w:hAnsiTheme="majorHAnsi" w:cstheme="majorHAnsi"/>
          <w:sz w:val="24"/>
          <w:szCs w:val="24"/>
        </w:rPr>
        <w:t>the contract and aims at identifying areas of intervention that the sponsor wishes to develop</w:t>
      </w:r>
      <w:r>
        <w:rPr>
          <w:rFonts w:asciiTheme="majorHAnsi" w:hAnsiTheme="majorHAnsi" w:cstheme="majorHAnsi"/>
          <w:sz w:val="24"/>
          <w:szCs w:val="24"/>
        </w:rPr>
        <w:t xml:space="preserve"> </w:t>
      </w:r>
      <w:r w:rsidRPr="00F85817">
        <w:rPr>
          <w:rFonts w:asciiTheme="majorHAnsi" w:hAnsiTheme="majorHAnsi" w:cstheme="majorHAnsi"/>
          <w:sz w:val="24"/>
          <w:szCs w:val="24"/>
        </w:rPr>
        <w:t>with its suppliers. The result is a development plan designed by a consultant or consulting</w:t>
      </w:r>
      <w:r>
        <w:rPr>
          <w:rFonts w:asciiTheme="majorHAnsi" w:hAnsiTheme="majorHAnsi" w:cstheme="majorHAnsi"/>
          <w:sz w:val="24"/>
          <w:szCs w:val="24"/>
        </w:rPr>
        <w:t xml:space="preserve"> fi</w:t>
      </w:r>
      <w:r w:rsidRPr="00F85817">
        <w:rPr>
          <w:rFonts w:asciiTheme="majorHAnsi" w:hAnsiTheme="majorHAnsi" w:cstheme="majorHAnsi"/>
          <w:sz w:val="24"/>
          <w:szCs w:val="24"/>
        </w:rPr>
        <w:t>rm. CORFO pays for up to 50% of its cost with a ceiling of US$16,000 (August 2010). The</w:t>
      </w:r>
      <w:r>
        <w:rPr>
          <w:rFonts w:asciiTheme="majorHAnsi" w:hAnsiTheme="majorHAnsi" w:cstheme="majorHAnsi"/>
          <w:sz w:val="24"/>
          <w:szCs w:val="24"/>
        </w:rPr>
        <w:t xml:space="preserve"> </w:t>
      </w:r>
      <w:r w:rsidRPr="00F85817">
        <w:rPr>
          <w:rFonts w:asciiTheme="majorHAnsi" w:hAnsiTheme="majorHAnsi" w:cstheme="majorHAnsi"/>
          <w:sz w:val="24"/>
          <w:szCs w:val="24"/>
        </w:rPr>
        <w:t>development stage is the implementation of the development plan designed in the diagnostic</w:t>
      </w:r>
      <w:r>
        <w:rPr>
          <w:rFonts w:asciiTheme="majorHAnsi" w:hAnsiTheme="majorHAnsi" w:cstheme="majorHAnsi"/>
          <w:sz w:val="24"/>
          <w:szCs w:val="24"/>
        </w:rPr>
        <w:t xml:space="preserve"> </w:t>
      </w:r>
      <w:r w:rsidRPr="00F85817">
        <w:rPr>
          <w:rFonts w:asciiTheme="majorHAnsi" w:hAnsiTheme="majorHAnsi" w:cstheme="majorHAnsi"/>
          <w:sz w:val="24"/>
          <w:szCs w:val="24"/>
        </w:rPr>
        <w:t>stage and can last up to three years. CORFO pays for up to 50% of the cost of this stage</w:t>
      </w:r>
      <w:r>
        <w:rPr>
          <w:rFonts w:asciiTheme="majorHAnsi" w:hAnsiTheme="majorHAnsi" w:cstheme="majorHAnsi"/>
          <w:sz w:val="24"/>
          <w:szCs w:val="24"/>
        </w:rPr>
        <w:t xml:space="preserve"> </w:t>
      </w:r>
      <w:r w:rsidRPr="00F85817">
        <w:rPr>
          <w:rFonts w:asciiTheme="majorHAnsi" w:hAnsiTheme="majorHAnsi" w:cstheme="majorHAnsi"/>
          <w:sz w:val="24"/>
          <w:szCs w:val="24"/>
        </w:rPr>
        <w:t xml:space="preserve">with annual ceilings of US$110,000, US$5,000 per supplier </w:t>
      </w:r>
      <w:r>
        <w:rPr>
          <w:rFonts w:asciiTheme="majorHAnsi" w:hAnsiTheme="majorHAnsi" w:cstheme="majorHAnsi"/>
          <w:sz w:val="24"/>
          <w:szCs w:val="24"/>
        </w:rPr>
        <w:t>fi</w:t>
      </w:r>
      <w:r w:rsidRPr="00F85817">
        <w:rPr>
          <w:rFonts w:asciiTheme="majorHAnsi" w:hAnsiTheme="majorHAnsi" w:cstheme="majorHAnsi"/>
          <w:sz w:val="24"/>
          <w:szCs w:val="24"/>
        </w:rPr>
        <w:t>rm (August 2010). CORFO</w:t>
      </w:r>
      <w:r>
        <w:rPr>
          <w:rFonts w:asciiTheme="majorHAnsi" w:hAnsiTheme="majorHAnsi" w:cstheme="majorHAnsi"/>
          <w:sz w:val="24"/>
          <w:szCs w:val="24"/>
        </w:rPr>
        <w:t xml:space="preserve"> </w:t>
      </w:r>
      <w:r w:rsidRPr="00F85817">
        <w:rPr>
          <w:rFonts w:asciiTheme="majorHAnsi" w:hAnsiTheme="majorHAnsi" w:cstheme="majorHAnsi"/>
          <w:sz w:val="24"/>
          <w:szCs w:val="24"/>
        </w:rPr>
        <w:t xml:space="preserve">assesses annually the renewal of project </w:t>
      </w:r>
      <w:r>
        <w:rPr>
          <w:rFonts w:asciiTheme="majorHAnsi" w:hAnsiTheme="majorHAnsi" w:cstheme="majorHAnsi"/>
          <w:sz w:val="24"/>
          <w:szCs w:val="24"/>
        </w:rPr>
        <w:t>fi</w:t>
      </w:r>
      <w:r w:rsidRPr="00F85817">
        <w:rPr>
          <w:rFonts w:asciiTheme="majorHAnsi" w:hAnsiTheme="majorHAnsi" w:cstheme="majorHAnsi"/>
          <w:sz w:val="24"/>
          <w:szCs w:val="24"/>
        </w:rPr>
        <w:t>nancing depending on the implementation progress.</w:t>
      </w:r>
      <w:r>
        <w:rPr>
          <w:rFonts w:asciiTheme="majorHAnsi" w:hAnsiTheme="majorHAnsi" w:cstheme="majorHAnsi"/>
          <w:sz w:val="24"/>
          <w:szCs w:val="24"/>
        </w:rPr>
        <w:t xml:space="preserve"> </w:t>
      </w:r>
      <w:r w:rsidRPr="00F85817">
        <w:rPr>
          <w:rFonts w:asciiTheme="majorHAnsi" w:hAnsiTheme="majorHAnsi" w:cstheme="majorHAnsi"/>
          <w:sz w:val="24"/>
          <w:szCs w:val="24"/>
        </w:rPr>
        <w:t xml:space="preserve">The implementation of the development plan is responsibility of the sponsor </w:t>
      </w:r>
      <w:r>
        <w:rPr>
          <w:rFonts w:asciiTheme="majorHAnsi" w:hAnsiTheme="majorHAnsi" w:cstheme="majorHAnsi"/>
          <w:sz w:val="24"/>
          <w:szCs w:val="24"/>
        </w:rPr>
        <w:t>fi</w:t>
      </w:r>
      <w:r w:rsidRPr="00F85817">
        <w:rPr>
          <w:rFonts w:asciiTheme="majorHAnsi" w:hAnsiTheme="majorHAnsi" w:cstheme="majorHAnsi"/>
          <w:sz w:val="24"/>
          <w:szCs w:val="24"/>
        </w:rPr>
        <w:t>rm and can be</w:t>
      </w:r>
      <w:r>
        <w:rPr>
          <w:rFonts w:asciiTheme="majorHAnsi" w:hAnsiTheme="majorHAnsi" w:cstheme="majorHAnsi"/>
          <w:sz w:val="24"/>
          <w:szCs w:val="24"/>
        </w:rPr>
        <w:t xml:space="preserve"> </w:t>
      </w:r>
      <w:r w:rsidRPr="00F85817">
        <w:rPr>
          <w:rFonts w:asciiTheme="majorHAnsi" w:hAnsiTheme="majorHAnsi" w:cstheme="majorHAnsi"/>
          <w:sz w:val="24"/>
          <w:szCs w:val="24"/>
        </w:rPr>
        <w:t xml:space="preserve">carried out by a consultant or consulting </w:t>
      </w:r>
      <w:r>
        <w:rPr>
          <w:rFonts w:asciiTheme="majorHAnsi" w:hAnsiTheme="majorHAnsi" w:cstheme="majorHAnsi"/>
          <w:sz w:val="24"/>
          <w:szCs w:val="24"/>
        </w:rPr>
        <w:t>fi</w:t>
      </w:r>
      <w:r w:rsidRPr="00F85817">
        <w:rPr>
          <w:rFonts w:asciiTheme="majorHAnsi" w:hAnsiTheme="majorHAnsi" w:cstheme="majorHAnsi"/>
          <w:sz w:val="24"/>
          <w:szCs w:val="24"/>
        </w:rPr>
        <w:t xml:space="preserve">rm or by the sponsor's in-house </w:t>
      </w:r>
      <w:r>
        <w:rPr>
          <w:rFonts w:asciiTheme="majorHAnsi" w:hAnsiTheme="majorHAnsi" w:cstheme="majorHAnsi"/>
          <w:sz w:val="24"/>
          <w:szCs w:val="24"/>
        </w:rPr>
        <w:t>staff</w:t>
      </w:r>
      <w:r w:rsidRPr="00F85817">
        <w:rPr>
          <w:rFonts w:asciiTheme="majorHAnsi" w:hAnsiTheme="majorHAnsi" w:cstheme="majorHAnsi"/>
          <w:sz w:val="24"/>
          <w:szCs w:val="24"/>
        </w:rPr>
        <w:t>.</w:t>
      </w:r>
    </w:p>
    <w:p w14:paraId="0C5BF145" w14:textId="77777777" w:rsidR="00F85817" w:rsidRPr="00F85817" w:rsidRDefault="00F85817" w:rsidP="00F85817">
      <w:pPr>
        <w:spacing w:line="276" w:lineRule="auto"/>
        <w:jc w:val="both"/>
        <w:rPr>
          <w:rFonts w:asciiTheme="majorHAnsi" w:hAnsiTheme="majorHAnsi" w:cstheme="majorHAnsi"/>
          <w:sz w:val="24"/>
          <w:szCs w:val="24"/>
        </w:rPr>
      </w:pPr>
    </w:p>
    <w:p w14:paraId="6690AA00" w14:textId="37DD7873" w:rsidR="00F85817" w:rsidRDefault="00F85817" w:rsidP="00F85817">
      <w:pPr>
        <w:spacing w:line="276" w:lineRule="auto"/>
        <w:jc w:val="both"/>
        <w:rPr>
          <w:rFonts w:asciiTheme="majorHAnsi" w:hAnsiTheme="majorHAnsi" w:cstheme="majorHAnsi"/>
          <w:sz w:val="24"/>
          <w:szCs w:val="24"/>
        </w:rPr>
      </w:pPr>
      <w:r w:rsidRPr="00F85817">
        <w:rPr>
          <w:rFonts w:asciiTheme="majorHAnsi" w:hAnsiTheme="majorHAnsi" w:cstheme="majorHAnsi"/>
          <w:sz w:val="24"/>
          <w:szCs w:val="24"/>
        </w:rPr>
        <w:t xml:space="preserve">A project subsidized by the program, then, must be sponsored by a large </w:t>
      </w:r>
      <w:r>
        <w:rPr>
          <w:rFonts w:asciiTheme="majorHAnsi" w:hAnsiTheme="majorHAnsi" w:cstheme="majorHAnsi"/>
          <w:sz w:val="24"/>
          <w:szCs w:val="24"/>
        </w:rPr>
        <w:t>fi</w:t>
      </w:r>
      <w:r w:rsidRPr="00F85817">
        <w:rPr>
          <w:rFonts w:asciiTheme="majorHAnsi" w:hAnsiTheme="majorHAnsi" w:cstheme="majorHAnsi"/>
          <w:sz w:val="24"/>
          <w:szCs w:val="24"/>
        </w:rPr>
        <w:t>rm and include</w:t>
      </w:r>
      <w:r>
        <w:rPr>
          <w:rFonts w:asciiTheme="majorHAnsi" w:hAnsiTheme="majorHAnsi" w:cstheme="majorHAnsi"/>
          <w:sz w:val="24"/>
          <w:szCs w:val="24"/>
        </w:rPr>
        <w:t xml:space="preserve"> </w:t>
      </w:r>
      <w:r w:rsidRPr="00F85817">
        <w:rPr>
          <w:rFonts w:asciiTheme="majorHAnsi" w:hAnsiTheme="majorHAnsi" w:cstheme="majorHAnsi"/>
          <w:sz w:val="24"/>
          <w:szCs w:val="24"/>
        </w:rPr>
        <w:t xml:space="preserve">a minimum number of SME that comprise this </w:t>
      </w:r>
      <w:r>
        <w:rPr>
          <w:rFonts w:asciiTheme="majorHAnsi" w:hAnsiTheme="majorHAnsi" w:cstheme="majorHAnsi"/>
          <w:sz w:val="24"/>
          <w:szCs w:val="24"/>
        </w:rPr>
        <w:t>fi</w:t>
      </w:r>
      <w:r w:rsidRPr="00F85817">
        <w:rPr>
          <w:rFonts w:asciiTheme="majorHAnsi" w:hAnsiTheme="majorHAnsi" w:cstheme="majorHAnsi"/>
          <w:sz w:val="24"/>
          <w:szCs w:val="24"/>
        </w:rPr>
        <w:t>rm's supply chain. The project co-</w:t>
      </w:r>
      <w:r>
        <w:rPr>
          <w:rFonts w:asciiTheme="majorHAnsi" w:hAnsiTheme="majorHAnsi" w:cstheme="majorHAnsi"/>
          <w:sz w:val="24"/>
          <w:szCs w:val="24"/>
        </w:rPr>
        <w:t>fi</w:t>
      </w:r>
      <w:r w:rsidRPr="00F85817">
        <w:rPr>
          <w:rFonts w:asciiTheme="majorHAnsi" w:hAnsiTheme="majorHAnsi" w:cstheme="majorHAnsi"/>
          <w:sz w:val="24"/>
          <w:szCs w:val="24"/>
        </w:rPr>
        <w:t>nances</w:t>
      </w:r>
      <w:r>
        <w:rPr>
          <w:rFonts w:asciiTheme="majorHAnsi" w:hAnsiTheme="majorHAnsi" w:cstheme="majorHAnsi"/>
          <w:sz w:val="24"/>
          <w:szCs w:val="24"/>
        </w:rPr>
        <w:t xml:space="preserve"> </w:t>
      </w:r>
      <w:r w:rsidRPr="00F85817">
        <w:rPr>
          <w:rFonts w:asciiTheme="majorHAnsi" w:hAnsiTheme="majorHAnsi" w:cstheme="majorHAnsi"/>
          <w:sz w:val="24"/>
          <w:szCs w:val="24"/>
        </w:rPr>
        <w:t>a diagnostic stage and then the actions designed to implement a development plan, which</w:t>
      </w:r>
      <w:r>
        <w:rPr>
          <w:rFonts w:asciiTheme="majorHAnsi" w:hAnsiTheme="majorHAnsi" w:cstheme="majorHAnsi"/>
          <w:sz w:val="24"/>
          <w:szCs w:val="24"/>
        </w:rPr>
        <w:t xml:space="preserve"> </w:t>
      </w:r>
      <w:r w:rsidRPr="00F85817">
        <w:rPr>
          <w:rFonts w:asciiTheme="majorHAnsi" w:hAnsiTheme="majorHAnsi" w:cstheme="majorHAnsi"/>
          <w:sz w:val="24"/>
          <w:szCs w:val="24"/>
        </w:rPr>
        <w:t>depends on the needs assessed in the diagnostic, aim to strengthen the suppliers and consequently bene</w:t>
      </w:r>
      <w:r>
        <w:rPr>
          <w:rFonts w:asciiTheme="majorHAnsi" w:hAnsiTheme="majorHAnsi" w:cstheme="majorHAnsi"/>
          <w:sz w:val="24"/>
          <w:szCs w:val="24"/>
        </w:rPr>
        <w:t>fi</w:t>
      </w:r>
      <w:r w:rsidRPr="00F85817">
        <w:rPr>
          <w:rFonts w:asciiTheme="majorHAnsi" w:hAnsiTheme="majorHAnsi" w:cstheme="majorHAnsi"/>
          <w:sz w:val="24"/>
          <w:szCs w:val="24"/>
        </w:rPr>
        <w:t>t the suppliers and the buyer.</w:t>
      </w:r>
    </w:p>
    <w:p w14:paraId="46629DA8" w14:textId="77777777" w:rsidR="00F85817" w:rsidRPr="00F85817" w:rsidRDefault="00F85817" w:rsidP="00F85817">
      <w:pPr>
        <w:spacing w:line="276" w:lineRule="auto"/>
        <w:jc w:val="both"/>
        <w:rPr>
          <w:rFonts w:asciiTheme="majorHAnsi" w:hAnsiTheme="majorHAnsi" w:cstheme="majorHAnsi"/>
          <w:sz w:val="24"/>
          <w:szCs w:val="24"/>
        </w:rPr>
      </w:pPr>
    </w:p>
    <w:p w14:paraId="51C86937" w14:textId="6B587BC6" w:rsidR="00F85817" w:rsidRDefault="00F85817" w:rsidP="00F85817">
      <w:pPr>
        <w:spacing w:line="276" w:lineRule="auto"/>
        <w:jc w:val="right"/>
        <w:rPr>
          <w:rFonts w:asciiTheme="majorHAnsi" w:hAnsiTheme="majorHAnsi" w:cstheme="majorHAnsi"/>
          <w:sz w:val="24"/>
          <w:szCs w:val="24"/>
        </w:rPr>
      </w:pPr>
      <w:r>
        <w:rPr>
          <w:rFonts w:asciiTheme="majorHAnsi" w:hAnsiTheme="majorHAnsi" w:cstheme="majorHAnsi"/>
          <w:sz w:val="24"/>
          <w:szCs w:val="24"/>
        </w:rPr>
        <w:t>Source: Arráiz et al (2011)</w:t>
      </w:r>
    </w:p>
    <w:p w14:paraId="2C6F1B6F" w14:textId="3D7C306A" w:rsidR="001F29D9" w:rsidRDefault="001F29D9" w:rsidP="001F29D9">
      <w:pPr>
        <w:spacing w:line="276" w:lineRule="auto"/>
        <w:jc w:val="both"/>
        <w:rPr>
          <w:rFonts w:asciiTheme="majorHAnsi" w:hAnsiTheme="majorHAnsi" w:cstheme="majorHAnsi"/>
          <w:b/>
          <w:sz w:val="24"/>
          <w:szCs w:val="24"/>
        </w:rPr>
      </w:pPr>
      <w:r w:rsidRPr="001F29D9">
        <w:rPr>
          <w:rFonts w:asciiTheme="majorHAnsi" w:hAnsiTheme="majorHAnsi" w:cstheme="majorHAnsi"/>
          <w:b/>
          <w:sz w:val="24"/>
          <w:szCs w:val="24"/>
        </w:rPr>
        <w:lastRenderedPageBreak/>
        <w:t>Hungary</w:t>
      </w:r>
    </w:p>
    <w:p w14:paraId="7685AB08" w14:textId="77777777" w:rsidR="001F29D9" w:rsidRDefault="001F29D9" w:rsidP="001F29D9">
      <w:pPr>
        <w:spacing w:line="276" w:lineRule="auto"/>
        <w:jc w:val="both"/>
        <w:rPr>
          <w:rFonts w:asciiTheme="majorHAnsi" w:hAnsiTheme="majorHAnsi" w:cstheme="majorHAnsi"/>
          <w:sz w:val="24"/>
          <w:szCs w:val="24"/>
        </w:rPr>
      </w:pPr>
    </w:p>
    <w:p w14:paraId="202F22C5" w14:textId="6BC565AA" w:rsidR="001F29D9" w:rsidRDefault="001F29D9" w:rsidP="001F29D9">
      <w:pPr>
        <w:spacing w:line="276" w:lineRule="auto"/>
        <w:jc w:val="both"/>
        <w:rPr>
          <w:rFonts w:asciiTheme="majorHAnsi" w:hAnsiTheme="majorHAnsi" w:cstheme="majorHAnsi"/>
          <w:sz w:val="24"/>
          <w:szCs w:val="24"/>
        </w:rPr>
      </w:pPr>
      <w:r w:rsidRPr="001F29D9">
        <w:rPr>
          <w:rFonts w:asciiTheme="majorHAnsi" w:hAnsiTheme="majorHAnsi" w:cstheme="majorHAnsi"/>
          <w:sz w:val="24"/>
          <w:szCs w:val="24"/>
        </w:rPr>
        <w:t xml:space="preserve">To increase the FDI benefits, the Hungarian government launched the Supplier Target Program (STP) in 1998. The first phase was marked by implementation difficulties. After two years, some principles were reconsidered and the program was re-launched in 2000 as a cluster scheme. The basic idea of the new Program is that existing supplier networks can be further developed as a nucleus of a bigger and more colorful cooperation network, a local cluster. The ISP gives priority to relatively advanced supplier firms. </w:t>
      </w:r>
    </w:p>
    <w:p w14:paraId="435B3235" w14:textId="77777777" w:rsidR="001F29D9" w:rsidRPr="001F29D9" w:rsidRDefault="001F29D9" w:rsidP="001F29D9">
      <w:pPr>
        <w:spacing w:line="276" w:lineRule="auto"/>
        <w:jc w:val="both"/>
        <w:rPr>
          <w:rFonts w:asciiTheme="majorHAnsi" w:hAnsiTheme="majorHAnsi" w:cstheme="majorHAnsi"/>
          <w:sz w:val="24"/>
          <w:szCs w:val="24"/>
        </w:rPr>
      </w:pPr>
    </w:p>
    <w:p w14:paraId="2E8683B2" w14:textId="78F892E4" w:rsidR="001F29D9" w:rsidRDefault="001F29D9" w:rsidP="001F29D9">
      <w:pPr>
        <w:spacing w:line="276" w:lineRule="auto"/>
        <w:jc w:val="both"/>
        <w:rPr>
          <w:rFonts w:asciiTheme="majorHAnsi" w:hAnsiTheme="majorHAnsi" w:cstheme="majorHAnsi"/>
          <w:sz w:val="24"/>
          <w:szCs w:val="24"/>
        </w:rPr>
      </w:pPr>
      <w:r w:rsidRPr="001F29D9">
        <w:rPr>
          <w:rFonts w:asciiTheme="majorHAnsi" w:hAnsiTheme="majorHAnsi" w:cstheme="majorHAnsi"/>
          <w:sz w:val="24"/>
          <w:szCs w:val="24"/>
        </w:rPr>
        <w:t>The ISP focuses on some existing supplier networks. In the center of these, there is a core company, the Integrator. The Integrator firm is the primary partner of the state agent. The already chosen Integrators are Suzuki, General Electric, Audi, Opel and Raba. The promotion activity starts with identifying the needs and requirements of MNCs and other integrator firms.</w:t>
      </w:r>
      <w:r>
        <w:rPr>
          <w:rFonts w:asciiTheme="majorHAnsi" w:hAnsiTheme="majorHAnsi" w:cstheme="majorHAnsi"/>
          <w:sz w:val="24"/>
          <w:szCs w:val="24"/>
        </w:rPr>
        <w:t xml:space="preserve"> </w:t>
      </w:r>
      <w:r w:rsidRPr="001F29D9">
        <w:rPr>
          <w:rFonts w:asciiTheme="majorHAnsi" w:hAnsiTheme="majorHAnsi" w:cstheme="majorHAnsi"/>
          <w:sz w:val="24"/>
          <w:szCs w:val="24"/>
        </w:rPr>
        <w:t xml:space="preserve">The Integrators actively contribute to the planning and creation of a cooperation network, a business cluster. </w:t>
      </w:r>
    </w:p>
    <w:p w14:paraId="732830AF" w14:textId="77777777" w:rsidR="001F29D9" w:rsidRPr="001F29D9" w:rsidRDefault="001F29D9" w:rsidP="001F29D9">
      <w:pPr>
        <w:spacing w:line="276" w:lineRule="auto"/>
        <w:jc w:val="both"/>
        <w:rPr>
          <w:rFonts w:asciiTheme="majorHAnsi" w:hAnsiTheme="majorHAnsi" w:cstheme="majorHAnsi"/>
          <w:sz w:val="24"/>
          <w:szCs w:val="24"/>
        </w:rPr>
      </w:pPr>
    </w:p>
    <w:p w14:paraId="1AD39685" w14:textId="74560B4C" w:rsidR="001F29D9" w:rsidRDefault="001F29D9" w:rsidP="001F29D9">
      <w:pPr>
        <w:spacing w:line="276" w:lineRule="auto"/>
        <w:jc w:val="both"/>
        <w:rPr>
          <w:rFonts w:asciiTheme="majorHAnsi" w:hAnsiTheme="majorHAnsi" w:cstheme="majorHAnsi"/>
          <w:sz w:val="24"/>
          <w:szCs w:val="24"/>
        </w:rPr>
      </w:pPr>
      <w:r w:rsidRPr="001F29D9">
        <w:rPr>
          <w:rFonts w:asciiTheme="majorHAnsi" w:hAnsiTheme="majorHAnsi" w:cstheme="majorHAnsi"/>
          <w:sz w:val="24"/>
          <w:szCs w:val="24"/>
        </w:rPr>
        <w:t xml:space="preserve">The state partner of the Integrators is the local office of the Regional Development Corporation (RDC), a venture capital firm. However, new Supplier Agencies are to be established. A new institution, the Supplier Employment Company, was also established to do the trainings. The program originally focused on the automobile industry, electronics and rubber, but it subsequently added textiles, furniture, building materials, services and retail trade. Matchmaking events are </w:t>
      </w:r>
      <w:r>
        <w:rPr>
          <w:rFonts w:asciiTheme="majorHAnsi" w:hAnsiTheme="majorHAnsi" w:cstheme="majorHAnsi"/>
          <w:sz w:val="24"/>
          <w:szCs w:val="24"/>
        </w:rPr>
        <w:t xml:space="preserve">also </w:t>
      </w:r>
      <w:r w:rsidRPr="001F29D9">
        <w:rPr>
          <w:rFonts w:asciiTheme="majorHAnsi" w:hAnsiTheme="majorHAnsi" w:cstheme="majorHAnsi"/>
          <w:sz w:val="24"/>
          <w:szCs w:val="24"/>
        </w:rPr>
        <w:t xml:space="preserve">continuously organized, and there are plans to update the established database of 1500 potential qualified suppliers to some 4-5 thousands. The Program also plans long-term finance for necessary investment in supplier firms. This would include both loans and equity participation (venture capital function). </w:t>
      </w:r>
    </w:p>
    <w:p w14:paraId="23FC60CA" w14:textId="77777777" w:rsidR="001F29D9" w:rsidRPr="001F29D9" w:rsidRDefault="001F29D9" w:rsidP="001F29D9">
      <w:pPr>
        <w:spacing w:line="276" w:lineRule="auto"/>
        <w:jc w:val="both"/>
        <w:rPr>
          <w:rFonts w:asciiTheme="majorHAnsi" w:hAnsiTheme="majorHAnsi" w:cstheme="majorHAnsi"/>
          <w:sz w:val="24"/>
          <w:szCs w:val="24"/>
        </w:rPr>
      </w:pPr>
    </w:p>
    <w:p w14:paraId="00FF3B56" w14:textId="1C2BF38D" w:rsidR="001F29D9" w:rsidRDefault="001F29D9" w:rsidP="001F29D9">
      <w:pPr>
        <w:spacing w:line="276" w:lineRule="auto"/>
        <w:jc w:val="both"/>
        <w:rPr>
          <w:rFonts w:asciiTheme="majorHAnsi" w:hAnsiTheme="majorHAnsi" w:cstheme="majorHAnsi"/>
          <w:sz w:val="24"/>
          <w:szCs w:val="24"/>
        </w:rPr>
      </w:pPr>
      <w:r>
        <w:rPr>
          <w:rFonts w:asciiTheme="majorHAnsi" w:hAnsiTheme="majorHAnsi" w:cstheme="majorHAnsi"/>
          <w:sz w:val="24"/>
          <w:szCs w:val="24"/>
        </w:rPr>
        <w:t>A</w:t>
      </w:r>
      <w:r w:rsidRPr="001F29D9">
        <w:rPr>
          <w:rFonts w:asciiTheme="majorHAnsi" w:hAnsiTheme="majorHAnsi" w:cstheme="majorHAnsi"/>
          <w:sz w:val="24"/>
          <w:szCs w:val="24"/>
        </w:rPr>
        <w:t>ccording to the UNCTAD interviews with Hungarian representatives, the ISP reached an extensive network of firms. In mid-1999, the program covered 1438 supplier firms. The value of deals contracted and signed through the then National Subcontracting Information Network reached US$ 6 million in 1999. Between 1998 and 2000, the key foreign affiliates (as mentioned above) signed 76 supplier contracts under the program. The value of 21 contracts publicly announced was US$ 24.5 million per annum.</w:t>
      </w:r>
    </w:p>
    <w:p w14:paraId="5D2B2117" w14:textId="77777777" w:rsidR="001F29D9" w:rsidRDefault="001F29D9" w:rsidP="001F29D9">
      <w:pPr>
        <w:spacing w:line="276" w:lineRule="auto"/>
        <w:jc w:val="both"/>
        <w:rPr>
          <w:rFonts w:asciiTheme="majorHAnsi" w:hAnsiTheme="majorHAnsi" w:cstheme="majorHAnsi"/>
          <w:sz w:val="24"/>
          <w:szCs w:val="24"/>
        </w:rPr>
      </w:pPr>
    </w:p>
    <w:p w14:paraId="5AA16A63" w14:textId="7BA82CB1" w:rsidR="001F29D9" w:rsidRPr="001F29D9" w:rsidRDefault="001F29D9" w:rsidP="001F29D9">
      <w:pPr>
        <w:spacing w:line="276" w:lineRule="auto"/>
        <w:jc w:val="right"/>
        <w:rPr>
          <w:rFonts w:asciiTheme="majorHAnsi" w:hAnsiTheme="majorHAnsi" w:cstheme="majorHAnsi"/>
          <w:sz w:val="24"/>
          <w:szCs w:val="24"/>
        </w:rPr>
      </w:pPr>
      <w:r>
        <w:rPr>
          <w:rFonts w:asciiTheme="majorHAnsi" w:hAnsiTheme="majorHAnsi" w:cstheme="majorHAnsi"/>
          <w:sz w:val="24"/>
          <w:szCs w:val="24"/>
        </w:rPr>
        <w:t>Source: UNCTAD (2001) and Szanyi (2002)</w:t>
      </w:r>
    </w:p>
    <w:sectPr w:rsidR="001F29D9" w:rsidRPr="001F29D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127A5" w14:textId="77777777" w:rsidR="008C21E1" w:rsidRDefault="008C21E1" w:rsidP="003737C2">
      <w:r>
        <w:separator/>
      </w:r>
    </w:p>
  </w:endnote>
  <w:endnote w:type="continuationSeparator" w:id="0">
    <w:p w14:paraId="1718953F" w14:textId="77777777" w:rsidR="008C21E1" w:rsidRDefault="008C21E1" w:rsidP="0037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885414"/>
      <w:docPartObj>
        <w:docPartGallery w:val="Page Numbers (Bottom of Page)"/>
        <w:docPartUnique/>
      </w:docPartObj>
    </w:sdtPr>
    <w:sdtEndPr>
      <w:rPr>
        <w:noProof/>
      </w:rPr>
    </w:sdtEndPr>
    <w:sdtContent>
      <w:p w14:paraId="2F750A21" w14:textId="77777777" w:rsidR="00893CAD" w:rsidRDefault="00893CAD">
        <w:pPr>
          <w:pStyle w:val="Footer"/>
          <w:jc w:val="center"/>
        </w:pPr>
        <w:r>
          <w:fldChar w:fldCharType="begin"/>
        </w:r>
        <w:r>
          <w:instrText xml:space="preserve"> PAGE   \* MERGEFORMAT </w:instrText>
        </w:r>
        <w:r>
          <w:fldChar w:fldCharType="separate"/>
        </w:r>
        <w:r w:rsidR="004E28B8">
          <w:rPr>
            <w:noProof/>
          </w:rPr>
          <w:t>1</w:t>
        </w:r>
        <w:r>
          <w:rPr>
            <w:noProof/>
          </w:rPr>
          <w:fldChar w:fldCharType="end"/>
        </w:r>
      </w:p>
    </w:sdtContent>
  </w:sdt>
  <w:p w14:paraId="3812576D" w14:textId="77777777" w:rsidR="00893CAD" w:rsidRDefault="00893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A0A78" w14:textId="77777777" w:rsidR="008C21E1" w:rsidRDefault="008C21E1" w:rsidP="003737C2">
      <w:r>
        <w:separator/>
      </w:r>
    </w:p>
  </w:footnote>
  <w:footnote w:type="continuationSeparator" w:id="0">
    <w:p w14:paraId="4710DCB0" w14:textId="77777777" w:rsidR="008C21E1" w:rsidRDefault="008C21E1" w:rsidP="003737C2">
      <w:r>
        <w:continuationSeparator/>
      </w:r>
    </w:p>
  </w:footnote>
  <w:footnote w:id="1">
    <w:p w14:paraId="6FF1541C" w14:textId="4DC70619" w:rsidR="00893CAD" w:rsidRDefault="00893CAD" w:rsidP="00D44162">
      <w:pPr>
        <w:pStyle w:val="FootnoteText"/>
        <w:jc w:val="both"/>
      </w:pPr>
      <w:r>
        <w:rPr>
          <w:rStyle w:val="FootnoteReference"/>
        </w:rPr>
        <w:footnoteRef/>
      </w:r>
      <w:r>
        <w:t xml:space="preserve"> </w:t>
      </w:r>
      <w:r w:rsidRPr="00E37D33">
        <w:t xml:space="preserve">The factors that motivate investors’ decisions differ depending on the industry characteristics and the comparative advantages of the host countries. </w:t>
      </w:r>
      <w:r>
        <w:t>However, t</w:t>
      </w:r>
      <w:r w:rsidRPr="00E37D33">
        <w:t xml:space="preserve">he </w:t>
      </w:r>
      <w:r>
        <w:t xml:space="preserve">FDI </w:t>
      </w:r>
      <w:r w:rsidRPr="00E37D33">
        <w:t xml:space="preserve">motivations </w:t>
      </w:r>
      <w:r>
        <w:t>can broadly be categorized as</w:t>
      </w:r>
      <w:r w:rsidRPr="00E37D33">
        <w:t>: (i) Natural resource-seeking investment</w:t>
      </w:r>
      <w:r>
        <w:t>,</w:t>
      </w:r>
      <w:r w:rsidRPr="00E37D33">
        <w:t xml:space="preserve"> which describes a situation where a foreign investor establishes an enterprise in the host country to access natural resources; (ii) market-seeking investment</w:t>
      </w:r>
      <w:r>
        <w:t>,</w:t>
      </w:r>
      <w:r w:rsidRPr="00E37D33">
        <w:t xml:space="preserve"> which is driven by the foreign investor’s intention to primarily serve the host country’s market; (iii) efficiency-seeking investment</w:t>
      </w:r>
      <w:r>
        <w:t>,</w:t>
      </w:r>
      <w:r w:rsidRPr="00E37D33">
        <w:t xml:space="preserve"> which refers to the type of investment in which the investor chooses a host country in order to take advantage of some competitive factor, such as a cheap/productive, knowledgeable or efficient labor force, utilities, services etc.; and (iv) “Strategic asset-seeking” investment</w:t>
      </w:r>
      <w:r>
        <w:t>, which</w:t>
      </w:r>
      <w:r w:rsidRPr="00E37D33">
        <w:t xml:space="preserve"> occurs when an investor seeks control of a firm-specific asset, such as a brand, distribution system, mana</w:t>
      </w:r>
      <w:r>
        <w:t>gerial practice or technology.  See Dunning (1993).</w:t>
      </w:r>
    </w:p>
  </w:footnote>
  <w:footnote w:id="2">
    <w:p w14:paraId="1834B973" w14:textId="4878FA35" w:rsidR="00893CAD" w:rsidRDefault="00893CAD" w:rsidP="00502EDE">
      <w:pPr>
        <w:pStyle w:val="FootnoteText"/>
        <w:jc w:val="both"/>
      </w:pPr>
      <w:r>
        <w:rPr>
          <w:rStyle w:val="FootnoteReference"/>
        </w:rPr>
        <w:footnoteRef/>
      </w:r>
      <w:r>
        <w:t xml:space="preserve"> The fact that the majority of parks are privately owned implies that much of the work to attract international investors into these zones is conducted by private organizations or by the national commission of special economic zones rather than by the national investment promotion agency (CEI-RD). World Bank (2014) highlights the particularities of the institutional arrangement to support trade and competitiveness in the Dominican Republic.</w:t>
      </w:r>
    </w:p>
  </w:footnote>
  <w:footnote w:id="3">
    <w:p w14:paraId="108A05DF" w14:textId="77777777" w:rsidR="00893CAD" w:rsidRPr="00E33204" w:rsidRDefault="00893CAD" w:rsidP="00CC2117">
      <w:pPr>
        <w:pStyle w:val="FootnoteText"/>
        <w:jc w:val="both"/>
      </w:pPr>
      <w:r>
        <w:rPr>
          <w:rStyle w:val="FootnoteReference"/>
        </w:rPr>
        <w:footnoteRef/>
      </w:r>
      <w:r>
        <w:t xml:space="preserve"> Medium-high skilled manufacturing includes production of</w:t>
      </w:r>
      <w:r w:rsidRPr="00E33204">
        <w:t xml:space="preserve"> surgical equipment, electrical appliances, pharmaceuticals, and </w:t>
      </w:r>
      <w:r>
        <w:t>optical equipment, among others.</w:t>
      </w:r>
    </w:p>
  </w:footnote>
  <w:footnote w:id="4">
    <w:p w14:paraId="39BB2D3F" w14:textId="77777777" w:rsidR="00893CAD" w:rsidRDefault="00893CAD" w:rsidP="00E02390">
      <w:pPr>
        <w:pStyle w:val="FootnoteText"/>
        <w:jc w:val="both"/>
      </w:pPr>
      <w:r>
        <w:rPr>
          <w:rStyle w:val="FootnoteReference"/>
        </w:rPr>
        <w:footnoteRef/>
      </w:r>
      <w:r>
        <w:t xml:space="preserve"> </w:t>
      </w:r>
      <w:r w:rsidRPr="00E02390">
        <w:t>Imports of certain Haitian manufactured textile and apparel goods are eligible for duty-free treatment under the Caribbean Basin Trade Partnership Act (CBTPA). Additional benefits under CBTPA have been created through the Haitian Hemispheric Opportunity through Partnership Encouragement Act of 2006 (HOPE), the Food Conservation and Energy Act of 2008 (HOPE II) and the Haiti Economic Lift Program of 2010 (HELP).</w:t>
      </w:r>
      <w:r>
        <w:t xml:space="preserve"> </w:t>
      </w:r>
      <w:r w:rsidRPr="00E02390">
        <w:t>CBTPA and HOPE established unlimited duty-free treatment for various apparel products, with certain restrictions regarding the source of the yarns and fabrics used in the apparel, and duty-free treatment for certain apparel up to certain annual quotas, known as tariff rate quotas (TRQs). HOPE II and HELP expand these existing preference programs by allowing additional textile and apparel articles to qualify for duty-free treatment, as well as increasing some of the TRQs.</w:t>
      </w:r>
    </w:p>
  </w:footnote>
  <w:footnote w:id="5">
    <w:p w14:paraId="5CC393C4" w14:textId="77777777" w:rsidR="00893CAD" w:rsidRPr="008B216A" w:rsidRDefault="00893CAD" w:rsidP="00C62B26">
      <w:pPr>
        <w:pStyle w:val="FootnoteText"/>
        <w:rPr>
          <w:rFonts w:ascii="Times New Roman" w:hAnsi="Times New Roman" w:cs="Times New Roman"/>
        </w:rPr>
      </w:pPr>
      <w:r>
        <w:rPr>
          <w:rStyle w:val="FootnoteReference"/>
        </w:rPr>
        <w:footnoteRef/>
      </w:r>
      <w:r>
        <w:t xml:space="preserve"> </w:t>
      </w:r>
      <w:r w:rsidRPr="008B216A">
        <w:rPr>
          <w:rFonts w:ascii="Times New Roman" w:hAnsi="Times New Roman" w:cs="Times New Roman"/>
        </w:rPr>
        <w:t>The Miscellaneous (HS 90-97) sector includes some of the most important medical equipment exports of the Dominican Republic.</w:t>
      </w:r>
    </w:p>
  </w:footnote>
  <w:footnote w:id="6">
    <w:p w14:paraId="292E1471" w14:textId="77777777" w:rsidR="00893CAD" w:rsidRPr="00AC4437" w:rsidRDefault="00893CAD" w:rsidP="00EE6113">
      <w:pPr>
        <w:pStyle w:val="FootnoteText"/>
        <w:jc w:val="both"/>
      </w:pPr>
      <w:r>
        <w:rPr>
          <w:rStyle w:val="FootnoteReference"/>
        </w:rPr>
        <w:footnoteRef/>
      </w:r>
      <w:r>
        <w:t xml:space="preserve"> This analysis stops in 2010 because the Central Bank only reports supply-use tables until 2010. This period, however, captures the change in the sectoral composition of SEZs.</w:t>
      </w:r>
    </w:p>
  </w:footnote>
  <w:footnote w:id="7">
    <w:p w14:paraId="67D2FCEE" w14:textId="77777777" w:rsidR="00893CAD" w:rsidRPr="00ED26CB" w:rsidRDefault="00893CAD" w:rsidP="00EE6113">
      <w:pPr>
        <w:pStyle w:val="FootnoteText"/>
        <w:jc w:val="both"/>
      </w:pPr>
      <w:r>
        <w:rPr>
          <w:rStyle w:val="FootnoteReference"/>
        </w:rPr>
        <w:footnoteRef/>
      </w:r>
      <w:r>
        <w:t xml:space="preserve"> </w:t>
      </w:r>
      <w:r w:rsidRPr="00ED26CB">
        <w:t xml:space="preserve">The transformation of the data from supply-use tables into input-output symmetric matrices is subject to </w:t>
      </w:r>
      <w:r>
        <w:t xml:space="preserve">two </w:t>
      </w:r>
      <w:r w:rsidRPr="00ED26CB">
        <w:t>caveats: first, there is a change in national accounts methodology in the Dominican Republic which results in two different sets of supply-use tables, for the years 1991-2005 and 2007-2010. Second, the differentiation of Special Economic Zones and non-Special Economic Zones in the national accounts is given only at the sector level, and not at the product level. For instance, food processing and manufacturing is classified as a SEZ sector, but in reality a large share of the food processing and beverage industry is located outside SEZs, while cigars production is located inside. The methodology applied to measure value-added from input-output tables is based on the work of Hummels, et al. (2001), who defined the measure of vertical specialization (or foreign value added in exports). Later, Koopman et al. (2008) refined the concept to take into account that the intensity in the use of domestic and foreign inputs is likely to be different when the final product is to be sold locally, and when it is part of export processing zone. This helps reflect the different nature of the activities taking place in Special Economic Zones.</w:t>
      </w:r>
      <w:r>
        <w:t xml:space="preserve"> See Engel et al. (2016) for details.</w:t>
      </w:r>
    </w:p>
  </w:footnote>
  <w:footnote w:id="8">
    <w:p w14:paraId="243E140C" w14:textId="77777777" w:rsidR="00893CAD" w:rsidRPr="00733407" w:rsidRDefault="00893CAD" w:rsidP="00EE6113">
      <w:pPr>
        <w:pStyle w:val="FootnoteText"/>
        <w:jc w:val="both"/>
      </w:pPr>
      <w:r>
        <w:rPr>
          <w:rStyle w:val="FootnoteReference"/>
        </w:rPr>
        <w:footnoteRef/>
      </w:r>
      <w:r>
        <w:t xml:space="preserve"> Given than mostly all production in SEZs is exported, it should not come as a surprise that the analysis using exports or total production is very similar.</w:t>
      </w:r>
    </w:p>
  </w:footnote>
  <w:footnote w:id="9">
    <w:p w14:paraId="24805134" w14:textId="01B7676C" w:rsidR="00893CAD" w:rsidRDefault="00893CAD">
      <w:pPr>
        <w:pStyle w:val="FootnoteText"/>
      </w:pPr>
      <w:r>
        <w:rPr>
          <w:rStyle w:val="FootnoteReference"/>
        </w:rPr>
        <w:footnoteRef/>
      </w:r>
      <w:r>
        <w:t xml:space="preserve"> </w:t>
      </w:r>
      <w:r w:rsidRPr="004E73C0">
        <w:t>Firms located outside SEZ — which in turn exported through the national customs regime — were not subject to any performance obligations regarding their export behavior.</w:t>
      </w:r>
      <w:r>
        <w:t xml:space="preserve"> Defever and Ria</w:t>
      </w:r>
      <w:r w:rsidRPr="00D00E32">
        <w:rPr>
          <w:rFonts w:asciiTheme="majorHAnsi" w:hAnsiTheme="majorHAnsi" w:cstheme="majorHAnsi"/>
        </w:rPr>
        <w:t>ñ</w:t>
      </w:r>
      <w:r>
        <w:t>o (2016) show that imposing ESR on export subsidies makes them substantially more distortive; unlike unconditional subsidies, subsidies subject to ESR provide greater protection to low-productive firms from international competition.</w:t>
      </w:r>
    </w:p>
  </w:footnote>
  <w:footnote w:id="10">
    <w:p w14:paraId="3B76C988" w14:textId="77777777" w:rsidR="00893CAD" w:rsidRPr="00C158E8" w:rsidRDefault="00893CAD" w:rsidP="00FC1286">
      <w:pPr>
        <w:pStyle w:val="FootnoteText"/>
        <w:jc w:val="both"/>
      </w:pPr>
      <w:r>
        <w:rPr>
          <w:rStyle w:val="FootnoteReference"/>
        </w:rPr>
        <w:footnoteRef/>
      </w:r>
      <w:r>
        <w:t xml:space="preserve"> The ASCM addresses multilateral disciplines regulating the provision of subsidies and the use of countervailing measures to offset injury caused by subsidized imports. </w:t>
      </w:r>
      <w:r w:rsidRPr="00C158E8">
        <w:t>They are enforced through invocation of the WTO dispute settlement mechanism. Countervailing duties are a unilateral instrument, which may be applied by a Member after an investigation by that Member and a determination that the criteria set forth in the SCM Agreement are satisfied.</w:t>
      </w:r>
    </w:p>
  </w:footnote>
  <w:footnote w:id="11">
    <w:p w14:paraId="69B8030B" w14:textId="5AED9E92" w:rsidR="00893CAD" w:rsidRPr="007C45C5" w:rsidRDefault="00893CAD">
      <w:pPr>
        <w:pStyle w:val="FootnoteText"/>
      </w:pPr>
      <w:r w:rsidRPr="007C45C5">
        <w:rPr>
          <w:rStyle w:val="FootnoteReference"/>
        </w:rPr>
        <w:footnoteRef/>
      </w:r>
      <w:r w:rsidRPr="007C45C5">
        <w:t xml:space="preserve"> </w:t>
      </w:r>
      <w:r w:rsidRPr="007C45C5">
        <w:rPr>
          <w:rFonts w:ascii="Times New Roman" w:hAnsi="Times New Roman"/>
          <w:noProof/>
        </w:rPr>
        <w:t xml:space="preserve">Export perfromance is </w:t>
      </w:r>
      <w:r w:rsidRPr="007C45C5">
        <w:rPr>
          <w:rFonts w:ascii="Times New Roman" w:hAnsi="Times New Roman" w:cs="Times New Roman"/>
          <w:noProof/>
        </w:rPr>
        <w:t xml:space="preserve">of course </w:t>
      </w:r>
      <w:r w:rsidRPr="007C45C5">
        <w:rPr>
          <w:rFonts w:ascii="Times New Roman" w:hAnsi="Times New Roman"/>
          <w:noProof/>
        </w:rPr>
        <w:t>in</w:t>
      </w:r>
      <w:r>
        <w:rPr>
          <w:rFonts w:ascii="Times New Roman" w:hAnsi="Times New Roman"/>
          <w:noProof/>
        </w:rPr>
        <w:t>f</w:t>
      </w:r>
      <w:r w:rsidRPr="007C45C5">
        <w:rPr>
          <w:rFonts w:ascii="Times New Roman" w:hAnsi="Times New Roman"/>
          <w:noProof/>
        </w:rPr>
        <w:t xml:space="preserve">luenced by </w:t>
      </w:r>
      <w:r w:rsidRPr="007C45C5">
        <w:rPr>
          <w:rFonts w:ascii="Times New Roman" w:hAnsi="Times New Roman" w:cs="Times New Roman"/>
          <w:noProof/>
        </w:rPr>
        <w:t>the global financial crisis in 2008-09, which was subsequently followed by a quick recovery in 2010.</w:t>
      </w:r>
    </w:p>
  </w:footnote>
  <w:footnote w:id="12">
    <w:p w14:paraId="53599DF4" w14:textId="77777777" w:rsidR="00893CAD" w:rsidRPr="007C45C5" w:rsidRDefault="00893CAD" w:rsidP="007C45C5">
      <w:pPr>
        <w:pStyle w:val="FootnoteText"/>
        <w:jc w:val="both"/>
      </w:pPr>
      <w:r w:rsidRPr="007C45C5">
        <w:rPr>
          <w:rStyle w:val="FootnoteReference"/>
        </w:rPr>
        <w:footnoteRef/>
      </w:r>
      <w:r w:rsidRPr="007C45C5">
        <w:t xml:space="preserve"> </w:t>
      </w:r>
      <w:r w:rsidRPr="007C45C5">
        <w:rPr>
          <w:rFonts w:ascii="Times New Roman" w:hAnsi="Times New Roman" w:cs="Times New Roman"/>
        </w:rPr>
        <w:t>It is important to note that this effect is not statistically significant because the larger exporters — both in priority and non-priority sectors — have historically operated in SEZs.</w:t>
      </w:r>
    </w:p>
  </w:footnote>
  <w:footnote w:id="13">
    <w:p w14:paraId="57A0713C" w14:textId="25771AE1" w:rsidR="00893CAD" w:rsidRDefault="00893CAD">
      <w:pPr>
        <w:pStyle w:val="FootnoteText"/>
      </w:pPr>
      <w:r>
        <w:rPr>
          <w:rStyle w:val="FootnoteReference"/>
        </w:rPr>
        <w:footnoteRef/>
      </w:r>
      <w:r w:rsidRPr="00FB6169">
        <w:t>A series of interviews conducted with local entrepreneurs point to connectivity problems and the administrative barriers of considering sales from the national territory to the SEZ as “exports” that need to go through customs, as factors that are potentially discouraging the emergence of local suppliers.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470B"/>
    <w:multiLevelType w:val="hybridMultilevel"/>
    <w:tmpl w:val="A7D08046"/>
    <w:lvl w:ilvl="0" w:tplc="E74E2602">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11F07"/>
    <w:multiLevelType w:val="hybridMultilevel"/>
    <w:tmpl w:val="88D82BC6"/>
    <w:lvl w:ilvl="0" w:tplc="5C163B8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D19"/>
    <w:multiLevelType w:val="hybridMultilevel"/>
    <w:tmpl w:val="43AEFD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C503767"/>
    <w:multiLevelType w:val="hybridMultilevel"/>
    <w:tmpl w:val="4EF4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70308"/>
    <w:multiLevelType w:val="hybridMultilevel"/>
    <w:tmpl w:val="D33A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46EBD"/>
    <w:multiLevelType w:val="multilevel"/>
    <w:tmpl w:val="0D88555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E51608C"/>
    <w:multiLevelType w:val="hybridMultilevel"/>
    <w:tmpl w:val="42CE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823E0"/>
    <w:multiLevelType w:val="hybridMultilevel"/>
    <w:tmpl w:val="71CAD53A"/>
    <w:lvl w:ilvl="0" w:tplc="7C3A57B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E26A26"/>
    <w:multiLevelType w:val="hybridMultilevel"/>
    <w:tmpl w:val="291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676F6"/>
    <w:multiLevelType w:val="hybridMultilevel"/>
    <w:tmpl w:val="F110B752"/>
    <w:lvl w:ilvl="0" w:tplc="86B07A36">
      <w:start w:val="2"/>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818ED"/>
    <w:multiLevelType w:val="hybridMultilevel"/>
    <w:tmpl w:val="02AC037E"/>
    <w:lvl w:ilvl="0" w:tplc="B804E3E2">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18009A"/>
    <w:multiLevelType w:val="hybridMultilevel"/>
    <w:tmpl w:val="60C0FF7A"/>
    <w:lvl w:ilvl="0" w:tplc="2820B6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22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7"/>
  </w:num>
  <w:num w:numId="4">
    <w:abstractNumId w:val="11"/>
  </w:num>
  <w:num w:numId="5">
    <w:abstractNumId w:val="10"/>
  </w:num>
  <w:num w:numId="6">
    <w:abstractNumId w:val="7"/>
  </w:num>
  <w:num w:numId="7">
    <w:abstractNumId w:val="1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2"/>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
  </w:num>
  <w:num w:numId="20">
    <w:abstractNumId w:val="0"/>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6C"/>
    <w:rsid w:val="00000BB9"/>
    <w:rsid w:val="00004EDF"/>
    <w:rsid w:val="00015855"/>
    <w:rsid w:val="00016A88"/>
    <w:rsid w:val="000211AC"/>
    <w:rsid w:val="00031D96"/>
    <w:rsid w:val="00036521"/>
    <w:rsid w:val="00040485"/>
    <w:rsid w:val="0004184B"/>
    <w:rsid w:val="00043890"/>
    <w:rsid w:val="000439F3"/>
    <w:rsid w:val="00044D5A"/>
    <w:rsid w:val="00045FAF"/>
    <w:rsid w:val="00046CD2"/>
    <w:rsid w:val="00051604"/>
    <w:rsid w:val="0005776E"/>
    <w:rsid w:val="000628F4"/>
    <w:rsid w:val="00065852"/>
    <w:rsid w:val="000660B4"/>
    <w:rsid w:val="00073AE1"/>
    <w:rsid w:val="00075D4F"/>
    <w:rsid w:val="00081EB2"/>
    <w:rsid w:val="00082600"/>
    <w:rsid w:val="00086513"/>
    <w:rsid w:val="00086E47"/>
    <w:rsid w:val="00093656"/>
    <w:rsid w:val="000A0E7E"/>
    <w:rsid w:val="000A39B7"/>
    <w:rsid w:val="000A422B"/>
    <w:rsid w:val="000A5DC1"/>
    <w:rsid w:val="000A78E2"/>
    <w:rsid w:val="000B08A6"/>
    <w:rsid w:val="000B30E7"/>
    <w:rsid w:val="000B5096"/>
    <w:rsid w:val="000C2D29"/>
    <w:rsid w:val="000C2DD5"/>
    <w:rsid w:val="000D1A7D"/>
    <w:rsid w:val="000E1A1E"/>
    <w:rsid w:val="000E3376"/>
    <w:rsid w:val="000E49E5"/>
    <w:rsid w:val="000F0F18"/>
    <w:rsid w:val="000F0F62"/>
    <w:rsid w:val="000F771C"/>
    <w:rsid w:val="0010000C"/>
    <w:rsid w:val="00101C25"/>
    <w:rsid w:val="00112352"/>
    <w:rsid w:val="00120C15"/>
    <w:rsid w:val="00121DD6"/>
    <w:rsid w:val="00123EFC"/>
    <w:rsid w:val="00125907"/>
    <w:rsid w:val="001345D8"/>
    <w:rsid w:val="00134D82"/>
    <w:rsid w:val="00134E32"/>
    <w:rsid w:val="00136017"/>
    <w:rsid w:val="0013613D"/>
    <w:rsid w:val="00137F7F"/>
    <w:rsid w:val="001422A7"/>
    <w:rsid w:val="0014266C"/>
    <w:rsid w:val="00142BAF"/>
    <w:rsid w:val="00143D94"/>
    <w:rsid w:val="0014603B"/>
    <w:rsid w:val="001531F6"/>
    <w:rsid w:val="001532B2"/>
    <w:rsid w:val="00155766"/>
    <w:rsid w:val="00160F9A"/>
    <w:rsid w:val="0016140E"/>
    <w:rsid w:val="00162C23"/>
    <w:rsid w:val="001638FA"/>
    <w:rsid w:val="001705A3"/>
    <w:rsid w:val="0017182D"/>
    <w:rsid w:val="0017293A"/>
    <w:rsid w:val="00180541"/>
    <w:rsid w:val="00193353"/>
    <w:rsid w:val="00196519"/>
    <w:rsid w:val="001A1499"/>
    <w:rsid w:val="001B5BE9"/>
    <w:rsid w:val="001B6332"/>
    <w:rsid w:val="001C0501"/>
    <w:rsid w:val="001C77C8"/>
    <w:rsid w:val="001D1372"/>
    <w:rsid w:val="001D38FD"/>
    <w:rsid w:val="001D6C90"/>
    <w:rsid w:val="001D79BB"/>
    <w:rsid w:val="001E5B71"/>
    <w:rsid w:val="001E6096"/>
    <w:rsid w:val="001F1DBB"/>
    <w:rsid w:val="001F24B6"/>
    <w:rsid w:val="001F29D9"/>
    <w:rsid w:val="001F592A"/>
    <w:rsid w:val="001F728D"/>
    <w:rsid w:val="002015BA"/>
    <w:rsid w:val="00202217"/>
    <w:rsid w:val="00203767"/>
    <w:rsid w:val="002048FF"/>
    <w:rsid w:val="00204BD0"/>
    <w:rsid w:val="00207114"/>
    <w:rsid w:val="00220F5F"/>
    <w:rsid w:val="00224DE9"/>
    <w:rsid w:val="00230AAF"/>
    <w:rsid w:val="00232A5E"/>
    <w:rsid w:val="00232C5D"/>
    <w:rsid w:val="0023721C"/>
    <w:rsid w:val="00245440"/>
    <w:rsid w:val="002474A0"/>
    <w:rsid w:val="00254043"/>
    <w:rsid w:val="002579BC"/>
    <w:rsid w:val="00263655"/>
    <w:rsid w:val="00266A5B"/>
    <w:rsid w:val="00266C6E"/>
    <w:rsid w:val="00267561"/>
    <w:rsid w:val="00267A1E"/>
    <w:rsid w:val="002702B3"/>
    <w:rsid w:val="00272ACD"/>
    <w:rsid w:val="00275CC0"/>
    <w:rsid w:val="00276827"/>
    <w:rsid w:val="002803B6"/>
    <w:rsid w:val="002804DB"/>
    <w:rsid w:val="00282E8C"/>
    <w:rsid w:val="00284558"/>
    <w:rsid w:val="00285D14"/>
    <w:rsid w:val="00286B49"/>
    <w:rsid w:val="00286CD6"/>
    <w:rsid w:val="00287272"/>
    <w:rsid w:val="00292F4C"/>
    <w:rsid w:val="002A097F"/>
    <w:rsid w:val="002B0B98"/>
    <w:rsid w:val="002B1720"/>
    <w:rsid w:val="002B2C91"/>
    <w:rsid w:val="002B75BB"/>
    <w:rsid w:val="002C22CC"/>
    <w:rsid w:val="002C24AF"/>
    <w:rsid w:val="002C307E"/>
    <w:rsid w:val="002C62A6"/>
    <w:rsid w:val="002C75C9"/>
    <w:rsid w:val="002D2CD0"/>
    <w:rsid w:val="002D32EF"/>
    <w:rsid w:val="002E23C9"/>
    <w:rsid w:val="002E2BFB"/>
    <w:rsid w:val="002E4F15"/>
    <w:rsid w:val="002E5CDB"/>
    <w:rsid w:val="002E69BD"/>
    <w:rsid w:val="002E7426"/>
    <w:rsid w:val="002F0CE9"/>
    <w:rsid w:val="002F28D8"/>
    <w:rsid w:val="00301FE2"/>
    <w:rsid w:val="003033FA"/>
    <w:rsid w:val="00305CCE"/>
    <w:rsid w:val="00311D55"/>
    <w:rsid w:val="00311FF2"/>
    <w:rsid w:val="003135B7"/>
    <w:rsid w:val="00316498"/>
    <w:rsid w:val="00322AAD"/>
    <w:rsid w:val="00323248"/>
    <w:rsid w:val="00323B11"/>
    <w:rsid w:val="00326537"/>
    <w:rsid w:val="00327C00"/>
    <w:rsid w:val="003302C7"/>
    <w:rsid w:val="00331571"/>
    <w:rsid w:val="0033175A"/>
    <w:rsid w:val="00334848"/>
    <w:rsid w:val="00341ECA"/>
    <w:rsid w:val="00342D5C"/>
    <w:rsid w:val="003455A3"/>
    <w:rsid w:val="003458E6"/>
    <w:rsid w:val="003469F5"/>
    <w:rsid w:val="00346B07"/>
    <w:rsid w:val="00351AFB"/>
    <w:rsid w:val="00352ED3"/>
    <w:rsid w:val="0035394D"/>
    <w:rsid w:val="00355240"/>
    <w:rsid w:val="00357105"/>
    <w:rsid w:val="0035774E"/>
    <w:rsid w:val="00361421"/>
    <w:rsid w:val="00362D70"/>
    <w:rsid w:val="00365E01"/>
    <w:rsid w:val="00366ACC"/>
    <w:rsid w:val="00367944"/>
    <w:rsid w:val="003737C2"/>
    <w:rsid w:val="00374C9E"/>
    <w:rsid w:val="00380975"/>
    <w:rsid w:val="0038236A"/>
    <w:rsid w:val="0038392C"/>
    <w:rsid w:val="0038400A"/>
    <w:rsid w:val="00384D1C"/>
    <w:rsid w:val="0038678C"/>
    <w:rsid w:val="00387481"/>
    <w:rsid w:val="003B5148"/>
    <w:rsid w:val="003B7B21"/>
    <w:rsid w:val="003D0E6C"/>
    <w:rsid w:val="003E158B"/>
    <w:rsid w:val="003E51F8"/>
    <w:rsid w:val="003F03E9"/>
    <w:rsid w:val="003F403A"/>
    <w:rsid w:val="0040063B"/>
    <w:rsid w:val="00402674"/>
    <w:rsid w:val="004103A6"/>
    <w:rsid w:val="00411186"/>
    <w:rsid w:val="0041512A"/>
    <w:rsid w:val="0041549D"/>
    <w:rsid w:val="00417101"/>
    <w:rsid w:val="00417311"/>
    <w:rsid w:val="00417E26"/>
    <w:rsid w:val="00417FB3"/>
    <w:rsid w:val="00421E5E"/>
    <w:rsid w:val="00422E84"/>
    <w:rsid w:val="00426F50"/>
    <w:rsid w:val="00427B2B"/>
    <w:rsid w:val="004324E7"/>
    <w:rsid w:val="00433157"/>
    <w:rsid w:val="00436553"/>
    <w:rsid w:val="00441119"/>
    <w:rsid w:val="0044228A"/>
    <w:rsid w:val="00442441"/>
    <w:rsid w:val="00442F92"/>
    <w:rsid w:val="004444EC"/>
    <w:rsid w:val="00444593"/>
    <w:rsid w:val="00451406"/>
    <w:rsid w:val="00452CC1"/>
    <w:rsid w:val="00454819"/>
    <w:rsid w:val="00460054"/>
    <w:rsid w:val="004619B9"/>
    <w:rsid w:val="00470377"/>
    <w:rsid w:val="004705D6"/>
    <w:rsid w:val="00472AF3"/>
    <w:rsid w:val="004748E6"/>
    <w:rsid w:val="00476C5F"/>
    <w:rsid w:val="00486E24"/>
    <w:rsid w:val="00487EF5"/>
    <w:rsid w:val="004921A0"/>
    <w:rsid w:val="00493C99"/>
    <w:rsid w:val="00496CB0"/>
    <w:rsid w:val="00497CC9"/>
    <w:rsid w:val="004A410F"/>
    <w:rsid w:val="004A6510"/>
    <w:rsid w:val="004A6C59"/>
    <w:rsid w:val="004A7794"/>
    <w:rsid w:val="004B064C"/>
    <w:rsid w:val="004B0BF8"/>
    <w:rsid w:val="004B2580"/>
    <w:rsid w:val="004B48F1"/>
    <w:rsid w:val="004C017F"/>
    <w:rsid w:val="004C0C1E"/>
    <w:rsid w:val="004C4B23"/>
    <w:rsid w:val="004C50C4"/>
    <w:rsid w:val="004C75DE"/>
    <w:rsid w:val="004D5800"/>
    <w:rsid w:val="004D59A2"/>
    <w:rsid w:val="004E28B8"/>
    <w:rsid w:val="004E6044"/>
    <w:rsid w:val="004E60B8"/>
    <w:rsid w:val="004E73C0"/>
    <w:rsid w:val="004F1F51"/>
    <w:rsid w:val="004F49CB"/>
    <w:rsid w:val="005013C1"/>
    <w:rsid w:val="00502EDE"/>
    <w:rsid w:val="00511827"/>
    <w:rsid w:val="0051339D"/>
    <w:rsid w:val="00514D1D"/>
    <w:rsid w:val="005241C4"/>
    <w:rsid w:val="00525D92"/>
    <w:rsid w:val="00526D26"/>
    <w:rsid w:val="00533637"/>
    <w:rsid w:val="00536F7B"/>
    <w:rsid w:val="00537E37"/>
    <w:rsid w:val="00540B8E"/>
    <w:rsid w:val="00543609"/>
    <w:rsid w:val="00550F44"/>
    <w:rsid w:val="005540F5"/>
    <w:rsid w:val="00555A3C"/>
    <w:rsid w:val="0055659C"/>
    <w:rsid w:val="00557DE4"/>
    <w:rsid w:val="00562E42"/>
    <w:rsid w:val="00562EFB"/>
    <w:rsid w:val="00565C79"/>
    <w:rsid w:val="005704AB"/>
    <w:rsid w:val="005709A4"/>
    <w:rsid w:val="00576F93"/>
    <w:rsid w:val="0057757C"/>
    <w:rsid w:val="005818E8"/>
    <w:rsid w:val="00581C44"/>
    <w:rsid w:val="00584F49"/>
    <w:rsid w:val="00590B8B"/>
    <w:rsid w:val="005914F6"/>
    <w:rsid w:val="005951D6"/>
    <w:rsid w:val="005A67C2"/>
    <w:rsid w:val="005A70F7"/>
    <w:rsid w:val="005A7B70"/>
    <w:rsid w:val="005A7DC1"/>
    <w:rsid w:val="005B1531"/>
    <w:rsid w:val="005B535E"/>
    <w:rsid w:val="005B71FD"/>
    <w:rsid w:val="005C0C02"/>
    <w:rsid w:val="005D51BB"/>
    <w:rsid w:val="005F1659"/>
    <w:rsid w:val="005F58DF"/>
    <w:rsid w:val="006021E2"/>
    <w:rsid w:val="00603920"/>
    <w:rsid w:val="0060423E"/>
    <w:rsid w:val="00605C4B"/>
    <w:rsid w:val="006229A6"/>
    <w:rsid w:val="00624F0A"/>
    <w:rsid w:val="00624F94"/>
    <w:rsid w:val="0062506E"/>
    <w:rsid w:val="00632E62"/>
    <w:rsid w:val="00633D18"/>
    <w:rsid w:val="00634146"/>
    <w:rsid w:val="006352FE"/>
    <w:rsid w:val="0063779B"/>
    <w:rsid w:val="00647472"/>
    <w:rsid w:val="00650183"/>
    <w:rsid w:val="006523AE"/>
    <w:rsid w:val="00655D76"/>
    <w:rsid w:val="0067311A"/>
    <w:rsid w:val="006777E3"/>
    <w:rsid w:val="006843FE"/>
    <w:rsid w:val="00687839"/>
    <w:rsid w:val="00695987"/>
    <w:rsid w:val="006A06BD"/>
    <w:rsid w:val="006A0E07"/>
    <w:rsid w:val="006B0C85"/>
    <w:rsid w:val="006B1D3F"/>
    <w:rsid w:val="006B2FF1"/>
    <w:rsid w:val="006C069B"/>
    <w:rsid w:val="006C0F61"/>
    <w:rsid w:val="006C79CA"/>
    <w:rsid w:val="006D706B"/>
    <w:rsid w:val="006E7762"/>
    <w:rsid w:val="006E7C08"/>
    <w:rsid w:val="006F0D09"/>
    <w:rsid w:val="006F2411"/>
    <w:rsid w:val="006F30AF"/>
    <w:rsid w:val="006F3F9A"/>
    <w:rsid w:val="00700C1D"/>
    <w:rsid w:val="00703ACC"/>
    <w:rsid w:val="00705FCD"/>
    <w:rsid w:val="00712AF9"/>
    <w:rsid w:val="00712C37"/>
    <w:rsid w:val="007132DA"/>
    <w:rsid w:val="00717281"/>
    <w:rsid w:val="00720412"/>
    <w:rsid w:val="00723243"/>
    <w:rsid w:val="007250AD"/>
    <w:rsid w:val="00733407"/>
    <w:rsid w:val="007336BD"/>
    <w:rsid w:val="00734703"/>
    <w:rsid w:val="0074089C"/>
    <w:rsid w:val="00745040"/>
    <w:rsid w:val="00746513"/>
    <w:rsid w:val="00747759"/>
    <w:rsid w:val="0075217C"/>
    <w:rsid w:val="00754BCD"/>
    <w:rsid w:val="00755E31"/>
    <w:rsid w:val="00756260"/>
    <w:rsid w:val="00756A8D"/>
    <w:rsid w:val="007621D8"/>
    <w:rsid w:val="00762737"/>
    <w:rsid w:val="007644C2"/>
    <w:rsid w:val="00765067"/>
    <w:rsid w:val="00765C07"/>
    <w:rsid w:val="007670D3"/>
    <w:rsid w:val="00781BFC"/>
    <w:rsid w:val="00786803"/>
    <w:rsid w:val="00792FE4"/>
    <w:rsid w:val="00793CF6"/>
    <w:rsid w:val="00795AAF"/>
    <w:rsid w:val="00796323"/>
    <w:rsid w:val="007967EA"/>
    <w:rsid w:val="00796DD6"/>
    <w:rsid w:val="00797A0F"/>
    <w:rsid w:val="007A2C33"/>
    <w:rsid w:val="007A5201"/>
    <w:rsid w:val="007A5717"/>
    <w:rsid w:val="007A62C6"/>
    <w:rsid w:val="007B06E4"/>
    <w:rsid w:val="007B273F"/>
    <w:rsid w:val="007B47DA"/>
    <w:rsid w:val="007C1D16"/>
    <w:rsid w:val="007C45C5"/>
    <w:rsid w:val="007D0503"/>
    <w:rsid w:val="007D591E"/>
    <w:rsid w:val="007D65C4"/>
    <w:rsid w:val="007E12CD"/>
    <w:rsid w:val="007F074E"/>
    <w:rsid w:val="007F699F"/>
    <w:rsid w:val="0081354E"/>
    <w:rsid w:val="008146A2"/>
    <w:rsid w:val="00815222"/>
    <w:rsid w:val="00815663"/>
    <w:rsid w:val="0081576D"/>
    <w:rsid w:val="008207A5"/>
    <w:rsid w:val="00842BF1"/>
    <w:rsid w:val="00842C75"/>
    <w:rsid w:val="00843841"/>
    <w:rsid w:val="00847C4C"/>
    <w:rsid w:val="00851FEE"/>
    <w:rsid w:val="008713E5"/>
    <w:rsid w:val="008730F9"/>
    <w:rsid w:val="00873833"/>
    <w:rsid w:val="00880ADB"/>
    <w:rsid w:val="00891924"/>
    <w:rsid w:val="00893CAD"/>
    <w:rsid w:val="00893F23"/>
    <w:rsid w:val="008A12F3"/>
    <w:rsid w:val="008B10B7"/>
    <w:rsid w:val="008B2F07"/>
    <w:rsid w:val="008B74A5"/>
    <w:rsid w:val="008B7CED"/>
    <w:rsid w:val="008C11DD"/>
    <w:rsid w:val="008C1266"/>
    <w:rsid w:val="008C21E1"/>
    <w:rsid w:val="008C6320"/>
    <w:rsid w:val="008D6919"/>
    <w:rsid w:val="008E0618"/>
    <w:rsid w:val="008E74B2"/>
    <w:rsid w:val="008F021D"/>
    <w:rsid w:val="008F1F8B"/>
    <w:rsid w:val="008F4821"/>
    <w:rsid w:val="008F4DC1"/>
    <w:rsid w:val="008F64B7"/>
    <w:rsid w:val="00907304"/>
    <w:rsid w:val="009153DD"/>
    <w:rsid w:val="009347AB"/>
    <w:rsid w:val="009350EA"/>
    <w:rsid w:val="00940CDD"/>
    <w:rsid w:val="0094613B"/>
    <w:rsid w:val="00950399"/>
    <w:rsid w:val="009522BA"/>
    <w:rsid w:val="00957768"/>
    <w:rsid w:val="00957DBD"/>
    <w:rsid w:val="00957DD9"/>
    <w:rsid w:val="00963C93"/>
    <w:rsid w:val="00970805"/>
    <w:rsid w:val="009737BF"/>
    <w:rsid w:val="00976B46"/>
    <w:rsid w:val="0097700D"/>
    <w:rsid w:val="0097769B"/>
    <w:rsid w:val="00982224"/>
    <w:rsid w:val="00985075"/>
    <w:rsid w:val="009A28DF"/>
    <w:rsid w:val="009A3CAA"/>
    <w:rsid w:val="009B1342"/>
    <w:rsid w:val="009B2BC9"/>
    <w:rsid w:val="009D3146"/>
    <w:rsid w:val="009D7092"/>
    <w:rsid w:val="009E0E45"/>
    <w:rsid w:val="009E30F4"/>
    <w:rsid w:val="009E50AC"/>
    <w:rsid w:val="009F1D78"/>
    <w:rsid w:val="009F1F8B"/>
    <w:rsid w:val="009F32F0"/>
    <w:rsid w:val="009F6078"/>
    <w:rsid w:val="009F7E23"/>
    <w:rsid w:val="00A0098B"/>
    <w:rsid w:val="00A00D1A"/>
    <w:rsid w:val="00A1065C"/>
    <w:rsid w:val="00A11706"/>
    <w:rsid w:val="00A11AA6"/>
    <w:rsid w:val="00A15487"/>
    <w:rsid w:val="00A16636"/>
    <w:rsid w:val="00A174AE"/>
    <w:rsid w:val="00A2099A"/>
    <w:rsid w:val="00A30B63"/>
    <w:rsid w:val="00A40A94"/>
    <w:rsid w:val="00A40B2E"/>
    <w:rsid w:val="00A42D77"/>
    <w:rsid w:val="00A5087F"/>
    <w:rsid w:val="00A512B6"/>
    <w:rsid w:val="00A51396"/>
    <w:rsid w:val="00A53755"/>
    <w:rsid w:val="00A570BD"/>
    <w:rsid w:val="00A67E06"/>
    <w:rsid w:val="00A764FC"/>
    <w:rsid w:val="00A77743"/>
    <w:rsid w:val="00A84021"/>
    <w:rsid w:val="00A94281"/>
    <w:rsid w:val="00A9653E"/>
    <w:rsid w:val="00A97552"/>
    <w:rsid w:val="00AA0480"/>
    <w:rsid w:val="00AA11ED"/>
    <w:rsid w:val="00AA4470"/>
    <w:rsid w:val="00AA5431"/>
    <w:rsid w:val="00AA58A4"/>
    <w:rsid w:val="00AA67A1"/>
    <w:rsid w:val="00AA72F3"/>
    <w:rsid w:val="00AA7C78"/>
    <w:rsid w:val="00AA7E9C"/>
    <w:rsid w:val="00AC10A9"/>
    <w:rsid w:val="00AC3E26"/>
    <w:rsid w:val="00AC4437"/>
    <w:rsid w:val="00AC7CCF"/>
    <w:rsid w:val="00AD428A"/>
    <w:rsid w:val="00AD6379"/>
    <w:rsid w:val="00AE5D65"/>
    <w:rsid w:val="00AF22D7"/>
    <w:rsid w:val="00AF2CA1"/>
    <w:rsid w:val="00AF5F7B"/>
    <w:rsid w:val="00AF74BE"/>
    <w:rsid w:val="00B026E3"/>
    <w:rsid w:val="00B04A0A"/>
    <w:rsid w:val="00B06F40"/>
    <w:rsid w:val="00B07780"/>
    <w:rsid w:val="00B10308"/>
    <w:rsid w:val="00B155ED"/>
    <w:rsid w:val="00B21335"/>
    <w:rsid w:val="00B218BA"/>
    <w:rsid w:val="00B2256A"/>
    <w:rsid w:val="00B22A08"/>
    <w:rsid w:val="00B26740"/>
    <w:rsid w:val="00B26D56"/>
    <w:rsid w:val="00B27398"/>
    <w:rsid w:val="00B337E4"/>
    <w:rsid w:val="00B35CF2"/>
    <w:rsid w:val="00B42525"/>
    <w:rsid w:val="00B5171E"/>
    <w:rsid w:val="00B51937"/>
    <w:rsid w:val="00B51F16"/>
    <w:rsid w:val="00B529AB"/>
    <w:rsid w:val="00B5407E"/>
    <w:rsid w:val="00B57D96"/>
    <w:rsid w:val="00B602FE"/>
    <w:rsid w:val="00B618CC"/>
    <w:rsid w:val="00B6623A"/>
    <w:rsid w:val="00B749D3"/>
    <w:rsid w:val="00B82C34"/>
    <w:rsid w:val="00B843A2"/>
    <w:rsid w:val="00B86C8F"/>
    <w:rsid w:val="00B87E5B"/>
    <w:rsid w:val="00B94AEA"/>
    <w:rsid w:val="00B94EA0"/>
    <w:rsid w:val="00B97F7A"/>
    <w:rsid w:val="00BA325D"/>
    <w:rsid w:val="00BA764B"/>
    <w:rsid w:val="00BB12A9"/>
    <w:rsid w:val="00BB232B"/>
    <w:rsid w:val="00BB328C"/>
    <w:rsid w:val="00BB64F4"/>
    <w:rsid w:val="00BB779C"/>
    <w:rsid w:val="00BC431C"/>
    <w:rsid w:val="00BC4C8D"/>
    <w:rsid w:val="00BD2AF4"/>
    <w:rsid w:val="00BD4EFC"/>
    <w:rsid w:val="00BE056F"/>
    <w:rsid w:val="00BF3221"/>
    <w:rsid w:val="00BF6508"/>
    <w:rsid w:val="00BF6913"/>
    <w:rsid w:val="00BF6C06"/>
    <w:rsid w:val="00BF7C9D"/>
    <w:rsid w:val="00C07057"/>
    <w:rsid w:val="00C074A9"/>
    <w:rsid w:val="00C11C39"/>
    <w:rsid w:val="00C13F7A"/>
    <w:rsid w:val="00C158E8"/>
    <w:rsid w:val="00C20D6E"/>
    <w:rsid w:val="00C214EF"/>
    <w:rsid w:val="00C217B2"/>
    <w:rsid w:val="00C22056"/>
    <w:rsid w:val="00C22F24"/>
    <w:rsid w:val="00C300AC"/>
    <w:rsid w:val="00C31958"/>
    <w:rsid w:val="00C31F51"/>
    <w:rsid w:val="00C33BA7"/>
    <w:rsid w:val="00C43DAC"/>
    <w:rsid w:val="00C465CF"/>
    <w:rsid w:val="00C506E1"/>
    <w:rsid w:val="00C50C20"/>
    <w:rsid w:val="00C51439"/>
    <w:rsid w:val="00C52E13"/>
    <w:rsid w:val="00C52EBC"/>
    <w:rsid w:val="00C53AA0"/>
    <w:rsid w:val="00C54553"/>
    <w:rsid w:val="00C54B25"/>
    <w:rsid w:val="00C60C40"/>
    <w:rsid w:val="00C62B26"/>
    <w:rsid w:val="00C7510B"/>
    <w:rsid w:val="00C751CC"/>
    <w:rsid w:val="00C77840"/>
    <w:rsid w:val="00C778CF"/>
    <w:rsid w:val="00C8027C"/>
    <w:rsid w:val="00C80C3B"/>
    <w:rsid w:val="00C909ED"/>
    <w:rsid w:val="00C91661"/>
    <w:rsid w:val="00C93B33"/>
    <w:rsid w:val="00C9460C"/>
    <w:rsid w:val="00C95359"/>
    <w:rsid w:val="00C95F37"/>
    <w:rsid w:val="00C96F98"/>
    <w:rsid w:val="00C97035"/>
    <w:rsid w:val="00C97FD1"/>
    <w:rsid w:val="00CA3845"/>
    <w:rsid w:val="00CA6922"/>
    <w:rsid w:val="00CA74D0"/>
    <w:rsid w:val="00CB0442"/>
    <w:rsid w:val="00CB08A1"/>
    <w:rsid w:val="00CB19CD"/>
    <w:rsid w:val="00CB755B"/>
    <w:rsid w:val="00CC2117"/>
    <w:rsid w:val="00CC34EB"/>
    <w:rsid w:val="00CD5535"/>
    <w:rsid w:val="00CD6970"/>
    <w:rsid w:val="00CE5317"/>
    <w:rsid w:val="00D00E32"/>
    <w:rsid w:val="00D01D1C"/>
    <w:rsid w:val="00D047D3"/>
    <w:rsid w:val="00D0604C"/>
    <w:rsid w:val="00D12578"/>
    <w:rsid w:val="00D12E53"/>
    <w:rsid w:val="00D14F09"/>
    <w:rsid w:val="00D15661"/>
    <w:rsid w:val="00D16F9C"/>
    <w:rsid w:val="00D20E8E"/>
    <w:rsid w:val="00D22D1C"/>
    <w:rsid w:val="00D26A69"/>
    <w:rsid w:val="00D27AED"/>
    <w:rsid w:val="00D31DAE"/>
    <w:rsid w:val="00D341EE"/>
    <w:rsid w:val="00D35414"/>
    <w:rsid w:val="00D40A7A"/>
    <w:rsid w:val="00D41124"/>
    <w:rsid w:val="00D41814"/>
    <w:rsid w:val="00D41C38"/>
    <w:rsid w:val="00D43B5A"/>
    <w:rsid w:val="00D44162"/>
    <w:rsid w:val="00D44B4A"/>
    <w:rsid w:val="00D45463"/>
    <w:rsid w:val="00D47EFB"/>
    <w:rsid w:val="00D5069A"/>
    <w:rsid w:val="00D51266"/>
    <w:rsid w:val="00D57680"/>
    <w:rsid w:val="00D61D62"/>
    <w:rsid w:val="00D622D6"/>
    <w:rsid w:val="00D6544D"/>
    <w:rsid w:val="00D6561E"/>
    <w:rsid w:val="00D67EE7"/>
    <w:rsid w:val="00D724AC"/>
    <w:rsid w:val="00D72F5B"/>
    <w:rsid w:val="00D76131"/>
    <w:rsid w:val="00D8689E"/>
    <w:rsid w:val="00D91038"/>
    <w:rsid w:val="00D945B4"/>
    <w:rsid w:val="00D94D04"/>
    <w:rsid w:val="00DA369E"/>
    <w:rsid w:val="00DA43F3"/>
    <w:rsid w:val="00DA4E88"/>
    <w:rsid w:val="00DB005F"/>
    <w:rsid w:val="00DC0D35"/>
    <w:rsid w:val="00DC33D1"/>
    <w:rsid w:val="00DC38BE"/>
    <w:rsid w:val="00DD2AF5"/>
    <w:rsid w:val="00DD5A88"/>
    <w:rsid w:val="00DD6186"/>
    <w:rsid w:val="00DE0098"/>
    <w:rsid w:val="00DE22F3"/>
    <w:rsid w:val="00DE75F7"/>
    <w:rsid w:val="00DF0CAB"/>
    <w:rsid w:val="00DF18ED"/>
    <w:rsid w:val="00DF231A"/>
    <w:rsid w:val="00DF7358"/>
    <w:rsid w:val="00E00EBA"/>
    <w:rsid w:val="00E02390"/>
    <w:rsid w:val="00E04E77"/>
    <w:rsid w:val="00E072DD"/>
    <w:rsid w:val="00E11E1F"/>
    <w:rsid w:val="00E2355E"/>
    <w:rsid w:val="00E2381A"/>
    <w:rsid w:val="00E23BD2"/>
    <w:rsid w:val="00E24AB3"/>
    <w:rsid w:val="00E31F50"/>
    <w:rsid w:val="00E33438"/>
    <w:rsid w:val="00E33D23"/>
    <w:rsid w:val="00E37BCE"/>
    <w:rsid w:val="00E37D33"/>
    <w:rsid w:val="00E436FB"/>
    <w:rsid w:val="00E44314"/>
    <w:rsid w:val="00E47D35"/>
    <w:rsid w:val="00E534B1"/>
    <w:rsid w:val="00E5424B"/>
    <w:rsid w:val="00E54C48"/>
    <w:rsid w:val="00E55F5E"/>
    <w:rsid w:val="00E57721"/>
    <w:rsid w:val="00E60114"/>
    <w:rsid w:val="00E66463"/>
    <w:rsid w:val="00E73B6D"/>
    <w:rsid w:val="00E74416"/>
    <w:rsid w:val="00E74CCA"/>
    <w:rsid w:val="00E76256"/>
    <w:rsid w:val="00E764AB"/>
    <w:rsid w:val="00E81907"/>
    <w:rsid w:val="00E83A6F"/>
    <w:rsid w:val="00E8411B"/>
    <w:rsid w:val="00E90BC8"/>
    <w:rsid w:val="00E913C2"/>
    <w:rsid w:val="00E924D2"/>
    <w:rsid w:val="00E9458A"/>
    <w:rsid w:val="00EA07FB"/>
    <w:rsid w:val="00EA16C3"/>
    <w:rsid w:val="00EA2682"/>
    <w:rsid w:val="00EA31E9"/>
    <w:rsid w:val="00EB6FB7"/>
    <w:rsid w:val="00EB76CD"/>
    <w:rsid w:val="00EC5C00"/>
    <w:rsid w:val="00ED107A"/>
    <w:rsid w:val="00ED26CB"/>
    <w:rsid w:val="00EE080E"/>
    <w:rsid w:val="00EE33EF"/>
    <w:rsid w:val="00EE6113"/>
    <w:rsid w:val="00EF5025"/>
    <w:rsid w:val="00F00DC8"/>
    <w:rsid w:val="00F01534"/>
    <w:rsid w:val="00F03D3C"/>
    <w:rsid w:val="00F11BAA"/>
    <w:rsid w:val="00F12589"/>
    <w:rsid w:val="00F1349A"/>
    <w:rsid w:val="00F14C01"/>
    <w:rsid w:val="00F14F98"/>
    <w:rsid w:val="00F15B79"/>
    <w:rsid w:val="00F17660"/>
    <w:rsid w:val="00F2048F"/>
    <w:rsid w:val="00F26BB9"/>
    <w:rsid w:val="00F345E4"/>
    <w:rsid w:val="00F34A9B"/>
    <w:rsid w:val="00F45346"/>
    <w:rsid w:val="00F52B9A"/>
    <w:rsid w:val="00F54AFC"/>
    <w:rsid w:val="00F55F41"/>
    <w:rsid w:val="00F561B1"/>
    <w:rsid w:val="00F652A3"/>
    <w:rsid w:val="00F70365"/>
    <w:rsid w:val="00F71703"/>
    <w:rsid w:val="00F73EAB"/>
    <w:rsid w:val="00F74C1C"/>
    <w:rsid w:val="00F7785C"/>
    <w:rsid w:val="00F810C2"/>
    <w:rsid w:val="00F83D89"/>
    <w:rsid w:val="00F85817"/>
    <w:rsid w:val="00FA2A36"/>
    <w:rsid w:val="00FA2D82"/>
    <w:rsid w:val="00FA56E8"/>
    <w:rsid w:val="00FB0746"/>
    <w:rsid w:val="00FB4496"/>
    <w:rsid w:val="00FB6169"/>
    <w:rsid w:val="00FB68A1"/>
    <w:rsid w:val="00FC1286"/>
    <w:rsid w:val="00FC2A64"/>
    <w:rsid w:val="00FD4493"/>
    <w:rsid w:val="00FE5896"/>
    <w:rsid w:val="00FE750D"/>
    <w:rsid w:val="00FF06B7"/>
    <w:rsid w:val="00FF1895"/>
    <w:rsid w:val="00FF2068"/>
    <w:rsid w:val="00FF2DD1"/>
    <w:rsid w:val="00FF64EF"/>
    <w:rsid w:val="00FF7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7721B"/>
  <w15:docId w15:val="{73C32652-C7B5-4CFB-9ADC-44A45ED1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6C"/>
    <w:pPr>
      <w:spacing w:after="0" w:line="240" w:lineRule="auto"/>
      <w:jc w:val="left"/>
    </w:pPr>
    <w:rPr>
      <w:rFonts w:ascii="Calibri" w:hAnsi="Calibri" w:cs="Times New Roman"/>
      <w:sz w:val="22"/>
      <w:szCs w:val="22"/>
    </w:rPr>
  </w:style>
  <w:style w:type="paragraph" w:styleId="Heading1">
    <w:name w:val="heading 1"/>
    <w:basedOn w:val="Normal"/>
    <w:next w:val="Normal"/>
    <w:link w:val="Heading1Char"/>
    <w:uiPriority w:val="9"/>
    <w:qFormat/>
    <w:rsid w:val="00331571"/>
    <w:pPr>
      <w:numPr>
        <w:numId w:val="8"/>
      </w:numPr>
      <w:spacing w:before="300" w:after="40"/>
      <w:ind w:left="1080" w:hanging="360"/>
      <w:outlineLvl w:val="0"/>
    </w:pPr>
    <w:rPr>
      <w:b/>
      <w:spacing w:val="5"/>
      <w:sz w:val="32"/>
      <w:szCs w:val="32"/>
    </w:rPr>
  </w:style>
  <w:style w:type="paragraph" w:styleId="Heading2">
    <w:name w:val="heading 2"/>
    <w:basedOn w:val="Normal"/>
    <w:next w:val="Normal"/>
    <w:link w:val="Heading2Char"/>
    <w:uiPriority w:val="9"/>
    <w:unhideWhenUsed/>
    <w:qFormat/>
    <w:rsid w:val="00331571"/>
    <w:pPr>
      <w:tabs>
        <w:tab w:val="num" w:pos="720"/>
      </w:tabs>
      <w:spacing w:before="240" w:after="80"/>
      <w:ind w:left="1080" w:hanging="360"/>
      <w:outlineLvl w:val="1"/>
    </w:pPr>
    <w:rPr>
      <w:spacing w:val="5"/>
      <w:sz w:val="28"/>
      <w:szCs w:val="28"/>
    </w:rPr>
  </w:style>
  <w:style w:type="paragraph" w:styleId="Heading3">
    <w:name w:val="heading 3"/>
    <w:basedOn w:val="Normal"/>
    <w:next w:val="Normal"/>
    <w:link w:val="Heading3Char"/>
    <w:uiPriority w:val="9"/>
    <w:semiHidden/>
    <w:unhideWhenUsed/>
    <w:qFormat/>
    <w:rsid w:val="00331571"/>
    <w:pPr>
      <w:tabs>
        <w:tab w:val="num" w:pos="720"/>
      </w:tabs>
      <w:ind w:left="720" w:hanging="360"/>
      <w:outlineLvl w:val="2"/>
    </w:pPr>
    <w:rPr>
      <w:smallCaps/>
      <w:spacing w:val="5"/>
    </w:rPr>
  </w:style>
  <w:style w:type="paragraph" w:styleId="Heading4">
    <w:name w:val="heading 4"/>
    <w:basedOn w:val="Normal"/>
    <w:next w:val="Normal"/>
    <w:link w:val="Heading4Char"/>
    <w:uiPriority w:val="9"/>
    <w:semiHidden/>
    <w:unhideWhenUsed/>
    <w:qFormat/>
    <w:rsid w:val="00331571"/>
    <w:pPr>
      <w:spacing w:before="240"/>
      <w:outlineLvl w:val="3"/>
    </w:pPr>
    <w:rPr>
      <w:smallCaps/>
      <w:spacing w:val="10"/>
    </w:rPr>
  </w:style>
  <w:style w:type="paragraph" w:styleId="Heading5">
    <w:name w:val="heading 5"/>
    <w:basedOn w:val="Normal"/>
    <w:next w:val="Normal"/>
    <w:link w:val="Heading5Char"/>
    <w:uiPriority w:val="9"/>
    <w:semiHidden/>
    <w:unhideWhenUsed/>
    <w:qFormat/>
    <w:rsid w:val="00331571"/>
    <w:pPr>
      <w:spacing w:before="200"/>
      <w:outlineLvl w:val="4"/>
    </w:pPr>
    <w:rPr>
      <w:smallCaps/>
      <w:color w:val="1C6194" w:themeColor="accent2" w:themeShade="BF"/>
      <w:spacing w:val="10"/>
      <w:szCs w:val="26"/>
    </w:rPr>
  </w:style>
  <w:style w:type="paragraph" w:styleId="Heading6">
    <w:name w:val="heading 6"/>
    <w:basedOn w:val="Normal"/>
    <w:next w:val="Normal"/>
    <w:link w:val="Heading6Char"/>
    <w:uiPriority w:val="9"/>
    <w:semiHidden/>
    <w:unhideWhenUsed/>
    <w:qFormat/>
    <w:rsid w:val="00331571"/>
    <w:pPr>
      <w:outlineLvl w:val="5"/>
    </w:pPr>
    <w:rPr>
      <w:smallCaps/>
      <w:color w:val="2683C6" w:themeColor="accent2"/>
      <w:spacing w:val="5"/>
    </w:rPr>
  </w:style>
  <w:style w:type="paragraph" w:styleId="Heading7">
    <w:name w:val="heading 7"/>
    <w:basedOn w:val="Normal"/>
    <w:next w:val="Normal"/>
    <w:link w:val="Heading7Char"/>
    <w:uiPriority w:val="9"/>
    <w:semiHidden/>
    <w:unhideWhenUsed/>
    <w:qFormat/>
    <w:rsid w:val="00331571"/>
    <w:pPr>
      <w:outlineLvl w:val="6"/>
    </w:pPr>
    <w:rPr>
      <w:b/>
      <w:smallCaps/>
      <w:color w:val="2683C6" w:themeColor="accent2"/>
      <w:spacing w:val="10"/>
    </w:rPr>
  </w:style>
  <w:style w:type="paragraph" w:styleId="Heading8">
    <w:name w:val="heading 8"/>
    <w:basedOn w:val="Normal"/>
    <w:next w:val="Normal"/>
    <w:link w:val="Heading8Char"/>
    <w:uiPriority w:val="9"/>
    <w:semiHidden/>
    <w:unhideWhenUsed/>
    <w:qFormat/>
    <w:rsid w:val="00331571"/>
    <w:pPr>
      <w:outlineLvl w:val="7"/>
    </w:pPr>
    <w:rPr>
      <w:b/>
      <w:i/>
      <w:smallCaps/>
      <w:color w:val="1C6194" w:themeColor="accent2" w:themeShade="BF"/>
    </w:rPr>
  </w:style>
  <w:style w:type="paragraph" w:styleId="Heading9">
    <w:name w:val="heading 9"/>
    <w:basedOn w:val="Normal"/>
    <w:next w:val="Normal"/>
    <w:link w:val="Heading9Char"/>
    <w:uiPriority w:val="9"/>
    <w:semiHidden/>
    <w:unhideWhenUsed/>
    <w:qFormat/>
    <w:rsid w:val="00331571"/>
    <w:pPr>
      <w:outlineLvl w:val="8"/>
    </w:pPr>
    <w:rPr>
      <w:b/>
      <w:i/>
      <w:smallCaps/>
      <w:color w:val="134162"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571"/>
    <w:rPr>
      <w:b/>
      <w:spacing w:val="5"/>
      <w:sz w:val="32"/>
      <w:szCs w:val="32"/>
    </w:rPr>
  </w:style>
  <w:style w:type="character" w:customStyle="1" w:styleId="Heading2Char">
    <w:name w:val="Heading 2 Char"/>
    <w:basedOn w:val="DefaultParagraphFont"/>
    <w:link w:val="Heading2"/>
    <w:uiPriority w:val="9"/>
    <w:rsid w:val="00331571"/>
    <w:rPr>
      <w:spacing w:val="5"/>
      <w:sz w:val="28"/>
      <w:szCs w:val="28"/>
    </w:rPr>
  </w:style>
  <w:style w:type="character" w:customStyle="1" w:styleId="Heading3Char">
    <w:name w:val="Heading 3 Char"/>
    <w:basedOn w:val="DefaultParagraphFont"/>
    <w:link w:val="Heading3"/>
    <w:uiPriority w:val="9"/>
    <w:semiHidden/>
    <w:rsid w:val="00331571"/>
    <w:rPr>
      <w:smallCaps/>
      <w:spacing w:val="5"/>
    </w:rPr>
  </w:style>
  <w:style w:type="character" w:customStyle="1" w:styleId="Heading4Char">
    <w:name w:val="Heading 4 Char"/>
    <w:basedOn w:val="DefaultParagraphFont"/>
    <w:link w:val="Heading4"/>
    <w:uiPriority w:val="9"/>
    <w:semiHidden/>
    <w:rsid w:val="00331571"/>
    <w:rPr>
      <w:smallCaps/>
      <w:spacing w:val="10"/>
      <w:sz w:val="22"/>
      <w:szCs w:val="22"/>
    </w:rPr>
  </w:style>
  <w:style w:type="character" w:customStyle="1" w:styleId="Heading5Char">
    <w:name w:val="Heading 5 Char"/>
    <w:basedOn w:val="DefaultParagraphFont"/>
    <w:link w:val="Heading5"/>
    <w:uiPriority w:val="9"/>
    <w:semiHidden/>
    <w:rsid w:val="00331571"/>
    <w:rPr>
      <w:smallCaps/>
      <w:color w:val="1C6194" w:themeColor="accent2" w:themeShade="BF"/>
      <w:spacing w:val="10"/>
      <w:sz w:val="22"/>
      <w:szCs w:val="26"/>
    </w:rPr>
  </w:style>
  <w:style w:type="character" w:customStyle="1" w:styleId="Heading6Char">
    <w:name w:val="Heading 6 Char"/>
    <w:basedOn w:val="DefaultParagraphFont"/>
    <w:link w:val="Heading6"/>
    <w:uiPriority w:val="9"/>
    <w:semiHidden/>
    <w:rsid w:val="00331571"/>
    <w:rPr>
      <w:smallCaps/>
      <w:color w:val="2683C6" w:themeColor="accent2"/>
      <w:spacing w:val="5"/>
      <w:sz w:val="22"/>
    </w:rPr>
  </w:style>
  <w:style w:type="character" w:customStyle="1" w:styleId="Heading7Char">
    <w:name w:val="Heading 7 Char"/>
    <w:basedOn w:val="DefaultParagraphFont"/>
    <w:link w:val="Heading7"/>
    <w:uiPriority w:val="9"/>
    <w:semiHidden/>
    <w:rsid w:val="00331571"/>
    <w:rPr>
      <w:b/>
      <w:smallCaps/>
      <w:color w:val="2683C6" w:themeColor="accent2"/>
      <w:spacing w:val="10"/>
    </w:rPr>
  </w:style>
  <w:style w:type="character" w:customStyle="1" w:styleId="Heading8Char">
    <w:name w:val="Heading 8 Char"/>
    <w:basedOn w:val="DefaultParagraphFont"/>
    <w:link w:val="Heading8"/>
    <w:uiPriority w:val="9"/>
    <w:semiHidden/>
    <w:rsid w:val="00331571"/>
    <w:rPr>
      <w:b/>
      <w:i/>
      <w:smallCaps/>
      <w:color w:val="1C6194" w:themeColor="accent2" w:themeShade="BF"/>
    </w:rPr>
  </w:style>
  <w:style w:type="character" w:customStyle="1" w:styleId="Heading9Char">
    <w:name w:val="Heading 9 Char"/>
    <w:basedOn w:val="DefaultParagraphFont"/>
    <w:link w:val="Heading9"/>
    <w:uiPriority w:val="9"/>
    <w:semiHidden/>
    <w:rsid w:val="00331571"/>
    <w:rPr>
      <w:b/>
      <w:i/>
      <w:smallCaps/>
      <w:color w:val="134162" w:themeColor="accent2" w:themeShade="7F"/>
    </w:rPr>
  </w:style>
  <w:style w:type="paragraph" w:styleId="Caption">
    <w:name w:val="caption"/>
    <w:aliases w:val="Table title,Figure Head,10Table - STC,Char Char Char,Stacey_Caption"/>
    <w:basedOn w:val="Normal"/>
    <w:next w:val="Normal"/>
    <w:link w:val="CaptionChar"/>
    <w:unhideWhenUsed/>
    <w:qFormat/>
    <w:rsid w:val="00331571"/>
    <w:rPr>
      <w:b/>
      <w:bCs/>
      <w:caps/>
      <w:sz w:val="16"/>
      <w:szCs w:val="18"/>
    </w:rPr>
  </w:style>
  <w:style w:type="paragraph" w:styleId="Title">
    <w:name w:val="Title"/>
    <w:basedOn w:val="Normal"/>
    <w:next w:val="Normal"/>
    <w:link w:val="TitleChar"/>
    <w:uiPriority w:val="10"/>
    <w:qFormat/>
    <w:rsid w:val="00331571"/>
    <w:pPr>
      <w:jc w:val="center"/>
    </w:pPr>
    <w:rPr>
      <w:b/>
      <w:smallCaps/>
      <w:sz w:val="48"/>
      <w:szCs w:val="48"/>
    </w:rPr>
  </w:style>
  <w:style w:type="character" w:customStyle="1" w:styleId="TitleChar">
    <w:name w:val="Title Char"/>
    <w:basedOn w:val="DefaultParagraphFont"/>
    <w:link w:val="Title"/>
    <w:uiPriority w:val="10"/>
    <w:rsid w:val="00331571"/>
    <w:rPr>
      <w:b/>
      <w:smallCaps/>
      <w:sz w:val="48"/>
      <w:szCs w:val="48"/>
    </w:rPr>
  </w:style>
  <w:style w:type="paragraph" w:styleId="Subtitle">
    <w:name w:val="Subtitle"/>
    <w:basedOn w:val="Normal"/>
    <w:next w:val="Normal"/>
    <w:link w:val="SubtitleChar"/>
    <w:uiPriority w:val="11"/>
    <w:qFormat/>
    <w:rsid w:val="00331571"/>
    <w:pPr>
      <w:pBdr>
        <w:bottom w:val="single" w:sz="12" w:space="1" w:color="2683C6" w:themeColor="accent2"/>
      </w:pBdr>
      <w:spacing w:before="120"/>
      <w:jc w:val="center"/>
    </w:pPr>
    <w:rPr>
      <w:rFonts w:eastAsiaTheme="majorEastAsia" w:cstheme="majorBidi"/>
      <w:sz w:val="28"/>
    </w:rPr>
  </w:style>
  <w:style w:type="character" w:customStyle="1" w:styleId="SubtitleChar">
    <w:name w:val="Subtitle Char"/>
    <w:basedOn w:val="DefaultParagraphFont"/>
    <w:link w:val="Subtitle"/>
    <w:uiPriority w:val="11"/>
    <w:rsid w:val="00331571"/>
    <w:rPr>
      <w:rFonts w:eastAsiaTheme="majorEastAsia" w:cstheme="majorBidi"/>
      <w:sz w:val="28"/>
      <w:szCs w:val="22"/>
    </w:rPr>
  </w:style>
  <w:style w:type="paragraph" w:styleId="NoSpacing">
    <w:name w:val="No Spacing"/>
    <w:basedOn w:val="Normal"/>
    <w:link w:val="NoSpacingChar"/>
    <w:uiPriority w:val="1"/>
    <w:rsid w:val="00F14C01"/>
  </w:style>
  <w:style w:type="character" w:styleId="Strong">
    <w:name w:val="Strong"/>
    <w:uiPriority w:val="22"/>
    <w:qFormat/>
    <w:rsid w:val="00331571"/>
    <w:rPr>
      <w:rFonts w:ascii="Times New Roman" w:hAnsi="Times New Roman"/>
      <w:b/>
      <w:color w:val="2683C6" w:themeColor="accent2"/>
      <w:sz w:val="24"/>
    </w:rPr>
  </w:style>
  <w:style w:type="character" w:styleId="Emphasis">
    <w:name w:val="Emphasis"/>
    <w:uiPriority w:val="20"/>
    <w:qFormat/>
    <w:rsid w:val="00331571"/>
    <w:rPr>
      <w:rFonts w:ascii="Times New Roman" w:hAnsi="Times New Roman"/>
      <w:b/>
      <w:i/>
      <w:spacing w:val="10"/>
      <w:sz w:val="24"/>
    </w:rPr>
  </w:style>
  <w:style w:type="character" w:customStyle="1" w:styleId="NoSpacingChar">
    <w:name w:val="No Spacing Char"/>
    <w:basedOn w:val="DefaultParagraphFont"/>
    <w:link w:val="NoSpacing"/>
    <w:uiPriority w:val="1"/>
    <w:rsid w:val="00F14C01"/>
  </w:style>
  <w:style w:type="paragraph" w:styleId="ListParagraph">
    <w:name w:val="List Paragraph"/>
    <w:basedOn w:val="Normal"/>
    <w:link w:val="ListParagraphChar"/>
    <w:uiPriority w:val="34"/>
    <w:qFormat/>
    <w:rsid w:val="00331571"/>
    <w:pPr>
      <w:ind w:left="720"/>
      <w:contextualSpacing/>
    </w:pPr>
  </w:style>
  <w:style w:type="paragraph" w:styleId="Quote">
    <w:name w:val="Quote"/>
    <w:basedOn w:val="Normal"/>
    <w:next w:val="Normal"/>
    <w:link w:val="QuoteChar"/>
    <w:uiPriority w:val="29"/>
    <w:qFormat/>
    <w:rsid w:val="00331571"/>
    <w:rPr>
      <w:i/>
    </w:rPr>
  </w:style>
  <w:style w:type="character" w:customStyle="1" w:styleId="QuoteChar">
    <w:name w:val="Quote Char"/>
    <w:basedOn w:val="DefaultParagraphFont"/>
    <w:link w:val="Quote"/>
    <w:uiPriority w:val="29"/>
    <w:rsid w:val="00331571"/>
    <w:rPr>
      <w:i/>
    </w:rPr>
  </w:style>
  <w:style w:type="paragraph" w:styleId="IntenseQuote">
    <w:name w:val="Intense Quote"/>
    <w:basedOn w:val="Normal"/>
    <w:next w:val="Normal"/>
    <w:link w:val="IntenseQuoteChar"/>
    <w:uiPriority w:val="30"/>
    <w:qFormat/>
    <w:rsid w:val="00331571"/>
    <w:pPr>
      <w:pBdr>
        <w:top w:val="single" w:sz="8" w:space="10" w:color="1C6194" w:themeColor="accent2" w:themeShade="BF"/>
        <w:left w:val="single" w:sz="8" w:space="10" w:color="1C6194" w:themeColor="accent2" w:themeShade="BF"/>
        <w:bottom w:val="single" w:sz="8" w:space="10" w:color="1C6194" w:themeColor="accent2" w:themeShade="BF"/>
        <w:right w:val="single" w:sz="8" w:space="10" w:color="1C6194" w:themeColor="accent2" w:themeShade="BF"/>
      </w:pBdr>
      <w:shd w:val="clear" w:color="auto" w:fill="2683C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31571"/>
    <w:rPr>
      <w:b/>
      <w:i/>
      <w:color w:val="FFFFFF" w:themeColor="background1"/>
      <w:shd w:val="clear" w:color="auto" w:fill="2683C6" w:themeFill="accent2"/>
    </w:rPr>
  </w:style>
  <w:style w:type="character" w:styleId="SubtleEmphasis">
    <w:name w:val="Subtle Emphasis"/>
    <w:uiPriority w:val="19"/>
    <w:qFormat/>
    <w:rsid w:val="00331571"/>
    <w:rPr>
      <w:rFonts w:ascii="Times New Roman" w:hAnsi="Times New Roman"/>
      <w:i/>
      <w:sz w:val="24"/>
    </w:rPr>
  </w:style>
  <w:style w:type="character" w:styleId="IntenseEmphasis">
    <w:name w:val="Intense Emphasis"/>
    <w:uiPriority w:val="21"/>
    <w:qFormat/>
    <w:rsid w:val="00331571"/>
    <w:rPr>
      <w:rFonts w:ascii="Times New Roman" w:hAnsi="Times New Roman"/>
      <w:b/>
      <w:i/>
      <w:color w:val="2683C6" w:themeColor="accent2"/>
      <w:spacing w:val="10"/>
      <w:sz w:val="24"/>
    </w:rPr>
  </w:style>
  <w:style w:type="character" w:styleId="SubtleReference">
    <w:name w:val="Subtle Reference"/>
    <w:uiPriority w:val="31"/>
    <w:qFormat/>
    <w:rsid w:val="00331571"/>
    <w:rPr>
      <w:rFonts w:ascii="Times New Roman" w:hAnsi="Times New Roman"/>
      <w:b/>
      <w:sz w:val="24"/>
    </w:rPr>
  </w:style>
  <w:style w:type="character" w:styleId="IntenseReference">
    <w:name w:val="Intense Reference"/>
    <w:uiPriority w:val="32"/>
    <w:qFormat/>
    <w:rsid w:val="00331571"/>
    <w:rPr>
      <w:rFonts w:ascii="Times New Roman" w:hAnsi="Times New Roman"/>
      <w:b/>
      <w:bCs/>
      <w:smallCaps/>
      <w:spacing w:val="5"/>
      <w:sz w:val="22"/>
      <w:szCs w:val="22"/>
      <w:u w:val="single"/>
    </w:rPr>
  </w:style>
  <w:style w:type="character" w:styleId="BookTitle">
    <w:name w:val="Book Title"/>
    <w:uiPriority w:val="33"/>
    <w:qFormat/>
    <w:rsid w:val="00331571"/>
    <w:rPr>
      <w:rFonts w:ascii="Times New Roman" w:eastAsiaTheme="majorEastAsia" w:hAnsi="Times New Roman" w:cstheme="majorBidi"/>
      <w:i/>
      <w:iCs/>
      <w:sz w:val="20"/>
      <w:szCs w:val="20"/>
    </w:rPr>
  </w:style>
  <w:style w:type="paragraph" w:styleId="TOCHeading">
    <w:name w:val="TOC Heading"/>
    <w:basedOn w:val="Heading1"/>
    <w:next w:val="Normal"/>
    <w:uiPriority w:val="39"/>
    <w:unhideWhenUsed/>
    <w:qFormat/>
    <w:rsid w:val="00331571"/>
    <w:pPr>
      <w:numPr>
        <w:numId w:val="0"/>
      </w:numPr>
      <w:outlineLvl w:val="9"/>
    </w:pPr>
    <w:rPr>
      <w:lang w:bidi="en-US"/>
    </w:rPr>
  </w:style>
  <w:style w:type="paragraph" w:styleId="FootnoteText">
    <w:name w:val="footnote text"/>
    <w:aliases w:val="Footnote,text,fn,ft,single space,FOOTNOTES,footnote text,ADB,WB-Fußnotentext,Fußnote,WB-Fuﬂnotentext,Fuﬂnote,Note de bas de page Car,ALTS FOOTNOTE,Footnote Text Char Char Char Char Char Char,f,Car,Cha,Footnote text,Fußnotentextr,Char"/>
    <w:basedOn w:val="Normal"/>
    <w:link w:val="FootnoteTextChar"/>
    <w:uiPriority w:val="99"/>
    <w:unhideWhenUsed/>
    <w:qFormat/>
    <w:rsid w:val="003737C2"/>
    <w:rPr>
      <w:rFonts w:asciiTheme="minorHAnsi" w:hAnsiTheme="minorHAnsi" w:cstheme="minorBidi"/>
      <w:sz w:val="20"/>
      <w:szCs w:val="20"/>
    </w:rPr>
  </w:style>
  <w:style w:type="character" w:customStyle="1" w:styleId="FootnoteTextChar">
    <w:name w:val="Footnote Text Char"/>
    <w:aliases w:val="Footnote Char,text Char,fn Char,ft Char,single space Char,FOOTNOTES Char,footnote text Char,ADB Char,WB-Fußnotentext Char,Fußnote Char,WB-Fuﬂnotentext Char,Fuﬂnote Char,Note de bas de page Car Char,ALTS FOOTNOTE Char,f Char,Car Char"/>
    <w:basedOn w:val="DefaultParagraphFont"/>
    <w:link w:val="FootnoteText"/>
    <w:uiPriority w:val="99"/>
    <w:rsid w:val="003737C2"/>
    <w:rPr>
      <w:rFonts w:asciiTheme="minorHAnsi" w:hAnsiTheme="minorHAnsi"/>
      <w:sz w:val="20"/>
      <w:szCs w:val="20"/>
    </w:rPr>
  </w:style>
  <w:style w:type="character" w:styleId="FootnoteReference">
    <w:name w:val="footnote reference"/>
    <w:aliases w:val="16 Point,Superscript 6 Point,ftref,Ref. de nota al pie.,referencia nota al pie,Fußnotenzeichen DISS,Ref. de nota al pie EDEP,pie pddes,FC,BVI fnr, BVI fnr,Footnote Reference1,Error-Fußnotenzeichen5,Error-Fußnotenzeichen6,Ref"/>
    <w:basedOn w:val="DefaultParagraphFont"/>
    <w:unhideWhenUsed/>
    <w:qFormat/>
    <w:rsid w:val="003737C2"/>
    <w:rPr>
      <w:vertAlign w:val="superscript"/>
    </w:rPr>
  </w:style>
  <w:style w:type="table" w:styleId="TableGrid">
    <w:name w:val="Table Grid"/>
    <w:basedOn w:val="TableNormal"/>
    <w:uiPriority w:val="59"/>
    <w:rsid w:val="0098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45440"/>
    <w:rPr>
      <w:rFonts w:ascii="Calibri" w:hAnsi="Calibri" w:cs="Times New Roman"/>
      <w:sz w:val="22"/>
      <w:szCs w:val="22"/>
    </w:rPr>
  </w:style>
  <w:style w:type="character" w:customStyle="1" w:styleId="CaptionChar">
    <w:name w:val="Caption Char"/>
    <w:aliases w:val="Table title Char,Figure Head Char,10Table - STC Char,Char Char Char Char,Stacey_Caption Char"/>
    <w:link w:val="Caption"/>
    <w:rsid w:val="00245440"/>
    <w:rPr>
      <w:rFonts w:ascii="Calibri" w:hAnsi="Calibri" w:cs="Times New Roman"/>
      <w:b/>
      <w:bCs/>
      <w:caps/>
      <w:sz w:val="16"/>
      <w:szCs w:val="18"/>
    </w:rPr>
  </w:style>
  <w:style w:type="character" w:customStyle="1" w:styleId="apple-converted-space">
    <w:name w:val="apple-converted-space"/>
    <w:basedOn w:val="DefaultParagraphFont"/>
    <w:rsid w:val="00245440"/>
  </w:style>
  <w:style w:type="character" w:styleId="CommentReference">
    <w:name w:val="annotation reference"/>
    <w:basedOn w:val="DefaultParagraphFont"/>
    <w:uiPriority w:val="99"/>
    <w:semiHidden/>
    <w:unhideWhenUsed/>
    <w:rsid w:val="00C96F98"/>
    <w:rPr>
      <w:sz w:val="16"/>
      <w:szCs w:val="16"/>
    </w:rPr>
  </w:style>
  <w:style w:type="paragraph" w:styleId="CommentText">
    <w:name w:val="annotation text"/>
    <w:basedOn w:val="Normal"/>
    <w:link w:val="CommentTextChar"/>
    <w:uiPriority w:val="99"/>
    <w:semiHidden/>
    <w:unhideWhenUsed/>
    <w:rsid w:val="00C96F98"/>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C96F98"/>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C96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2AF5"/>
    <w:pPr>
      <w:spacing w:after="0"/>
    </w:pPr>
    <w:rPr>
      <w:rFonts w:ascii="Calibri" w:eastAsiaTheme="minorHAnsi" w:hAnsi="Calibri" w:cs="Times New Roman"/>
      <w:b/>
      <w:bCs/>
    </w:rPr>
  </w:style>
  <w:style w:type="character" w:customStyle="1" w:styleId="CommentSubjectChar">
    <w:name w:val="Comment Subject Char"/>
    <w:basedOn w:val="CommentTextChar"/>
    <w:link w:val="CommentSubject"/>
    <w:uiPriority w:val="99"/>
    <w:semiHidden/>
    <w:rsid w:val="00DD2AF5"/>
    <w:rPr>
      <w:rFonts w:ascii="Calibri" w:eastAsiaTheme="minorEastAsia" w:hAnsi="Calibri" w:cs="Times New Roman"/>
      <w:b/>
      <w:bCs/>
      <w:sz w:val="20"/>
      <w:szCs w:val="20"/>
    </w:rPr>
  </w:style>
  <w:style w:type="paragraph" w:styleId="TOC2">
    <w:name w:val="toc 2"/>
    <w:basedOn w:val="Normal"/>
    <w:next w:val="Normal"/>
    <w:autoRedefine/>
    <w:uiPriority w:val="39"/>
    <w:unhideWhenUsed/>
    <w:rsid w:val="00893F23"/>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F17660"/>
    <w:pPr>
      <w:tabs>
        <w:tab w:val="left" w:pos="440"/>
        <w:tab w:val="right" w:leader="dot" w:pos="9350"/>
      </w:tabs>
      <w:spacing w:after="100" w:line="480" w:lineRule="auto"/>
    </w:pPr>
    <w:rPr>
      <w:rFonts w:asciiTheme="minorHAnsi" w:eastAsiaTheme="minorEastAsia" w:hAnsiTheme="minorHAnsi"/>
    </w:rPr>
  </w:style>
  <w:style w:type="paragraph" w:styleId="TOC3">
    <w:name w:val="toc 3"/>
    <w:basedOn w:val="Normal"/>
    <w:next w:val="Normal"/>
    <w:autoRedefine/>
    <w:uiPriority w:val="39"/>
    <w:unhideWhenUsed/>
    <w:rsid w:val="00893F23"/>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893F23"/>
    <w:rPr>
      <w:color w:val="6B9F25" w:themeColor="hyperlink"/>
      <w:u w:val="single"/>
    </w:rPr>
  </w:style>
  <w:style w:type="paragraph" w:styleId="Header">
    <w:name w:val="header"/>
    <w:basedOn w:val="Normal"/>
    <w:link w:val="HeaderChar"/>
    <w:uiPriority w:val="99"/>
    <w:unhideWhenUsed/>
    <w:rsid w:val="00272ACD"/>
    <w:pPr>
      <w:tabs>
        <w:tab w:val="center" w:pos="4680"/>
        <w:tab w:val="right" w:pos="9360"/>
      </w:tabs>
    </w:pPr>
  </w:style>
  <w:style w:type="character" w:customStyle="1" w:styleId="HeaderChar">
    <w:name w:val="Header Char"/>
    <w:basedOn w:val="DefaultParagraphFont"/>
    <w:link w:val="Header"/>
    <w:uiPriority w:val="99"/>
    <w:rsid w:val="00272ACD"/>
    <w:rPr>
      <w:rFonts w:ascii="Calibri" w:hAnsi="Calibri" w:cs="Times New Roman"/>
      <w:sz w:val="22"/>
      <w:szCs w:val="22"/>
    </w:rPr>
  </w:style>
  <w:style w:type="paragraph" w:styleId="Footer">
    <w:name w:val="footer"/>
    <w:basedOn w:val="Normal"/>
    <w:link w:val="FooterChar"/>
    <w:uiPriority w:val="99"/>
    <w:unhideWhenUsed/>
    <w:rsid w:val="00272ACD"/>
    <w:pPr>
      <w:tabs>
        <w:tab w:val="center" w:pos="4680"/>
        <w:tab w:val="right" w:pos="9360"/>
      </w:tabs>
    </w:pPr>
  </w:style>
  <w:style w:type="character" w:customStyle="1" w:styleId="FooterChar">
    <w:name w:val="Footer Char"/>
    <w:basedOn w:val="DefaultParagraphFont"/>
    <w:link w:val="Footer"/>
    <w:uiPriority w:val="99"/>
    <w:rsid w:val="00272ACD"/>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9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oleObject" Target="embeddings/oleObject1.bin"/><Relationship Id="rId22" Type="http://schemas.openxmlformats.org/officeDocument/2006/relationships/image" Target="media/image11.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b323270\Box%20Sync\2_Investment_Climate_Unit\0_trade_stuff\1_Dominican_Republic_GVCs\3_policy_report\Changes%20in%20sectoral%20especialization%20in%20SEZ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b376666\Desktop\DR%20GVC\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b376666\Desktop\DR%20GVC\Data%20final%20version\DR%20paper%20-%20data%20for%20tables_M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2.xml"/><Relationship Id="rId4" Type="http://schemas.openxmlformats.org/officeDocument/2006/relationships/oleObject" Target="file:///C:\Users\Alejandro\Dropbox\DomRep\Presentation\regression%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jobs!$E$6</c:f>
              <c:strCache>
                <c:ptCount val="1"/>
                <c:pt idx="0">
                  <c:v>Low-skill workers</c:v>
                </c:pt>
              </c:strCache>
            </c:strRef>
          </c:tx>
          <c:spPr>
            <a:noFill/>
            <a:ln>
              <a:solidFill>
                <a:schemeClr val="accent1"/>
              </a:solidFill>
            </a:ln>
            <a:effectLst/>
          </c:spPr>
          <c:invertIfNegative val="0"/>
          <c:cat>
            <c:strRef>
              <c:f>jobs!$D$7:$D$19</c:f>
              <c:strCache>
                <c:ptCount val="13"/>
                <c:pt idx="0">
                  <c:v>02</c:v>
                </c:pt>
                <c:pt idx="1">
                  <c:v>03</c:v>
                </c:pt>
                <c:pt idx="2">
                  <c:v>04</c:v>
                </c:pt>
                <c:pt idx="3">
                  <c:v>05</c:v>
                </c:pt>
                <c:pt idx="4">
                  <c:v>06</c:v>
                </c:pt>
                <c:pt idx="5">
                  <c:v>07</c:v>
                </c:pt>
                <c:pt idx="6">
                  <c:v>08</c:v>
                </c:pt>
                <c:pt idx="7">
                  <c:v>09</c:v>
                </c:pt>
                <c:pt idx="8">
                  <c:v>10</c:v>
                </c:pt>
                <c:pt idx="9">
                  <c:v>11</c:v>
                </c:pt>
                <c:pt idx="10">
                  <c:v>12</c:v>
                </c:pt>
                <c:pt idx="11">
                  <c:v>13</c:v>
                </c:pt>
                <c:pt idx="12">
                  <c:v>14</c:v>
                </c:pt>
              </c:strCache>
            </c:strRef>
          </c:cat>
          <c:val>
            <c:numRef>
              <c:f>jobs!$E$7:$E$19</c:f>
              <c:numCache>
                <c:formatCode>_(* #,##0_);_(* \(#,##0\);_(* "-"??_);_(@_)</c:formatCode>
                <c:ptCount val="13"/>
                <c:pt idx="0">
                  <c:v>144000</c:v>
                </c:pt>
                <c:pt idx="1">
                  <c:v>144000</c:v>
                </c:pt>
                <c:pt idx="2">
                  <c:v>161000</c:v>
                </c:pt>
                <c:pt idx="3">
                  <c:v>130000</c:v>
                </c:pt>
                <c:pt idx="4">
                  <c:v>120000</c:v>
                </c:pt>
                <c:pt idx="5">
                  <c:v>102000</c:v>
                </c:pt>
                <c:pt idx="6">
                  <c:v>101000</c:v>
                </c:pt>
                <c:pt idx="7">
                  <c:v>90000</c:v>
                </c:pt>
                <c:pt idx="8">
                  <c:v>100000</c:v>
                </c:pt>
                <c:pt idx="9">
                  <c:v>101000</c:v>
                </c:pt>
                <c:pt idx="10">
                  <c:v>102000</c:v>
                </c:pt>
                <c:pt idx="11">
                  <c:v>102000</c:v>
                </c:pt>
                <c:pt idx="12">
                  <c:v>103000</c:v>
                </c:pt>
              </c:numCache>
            </c:numRef>
          </c:val>
        </c:ser>
        <c:ser>
          <c:idx val="1"/>
          <c:order val="1"/>
          <c:tx>
            <c:strRef>
              <c:f>jobs!$F$6</c:f>
              <c:strCache>
                <c:ptCount val="1"/>
                <c:pt idx="0">
                  <c:v>Administrative workers</c:v>
                </c:pt>
              </c:strCache>
            </c:strRef>
          </c:tx>
          <c:spPr>
            <a:solidFill>
              <a:schemeClr val="bg2">
                <a:lumMod val="75000"/>
              </a:schemeClr>
            </a:solidFill>
            <a:ln>
              <a:solidFill>
                <a:schemeClr val="accent1"/>
              </a:solidFill>
            </a:ln>
            <a:effectLst/>
          </c:spPr>
          <c:invertIfNegative val="0"/>
          <c:cat>
            <c:strRef>
              <c:f>jobs!$D$7:$D$19</c:f>
              <c:strCache>
                <c:ptCount val="13"/>
                <c:pt idx="0">
                  <c:v>02</c:v>
                </c:pt>
                <c:pt idx="1">
                  <c:v>03</c:v>
                </c:pt>
                <c:pt idx="2">
                  <c:v>04</c:v>
                </c:pt>
                <c:pt idx="3">
                  <c:v>05</c:v>
                </c:pt>
                <c:pt idx="4">
                  <c:v>06</c:v>
                </c:pt>
                <c:pt idx="5">
                  <c:v>07</c:v>
                </c:pt>
                <c:pt idx="6">
                  <c:v>08</c:v>
                </c:pt>
                <c:pt idx="7">
                  <c:v>09</c:v>
                </c:pt>
                <c:pt idx="8">
                  <c:v>10</c:v>
                </c:pt>
                <c:pt idx="9">
                  <c:v>11</c:v>
                </c:pt>
                <c:pt idx="10">
                  <c:v>12</c:v>
                </c:pt>
                <c:pt idx="11">
                  <c:v>13</c:v>
                </c:pt>
                <c:pt idx="12">
                  <c:v>14</c:v>
                </c:pt>
              </c:strCache>
            </c:strRef>
          </c:cat>
          <c:val>
            <c:numRef>
              <c:f>jobs!$F$7:$F$19</c:f>
              <c:numCache>
                <c:formatCode>_(* #,##0_);_(* \(#,##0\);_(* "-"??_);_(@_)</c:formatCode>
                <c:ptCount val="13"/>
                <c:pt idx="0">
                  <c:v>10000</c:v>
                </c:pt>
                <c:pt idx="1">
                  <c:v>10000</c:v>
                </c:pt>
                <c:pt idx="2">
                  <c:v>10000</c:v>
                </c:pt>
                <c:pt idx="3">
                  <c:v>10000</c:v>
                </c:pt>
                <c:pt idx="4">
                  <c:v>10000</c:v>
                </c:pt>
                <c:pt idx="5">
                  <c:v>10000</c:v>
                </c:pt>
                <c:pt idx="6">
                  <c:v>10000</c:v>
                </c:pt>
                <c:pt idx="7">
                  <c:v>10000</c:v>
                </c:pt>
                <c:pt idx="8">
                  <c:v>10000</c:v>
                </c:pt>
                <c:pt idx="9">
                  <c:v>10000</c:v>
                </c:pt>
                <c:pt idx="10">
                  <c:v>10000</c:v>
                </c:pt>
                <c:pt idx="11">
                  <c:v>10000</c:v>
                </c:pt>
                <c:pt idx="12">
                  <c:v>10000</c:v>
                </c:pt>
              </c:numCache>
            </c:numRef>
          </c:val>
        </c:ser>
        <c:ser>
          <c:idx val="2"/>
          <c:order val="2"/>
          <c:tx>
            <c:strRef>
              <c:f>jobs!$G$6</c:f>
              <c:strCache>
                <c:ptCount val="1"/>
                <c:pt idx="0">
                  <c:v>Technical workers</c:v>
                </c:pt>
              </c:strCache>
            </c:strRef>
          </c:tx>
          <c:spPr>
            <a:pattFill prst="ltHorz">
              <a:fgClr>
                <a:schemeClr val="accent1"/>
              </a:fgClr>
              <a:bgClr>
                <a:schemeClr val="bg1"/>
              </a:bgClr>
            </a:pattFill>
            <a:ln>
              <a:solidFill>
                <a:schemeClr val="accent1"/>
              </a:solidFill>
            </a:ln>
            <a:effectLst/>
          </c:spPr>
          <c:invertIfNegative val="0"/>
          <c:cat>
            <c:strRef>
              <c:f>jobs!$D$7:$D$19</c:f>
              <c:strCache>
                <c:ptCount val="13"/>
                <c:pt idx="0">
                  <c:v>02</c:v>
                </c:pt>
                <c:pt idx="1">
                  <c:v>03</c:v>
                </c:pt>
                <c:pt idx="2">
                  <c:v>04</c:v>
                </c:pt>
                <c:pt idx="3">
                  <c:v>05</c:v>
                </c:pt>
                <c:pt idx="4">
                  <c:v>06</c:v>
                </c:pt>
                <c:pt idx="5">
                  <c:v>07</c:v>
                </c:pt>
                <c:pt idx="6">
                  <c:v>08</c:v>
                </c:pt>
                <c:pt idx="7">
                  <c:v>09</c:v>
                </c:pt>
                <c:pt idx="8">
                  <c:v>10</c:v>
                </c:pt>
                <c:pt idx="9">
                  <c:v>11</c:v>
                </c:pt>
                <c:pt idx="10">
                  <c:v>12</c:v>
                </c:pt>
                <c:pt idx="11">
                  <c:v>13</c:v>
                </c:pt>
                <c:pt idx="12">
                  <c:v>14</c:v>
                </c:pt>
              </c:strCache>
            </c:strRef>
          </c:cat>
          <c:val>
            <c:numRef>
              <c:f>jobs!$G$7:$G$19</c:f>
              <c:numCache>
                <c:formatCode>_(* #,##0_);_(* \(#,##0\);_(* "-"??_);_(@_)</c:formatCode>
                <c:ptCount val="13"/>
                <c:pt idx="0">
                  <c:v>15000</c:v>
                </c:pt>
                <c:pt idx="1">
                  <c:v>17200</c:v>
                </c:pt>
                <c:pt idx="2">
                  <c:v>17200</c:v>
                </c:pt>
                <c:pt idx="3">
                  <c:v>15200</c:v>
                </c:pt>
                <c:pt idx="4">
                  <c:v>14300</c:v>
                </c:pt>
                <c:pt idx="5">
                  <c:v>14700</c:v>
                </c:pt>
                <c:pt idx="6">
                  <c:v>15000</c:v>
                </c:pt>
                <c:pt idx="7">
                  <c:v>14500</c:v>
                </c:pt>
                <c:pt idx="8">
                  <c:v>16000</c:v>
                </c:pt>
                <c:pt idx="9">
                  <c:v>15500</c:v>
                </c:pt>
                <c:pt idx="10">
                  <c:v>18900</c:v>
                </c:pt>
                <c:pt idx="11">
                  <c:v>26100</c:v>
                </c:pt>
                <c:pt idx="12">
                  <c:v>26700</c:v>
                </c:pt>
              </c:numCache>
            </c:numRef>
          </c:val>
        </c:ser>
        <c:dLbls>
          <c:showLegendKey val="0"/>
          <c:showVal val="0"/>
          <c:showCatName val="0"/>
          <c:showSerName val="0"/>
          <c:showPercent val="0"/>
          <c:showBubbleSize val="0"/>
        </c:dLbls>
        <c:gapWidth val="150"/>
        <c:overlap val="100"/>
        <c:axId val="637025088"/>
        <c:axId val="637027440"/>
      </c:barChart>
      <c:lineChart>
        <c:grouping val="standard"/>
        <c:varyColors val="0"/>
        <c:ser>
          <c:idx val="3"/>
          <c:order val="3"/>
          <c:tx>
            <c:v>Share of technical (Right axis)</c:v>
          </c:tx>
          <c:spPr>
            <a:ln w="28575" cap="rnd">
              <a:solidFill>
                <a:schemeClr val="accent1"/>
              </a:solidFill>
              <a:round/>
            </a:ln>
            <a:effectLst/>
          </c:spPr>
          <c:marker>
            <c:symbol val="none"/>
          </c:marker>
          <c:val>
            <c:numRef>
              <c:f>jobs!$J$7:$J$19</c:f>
              <c:numCache>
                <c:formatCode>0.0%</c:formatCode>
                <c:ptCount val="13"/>
                <c:pt idx="0">
                  <c:v>8.8757396449704137E-2</c:v>
                </c:pt>
                <c:pt idx="1">
                  <c:v>0.10046728971962617</c:v>
                </c:pt>
                <c:pt idx="2">
                  <c:v>9.1392136025504778E-2</c:v>
                </c:pt>
                <c:pt idx="3">
                  <c:v>9.7938144329896906E-2</c:v>
                </c:pt>
                <c:pt idx="4">
                  <c:v>9.90990990990991E-2</c:v>
                </c:pt>
                <c:pt idx="5">
                  <c:v>0.11602209944751381</c:v>
                </c:pt>
                <c:pt idx="6">
                  <c:v>0.11904761904761904</c:v>
                </c:pt>
                <c:pt idx="7">
                  <c:v>0.12663755458515283</c:v>
                </c:pt>
                <c:pt idx="8">
                  <c:v>0.12698412698412698</c:v>
                </c:pt>
                <c:pt idx="9">
                  <c:v>0.1225296442687747</c:v>
                </c:pt>
                <c:pt idx="10">
                  <c:v>0.14438502673796791</c:v>
                </c:pt>
                <c:pt idx="11">
                  <c:v>0.1889934829833454</c:v>
                </c:pt>
                <c:pt idx="12">
                  <c:v>0.19112383679312814</c:v>
                </c:pt>
              </c:numCache>
            </c:numRef>
          </c:val>
          <c:smooth val="0"/>
        </c:ser>
        <c:dLbls>
          <c:showLegendKey val="0"/>
          <c:showVal val="0"/>
          <c:showCatName val="0"/>
          <c:showSerName val="0"/>
          <c:showPercent val="0"/>
          <c:showBubbleSize val="0"/>
        </c:dLbls>
        <c:marker val="1"/>
        <c:smooth val="0"/>
        <c:axId val="637028224"/>
        <c:axId val="637027832"/>
      </c:lineChart>
      <c:catAx>
        <c:axId val="63702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027440"/>
        <c:crosses val="autoZero"/>
        <c:auto val="1"/>
        <c:lblAlgn val="ctr"/>
        <c:lblOffset val="100"/>
        <c:noMultiLvlLbl val="0"/>
      </c:catAx>
      <c:valAx>
        <c:axId val="637027440"/>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025088"/>
        <c:crosses val="autoZero"/>
        <c:crossBetween val="between"/>
        <c:dispUnits>
          <c:builtInUnit val="thousands"/>
          <c:dispUnitsLbl>
            <c:layout>
              <c:manualLayout>
                <c:xMode val="edge"/>
                <c:yMode val="edge"/>
                <c:x val="3.0555555555555555E-2"/>
                <c:y val="0.33796296296296297"/>
              </c:manualLayout>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valAx>
        <c:axId val="63702783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028224"/>
        <c:crosses val="max"/>
        <c:crossBetween val="between"/>
      </c:valAx>
      <c:catAx>
        <c:axId val="637028224"/>
        <c:scaling>
          <c:orientation val="minMax"/>
        </c:scaling>
        <c:delete val="1"/>
        <c:axPos val="b"/>
        <c:majorTickMark val="out"/>
        <c:minorTickMark val="none"/>
        <c:tickLblPos val="nextTo"/>
        <c:crossAx val="6370278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'Fig3 - Wages'!$C$1</c:f>
              <c:strCache>
                <c:ptCount val="1"/>
                <c:pt idx="0">
                  <c:v>1993-1999</c:v>
                </c:pt>
              </c:strCache>
            </c:strRef>
          </c:tx>
          <c:spPr>
            <a:solidFill>
              <a:schemeClr val="accent2"/>
            </a:solidFill>
            <a:ln>
              <a:noFill/>
            </a:ln>
            <a:effectLst/>
          </c:spPr>
          <c:invertIfNegative val="0"/>
          <c:cat>
            <c:strRef>
              <c:f>'Fig3 - Wages'!$A$2:$A$13</c:f>
              <c:strCache>
                <c:ptCount val="12"/>
                <c:pt idx="0">
                  <c:v>Primary</c:v>
                </c:pt>
                <c:pt idx="1">
                  <c:v>Low-medium skill manufacturing</c:v>
                </c:pt>
                <c:pt idx="2">
                  <c:v>Food processing &amp; manufacturing*</c:v>
                </c:pt>
                <c:pt idx="3">
                  <c:v>Beverages and tobacco*</c:v>
                </c:pt>
                <c:pt idx="4">
                  <c:v>Textile, Apparel Leather and Footwear*</c:v>
                </c:pt>
                <c:pt idx="5">
                  <c:v>Petroleum Refining</c:v>
                </c:pt>
                <c:pt idx="6">
                  <c:v>Chemicals and chemical prod.</c:v>
                </c:pt>
                <c:pt idx="7">
                  <c:v>Rubber and plastic prod.</c:v>
                </c:pt>
                <c:pt idx="8">
                  <c:v>Non-metallic mineral prod.</c:v>
                </c:pt>
                <c:pt idx="9">
                  <c:v>Basic metals</c:v>
                </c:pt>
                <c:pt idx="10">
                  <c:v>Medium-high skill manufacturing</c:v>
                </c:pt>
                <c:pt idx="11">
                  <c:v>Services</c:v>
                </c:pt>
              </c:strCache>
            </c:strRef>
          </c:cat>
          <c:val>
            <c:numRef>
              <c:f>'Fig3 - Wages'!$C$2:$C$13</c:f>
              <c:numCache>
                <c:formatCode>0.00%</c:formatCode>
                <c:ptCount val="12"/>
                <c:pt idx="0">
                  <c:v>-8.9999999999999993E-3</c:v>
                </c:pt>
                <c:pt idx="1">
                  <c:v>6.7000000000000004E-2</c:v>
                </c:pt>
                <c:pt idx="2">
                  <c:v>6.0999999999999999E-2</c:v>
                </c:pt>
                <c:pt idx="3">
                  <c:v>7.2999999999999995E-2</c:v>
                </c:pt>
                <c:pt idx="4">
                  <c:v>3.4000000000000002E-2</c:v>
                </c:pt>
                <c:pt idx="5">
                  <c:v>2.3E-2</c:v>
                </c:pt>
                <c:pt idx="6">
                  <c:v>6.3E-2</c:v>
                </c:pt>
                <c:pt idx="7">
                  <c:v>0.13200000000000001</c:v>
                </c:pt>
                <c:pt idx="8">
                  <c:v>0.245</c:v>
                </c:pt>
                <c:pt idx="9">
                  <c:v>-7.0000000000000001E-3</c:v>
                </c:pt>
                <c:pt idx="10">
                  <c:v>6.7000000000000004E-2</c:v>
                </c:pt>
                <c:pt idx="11">
                  <c:v>8.6999999999999994E-2</c:v>
                </c:pt>
              </c:numCache>
            </c:numRef>
          </c:val>
        </c:ser>
        <c:ser>
          <c:idx val="2"/>
          <c:order val="1"/>
          <c:tx>
            <c:strRef>
              <c:f>'Fig3 - Wages'!$D$1</c:f>
              <c:strCache>
                <c:ptCount val="1"/>
                <c:pt idx="0">
                  <c:v>1999-2005</c:v>
                </c:pt>
              </c:strCache>
            </c:strRef>
          </c:tx>
          <c:spPr>
            <a:solidFill>
              <a:schemeClr val="accent3"/>
            </a:solidFill>
            <a:ln>
              <a:noFill/>
            </a:ln>
            <a:effectLst/>
          </c:spPr>
          <c:invertIfNegative val="0"/>
          <c:cat>
            <c:strRef>
              <c:f>'Fig3 - Wages'!$A$2:$A$13</c:f>
              <c:strCache>
                <c:ptCount val="12"/>
                <c:pt idx="0">
                  <c:v>Primary</c:v>
                </c:pt>
                <c:pt idx="1">
                  <c:v>Low-medium skill manufacturing</c:v>
                </c:pt>
                <c:pt idx="2">
                  <c:v>Food processing &amp; manufacturing*</c:v>
                </c:pt>
                <c:pt idx="3">
                  <c:v>Beverages and tobacco*</c:v>
                </c:pt>
                <c:pt idx="4">
                  <c:v>Textile, Apparel Leather and Footwear*</c:v>
                </c:pt>
                <c:pt idx="5">
                  <c:v>Petroleum Refining</c:v>
                </c:pt>
                <c:pt idx="6">
                  <c:v>Chemicals and chemical prod.</c:v>
                </c:pt>
                <c:pt idx="7">
                  <c:v>Rubber and plastic prod.</c:v>
                </c:pt>
                <c:pt idx="8">
                  <c:v>Non-metallic mineral prod.</c:v>
                </c:pt>
                <c:pt idx="9">
                  <c:v>Basic metals</c:v>
                </c:pt>
                <c:pt idx="10">
                  <c:v>Medium-high skill manufacturing</c:v>
                </c:pt>
                <c:pt idx="11">
                  <c:v>Services</c:v>
                </c:pt>
              </c:strCache>
            </c:strRef>
          </c:cat>
          <c:val>
            <c:numRef>
              <c:f>'Fig3 - Wages'!$D$2:$D$13</c:f>
              <c:numCache>
                <c:formatCode>0.00%</c:formatCode>
                <c:ptCount val="12"/>
                <c:pt idx="0">
                  <c:v>1.7999999999999999E-2</c:v>
                </c:pt>
                <c:pt idx="1">
                  <c:v>2.1999999999999999E-2</c:v>
                </c:pt>
                <c:pt idx="2">
                  <c:v>1.7000000000000001E-2</c:v>
                </c:pt>
                <c:pt idx="3">
                  <c:v>5.0999999999999997E-2</c:v>
                </c:pt>
                <c:pt idx="4">
                  <c:v>-1E-3</c:v>
                </c:pt>
                <c:pt idx="5">
                  <c:v>8.0000000000000002E-3</c:v>
                </c:pt>
                <c:pt idx="6">
                  <c:v>4.1000000000000002E-2</c:v>
                </c:pt>
                <c:pt idx="7">
                  <c:v>9.7000000000000003E-2</c:v>
                </c:pt>
                <c:pt idx="8">
                  <c:v>-3.0000000000000001E-3</c:v>
                </c:pt>
                <c:pt idx="9">
                  <c:v>0.152</c:v>
                </c:pt>
                <c:pt idx="10">
                  <c:v>-0.33100000000000002</c:v>
                </c:pt>
                <c:pt idx="11">
                  <c:v>1.6E-2</c:v>
                </c:pt>
              </c:numCache>
            </c:numRef>
          </c:val>
        </c:ser>
        <c:ser>
          <c:idx val="3"/>
          <c:order val="2"/>
          <c:tx>
            <c:strRef>
              <c:f>'Fig3 - Wages'!$E$1</c:f>
              <c:strCache>
                <c:ptCount val="1"/>
                <c:pt idx="0">
                  <c:v>2005-2010</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'Fig3 - Wages'!$A$2:$A$13</c:f>
              <c:strCache>
                <c:ptCount val="12"/>
                <c:pt idx="0">
                  <c:v>Primary</c:v>
                </c:pt>
                <c:pt idx="1">
                  <c:v>Low-medium skill manufacturing</c:v>
                </c:pt>
                <c:pt idx="2">
                  <c:v>Food processing &amp; manufacturing*</c:v>
                </c:pt>
                <c:pt idx="3">
                  <c:v>Beverages and tobacco*</c:v>
                </c:pt>
                <c:pt idx="4">
                  <c:v>Textile, Apparel Leather and Footwear*</c:v>
                </c:pt>
                <c:pt idx="5">
                  <c:v>Petroleum Refining</c:v>
                </c:pt>
                <c:pt idx="6">
                  <c:v>Chemicals and chemical prod.</c:v>
                </c:pt>
                <c:pt idx="7">
                  <c:v>Rubber and plastic prod.</c:v>
                </c:pt>
                <c:pt idx="8">
                  <c:v>Non-metallic mineral prod.</c:v>
                </c:pt>
                <c:pt idx="9">
                  <c:v>Basic metals</c:v>
                </c:pt>
                <c:pt idx="10">
                  <c:v>Medium-high skill manufacturing</c:v>
                </c:pt>
                <c:pt idx="11">
                  <c:v>Services</c:v>
                </c:pt>
              </c:strCache>
            </c:strRef>
          </c:cat>
          <c:val>
            <c:numRef>
              <c:f>'Fig3 - Wages'!$E$2:$E$13</c:f>
              <c:numCache>
                <c:formatCode>0.00%</c:formatCode>
                <c:ptCount val="12"/>
                <c:pt idx="0">
                  <c:v>-3.3000000000000002E-2</c:v>
                </c:pt>
                <c:pt idx="1">
                  <c:v>-8.1000000000000003E-2</c:v>
                </c:pt>
                <c:pt idx="2">
                  <c:v>-4.2000000000000003E-2</c:v>
                </c:pt>
                <c:pt idx="3">
                  <c:v>-6.7000000000000004E-2</c:v>
                </c:pt>
                <c:pt idx="4">
                  <c:v>-0.16900000000000001</c:v>
                </c:pt>
                <c:pt idx="5">
                  <c:v>0.14799999999999999</c:v>
                </c:pt>
                <c:pt idx="6">
                  <c:v>0.111</c:v>
                </c:pt>
                <c:pt idx="7">
                  <c:v>-4.5999999999999999E-2</c:v>
                </c:pt>
                <c:pt idx="8">
                  <c:v>-1.7999999999999999E-2</c:v>
                </c:pt>
                <c:pt idx="9">
                  <c:v>0.29899999999999999</c:v>
                </c:pt>
                <c:pt idx="10">
                  <c:v>0.73599999999999999</c:v>
                </c:pt>
                <c:pt idx="11">
                  <c:v>0.108</c:v>
                </c:pt>
              </c:numCache>
            </c:numRef>
          </c:val>
        </c:ser>
        <c:ser>
          <c:idx val="4"/>
          <c:order val="3"/>
          <c:tx>
            <c:strRef>
              <c:f>'Fig3 - Wages'!$F$1</c:f>
              <c:strCache>
                <c:ptCount val="1"/>
                <c:pt idx="0">
                  <c:v>1993-2010</c:v>
                </c:pt>
              </c:strCache>
            </c:strRef>
          </c:tx>
          <c:spPr>
            <a:solidFill>
              <a:schemeClr val="accent5"/>
            </a:solidFill>
            <a:ln>
              <a:noFill/>
            </a:ln>
            <a:effectLst/>
          </c:spPr>
          <c:invertIfNegative val="0"/>
          <c:cat>
            <c:strRef>
              <c:f>'Fig3 - Wages'!$A$2:$A$13</c:f>
              <c:strCache>
                <c:ptCount val="12"/>
                <c:pt idx="0">
                  <c:v>Primary</c:v>
                </c:pt>
                <c:pt idx="1">
                  <c:v>Low-medium skill manufacturing</c:v>
                </c:pt>
                <c:pt idx="2">
                  <c:v>Food processing &amp; manufacturing*</c:v>
                </c:pt>
                <c:pt idx="3">
                  <c:v>Beverages and tobacco*</c:v>
                </c:pt>
                <c:pt idx="4">
                  <c:v>Textile, Apparel Leather and Footwear*</c:v>
                </c:pt>
                <c:pt idx="5">
                  <c:v>Petroleum Refining</c:v>
                </c:pt>
                <c:pt idx="6">
                  <c:v>Chemicals and chemical prod.</c:v>
                </c:pt>
                <c:pt idx="7">
                  <c:v>Rubber and plastic prod.</c:v>
                </c:pt>
                <c:pt idx="8">
                  <c:v>Non-metallic mineral prod.</c:v>
                </c:pt>
                <c:pt idx="9">
                  <c:v>Basic metals</c:v>
                </c:pt>
                <c:pt idx="10">
                  <c:v>Medium-high skill manufacturing</c:v>
                </c:pt>
                <c:pt idx="11">
                  <c:v>Services</c:v>
                </c:pt>
              </c:strCache>
            </c:strRef>
          </c:cat>
          <c:val>
            <c:numRef>
              <c:f>'Fig3 - Wages'!$F$2:$F$13</c:f>
              <c:numCache>
                <c:formatCode>0.00%</c:formatCode>
                <c:ptCount val="12"/>
                <c:pt idx="0">
                  <c:v>-6.0000000000000001E-3</c:v>
                </c:pt>
                <c:pt idx="1">
                  <c:v>6.0000000000000001E-3</c:v>
                </c:pt>
                <c:pt idx="2">
                  <c:v>1.4E-2</c:v>
                </c:pt>
                <c:pt idx="3">
                  <c:v>2.1999999999999999E-2</c:v>
                </c:pt>
                <c:pt idx="4">
                  <c:v>-4.2000000000000003E-2</c:v>
                </c:pt>
                <c:pt idx="5">
                  <c:v>5.2999999999999999E-2</c:v>
                </c:pt>
                <c:pt idx="6">
                  <c:v>6.9000000000000006E-2</c:v>
                </c:pt>
                <c:pt idx="7">
                  <c:v>6.5000000000000002E-2</c:v>
                </c:pt>
                <c:pt idx="8">
                  <c:v>7.3999999999999996E-2</c:v>
                </c:pt>
                <c:pt idx="9">
                  <c:v>0.13200000000000001</c:v>
                </c:pt>
                <c:pt idx="10">
                  <c:v>4.3999999999999997E-2</c:v>
                </c:pt>
                <c:pt idx="11">
                  <c:v>6.7000000000000004E-2</c:v>
                </c:pt>
              </c:numCache>
            </c:numRef>
          </c:val>
        </c:ser>
        <c:dLbls>
          <c:showLegendKey val="0"/>
          <c:showVal val="0"/>
          <c:showCatName val="0"/>
          <c:showSerName val="0"/>
          <c:showPercent val="0"/>
          <c:showBubbleSize val="0"/>
        </c:dLbls>
        <c:gapWidth val="182"/>
        <c:axId val="530753840"/>
        <c:axId val="637029008"/>
      </c:barChart>
      <c:catAx>
        <c:axId val="53075384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37029008"/>
        <c:crosses val="autoZero"/>
        <c:auto val="1"/>
        <c:lblAlgn val="ctr"/>
        <c:lblOffset val="100"/>
        <c:noMultiLvlLbl val="0"/>
      </c:catAx>
      <c:valAx>
        <c:axId val="637029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3075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SEZ import % of inputs</c:v>
          </c:tx>
          <c:spPr>
            <a:ln w="28575" cap="rnd">
              <a:solidFill>
                <a:schemeClr val="accent1"/>
              </a:solidFill>
              <a:round/>
            </a:ln>
            <a:effectLst/>
          </c:spPr>
          <c:marker>
            <c:symbol val="none"/>
          </c:marker>
          <c:cat>
            <c:numRef>
              <c:f>'Table 1+6 SEZ vs non-SEZ+fig4MS'!$C$74:$C$80</c:f>
              <c:numCache>
                <c:formatCode>General</c:formatCode>
                <c:ptCount val="7"/>
                <c:pt idx="0">
                  <c:v>1993</c:v>
                </c:pt>
                <c:pt idx="1">
                  <c:v>1996</c:v>
                </c:pt>
                <c:pt idx="2">
                  <c:v>1999</c:v>
                </c:pt>
                <c:pt idx="3">
                  <c:v>2002</c:v>
                </c:pt>
                <c:pt idx="4">
                  <c:v>2005</c:v>
                </c:pt>
                <c:pt idx="5">
                  <c:v>2008</c:v>
                </c:pt>
                <c:pt idx="6">
                  <c:v>2010</c:v>
                </c:pt>
              </c:numCache>
            </c:numRef>
          </c:cat>
          <c:val>
            <c:numRef>
              <c:f>'Table 1+6 SEZ vs non-SEZ+fig4MS'!$K$74:$K$80</c:f>
              <c:numCache>
                <c:formatCode>General</c:formatCode>
                <c:ptCount val="7"/>
                <c:pt idx="0">
                  <c:v>0.43052657293897101</c:v>
                </c:pt>
                <c:pt idx="1">
                  <c:v>0.22713015287766899</c:v>
                </c:pt>
                <c:pt idx="2">
                  <c:v>0.23645169762709001</c:v>
                </c:pt>
                <c:pt idx="3">
                  <c:v>0.39705109126900201</c:v>
                </c:pt>
                <c:pt idx="4">
                  <c:v>0.36389584867112801</c:v>
                </c:pt>
                <c:pt idx="5">
                  <c:v>0.43707946857873797</c:v>
                </c:pt>
                <c:pt idx="6">
                  <c:v>0.43703301217072299</c:v>
                </c:pt>
              </c:numCache>
            </c:numRef>
          </c:val>
          <c:smooth val="0"/>
        </c:ser>
        <c:ser>
          <c:idx val="1"/>
          <c:order val="1"/>
          <c:tx>
            <c:v>Non-SEZ Import % of inputs</c:v>
          </c:tx>
          <c:spPr>
            <a:ln w="28575" cap="rnd">
              <a:solidFill>
                <a:schemeClr val="accent2"/>
              </a:solidFill>
              <a:prstDash val="sysDot"/>
              <a:round/>
            </a:ln>
            <a:effectLst/>
          </c:spPr>
          <c:marker>
            <c:symbol val="none"/>
          </c:marker>
          <c:cat>
            <c:numRef>
              <c:f>'Table 1+6 SEZ vs non-SEZ+fig4MS'!$C$74:$C$80</c:f>
              <c:numCache>
                <c:formatCode>General</c:formatCode>
                <c:ptCount val="7"/>
                <c:pt idx="0">
                  <c:v>1993</c:v>
                </c:pt>
                <c:pt idx="1">
                  <c:v>1996</c:v>
                </c:pt>
                <c:pt idx="2">
                  <c:v>1999</c:v>
                </c:pt>
                <c:pt idx="3">
                  <c:v>2002</c:v>
                </c:pt>
                <c:pt idx="4">
                  <c:v>2005</c:v>
                </c:pt>
                <c:pt idx="5">
                  <c:v>2008</c:v>
                </c:pt>
                <c:pt idx="6">
                  <c:v>2010</c:v>
                </c:pt>
              </c:numCache>
            </c:numRef>
          </c:cat>
          <c:val>
            <c:numRef>
              <c:f>'Table 1+6 SEZ vs non-SEZ+fig4MS'!$K$65:$K$71</c:f>
              <c:numCache>
                <c:formatCode>General</c:formatCode>
                <c:ptCount val="7"/>
                <c:pt idx="0">
                  <c:v>0.17330263421435799</c:v>
                </c:pt>
                <c:pt idx="1">
                  <c:v>0.16649744898397001</c:v>
                </c:pt>
                <c:pt idx="2">
                  <c:v>0.19020986832940001</c:v>
                </c:pt>
                <c:pt idx="3">
                  <c:v>0.18787896224339101</c:v>
                </c:pt>
                <c:pt idx="4">
                  <c:v>0.174934967587111</c:v>
                </c:pt>
                <c:pt idx="5">
                  <c:v>0.16009898587865201</c:v>
                </c:pt>
                <c:pt idx="6">
                  <c:v>0.14965903433312699</c:v>
                </c:pt>
              </c:numCache>
            </c:numRef>
          </c:val>
          <c:smooth val="0"/>
        </c:ser>
        <c:dLbls>
          <c:showLegendKey val="0"/>
          <c:showVal val="0"/>
          <c:showCatName val="0"/>
          <c:showSerName val="0"/>
          <c:showPercent val="0"/>
          <c:showBubbleSize val="0"/>
        </c:dLbls>
        <c:smooth val="0"/>
        <c:axId val="637029792"/>
        <c:axId val="637030184"/>
      </c:lineChart>
      <c:catAx>
        <c:axId val="63702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7030184"/>
        <c:crosses val="autoZero"/>
        <c:auto val="1"/>
        <c:lblAlgn val="ctr"/>
        <c:lblOffset val="100"/>
        <c:noMultiLvlLbl val="0"/>
      </c:catAx>
      <c:valAx>
        <c:axId val="637030184"/>
        <c:scaling>
          <c:orientation val="minMax"/>
          <c:min val="0.150000000000000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702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458605809867"/>
          <c:y val="7.7594142259414203E-2"/>
          <c:w val="0.865514035321856"/>
          <c:h val="0.82198744769874499"/>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C000"/>
              </a:solidFill>
              <a:ln>
                <a:solidFill>
                  <a:srgbClr val="FFC000"/>
                </a:solidFill>
              </a:ln>
              <a:effectLst/>
            </c:spPr>
          </c:dPt>
          <c:dPt>
            <c:idx val="3"/>
            <c:invertIfNegative val="0"/>
            <c:bubble3D val="0"/>
            <c:spPr>
              <a:solidFill>
                <a:srgbClr val="FFC000"/>
              </a:solidFill>
              <a:ln>
                <a:solidFill>
                  <a:srgbClr val="FFC000"/>
                </a:solidFill>
              </a:ln>
              <a:effectLst/>
            </c:spPr>
          </c:dPt>
          <c:errBars>
            <c:errBarType val="both"/>
            <c:errValType val="fixedVal"/>
            <c:noEndCap val="0"/>
            <c:val val="5"/>
            <c:spPr>
              <a:noFill/>
              <a:ln w="15875" cap="flat" cmpd="sng" algn="ctr">
                <a:solidFill>
                  <a:schemeClr val="tx1">
                    <a:lumMod val="65000"/>
                    <a:lumOff val="35000"/>
                  </a:schemeClr>
                </a:solidFill>
                <a:round/>
              </a:ln>
              <a:effectLst/>
            </c:spPr>
          </c:errBars>
          <c:cat>
            <c:strRef>
              <c:f>'Data 1'!$A$3:$A$6</c:f>
              <c:strCache>
                <c:ptCount val="4"/>
                <c:pt idx="0">
                  <c:v>Export value</c:v>
                </c:pt>
                <c:pt idx="1">
                  <c:v>Number of firms</c:v>
                </c:pt>
                <c:pt idx="2">
                  <c:v>Export value</c:v>
                </c:pt>
                <c:pt idx="3">
                  <c:v>Number of firms</c:v>
                </c:pt>
              </c:strCache>
            </c:strRef>
          </c:cat>
          <c:val>
            <c:numRef>
              <c:f>'Data 1'!$B$3:$B$6</c:f>
              <c:numCache>
                <c:formatCode>General</c:formatCode>
                <c:ptCount val="4"/>
                <c:pt idx="0">
                  <c:v>3.3</c:v>
                </c:pt>
                <c:pt idx="1">
                  <c:v>6.9</c:v>
                </c:pt>
                <c:pt idx="2">
                  <c:v>3.9</c:v>
                </c:pt>
                <c:pt idx="3">
                  <c:v>5.4</c:v>
                </c:pt>
              </c:numCache>
            </c:numRef>
          </c:val>
        </c:ser>
        <c:dLbls>
          <c:showLegendKey val="0"/>
          <c:showVal val="0"/>
          <c:showCatName val="0"/>
          <c:showSerName val="0"/>
          <c:showPercent val="0"/>
          <c:showBubbleSize val="0"/>
        </c:dLbls>
        <c:gapWidth val="219"/>
        <c:overlap val="-27"/>
        <c:axId val="637030968"/>
        <c:axId val="637031360"/>
      </c:barChart>
      <c:catAx>
        <c:axId val="63703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637031360"/>
        <c:crosses val="autoZero"/>
        <c:auto val="1"/>
        <c:lblAlgn val="ctr"/>
        <c:lblOffset val="100"/>
        <c:noMultiLvlLbl val="0"/>
      </c:catAx>
      <c:valAx>
        <c:axId val="637031360"/>
        <c:scaling>
          <c:orientation val="minMax"/>
          <c:max val="12"/>
          <c:min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37030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542532593262"/>
          <c:y val="7.7594142259414203E-2"/>
          <c:w val="0.86343014500236603"/>
          <c:h val="0.85153740981122095"/>
        </c:manualLayout>
      </c:layout>
      <c:barChart>
        <c:barDir val="col"/>
        <c:grouping val="clustered"/>
        <c:varyColors val="0"/>
        <c:ser>
          <c:idx val="0"/>
          <c:order val="0"/>
          <c:tx>
            <c:v>Entry</c:v>
          </c:tx>
          <c:spPr>
            <a:solidFill>
              <a:schemeClr val="accent1"/>
            </a:solidFill>
            <a:ln>
              <a:noFill/>
            </a:ln>
            <a:effectLst/>
          </c:spPr>
          <c:invertIfNegative val="0"/>
          <c:errBars>
            <c:errBarType val="both"/>
            <c:errValType val="fixedVal"/>
            <c:noEndCap val="0"/>
            <c:val val="3.8"/>
            <c:spPr>
              <a:noFill/>
              <a:ln w="9525" cap="flat" cmpd="sng" algn="ctr">
                <a:solidFill>
                  <a:schemeClr val="tx1">
                    <a:lumMod val="65000"/>
                    <a:lumOff val="35000"/>
                  </a:schemeClr>
                </a:solidFill>
                <a:round/>
              </a:ln>
              <a:effectLst/>
            </c:spPr>
          </c:errBars>
          <c:cat>
            <c:strRef>
              <c:f>'Data 2'!$B$5:$B$8</c:f>
              <c:strCache>
                <c:ptCount val="4"/>
                <c:pt idx="0">
                  <c:v>Firms in SEZ in priority sectors after 2008 </c:v>
                </c:pt>
                <c:pt idx="1">
                  <c:v>Firms outside SEZ in priority sectors after 2008</c:v>
                </c:pt>
                <c:pt idx="2">
                  <c:v>Firms in SEZ in non-priority sectors after 2012</c:v>
                </c:pt>
                <c:pt idx="3">
                  <c:v>Firms outside SEZ in non-priority sectors after 2012</c:v>
                </c:pt>
              </c:strCache>
            </c:strRef>
          </c:cat>
          <c:val>
            <c:numRef>
              <c:f>'Data 2'!$C$5:$C$8</c:f>
              <c:numCache>
                <c:formatCode>General</c:formatCode>
                <c:ptCount val="4"/>
                <c:pt idx="0">
                  <c:v>3.5</c:v>
                </c:pt>
                <c:pt idx="1">
                  <c:v>1</c:v>
                </c:pt>
                <c:pt idx="2">
                  <c:v>9.7000000000000011</c:v>
                </c:pt>
                <c:pt idx="3">
                  <c:v>0.2</c:v>
                </c:pt>
              </c:numCache>
            </c:numRef>
          </c:val>
        </c:ser>
        <c:ser>
          <c:idx val="1"/>
          <c:order val="1"/>
          <c:tx>
            <c:v>Exit</c:v>
          </c:tx>
          <c:spPr>
            <a:solidFill>
              <a:srgbClr val="FFC000"/>
            </a:solidFill>
            <a:ln>
              <a:solidFill>
                <a:srgbClr val="FFC000"/>
              </a:solidFill>
            </a:ln>
            <a:effectLst/>
          </c:spPr>
          <c:invertIfNegative val="0"/>
          <c:errBars>
            <c:errBarType val="both"/>
            <c:errValType val="fixedVal"/>
            <c:noEndCap val="0"/>
            <c:val val="3.92"/>
            <c:spPr>
              <a:noFill/>
              <a:ln w="9525" cap="flat" cmpd="sng" algn="ctr">
                <a:solidFill>
                  <a:schemeClr val="tx1">
                    <a:lumMod val="65000"/>
                    <a:lumOff val="35000"/>
                  </a:schemeClr>
                </a:solidFill>
                <a:round/>
              </a:ln>
              <a:effectLst/>
            </c:spPr>
          </c:errBars>
          <c:cat>
            <c:strRef>
              <c:f>'Data 2'!$B$5:$B$8</c:f>
              <c:strCache>
                <c:ptCount val="4"/>
                <c:pt idx="0">
                  <c:v>Firms in SEZ in priority sectors after 2008 </c:v>
                </c:pt>
                <c:pt idx="1">
                  <c:v>Firms outside SEZ in priority sectors after 2008</c:v>
                </c:pt>
                <c:pt idx="2">
                  <c:v>Firms in SEZ in non-priority sectors after 2012</c:v>
                </c:pt>
                <c:pt idx="3">
                  <c:v>Firms outside SEZ in non-priority sectors after 2012</c:v>
                </c:pt>
              </c:strCache>
            </c:strRef>
          </c:cat>
          <c:val>
            <c:numRef>
              <c:f>'Data 2'!$D$5:$D$8</c:f>
              <c:numCache>
                <c:formatCode>General</c:formatCode>
                <c:ptCount val="4"/>
                <c:pt idx="0">
                  <c:v>-2.4</c:v>
                </c:pt>
                <c:pt idx="1">
                  <c:v>4</c:v>
                </c:pt>
                <c:pt idx="2">
                  <c:v>-3.9</c:v>
                </c:pt>
                <c:pt idx="3">
                  <c:v>-1.6</c:v>
                </c:pt>
              </c:numCache>
            </c:numRef>
          </c:val>
        </c:ser>
        <c:dLbls>
          <c:showLegendKey val="0"/>
          <c:showVal val="0"/>
          <c:showCatName val="0"/>
          <c:showSerName val="0"/>
          <c:showPercent val="0"/>
          <c:showBubbleSize val="0"/>
        </c:dLbls>
        <c:gapWidth val="219"/>
        <c:overlap val="-27"/>
        <c:axId val="637032144"/>
        <c:axId val="637032536"/>
      </c:barChart>
      <c:catAx>
        <c:axId val="6370321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1000" b="0" i="0" u="none" strike="noStrike" kern="1200" baseline="0">
                <a:solidFill>
                  <a:sysClr val="windowText" lastClr="000000"/>
                </a:solidFill>
                <a:latin typeface="+mn-lt"/>
                <a:ea typeface="+mn-ea"/>
                <a:cs typeface="+mn-cs"/>
              </a:defRPr>
            </a:pPr>
            <a:endParaRPr lang="en-US"/>
          </a:p>
        </c:txPr>
        <c:crossAx val="637032536"/>
        <c:crosses val="autoZero"/>
        <c:auto val="1"/>
        <c:lblAlgn val="ctr"/>
        <c:lblOffset val="100"/>
        <c:noMultiLvlLbl val="0"/>
      </c:catAx>
      <c:valAx>
        <c:axId val="637032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032144"/>
        <c:crosses val="autoZero"/>
        <c:crossBetween val="between"/>
      </c:valAx>
      <c:spPr>
        <a:noFill/>
        <a:ln w="25400">
          <a:noFill/>
        </a:ln>
        <a:effectLst/>
      </c:spPr>
    </c:plotArea>
    <c:legend>
      <c:legendPos val="tr"/>
      <c:layout>
        <c:manualLayout>
          <c:xMode val="edge"/>
          <c:yMode val="edge"/>
          <c:x val="0.84634588879542305"/>
          <c:y val="7.6898736746803295E-2"/>
          <c:w val="0.107231987615"/>
          <c:h val="0.15562910361255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0.56943</cdr:y>
    </cdr:from>
    <cdr:to>
      <cdr:x>0.09836</cdr:x>
      <cdr:y>0.72005</cdr:y>
    </cdr:to>
    <cdr:sp macro="" textlink="">
      <cdr:nvSpPr>
        <cdr:cNvPr id="3" name="TextBox 2"/>
        <cdr:cNvSpPr txBox="1"/>
      </cdr:nvSpPr>
      <cdr:spPr>
        <a:xfrm xmlns:a="http://schemas.openxmlformats.org/drawingml/2006/main">
          <a:off x="0" y="1090183"/>
          <a:ext cx="442207" cy="288366"/>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US" sz="1000" b="0" dirty="0"/>
            <a:t>Percentage</a:t>
          </a:r>
          <a:r>
            <a:rPr lang="en-US" sz="1000" b="0" baseline="0" dirty="0"/>
            <a:t> points</a:t>
          </a:r>
          <a:endParaRPr lang="en-US" sz="1000" b="0" dirty="0"/>
        </a:p>
      </cdr:txBody>
    </cdr:sp>
  </cdr:relSizeAnchor>
  <cdr:relSizeAnchor xmlns:cdr="http://schemas.openxmlformats.org/drawingml/2006/chartDrawing">
    <cdr:from>
      <cdr:x>0.19536</cdr:x>
      <cdr:y>0.82636</cdr:y>
    </cdr:from>
    <cdr:to>
      <cdr:x>0.29372</cdr:x>
      <cdr:y>0.97699</cdr:y>
    </cdr:to>
    <cdr:sp macro="" textlink="">
      <cdr:nvSpPr>
        <cdr:cNvPr id="4" name="TextBox 3"/>
        <cdr:cNvSpPr txBox="1"/>
      </cdr:nvSpPr>
      <cdr:spPr>
        <a:xfrm xmlns:a="http://schemas.openxmlformats.org/drawingml/2006/main">
          <a:off x="1816100" y="5016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b="1" dirty="0" smtClean="0"/>
            <a:t> Priority</a:t>
          </a:r>
          <a:r>
            <a:rPr lang="en-US" sz="800" b="1" baseline="0" dirty="0" smtClean="0"/>
            <a:t> </a:t>
          </a:r>
          <a:r>
            <a:rPr lang="en-US" sz="800" b="1" baseline="0" dirty="0"/>
            <a:t>sectors after 2008         </a:t>
          </a:r>
          <a:r>
            <a:rPr lang="en-US" sz="800" b="1" baseline="0" dirty="0" smtClean="0"/>
            <a:t>                      </a:t>
          </a:r>
          <a:r>
            <a:rPr lang="en-US" sz="800" b="1" baseline="0" dirty="0"/>
            <a:t>Non-priority sectors after 2012</a:t>
          </a:r>
          <a:endParaRPr lang="en-US" sz="800" b="1" dirty="0"/>
        </a:p>
      </cdr:txBody>
    </cdr:sp>
  </cdr:relSizeAnchor>
</c:userShapes>
</file>

<file path=word/drawings/drawing2.xml><?xml version="1.0" encoding="utf-8"?>
<c:userShapes xmlns:c="http://schemas.openxmlformats.org/drawingml/2006/chart">
  <cdr:relSizeAnchor xmlns:cdr="http://schemas.openxmlformats.org/drawingml/2006/chartDrawing">
    <cdr:from>
      <cdr:x>0.02869</cdr:x>
      <cdr:y>0.52092</cdr:y>
    </cdr:from>
    <cdr:to>
      <cdr:x>0.12705</cdr:x>
      <cdr:y>0.67155</cdr:y>
    </cdr:to>
    <cdr:sp macro="" textlink="">
      <cdr:nvSpPr>
        <cdr:cNvPr id="2" name="TextBox 1"/>
        <cdr:cNvSpPr txBox="1"/>
      </cdr:nvSpPr>
      <cdr:spPr>
        <a:xfrm xmlns:a="http://schemas.openxmlformats.org/drawingml/2006/main">
          <a:off x="266700" y="3162300"/>
          <a:ext cx="914400" cy="914400"/>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US" sz="1200" dirty="0"/>
            <a:t>Percentage points</a:t>
          </a: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Daniel format">
      <a:majorFont>
        <a:latin typeface="Times New Roman"/>
        <a:ea typeface=""/>
        <a:cs typeface=""/>
      </a:majorFont>
      <a:minorFont>
        <a:latin typeface="Times New Roman"/>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31DF-1F4D-43CE-A294-233850B6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11782</Words>
  <Characters>67159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Reyes</dc:creator>
  <cp:keywords/>
  <dc:description/>
  <cp:lastModifiedBy>Daniel Reyes</cp:lastModifiedBy>
  <cp:revision>2</cp:revision>
  <cp:lastPrinted>2016-12-05T17:55:00Z</cp:lastPrinted>
  <dcterms:created xsi:type="dcterms:W3CDTF">2017-02-28T18:41:00Z</dcterms:created>
  <dcterms:modified xsi:type="dcterms:W3CDTF">2017-02-28T18:41:00Z</dcterms:modified>
</cp:coreProperties>
</file>