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27D7" w14:textId="09940F44" w:rsidR="00216F3C" w:rsidRDefault="002B3816">
      <w:pPr>
        <w:spacing w:after="165" w:line="249" w:lineRule="auto"/>
        <w:ind w:left="1028" w:right="959" w:firstLine="0"/>
        <w:jc w:val="center"/>
      </w:pPr>
      <w:r>
        <w:rPr>
          <w:b/>
          <w:sz w:val="28"/>
        </w:rPr>
        <w:t xml:space="preserve">PROJECT INFORMATION DOCUMENT (PID) </w:t>
      </w:r>
      <w:r w:rsidR="009A4A63">
        <w:rPr>
          <w:b/>
          <w:sz w:val="28"/>
        </w:rPr>
        <w:t>APPRAISAL</w:t>
      </w:r>
      <w:r>
        <w:rPr>
          <w:b/>
          <w:sz w:val="28"/>
        </w:rPr>
        <w:t xml:space="preserve"> STAGE</w:t>
      </w:r>
    </w:p>
    <w:p w14:paraId="7C7F518C" w14:textId="441A7798" w:rsidR="00216F3C" w:rsidRPr="004B4CF9" w:rsidRDefault="002B3816">
      <w:pPr>
        <w:spacing w:after="187" w:line="259" w:lineRule="auto"/>
        <w:ind w:left="0" w:right="29" w:firstLine="0"/>
        <w:jc w:val="right"/>
      </w:pPr>
      <w:r w:rsidRPr="004B4CF9">
        <w:t>Report No.:</w:t>
      </w:r>
      <w:r w:rsidR="007D5025" w:rsidRPr="004B4CF9">
        <w:t xml:space="preserve"> 136006</w:t>
      </w:r>
    </w:p>
    <w:tbl>
      <w:tblPr>
        <w:tblStyle w:val="TableGrid"/>
        <w:tblW w:w="9360" w:type="dxa"/>
        <w:tblInd w:w="0" w:type="dxa"/>
        <w:tblCellMar>
          <w:left w:w="52" w:type="dxa"/>
          <w:right w:w="115" w:type="dxa"/>
        </w:tblCellMar>
        <w:tblLook w:val="04A0" w:firstRow="1" w:lastRow="0" w:firstColumn="1" w:lastColumn="0" w:noHBand="0" w:noVBand="1"/>
      </w:tblPr>
      <w:tblGrid>
        <w:gridCol w:w="2592"/>
        <w:gridCol w:w="6768"/>
      </w:tblGrid>
      <w:tr w:rsidR="00216F3C" w14:paraId="4AB983F5" w14:textId="77777777">
        <w:trPr>
          <w:trHeight w:val="344"/>
        </w:trPr>
        <w:tc>
          <w:tcPr>
            <w:tcW w:w="2592" w:type="dxa"/>
            <w:tcBorders>
              <w:top w:val="single" w:sz="4" w:space="0" w:color="000000"/>
              <w:left w:val="single" w:sz="4" w:space="0" w:color="000000"/>
              <w:bottom w:val="single" w:sz="4" w:space="0" w:color="000000"/>
              <w:right w:val="single" w:sz="4" w:space="0" w:color="000000"/>
            </w:tcBorders>
          </w:tcPr>
          <w:p w14:paraId="3B685E06" w14:textId="77777777" w:rsidR="00216F3C" w:rsidRDefault="002B3816">
            <w:pPr>
              <w:spacing w:after="0" w:line="259" w:lineRule="auto"/>
              <w:ind w:left="0" w:firstLine="0"/>
            </w:pPr>
            <w:r>
              <w:rPr>
                <w:b/>
                <w:sz w:val="24"/>
              </w:rPr>
              <w:t>Project Name</w:t>
            </w:r>
          </w:p>
        </w:tc>
        <w:tc>
          <w:tcPr>
            <w:tcW w:w="6768" w:type="dxa"/>
            <w:tcBorders>
              <w:top w:val="single" w:sz="4" w:space="0" w:color="000000"/>
              <w:left w:val="single" w:sz="4" w:space="0" w:color="000000"/>
              <w:bottom w:val="single" w:sz="4" w:space="0" w:color="000000"/>
              <w:right w:val="single" w:sz="4" w:space="0" w:color="000000"/>
            </w:tcBorders>
          </w:tcPr>
          <w:p w14:paraId="2DEBD0E4" w14:textId="5B125491" w:rsidR="00216F3C" w:rsidRDefault="000B0D9E">
            <w:pPr>
              <w:spacing w:after="0" w:line="259" w:lineRule="auto"/>
              <w:ind w:left="0" w:firstLine="0"/>
            </w:pPr>
            <w:r>
              <w:t xml:space="preserve">REDD+ </w:t>
            </w:r>
            <w:r w:rsidR="002B3816">
              <w:t>Readiness preparation - Togo (P149942)</w:t>
            </w:r>
          </w:p>
        </w:tc>
      </w:tr>
      <w:tr w:rsidR="00216F3C" w14:paraId="7569DDB8" w14:textId="77777777">
        <w:trPr>
          <w:trHeight w:val="344"/>
        </w:trPr>
        <w:tc>
          <w:tcPr>
            <w:tcW w:w="2592" w:type="dxa"/>
            <w:tcBorders>
              <w:top w:val="single" w:sz="4" w:space="0" w:color="000000"/>
              <w:left w:val="single" w:sz="4" w:space="0" w:color="000000"/>
              <w:bottom w:val="single" w:sz="4" w:space="0" w:color="000000"/>
              <w:right w:val="single" w:sz="4" w:space="0" w:color="000000"/>
            </w:tcBorders>
          </w:tcPr>
          <w:p w14:paraId="4A0832A2" w14:textId="77777777" w:rsidR="00216F3C" w:rsidRDefault="002B3816">
            <w:pPr>
              <w:spacing w:after="0" w:line="259" w:lineRule="auto"/>
              <w:ind w:left="0" w:firstLine="0"/>
            </w:pPr>
            <w:r>
              <w:rPr>
                <w:b/>
                <w:sz w:val="24"/>
              </w:rPr>
              <w:t>Region</w:t>
            </w:r>
          </w:p>
        </w:tc>
        <w:tc>
          <w:tcPr>
            <w:tcW w:w="6768" w:type="dxa"/>
            <w:tcBorders>
              <w:top w:val="single" w:sz="4" w:space="0" w:color="000000"/>
              <w:left w:val="single" w:sz="4" w:space="0" w:color="000000"/>
              <w:bottom w:val="single" w:sz="4" w:space="0" w:color="000000"/>
              <w:right w:val="single" w:sz="4" w:space="0" w:color="000000"/>
            </w:tcBorders>
          </w:tcPr>
          <w:p w14:paraId="378B4885" w14:textId="77777777" w:rsidR="00216F3C" w:rsidRDefault="002B3816">
            <w:pPr>
              <w:spacing w:after="0" w:line="259" w:lineRule="auto"/>
              <w:ind w:left="0" w:firstLine="0"/>
            </w:pPr>
            <w:r>
              <w:t>AFRICA</w:t>
            </w:r>
            <w:bookmarkStart w:id="0" w:name="_GoBack"/>
            <w:bookmarkEnd w:id="0"/>
          </w:p>
        </w:tc>
      </w:tr>
      <w:tr w:rsidR="00216F3C" w14:paraId="0A811A94" w14:textId="77777777">
        <w:trPr>
          <w:trHeight w:val="344"/>
        </w:trPr>
        <w:tc>
          <w:tcPr>
            <w:tcW w:w="2592" w:type="dxa"/>
            <w:tcBorders>
              <w:top w:val="single" w:sz="4" w:space="0" w:color="000000"/>
              <w:left w:val="single" w:sz="4" w:space="0" w:color="000000"/>
              <w:bottom w:val="single" w:sz="4" w:space="0" w:color="000000"/>
              <w:right w:val="single" w:sz="4" w:space="0" w:color="000000"/>
            </w:tcBorders>
          </w:tcPr>
          <w:p w14:paraId="796BE004" w14:textId="77777777" w:rsidR="00216F3C" w:rsidRDefault="002B3816">
            <w:pPr>
              <w:spacing w:after="0" w:line="259" w:lineRule="auto"/>
              <w:ind w:left="0" w:firstLine="0"/>
            </w:pPr>
            <w:r>
              <w:rPr>
                <w:b/>
                <w:sz w:val="24"/>
              </w:rPr>
              <w:t>Country</w:t>
            </w:r>
          </w:p>
        </w:tc>
        <w:tc>
          <w:tcPr>
            <w:tcW w:w="6768" w:type="dxa"/>
            <w:tcBorders>
              <w:top w:val="single" w:sz="4" w:space="0" w:color="000000"/>
              <w:left w:val="single" w:sz="4" w:space="0" w:color="000000"/>
              <w:bottom w:val="single" w:sz="4" w:space="0" w:color="000000"/>
              <w:right w:val="single" w:sz="4" w:space="0" w:color="000000"/>
            </w:tcBorders>
          </w:tcPr>
          <w:p w14:paraId="3A7DE32D" w14:textId="77777777" w:rsidR="00216F3C" w:rsidRDefault="002B3816">
            <w:pPr>
              <w:spacing w:after="0" w:line="259" w:lineRule="auto"/>
              <w:ind w:left="0" w:firstLine="0"/>
            </w:pPr>
            <w:r>
              <w:t>Togo</w:t>
            </w:r>
          </w:p>
        </w:tc>
      </w:tr>
      <w:tr w:rsidR="00216F3C" w14:paraId="186FA65C" w14:textId="77777777">
        <w:trPr>
          <w:trHeight w:val="588"/>
        </w:trPr>
        <w:tc>
          <w:tcPr>
            <w:tcW w:w="2592" w:type="dxa"/>
            <w:tcBorders>
              <w:top w:val="single" w:sz="4" w:space="0" w:color="000000"/>
              <w:left w:val="single" w:sz="4" w:space="0" w:color="000000"/>
              <w:bottom w:val="single" w:sz="4" w:space="0" w:color="000000"/>
              <w:right w:val="single" w:sz="4" w:space="0" w:color="000000"/>
            </w:tcBorders>
          </w:tcPr>
          <w:p w14:paraId="15E56274" w14:textId="77777777" w:rsidR="00216F3C" w:rsidRDefault="002B3816">
            <w:pPr>
              <w:spacing w:after="0" w:line="259" w:lineRule="auto"/>
              <w:ind w:left="0" w:firstLine="0"/>
            </w:pPr>
            <w:r>
              <w:rPr>
                <w:b/>
                <w:sz w:val="24"/>
              </w:rPr>
              <w:t>Sector(s)</w:t>
            </w:r>
          </w:p>
        </w:tc>
        <w:tc>
          <w:tcPr>
            <w:tcW w:w="6768" w:type="dxa"/>
            <w:tcBorders>
              <w:top w:val="single" w:sz="4" w:space="0" w:color="000000"/>
              <w:left w:val="single" w:sz="4" w:space="0" w:color="000000"/>
              <w:bottom w:val="single" w:sz="4" w:space="0" w:color="000000"/>
              <w:right w:val="single" w:sz="4" w:space="0" w:color="000000"/>
            </w:tcBorders>
          </w:tcPr>
          <w:p w14:paraId="1BFEC8F2" w14:textId="77777777" w:rsidR="00216F3C" w:rsidRDefault="002B3816">
            <w:pPr>
              <w:spacing w:after="0" w:line="259" w:lineRule="auto"/>
              <w:ind w:left="0" w:firstLine="0"/>
            </w:pPr>
            <w:r>
              <w:t>Forestry (60%), Public administration- Agriculture, fishing and forestry (20%), General agriculture, fishing and forestry sector (20 %)</w:t>
            </w:r>
          </w:p>
        </w:tc>
      </w:tr>
      <w:tr w:rsidR="00216F3C" w14:paraId="47069B69" w14:textId="77777777">
        <w:trPr>
          <w:trHeight w:val="588"/>
        </w:trPr>
        <w:tc>
          <w:tcPr>
            <w:tcW w:w="2592" w:type="dxa"/>
            <w:tcBorders>
              <w:top w:val="single" w:sz="4" w:space="0" w:color="000000"/>
              <w:left w:val="single" w:sz="4" w:space="0" w:color="000000"/>
              <w:bottom w:val="single" w:sz="4" w:space="0" w:color="000000"/>
              <w:right w:val="single" w:sz="4" w:space="0" w:color="000000"/>
            </w:tcBorders>
          </w:tcPr>
          <w:p w14:paraId="0E4DE4FA" w14:textId="77777777" w:rsidR="00216F3C" w:rsidRDefault="002B3816">
            <w:pPr>
              <w:spacing w:after="0" w:line="259" w:lineRule="auto"/>
              <w:ind w:left="0" w:firstLine="0"/>
            </w:pPr>
            <w:r>
              <w:rPr>
                <w:b/>
                <w:sz w:val="24"/>
              </w:rPr>
              <w:t>Theme(s)</w:t>
            </w:r>
          </w:p>
        </w:tc>
        <w:tc>
          <w:tcPr>
            <w:tcW w:w="6768" w:type="dxa"/>
            <w:tcBorders>
              <w:top w:val="single" w:sz="4" w:space="0" w:color="000000"/>
              <w:left w:val="single" w:sz="4" w:space="0" w:color="000000"/>
              <w:bottom w:val="single" w:sz="4" w:space="0" w:color="000000"/>
              <w:right w:val="single" w:sz="4" w:space="0" w:color="000000"/>
            </w:tcBorders>
          </w:tcPr>
          <w:p w14:paraId="5D55FE38" w14:textId="77777777" w:rsidR="00216F3C" w:rsidRDefault="002B3816">
            <w:pPr>
              <w:spacing w:after="0" w:line="259" w:lineRule="auto"/>
              <w:ind w:left="0" w:firstLine="0"/>
            </w:pPr>
            <w:r>
              <w:t>Climate change (70%), Environmental policies and institutions (20%), Other rural development (10%)</w:t>
            </w:r>
          </w:p>
        </w:tc>
      </w:tr>
      <w:tr w:rsidR="00216F3C" w14:paraId="75B8A75F" w14:textId="77777777">
        <w:trPr>
          <w:trHeight w:val="344"/>
        </w:trPr>
        <w:tc>
          <w:tcPr>
            <w:tcW w:w="2592" w:type="dxa"/>
            <w:tcBorders>
              <w:top w:val="single" w:sz="4" w:space="0" w:color="000000"/>
              <w:left w:val="single" w:sz="4" w:space="0" w:color="000000"/>
              <w:bottom w:val="single" w:sz="4" w:space="0" w:color="000000"/>
              <w:right w:val="single" w:sz="4" w:space="0" w:color="000000"/>
            </w:tcBorders>
          </w:tcPr>
          <w:p w14:paraId="6384E8A7" w14:textId="77777777" w:rsidR="00216F3C" w:rsidRDefault="002B3816">
            <w:pPr>
              <w:spacing w:after="0" w:line="259" w:lineRule="auto"/>
              <w:ind w:left="0" w:firstLine="0"/>
            </w:pPr>
            <w:r>
              <w:rPr>
                <w:b/>
                <w:sz w:val="24"/>
              </w:rPr>
              <w:t>Project ID</w:t>
            </w:r>
          </w:p>
        </w:tc>
        <w:tc>
          <w:tcPr>
            <w:tcW w:w="6768" w:type="dxa"/>
            <w:tcBorders>
              <w:top w:val="single" w:sz="4" w:space="0" w:color="000000"/>
              <w:left w:val="single" w:sz="4" w:space="0" w:color="000000"/>
              <w:bottom w:val="single" w:sz="4" w:space="0" w:color="000000"/>
              <w:right w:val="single" w:sz="4" w:space="0" w:color="000000"/>
            </w:tcBorders>
          </w:tcPr>
          <w:p w14:paraId="7CDE42E1" w14:textId="77777777" w:rsidR="00216F3C" w:rsidRDefault="002B3816">
            <w:pPr>
              <w:spacing w:after="0" w:line="259" w:lineRule="auto"/>
              <w:ind w:left="0" w:firstLine="0"/>
            </w:pPr>
            <w:r>
              <w:t>P149942</w:t>
            </w:r>
          </w:p>
        </w:tc>
      </w:tr>
      <w:tr w:rsidR="00216F3C" w14:paraId="6EF7845E" w14:textId="77777777">
        <w:trPr>
          <w:trHeight w:val="344"/>
        </w:trPr>
        <w:tc>
          <w:tcPr>
            <w:tcW w:w="2592" w:type="dxa"/>
            <w:tcBorders>
              <w:top w:val="single" w:sz="4" w:space="0" w:color="000000"/>
              <w:left w:val="single" w:sz="4" w:space="0" w:color="000000"/>
              <w:bottom w:val="single" w:sz="4" w:space="0" w:color="000000"/>
              <w:right w:val="single" w:sz="4" w:space="0" w:color="000000"/>
            </w:tcBorders>
          </w:tcPr>
          <w:p w14:paraId="47F9EE9B" w14:textId="77777777" w:rsidR="00216F3C" w:rsidRDefault="002B3816">
            <w:pPr>
              <w:spacing w:after="0" w:line="259" w:lineRule="auto"/>
              <w:ind w:left="0" w:firstLine="0"/>
            </w:pPr>
            <w:r>
              <w:rPr>
                <w:b/>
                <w:sz w:val="24"/>
              </w:rPr>
              <w:t>Borrower(s)</w:t>
            </w:r>
          </w:p>
        </w:tc>
        <w:tc>
          <w:tcPr>
            <w:tcW w:w="6768" w:type="dxa"/>
            <w:tcBorders>
              <w:top w:val="single" w:sz="4" w:space="0" w:color="000000"/>
              <w:left w:val="single" w:sz="4" w:space="0" w:color="000000"/>
              <w:bottom w:val="single" w:sz="4" w:space="0" w:color="000000"/>
              <w:right w:val="single" w:sz="4" w:space="0" w:color="000000"/>
            </w:tcBorders>
          </w:tcPr>
          <w:p w14:paraId="5A439D54" w14:textId="63ACDD47" w:rsidR="00216F3C" w:rsidRPr="000D3A6A" w:rsidRDefault="000D3A6A">
            <w:pPr>
              <w:spacing w:after="160" w:line="259" w:lineRule="auto"/>
              <w:ind w:left="0" w:firstLine="0"/>
            </w:pPr>
            <w:r w:rsidRPr="000D3A6A">
              <w:rPr>
                <w:bCs/>
              </w:rPr>
              <w:t>Republic of Togo</w:t>
            </w:r>
          </w:p>
        </w:tc>
      </w:tr>
      <w:tr w:rsidR="00216F3C" w14:paraId="06A7A00F" w14:textId="77777777">
        <w:trPr>
          <w:trHeight w:val="344"/>
        </w:trPr>
        <w:tc>
          <w:tcPr>
            <w:tcW w:w="2592" w:type="dxa"/>
            <w:tcBorders>
              <w:top w:val="single" w:sz="4" w:space="0" w:color="000000"/>
              <w:left w:val="single" w:sz="4" w:space="0" w:color="000000"/>
              <w:bottom w:val="single" w:sz="4" w:space="0" w:color="000000"/>
              <w:right w:val="single" w:sz="4" w:space="0" w:color="000000"/>
            </w:tcBorders>
          </w:tcPr>
          <w:p w14:paraId="289DF6B9" w14:textId="77777777" w:rsidR="00216F3C" w:rsidRDefault="002B3816">
            <w:pPr>
              <w:spacing w:after="0" w:line="259" w:lineRule="auto"/>
              <w:ind w:left="0" w:firstLine="0"/>
            </w:pPr>
            <w:r>
              <w:rPr>
                <w:b/>
                <w:sz w:val="24"/>
              </w:rPr>
              <w:t>Implementing Agency</w:t>
            </w:r>
          </w:p>
        </w:tc>
        <w:tc>
          <w:tcPr>
            <w:tcW w:w="6768" w:type="dxa"/>
            <w:tcBorders>
              <w:top w:val="single" w:sz="4" w:space="0" w:color="000000"/>
              <w:left w:val="single" w:sz="4" w:space="0" w:color="000000"/>
              <w:bottom w:val="single" w:sz="4" w:space="0" w:color="000000"/>
              <w:right w:val="single" w:sz="4" w:space="0" w:color="000000"/>
            </w:tcBorders>
          </w:tcPr>
          <w:p w14:paraId="4F0ED253" w14:textId="6A91F354" w:rsidR="00216F3C" w:rsidRPr="000D3A6A" w:rsidRDefault="000D3A6A">
            <w:pPr>
              <w:spacing w:after="160" w:line="259" w:lineRule="auto"/>
              <w:ind w:left="0" w:firstLine="0"/>
            </w:pPr>
            <w:r w:rsidRPr="000D3A6A">
              <w:rPr>
                <w:bCs/>
              </w:rPr>
              <w:t>Ministry of Environment and Forest Resources</w:t>
            </w:r>
          </w:p>
        </w:tc>
      </w:tr>
      <w:tr w:rsidR="00216F3C" w14:paraId="586A0035" w14:textId="77777777">
        <w:trPr>
          <w:trHeight w:val="632"/>
        </w:trPr>
        <w:tc>
          <w:tcPr>
            <w:tcW w:w="2592" w:type="dxa"/>
            <w:tcBorders>
              <w:top w:val="single" w:sz="4" w:space="0" w:color="000000"/>
              <w:left w:val="single" w:sz="4" w:space="0" w:color="000000"/>
              <w:bottom w:val="single" w:sz="4" w:space="0" w:color="000000"/>
              <w:right w:val="single" w:sz="4" w:space="0" w:color="000000"/>
            </w:tcBorders>
          </w:tcPr>
          <w:p w14:paraId="67B4141F" w14:textId="77777777" w:rsidR="00216F3C" w:rsidRDefault="002B3816">
            <w:pPr>
              <w:spacing w:after="0" w:line="259" w:lineRule="auto"/>
              <w:ind w:left="0" w:firstLine="0"/>
            </w:pPr>
            <w:r>
              <w:rPr>
                <w:b/>
                <w:sz w:val="24"/>
              </w:rPr>
              <w:t>Environmental Category</w:t>
            </w:r>
          </w:p>
        </w:tc>
        <w:tc>
          <w:tcPr>
            <w:tcW w:w="6768" w:type="dxa"/>
            <w:tcBorders>
              <w:top w:val="single" w:sz="4" w:space="0" w:color="000000"/>
              <w:left w:val="single" w:sz="4" w:space="0" w:color="000000"/>
              <w:bottom w:val="single" w:sz="4" w:space="0" w:color="000000"/>
              <w:right w:val="single" w:sz="4" w:space="0" w:color="000000"/>
            </w:tcBorders>
          </w:tcPr>
          <w:p w14:paraId="0274DDB4" w14:textId="4B54E651" w:rsidR="00216F3C" w:rsidRDefault="000B0D9E">
            <w:pPr>
              <w:spacing w:after="0" w:line="259" w:lineRule="auto"/>
              <w:ind w:left="0" w:firstLine="0"/>
            </w:pPr>
            <w:r>
              <w:t>B - Partial Assessment</w:t>
            </w:r>
          </w:p>
        </w:tc>
      </w:tr>
      <w:tr w:rsidR="00216F3C" w14:paraId="30E42D5E" w14:textId="77777777">
        <w:trPr>
          <w:trHeight w:val="632"/>
        </w:trPr>
        <w:tc>
          <w:tcPr>
            <w:tcW w:w="2592" w:type="dxa"/>
            <w:tcBorders>
              <w:top w:val="single" w:sz="4" w:space="0" w:color="000000"/>
              <w:left w:val="single" w:sz="4" w:space="0" w:color="000000"/>
              <w:bottom w:val="single" w:sz="4" w:space="0" w:color="000000"/>
              <w:right w:val="single" w:sz="4" w:space="0" w:color="000000"/>
            </w:tcBorders>
          </w:tcPr>
          <w:p w14:paraId="7596C579" w14:textId="77777777" w:rsidR="00216F3C" w:rsidRDefault="002B3816">
            <w:pPr>
              <w:spacing w:after="0" w:line="259" w:lineRule="auto"/>
              <w:ind w:left="0" w:firstLine="0"/>
            </w:pPr>
            <w:r>
              <w:rPr>
                <w:b/>
                <w:sz w:val="24"/>
              </w:rPr>
              <w:t>Date PID Prepared/ Updated</w:t>
            </w:r>
          </w:p>
        </w:tc>
        <w:tc>
          <w:tcPr>
            <w:tcW w:w="6768" w:type="dxa"/>
            <w:tcBorders>
              <w:top w:val="single" w:sz="4" w:space="0" w:color="000000"/>
              <w:left w:val="single" w:sz="4" w:space="0" w:color="000000"/>
              <w:bottom w:val="single" w:sz="4" w:space="0" w:color="000000"/>
              <w:right w:val="single" w:sz="4" w:space="0" w:color="000000"/>
            </w:tcBorders>
          </w:tcPr>
          <w:p w14:paraId="3422AA18" w14:textId="06989DF5" w:rsidR="00216F3C" w:rsidRDefault="00FA0222">
            <w:pPr>
              <w:spacing w:after="0" w:line="259" w:lineRule="auto"/>
              <w:ind w:left="0" w:firstLine="0"/>
            </w:pPr>
            <w:r>
              <w:t>January 28, 2019</w:t>
            </w:r>
          </w:p>
        </w:tc>
      </w:tr>
      <w:tr w:rsidR="00216F3C" w14:paraId="5CF0E6ED" w14:textId="77777777">
        <w:trPr>
          <w:trHeight w:val="632"/>
        </w:trPr>
        <w:tc>
          <w:tcPr>
            <w:tcW w:w="2592" w:type="dxa"/>
            <w:tcBorders>
              <w:top w:val="single" w:sz="4" w:space="0" w:color="000000"/>
              <w:left w:val="single" w:sz="4" w:space="0" w:color="000000"/>
              <w:bottom w:val="single" w:sz="4" w:space="0" w:color="000000"/>
              <w:right w:val="single" w:sz="4" w:space="0" w:color="000000"/>
            </w:tcBorders>
          </w:tcPr>
          <w:p w14:paraId="3CAD3009" w14:textId="77777777" w:rsidR="00216F3C" w:rsidRDefault="002B3816">
            <w:pPr>
              <w:spacing w:after="0" w:line="259" w:lineRule="auto"/>
              <w:ind w:left="0" w:firstLine="0"/>
            </w:pPr>
            <w:r>
              <w:rPr>
                <w:b/>
                <w:sz w:val="24"/>
              </w:rPr>
              <w:t>Date PID Approved/ Disclosed</w:t>
            </w:r>
          </w:p>
        </w:tc>
        <w:tc>
          <w:tcPr>
            <w:tcW w:w="6768" w:type="dxa"/>
            <w:tcBorders>
              <w:top w:val="single" w:sz="4" w:space="0" w:color="000000"/>
              <w:left w:val="single" w:sz="4" w:space="0" w:color="000000"/>
              <w:bottom w:val="single" w:sz="4" w:space="0" w:color="000000"/>
              <w:right w:val="single" w:sz="4" w:space="0" w:color="000000"/>
            </w:tcBorders>
          </w:tcPr>
          <w:p w14:paraId="5B18AEA5" w14:textId="454320E2" w:rsidR="00216F3C" w:rsidRDefault="00216F3C">
            <w:pPr>
              <w:spacing w:after="0" w:line="259" w:lineRule="auto"/>
              <w:ind w:left="0" w:firstLine="0"/>
            </w:pPr>
          </w:p>
        </w:tc>
      </w:tr>
      <w:tr w:rsidR="00216F3C" w14:paraId="77534B61" w14:textId="77777777">
        <w:trPr>
          <w:trHeight w:val="632"/>
        </w:trPr>
        <w:tc>
          <w:tcPr>
            <w:tcW w:w="2592" w:type="dxa"/>
            <w:tcBorders>
              <w:top w:val="single" w:sz="4" w:space="0" w:color="000000"/>
              <w:left w:val="single" w:sz="4" w:space="0" w:color="000000"/>
              <w:bottom w:val="single" w:sz="4" w:space="0" w:color="000000"/>
              <w:right w:val="single" w:sz="4" w:space="0" w:color="000000"/>
            </w:tcBorders>
          </w:tcPr>
          <w:p w14:paraId="20D7FD06" w14:textId="77777777" w:rsidR="00216F3C" w:rsidRDefault="002B3816">
            <w:pPr>
              <w:spacing w:after="0" w:line="259" w:lineRule="auto"/>
              <w:ind w:left="0" w:firstLine="0"/>
            </w:pPr>
            <w:r>
              <w:rPr>
                <w:b/>
                <w:sz w:val="24"/>
              </w:rPr>
              <w:t>Estimated Date of Board Approval</w:t>
            </w:r>
          </w:p>
        </w:tc>
        <w:tc>
          <w:tcPr>
            <w:tcW w:w="6768" w:type="dxa"/>
            <w:tcBorders>
              <w:top w:val="single" w:sz="4" w:space="0" w:color="000000"/>
              <w:left w:val="single" w:sz="4" w:space="0" w:color="000000"/>
              <w:bottom w:val="single" w:sz="4" w:space="0" w:color="000000"/>
              <w:right w:val="single" w:sz="4" w:space="0" w:color="000000"/>
            </w:tcBorders>
          </w:tcPr>
          <w:p w14:paraId="19128A60" w14:textId="545452E8" w:rsidR="00216F3C" w:rsidRDefault="000D3A6A">
            <w:pPr>
              <w:spacing w:after="160" w:line="259" w:lineRule="auto"/>
              <w:ind w:left="0" w:firstLine="0"/>
            </w:pPr>
            <w:r>
              <w:t>N/A</w:t>
            </w:r>
          </w:p>
        </w:tc>
      </w:tr>
    </w:tbl>
    <w:p w14:paraId="517FC585" w14:textId="77777777" w:rsidR="00D94552" w:rsidRDefault="00D94552" w:rsidP="00D94552">
      <w:pPr>
        <w:pStyle w:val="Heading1"/>
        <w:numPr>
          <w:ilvl w:val="0"/>
          <w:numId w:val="0"/>
        </w:numPr>
        <w:ind w:left="489"/>
      </w:pPr>
    </w:p>
    <w:p w14:paraId="2DC94DC5" w14:textId="77777777" w:rsidR="00216F3C" w:rsidRPr="0079590F" w:rsidRDefault="002B3816">
      <w:pPr>
        <w:pStyle w:val="Heading1"/>
        <w:ind w:left="489" w:hanging="452"/>
        <w:rPr>
          <w:color w:val="auto"/>
        </w:rPr>
      </w:pPr>
      <w:r w:rsidRPr="0079590F">
        <w:rPr>
          <w:color w:val="auto"/>
        </w:rPr>
        <w:t>Introduction and Context</w:t>
      </w:r>
    </w:p>
    <w:p w14:paraId="1EB938DD" w14:textId="77777777" w:rsidR="00D94552" w:rsidRPr="0079590F" w:rsidRDefault="00D94552">
      <w:pPr>
        <w:pStyle w:val="Heading2"/>
        <w:ind w:left="499"/>
        <w:rPr>
          <w:color w:val="auto"/>
        </w:rPr>
      </w:pPr>
    </w:p>
    <w:p w14:paraId="42C735E6" w14:textId="77777777" w:rsidR="00216F3C" w:rsidRPr="0079590F" w:rsidRDefault="002B3816" w:rsidP="00720A6B">
      <w:pPr>
        <w:pStyle w:val="Heading2"/>
        <w:ind w:left="499"/>
        <w:jc w:val="both"/>
        <w:rPr>
          <w:color w:val="auto"/>
        </w:rPr>
      </w:pPr>
      <w:r w:rsidRPr="0079590F">
        <w:rPr>
          <w:color w:val="auto"/>
        </w:rPr>
        <w:t>Country Context</w:t>
      </w:r>
    </w:p>
    <w:p w14:paraId="7B06F7D2" w14:textId="68F47F11" w:rsidR="00793120" w:rsidRPr="0079590F" w:rsidRDefault="002B3816" w:rsidP="00D6460F">
      <w:pPr>
        <w:autoSpaceDE w:val="0"/>
        <w:autoSpaceDN w:val="0"/>
        <w:adjustRightInd w:val="0"/>
        <w:spacing w:after="0" w:line="240" w:lineRule="auto"/>
        <w:ind w:left="0" w:firstLine="0"/>
        <w:jc w:val="both"/>
        <w:rPr>
          <w:color w:val="auto"/>
        </w:rPr>
      </w:pPr>
      <w:r w:rsidRPr="0079590F">
        <w:rPr>
          <w:color w:val="auto"/>
        </w:rPr>
        <w:t>With an area o</w:t>
      </w:r>
      <w:r w:rsidR="000D3A6A" w:rsidRPr="0079590F">
        <w:rPr>
          <w:color w:val="auto"/>
        </w:rPr>
        <w:t>f 56,600 k</w:t>
      </w:r>
      <w:r w:rsidR="00950D71" w:rsidRPr="0079590F">
        <w:rPr>
          <w:color w:val="auto"/>
        </w:rPr>
        <w:t>m</w:t>
      </w:r>
      <w:r w:rsidR="00950D71" w:rsidRPr="0079590F">
        <w:rPr>
          <w:color w:val="auto"/>
          <w:vertAlign w:val="superscript"/>
        </w:rPr>
        <w:t>2</w:t>
      </w:r>
      <w:r w:rsidR="00950D71" w:rsidRPr="0079590F">
        <w:rPr>
          <w:color w:val="auto"/>
        </w:rPr>
        <w:t xml:space="preserve"> and a population </w:t>
      </w:r>
      <w:r w:rsidR="00C92CC8" w:rsidRPr="0079590F">
        <w:rPr>
          <w:color w:val="auto"/>
          <w:lang w:val="en"/>
        </w:rPr>
        <w:t xml:space="preserve">estimated at 7,552,318 inhabitants in </w:t>
      </w:r>
      <w:r w:rsidR="000D3A6A" w:rsidRPr="0079590F">
        <w:rPr>
          <w:color w:val="auto"/>
          <w:lang w:val="en"/>
        </w:rPr>
        <w:t xml:space="preserve">2015, </w:t>
      </w:r>
      <w:r w:rsidR="00C92CC8" w:rsidRPr="0079590F">
        <w:rPr>
          <w:color w:val="auto"/>
          <w:lang w:val="en"/>
        </w:rPr>
        <w:t>of whom 51</w:t>
      </w:r>
      <w:r w:rsidR="000D3A6A" w:rsidRPr="0079590F">
        <w:rPr>
          <w:color w:val="auto"/>
          <w:lang w:val="en"/>
        </w:rPr>
        <w:t xml:space="preserve"> percent</w:t>
      </w:r>
      <w:r w:rsidR="00C92CC8" w:rsidRPr="0079590F">
        <w:rPr>
          <w:color w:val="auto"/>
          <w:lang w:val="en"/>
        </w:rPr>
        <w:t xml:space="preserve"> are women</w:t>
      </w:r>
      <w:r w:rsidR="000D3A6A" w:rsidRPr="0079590F">
        <w:rPr>
          <w:color w:val="auto"/>
          <w:lang w:val="en"/>
        </w:rPr>
        <w:t xml:space="preserve"> and 60 percent</w:t>
      </w:r>
      <w:r w:rsidR="00950D71" w:rsidRPr="0079590F">
        <w:rPr>
          <w:color w:val="auto"/>
          <w:lang w:val="en"/>
        </w:rPr>
        <w:t xml:space="preserve"> are under 25 years of age (</w:t>
      </w:r>
      <w:r w:rsidR="00C92CC8" w:rsidRPr="0079590F">
        <w:rPr>
          <w:color w:val="auto"/>
          <w:lang w:val="en"/>
        </w:rPr>
        <w:t>Togo's Population Outlook 2011-2031</w:t>
      </w:r>
      <w:r w:rsidRPr="0079590F">
        <w:rPr>
          <w:color w:val="auto"/>
        </w:rPr>
        <w:t>), Togo is a small country located in West Africa betwee</w:t>
      </w:r>
      <w:r w:rsidR="000D3A6A" w:rsidRPr="0079590F">
        <w:rPr>
          <w:color w:val="auto"/>
        </w:rPr>
        <w:t xml:space="preserve">n Ghana, Benin and Burkina-Faso. The country is </w:t>
      </w:r>
      <w:r w:rsidR="00950D71" w:rsidRPr="0079590F">
        <w:rPr>
          <w:color w:val="auto"/>
          <w:lang w:val="en"/>
        </w:rPr>
        <w:t>only 100 kilometers wide, creating a natural corridor that lends itself well to the country’s ambitions of becoming a transshipment hub and logistics platform for the West African subregion</w:t>
      </w:r>
      <w:r w:rsidR="00A645C7" w:rsidRPr="0079590F">
        <w:rPr>
          <w:color w:val="auto"/>
          <w:lang w:val="en"/>
        </w:rPr>
        <w:t>.</w:t>
      </w:r>
      <w:r w:rsidR="00950D71" w:rsidRPr="0079590F">
        <w:rPr>
          <w:color w:val="auto"/>
        </w:rPr>
        <w:t xml:space="preserve"> </w:t>
      </w:r>
      <w:r w:rsidR="00C92CC8" w:rsidRPr="0079590F">
        <w:rPr>
          <w:color w:val="auto"/>
        </w:rPr>
        <w:t>Just over a quarter of Togo’s population lives in the wealthier, more industrialized coastal area where the capital city of Lomé is located.</w:t>
      </w:r>
      <w:r w:rsidRPr="0079590F">
        <w:rPr>
          <w:color w:val="auto"/>
        </w:rPr>
        <w:t xml:space="preserve"> During the decades</w:t>
      </w:r>
      <w:r w:rsidR="00D94F6A" w:rsidRPr="0079590F">
        <w:rPr>
          <w:color w:val="auto"/>
        </w:rPr>
        <w:t xml:space="preserve"> following 1980s</w:t>
      </w:r>
      <w:r w:rsidRPr="0079590F">
        <w:rPr>
          <w:color w:val="auto"/>
        </w:rPr>
        <w:t xml:space="preserve">, the country has faced </w:t>
      </w:r>
      <w:proofErr w:type="gramStart"/>
      <w:r w:rsidRPr="0079590F">
        <w:rPr>
          <w:color w:val="auto"/>
        </w:rPr>
        <w:t>a number of</w:t>
      </w:r>
      <w:proofErr w:type="gramEnd"/>
      <w:r w:rsidRPr="0079590F">
        <w:rPr>
          <w:color w:val="auto"/>
        </w:rPr>
        <w:t xml:space="preserve"> socio-economic troubles that led to the deterioration of economic and social conditions. As consequences, the level of poverty in the country increased significantly with 60% of the population living below the poverty line. </w:t>
      </w:r>
    </w:p>
    <w:p w14:paraId="5EEF13DA" w14:textId="77777777" w:rsidR="008D7A6D" w:rsidRPr="0079590F" w:rsidRDefault="008D7A6D" w:rsidP="00D6460F">
      <w:pPr>
        <w:autoSpaceDE w:val="0"/>
        <w:autoSpaceDN w:val="0"/>
        <w:adjustRightInd w:val="0"/>
        <w:spacing w:after="0" w:line="240" w:lineRule="auto"/>
        <w:ind w:left="0" w:firstLine="0"/>
        <w:jc w:val="both"/>
        <w:rPr>
          <w:color w:val="auto"/>
        </w:rPr>
      </w:pPr>
    </w:p>
    <w:p w14:paraId="56B0CDEC" w14:textId="3D7B495B" w:rsidR="0019103C" w:rsidRPr="0079590F" w:rsidRDefault="000168D0" w:rsidP="0019103C">
      <w:pPr>
        <w:autoSpaceDE w:val="0"/>
        <w:autoSpaceDN w:val="0"/>
        <w:adjustRightInd w:val="0"/>
        <w:spacing w:after="0" w:line="240" w:lineRule="auto"/>
        <w:ind w:left="0" w:firstLine="0"/>
        <w:jc w:val="both"/>
        <w:rPr>
          <w:color w:val="auto"/>
        </w:rPr>
      </w:pPr>
      <w:r w:rsidRPr="00F51445">
        <w:rPr>
          <w:rFonts w:eastAsiaTheme="minorEastAsia"/>
          <w:bCs/>
          <w:color w:val="auto"/>
        </w:rPr>
        <w:t>Poor people in Togo are more likely to be living in rural areas, working primarily in agriculture, and relatively isolated from markets and services</w:t>
      </w:r>
      <w:r w:rsidRPr="00F51445">
        <w:rPr>
          <w:rFonts w:eastAsiaTheme="minorEastAsia"/>
          <w:color w:val="auto"/>
        </w:rPr>
        <w:t>.</w:t>
      </w:r>
      <w:r w:rsidRPr="0079590F">
        <w:rPr>
          <w:rFonts w:eastAsiaTheme="minorEastAsia"/>
          <w:color w:val="auto"/>
        </w:rPr>
        <w:t xml:space="preserve"> Just over three-quarters (77 percent) of poor people live in rural areas, which have a higher incidence of poverty (6</w:t>
      </w:r>
      <w:r w:rsidR="000D3A6A" w:rsidRPr="0079590F">
        <w:rPr>
          <w:rFonts w:eastAsiaTheme="minorEastAsia"/>
          <w:color w:val="auto"/>
        </w:rPr>
        <w:t>9</w:t>
      </w:r>
      <w:r w:rsidRPr="0079590F">
        <w:rPr>
          <w:rFonts w:eastAsiaTheme="minorEastAsia"/>
          <w:color w:val="auto"/>
        </w:rPr>
        <w:t xml:space="preserve"> percent) compared to Lomé (3</w:t>
      </w:r>
      <w:r w:rsidR="000D3A6A" w:rsidRPr="0079590F">
        <w:rPr>
          <w:rFonts w:eastAsiaTheme="minorEastAsia"/>
          <w:color w:val="auto"/>
        </w:rPr>
        <w:t>5</w:t>
      </w:r>
      <w:r w:rsidRPr="0079590F">
        <w:rPr>
          <w:rFonts w:eastAsiaTheme="minorEastAsia"/>
          <w:color w:val="auto"/>
        </w:rPr>
        <w:t xml:space="preserve"> percent) and other urban areas (3</w:t>
      </w:r>
      <w:r w:rsidR="000D3A6A" w:rsidRPr="0079590F">
        <w:rPr>
          <w:rFonts w:eastAsiaTheme="minorEastAsia"/>
          <w:color w:val="auto"/>
        </w:rPr>
        <w:t>8</w:t>
      </w:r>
      <w:r w:rsidRPr="0079590F">
        <w:rPr>
          <w:rFonts w:eastAsiaTheme="minorEastAsia"/>
          <w:color w:val="auto"/>
        </w:rPr>
        <w:t xml:space="preserve"> percent). </w:t>
      </w:r>
      <w:r w:rsidR="002B3816" w:rsidRPr="0079590F">
        <w:rPr>
          <w:color w:val="auto"/>
        </w:rPr>
        <w:t xml:space="preserve">The incidence of poverty is highest in rural areas where three out of four households are poor against two out of five in urban areas. The most poverty-stricken </w:t>
      </w:r>
      <w:r w:rsidR="000D3A6A" w:rsidRPr="0079590F">
        <w:rPr>
          <w:color w:val="auto"/>
        </w:rPr>
        <w:t>regions are</w:t>
      </w:r>
      <w:r w:rsidR="002B3816" w:rsidRPr="0079590F">
        <w:rPr>
          <w:color w:val="auto"/>
        </w:rPr>
        <w:t xml:space="preserve"> Savannah </w:t>
      </w:r>
      <w:r w:rsidR="002B3816" w:rsidRPr="0079590F">
        <w:rPr>
          <w:color w:val="auto"/>
        </w:rPr>
        <w:lastRenderedPageBreak/>
        <w:t>(9</w:t>
      </w:r>
      <w:r w:rsidR="000D3A6A" w:rsidRPr="0079590F">
        <w:rPr>
          <w:color w:val="auto"/>
        </w:rPr>
        <w:t>1 percent</w:t>
      </w:r>
      <w:r w:rsidR="002B3816" w:rsidRPr="0079590F">
        <w:rPr>
          <w:color w:val="auto"/>
        </w:rPr>
        <w:t>), Central (</w:t>
      </w:r>
      <w:r w:rsidR="000D3A6A" w:rsidRPr="0079590F">
        <w:rPr>
          <w:color w:val="auto"/>
        </w:rPr>
        <w:t>78 percent</w:t>
      </w:r>
      <w:r w:rsidR="002B3816" w:rsidRPr="0079590F">
        <w:rPr>
          <w:color w:val="auto"/>
        </w:rPr>
        <w:t>) and Kara (</w:t>
      </w:r>
      <w:r w:rsidR="000D3A6A" w:rsidRPr="0079590F">
        <w:rPr>
          <w:color w:val="auto"/>
        </w:rPr>
        <w:t>75 percent</w:t>
      </w:r>
      <w:r w:rsidR="002B3816" w:rsidRPr="0079590F">
        <w:rPr>
          <w:color w:val="auto"/>
        </w:rPr>
        <w:t>). As one of the lea</w:t>
      </w:r>
      <w:r w:rsidR="00775266" w:rsidRPr="0079590F">
        <w:rPr>
          <w:color w:val="auto"/>
        </w:rPr>
        <w:t>st developed countries (LDCs), t</w:t>
      </w:r>
      <w:r w:rsidR="002B3816" w:rsidRPr="0079590F">
        <w:rPr>
          <w:color w:val="auto"/>
        </w:rPr>
        <w:t xml:space="preserve">he GDP of Togo was US$ 4.34 billion in 2013. </w:t>
      </w:r>
    </w:p>
    <w:p w14:paraId="3DB9FEAD" w14:textId="77777777" w:rsidR="005C7D71" w:rsidRPr="0079590F" w:rsidRDefault="005C7D71" w:rsidP="0019103C">
      <w:pPr>
        <w:autoSpaceDE w:val="0"/>
        <w:autoSpaceDN w:val="0"/>
        <w:adjustRightInd w:val="0"/>
        <w:spacing w:after="0" w:line="240" w:lineRule="auto"/>
        <w:ind w:left="0" w:firstLine="0"/>
        <w:jc w:val="both"/>
        <w:rPr>
          <w:color w:val="auto"/>
        </w:rPr>
      </w:pPr>
    </w:p>
    <w:p w14:paraId="6F647DB5" w14:textId="690C567B" w:rsidR="0019103C" w:rsidRPr="0079590F" w:rsidRDefault="005C7D71" w:rsidP="0019103C">
      <w:pPr>
        <w:ind w:left="0"/>
        <w:jc w:val="both"/>
        <w:rPr>
          <w:rFonts w:eastAsiaTheme="minorEastAsia"/>
          <w:color w:val="auto"/>
        </w:rPr>
      </w:pPr>
      <w:r w:rsidRPr="00F51445">
        <w:rPr>
          <w:rFonts w:eastAsiaTheme="minorEastAsia"/>
          <w:bCs/>
          <w:color w:val="auto"/>
        </w:rPr>
        <w:t>O</w:t>
      </w:r>
      <w:r w:rsidR="0019103C" w:rsidRPr="00F51445">
        <w:rPr>
          <w:rFonts w:eastAsiaTheme="minorEastAsia"/>
          <w:bCs/>
          <w:color w:val="auto"/>
        </w:rPr>
        <w:t xml:space="preserve">ne of the main drivers of economic growth </w:t>
      </w:r>
      <w:r w:rsidRPr="00F51445">
        <w:rPr>
          <w:rFonts w:eastAsiaTheme="minorEastAsia"/>
          <w:bCs/>
          <w:color w:val="auto"/>
        </w:rPr>
        <w:t>has</w:t>
      </w:r>
      <w:r w:rsidR="0019103C" w:rsidRPr="00F51445">
        <w:rPr>
          <w:rFonts w:eastAsiaTheme="minorEastAsia"/>
          <w:bCs/>
          <w:color w:val="auto"/>
        </w:rPr>
        <w:t xml:space="preserve"> been agricultural production</w:t>
      </w:r>
      <w:r w:rsidRPr="00F51445">
        <w:rPr>
          <w:rFonts w:eastAsiaTheme="minorEastAsia"/>
          <w:bCs/>
          <w:color w:val="auto"/>
        </w:rPr>
        <w:t xml:space="preserve">, </w:t>
      </w:r>
      <w:r w:rsidR="0019103C" w:rsidRPr="00F51445">
        <w:rPr>
          <w:rFonts w:eastAsiaTheme="minorEastAsia"/>
          <w:color w:val="auto"/>
        </w:rPr>
        <w:t>which accounts</w:t>
      </w:r>
      <w:r w:rsidR="0019103C" w:rsidRPr="0079590F">
        <w:rPr>
          <w:rFonts w:eastAsiaTheme="minorEastAsia"/>
          <w:color w:val="auto"/>
        </w:rPr>
        <w:t xml:space="preserve"> for approximately half of the country’s GDP and</w:t>
      </w:r>
      <w:r w:rsidRPr="0079590F">
        <w:rPr>
          <w:rFonts w:eastAsiaTheme="minorEastAsia"/>
          <w:color w:val="auto"/>
        </w:rPr>
        <w:t xml:space="preserve"> over 60 percent of employment. </w:t>
      </w:r>
      <w:r w:rsidR="0019103C" w:rsidRPr="0079590F">
        <w:rPr>
          <w:color w:val="auto"/>
        </w:rPr>
        <w:t>Togo’s real GDP growth has been positive and sustained since 2008, rising from an average of 4.3</w:t>
      </w:r>
      <w:r w:rsidRPr="0079590F">
        <w:rPr>
          <w:color w:val="auto"/>
        </w:rPr>
        <w:t xml:space="preserve"> percent</w:t>
      </w:r>
      <w:r w:rsidR="0019103C" w:rsidRPr="0079590F">
        <w:rPr>
          <w:color w:val="auto"/>
        </w:rPr>
        <w:t xml:space="preserve"> over the 2008-2012 period to 5.5</w:t>
      </w:r>
      <w:r w:rsidRPr="0079590F">
        <w:rPr>
          <w:color w:val="auto"/>
        </w:rPr>
        <w:t xml:space="preserve"> percent</w:t>
      </w:r>
      <w:r w:rsidR="0019103C" w:rsidRPr="0079590F">
        <w:rPr>
          <w:color w:val="auto"/>
        </w:rPr>
        <w:t xml:space="preserve"> over the 2013-2016 period, with a peak of 6.1</w:t>
      </w:r>
      <w:r w:rsidRPr="0079590F">
        <w:rPr>
          <w:color w:val="auto"/>
        </w:rPr>
        <w:t xml:space="preserve"> percent</w:t>
      </w:r>
      <w:r w:rsidR="0019103C" w:rsidRPr="0079590F">
        <w:rPr>
          <w:color w:val="auto"/>
        </w:rPr>
        <w:t xml:space="preserve"> in 2014 (PND Togo, 2018-2020)</w:t>
      </w:r>
      <w:r w:rsidRPr="0079590F">
        <w:rPr>
          <w:color w:val="auto"/>
        </w:rPr>
        <w:t xml:space="preserve">. </w:t>
      </w:r>
      <w:r w:rsidR="0019103C" w:rsidRPr="0079590F">
        <w:rPr>
          <w:rFonts w:eastAsiaTheme="minorEastAsia"/>
          <w:color w:val="auto"/>
        </w:rPr>
        <w:t xml:space="preserve">Agricultural </w:t>
      </w:r>
      <w:r w:rsidRPr="0079590F">
        <w:rPr>
          <w:rFonts w:eastAsiaTheme="minorEastAsia"/>
          <w:color w:val="auto"/>
        </w:rPr>
        <w:t xml:space="preserve">production </w:t>
      </w:r>
      <w:r w:rsidR="0019103C" w:rsidRPr="0079590F">
        <w:rPr>
          <w:rFonts w:eastAsiaTheme="minorEastAsia"/>
          <w:color w:val="auto"/>
        </w:rPr>
        <w:t>has benefitted from good climatic conditions and recent initiatives that have led to an increase in the productivity of cereals, cash crops and livestock.</w:t>
      </w:r>
    </w:p>
    <w:p w14:paraId="23A5EC63" w14:textId="77777777" w:rsidR="001F0172" w:rsidRPr="0079590F" w:rsidRDefault="001F0172" w:rsidP="00AD3386">
      <w:pPr>
        <w:ind w:left="0"/>
        <w:jc w:val="both"/>
        <w:rPr>
          <w:color w:val="auto"/>
        </w:rPr>
      </w:pPr>
    </w:p>
    <w:p w14:paraId="5E4C276F" w14:textId="2922F319" w:rsidR="00C61C2D" w:rsidRPr="0079590F" w:rsidRDefault="001F0172" w:rsidP="00AD3386">
      <w:pPr>
        <w:ind w:left="0"/>
        <w:jc w:val="both"/>
        <w:rPr>
          <w:color w:val="auto"/>
        </w:rPr>
      </w:pPr>
      <w:r w:rsidRPr="0079590F">
        <w:rPr>
          <w:color w:val="auto"/>
        </w:rPr>
        <w:t>Seventy percent of Togo’s population depends heavily upon the country’s increasingly degraded lands for their subsistence and commercial agriculture activities. Most agriculture is subsistence in nature, performed using traditional practices and vulnerable to climate changes and market price fluctuations. Yields of major export crops (cotton, coffee and cocoa) have been declining, and meat and fish production are also low. There is a dearth of rural infrastructure and the existing infrastructure is poorly maintained, which together are a great constraint to growth. The agriculture sector is projected to be a major source of employment and growth in the country in the foreseeable future and one of the key means of fighting poverty.</w:t>
      </w:r>
    </w:p>
    <w:p w14:paraId="3CD4D86E" w14:textId="77777777" w:rsidR="001F0172" w:rsidRPr="0079590F" w:rsidRDefault="001F0172" w:rsidP="00AD3386">
      <w:pPr>
        <w:ind w:left="0"/>
        <w:jc w:val="both"/>
        <w:rPr>
          <w:color w:val="auto"/>
        </w:rPr>
      </w:pPr>
    </w:p>
    <w:p w14:paraId="3891D9B6" w14:textId="385BA188" w:rsidR="001F0172" w:rsidRPr="0079590F" w:rsidRDefault="00C95876" w:rsidP="00AE14E5">
      <w:pPr>
        <w:ind w:left="0"/>
        <w:jc w:val="both"/>
        <w:rPr>
          <w:color w:val="auto"/>
        </w:rPr>
      </w:pPr>
      <w:r w:rsidRPr="0079590F">
        <w:rPr>
          <w:color w:val="auto"/>
        </w:rPr>
        <w:t>F</w:t>
      </w:r>
      <w:r w:rsidR="00ED73FF" w:rsidRPr="0079590F">
        <w:rPr>
          <w:color w:val="auto"/>
        </w:rPr>
        <w:t>ollowing the socio-politica</w:t>
      </w:r>
      <w:r w:rsidR="005C7D71" w:rsidRPr="0079590F">
        <w:rPr>
          <w:color w:val="auto"/>
        </w:rPr>
        <w:t>l crisis of the 1990s, which</w:t>
      </w:r>
      <w:r w:rsidR="00ED73FF" w:rsidRPr="0079590F">
        <w:rPr>
          <w:color w:val="auto"/>
        </w:rPr>
        <w:t xml:space="preserve"> resulted in the suspension of the cooperation with European Union and other donors, Togo ended up in recent years in a difficult socio-economic situation characterized by a deterioration of the economic situation (significant decline in the GDP growth rate) and a severe and growing poverty.</w:t>
      </w:r>
      <w:r w:rsidR="00FB732F" w:rsidRPr="0079590F">
        <w:rPr>
          <w:color w:val="auto"/>
        </w:rPr>
        <w:t xml:space="preserve"> The low revenue, the suspension of some assistance since 1993 and the absence of a program with Bretton Woods’ institutions resulted</w:t>
      </w:r>
      <w:r w:rsidR="005C7D71" w:rsidRPr="0079590F">
        <w:rPr>
          <w:color w:val="auto"/>
        </w:rPr>
        <w:t xml:space="preserve"> in the excessive weight of </w:t>
      </w:r>
      <w:r w:rsidR="00FB732F" w:rsidRPr="0079590F">
        <w:rPr>
          <w:color w:val="auto"/>
        </w:rPr>
        <w:t>public debt, the reduction of public and private investment and the deterioration of social services (MEFP, 2003).</w:t>
      </w:r>
    </w:p>
    <w:p w14:paraId="206A6B6E" w14:textId="77777777" w:rsidR="00AE14E5" w:rsidRPr="0079590F" w:rsidRDefault="00AE14E5" w:rsidP="00AE14E5">
      <w:pPr>
        <w:ind w:left="0"/>
        <w:jc w:val="both"/>
        <w:rPr>
          <w:color w:val="auto"/>
        </w:rPr>
      </w:pPr>
    </w:p>
    <w:p w14:paraId="4E6ABB4B" w14:textId="755BA332" w:rsidR="00FF3230" w:rsidRPr="0079590F" w:rsidRDefault="001F0172" w:rsidP="001F0172">
      <w:pPr>
        <w:autoSpaceDE w:val="0"/>
        <w:autoSpaceDN w:val="0"/>
        <w:adjustRightInd w:val="0"/>
        <w:spacing w:after="0" w:line="240" w:lineRule="auto"/>
        <w:ind w:left="0" w:firstLine="0"/>
        <w:jc w:val="both"/>
        <w:rPr>
          <w:rFonts w:eastAsiaTheme="minorEastAsia"/>
          <w:color w:val="auto"/>
        </w:rPr>
      </w:pPr>
      <w:r w:rsidRPr="00F51445">
        <w:rPr>
          <w:rFonts w:eastAsiaTheme="minorEastAsia"/>
          <w:bCs/>
          <w:color w:val="auto"/>
        </w:rPr>
        <w:t>Togo’s non-poor population remains vulnerable to a variety of adverse shocks, including economic downturns, natural disasters, normal weather variability, and illness</w:t>
      </w:r>
      <w:r w:rsidRPr="00F51445">
        <w:rPr>
          <w:rFonts w:eastAsiaTheme="minorEastAsia"/>
          <w:color w:val="auto"/>
        </w:rPr>
        <w:t xml:space="preserve">. </w:t>
      </w:r>
      <w:r w:rsidRPr="0079590F">
        <w:rPr>
          <w:rFonts w:eastAsiaTheme="minorEastAsia"/>
          <w:color w:val="auto"/>
        </w:rPr>
        <w:t xml:space="preserve">In 2011, over 50 percent of households in the bottom three quintiles of the consumption distribution claimed that drought or badly timed rainfall had adversely affected them </w:t>
      </w:r>
      <w:r w:rsidR="005C7D71" w:rsidRPr="0079590F">
        <w:rPr>
          <w:rFonts w:eastAsiaTheme="minorEastAsia"/>
          <w:color w:val="auto"/>
        </w:rPr>
        <w:t>in</w:t>
      </w:r>
      <w:r w:rsidRPr="0079590F">
        <w:rPr>
          <w:rFonts w:eastAsiaTheme="minorEastAsia"/>
          <w:color w:val="auto"/>
        </w:rPr>
        <w:t xml:space="preserve"> previous year. Households also reported experiencing adverse price movements, crop and animal disease, floods, and illness of a household member in significant percentages. Soil degradation, high input prices, and weather shocks were reportedly more pronounced among poor people. Given such risks, approximately 22 percent of the population was recently estimated to have fallen into poverty </w:t>
      </w:r>
      <w:proofErr w:type="gramStart"/>
      <w:r w:rsidRPr="0079590F">
        <w:rPr>
          <w:rFonts w:eastAsiaTheme="minorEastAsia"/>
          <w:color w:val="auto"/>
        </w:rPr>
        <w:t>as a result of</w:t>
      </w:r>
      <w:proofErr w:type="gramEnd"/>
      <w:r w:rsidRPr="0079590F">
        <w:rPr>
          <w:rFonts w:eastAsiaTheme="minorEastAsia"/>
          <w:color w:val="auto"/>
        </w:rPr>
        <w:t xml:space="preserve"> temporary adverse shocks, and another 20 percent of the population was determined to be non-poor but vulnerable to falling into poverty. In 2015, 10 percent of people consume only 20 percent more than the poverty line, and 70 percent of the population lives on under US$3.10 per day (2011 Purchasing Power Parity, PPP).</w:t>
      </w:r>
    </w:p>
    <w:p w14:paraId="7BA77FCE" w14:textId="7D089C8D" w:rsidR="007D7BCF" w:rsidRPr="0079590F" w:rsidRDefault="002B3816" w:rsidP="001F0172">
      <w:pPr>
        <w:autoSpaceDE w:val="0"/>
        <w:autoSpaceDN w:val="0"/>
        <w:adjustRightInd w:val="0"/>
        <w:spacing w:after="0" w:line="240" w:lineRule="auto"/>
        <w:ind w:left="0" w:firstLine="0"/>
        <w:jc w:val="both"/>
        <w:rPr>
          <w:color w:val="auto"/>
        </w:rPr>
      </w:pPr>
      <w:r w:rsidRPr="0079590F">
        <w:rPr>
          <w:color w:val="auto"/>
        </w:rPr>
        <w:t xml:space="preserve"> </w:t>
      </w:r>
    </w:p>
    <w:p w14:paraId="2977F62E" w14:textId="45A9B21C" w:rsidR="00FF3230" w:rsidRPr="0079590F" w:rsidRDefault="00FF3230" w:rsidP="00FF3230">
      <w:pPr>
        <w:ind w:left="0" w:firstLine="0"/>
        <w:jc w:val="both"/>
        <w:rPr>
          <w:color w:val="auto"/>
        </w:rPr>
      </w:pPr>
      <w:r w:rsidRPr="0079590F">
        <w:rPr>
          <w:color w:val="auto"/>
        </w:rPr>
        <w:t>The primary sector is the largest provider of jobs in Togo. It uses about 70</w:t>
      </w:r>
      <w:r w:rsidR="005C7D71" w:rsidRPr="0079590F">
        <w:rPr>
          <w:color w:val="auto"/>
        </w:rPr>
        <w:t xml:space="preserve"> percent</w:t>
      </w:r>
      <w:r w:rsidRPr="0079590F">
        <w:rPr>
          <w:color w:val="auto"/>
        </w:rPr>
        <w:t xml:space="preserve"> of the labor force and is dominated by food production which account for over 60</w:t>
      </w:r>
      <w:r w:rsidR="005C7D71" w:rsidRPr="0079590F">
        <w:rPr>
          <w:color w:val="auto"/>
        </w:rPr>
        <w:t xml:space="preserve"> percent </w:t>
      </w:r>
      <w:r w:rsidRPr="0079590F">
        <w:rPr>
          <w:color w:val="auto"/>
        </w:rPr>
        <w:t>of agricultural GDP. Production of annuity products (cotton, coffee and cocoa) contributes only</w:t>
      </w:r>
      <w:r w:rsidR="005C7D71" w:rsidRPr="0079590F">
        <w:rPr>
          <w:color w:val="auto"/>
        </w:rPr>
        <w:t xml:space="preserve"> to 12 percent</w:t>
      </w:r>
      <w:r w:rsidRPr="0079590F">
        <w:rPr>
          <w:color w:val="auto"/>
        </w:rPr>
        <w:t>. In general, agricultural production in Togo is characterized by (i) small size farms exploited by households with low income, (ii) low productivity and (iii) archaic methods of production. The secondary sector is dominated by extractive industries (phosphate and clinker) and the food and drink industries. Then there are the branches of energy and water, and finally those of building and public work. The high contribution of the t</w:t>
      </w:r>
      <w:r w:rsidR="005C7D71" w:rsidRPr="0079590F">
        <w:rPr>
          <w:color w:val="auto"/>
        </w:rPr>
        <w:t>ertiary sector to GDP (about 36 percent</w:t>
      </w:r>
      <w:r w:rsidRPr="0079590F">
        <w:rPr>
          <w:color w:val="auto"/>
        </w:rPr>
        <w:t>) is mainly due to the traditional importance of transit operations through the harbor of Lom</w:t>
      </w:r>
      <w:r w:rsidR="005C7D71" w:rsidRPr="0079590F">
        <w:rPr>
          <w:color w:val="auto"/>
        </w:rPr>
        <w:t>é</w:t>
      </w:r>
      <w:r w:rsidRPr="0079590F">
        <w:rPr>
          <w:color w:val="auto"/>
        </w:rPr>
        <w:t xml:space="preserve">. </w:t>
      </w:r>
    </w:p>
    <w:p w14:paraId="7A2C1A39" w14:textId="77777777" w:rsidR="00FF3230" w:rsidRPr="0079590F" w:rsidRDefault="00FF3230" w:rsidP="00FF3230">
      <w:pPr>
        <w:ind w:left="499"/>
        <w:jc w:val="both"/>
        <w:rPr>
          <w:color w:val="auto"/>
        </w:rPr>
      </w:pPr>
    </w:p>
    <w:p w14:paraId="08F702E8" w14:textId="62D5E07B" w:rsidR="00FF3230" w:rsidRPr="0079590F" w:rsidRDefault="00FF3230" w:rsidP="00FF3230">
      <w:pPr>
        <w:ind w:left="0"/>
        <w:jc w:val="both"/>
        <w:rPr>
          <w:color w:val="auto"/>
        </w:rPr>
      </w:pPr>
      <w:r w:rsidRPr="0079590F">
        <w:rPr>
          <w:color w:val="auto"/>
        </w:rPr>
        <w:lastRenderedPageBreak/>
        <w:t xml:space="preserve">Disparities between Lomé and other cities and rural areas are great. The capital dominates other cities by its demographic, political, economic and socio-cultural weight. In fact, </w:t>
      </w:r>
      <w:r w:rsidR="005C7D71" w:rsidRPr="0079590F">
        <w:rPr>
          <w:color w:val="auto"/>
        </w:rPr>
        <w:t>more than 60 percent</w:t>
      </w:r>
      <w:r w:rsidRPr="0079590F">
        <w:rPr>
          <w:color w:val="auto"/>
        </w:rPr>
        <w:t xml:space="preserve"> of the country's urban population and nearly a quarter of the national population live in Lomé. All political and administrative powers, </w:t>
      </w:r>
      <w:proofErr w:type="gramStart"/>
      <w:r w:rsidRPr="0079590F">
        <w:rPr>
          <w:color w:val="auto"/>
        </w:rPr>
        <w:t>the majority of</w:t>
      </w:r>
      <w:proofErr w:type="gramEnd"/>
      <w:r w:rsidRPr="0079590F">
        <w:rPr>
          <w:color w:val="auto"/>
        </w:rPr>
        <w:t xml:space="preserve"> economic activities and more than half of school facilities are concentr</w:t>
      </w:r>
      <w:r w:rsidR="005C7D71" w:rsidRPr="0079590F">
        <w:rPr>
          <w:color w:val="auto"/>
        </w:rPr>
        <w:t>ated in Lomé while more than 90 percent</w:t>
      </w:r>
      <w:r w:rsidRPr="0079590F">
        <w:rPr>
          <w:color w:val="auto"/>
        </w:rPr>
        <w:t xml:space="preserve"> of industries and commercial activities are located in the city and its surrounding areas. In urban areas, the in</w:t>
      </w:r>
      <w:r w:rsidR="005C7D71" w:rsidRPr="0079590F">
        <w:rPr>
          <w:color w:val="auto"/>
        </w:rPr>
        <w:t>cidence of poverty is 37 percent</w:t>
      </w:r>
      <w:r w:rsidRPr="0079590F">
        <w:rPr>
          <w:color w:val="auto"/>
        </w:rPr>
        <w:t>, corresponding to 20</w:t>
      </w:r>
      <w:r w:rsidR="005C7D71" w:rsidRPr="0079590F">
        <w:rPr>
          <w:color w:val="auto"/>
        </w:rPr>
        <w:t xml:space="preserve"> percent</w:t>
      </w:r>
      <w:r w:rsidRPr="0079590F">
        <w:rPr>
          <w:color w:val="auto"/>
        </w:rPr>
        <w:t xml:space="preserve"> of the poor.</w:t>
      </w:r>
    </w:p>
    <w:p w14:paraId="5898F7BB" w14:textId="77777777" w:rsidR="00D01317" w:rsidRPr="0079590F" w:rsidRDefault="00D01317" w:rsidP="00AD3386">
      <w:pPr>
        <w:ind w:left="0"/>
        <w:rPr>
          <w:color w:val="auto"/>
        </w:rPr>
      </w:pPr>
    </w:p>
    <w:p w14:paraId="1833D831" w14:textId="3A8F0D72" w:rsidR="00225A14" w:rsidRPr="0079590F" w:rsidRDefault="00225A14" w:rsidP="00AD3386">
      <w:pPr>
        <w:ind w:left="0"/>
        <w:jc w:val="both"/>
        <w:rPr>
          <w:color w:val="auto"/>
        </w:rPr>
      </w:pPr>
      <w:r w:rsidRPr="0079590F">
        <w:rPr>
          <w:color w:val="auto"/>
        </w:rPr>
        <w:t xml:space="preserve">The death of President Gnassingbé </w:t>
      </w:r>
      <w:proofErr w:type="spellStart"/>
      <w:r w:rsidRPr="0079590F">
        <w:rPr>
          <w:color w:val="auto"/>
        </w:rPr>
        <w:t>Eyadéma</w:t>
      </w:r>
      <w:proofErr w:type="spellEnd"/>
      <w:r w:rsidRPr="0079590F">
        <w:rPr>
          <w:color w:val="auto"/>
        </w:rPr>
        <w:t xml:space="preserve"> in 2005, followed by the election of his son President Faure Gnassingbé a few months later, marked an important milestone in the country’s recent history, as it would be followed by political negotiations to advance democratic reforms and lead to the return of development partners.</w:t>
      </w:r>
      <w:r w:rsidR="00415C2F" w:rsidRPr="0079590F">
        <w:rPr>
          <w:color w:val="auto"/>
        </w:rPr>
        <w:t xml:space="preserve"> Negotiations held in 2006 resulted in a Global Political Accord (GPA) signed by </w:t>
      </w:r>
      <w:r w:rsidR="005C7D71" w:rsidRPr="0079590F">
        <w:rPr>
          <w:color w:val="auto"/>
        </w:rPr>
        <w:t>the ruling party and opposition</w:t>
      </w:r>
      <w:r w:rsidR="00415C2F" w:rsidRPr="0079590F">
        <w:rPr>
          <w:color w:val="auto"/>
        </w:rPr>
        <w:t xml:space="preserve"> led to free and fair legislative elections in 2007, with strong participation among opposition groups, and reforms in the military. This put the country onto a path of increased political and social stability and normalization of relations with international partners in a context of strong optimism.</w:t>
      </w:r>
    </w:p>
    <w:p w14:paraId="207116D8" w14:textId="77777777" w:rsidR="00FB732F" w:rsidRPr="0079590F" w:rsidRDefault="00FB732F" w:rsidP="00AD3386">
      <w:pPr>
        <w:ind w:left="0"/>
        <w:jc w:val="both"/>
        <w:rPr>
          <w:color w:val="auto"/>
        </w:rPr>
      </w:pPr>
    </w:p>
    <w:p w14:paraId="01D1C7AD" w14:textId="0E504E7F" w:rsidR="005F2C18" w:rsidRPr="0079590F" w:rsidRDefault="00BE69B8" w:rsidP="00AD3386">
      <w:pPr>
        <w:ind w:left="0"/>
        <w:jc w:val="both"/>
        <w:rPr>
          <w:color w:val="auto"/>
        </w:rPr>
      </w:pPr>
      <w:r w:rsidRPr="0079590F">
        <w:rPr>
          <w:color w:val="auto"/>
        </w:rPr>
        <w:t>Togo’s political ambition to increase the country’s forest cover to 30% by 2050</w:t>
      </w:r>
      <w:r w:rsidR="005C7D71" w:rsidRPr="0079590F">
        <w:rPr>
          <w:color w:val="auto"/>
        </w:rPr>
        <w:t xml:space="preserve"> is </w:t>
      </w:r>
      <w:r w:rsidRPr="0079590F">
        <w:rPr>
          <w:color w:val="auto"/>
        </w:rPr>
        <w:t>inscribed in the</w:t>
      </w:r>
      <w:r w:rsidR="005C7D71" w:rsidRPr="0079590F">
        <w:rPr>
          <w:color w:val="auto"/>
        </w:rPr>
        <w:t xml:space="preserve"> 2013-2017</w:t>
      </w:r>
      <w:r w:rsidR="0079590F" w:rsidRPr="0079590F">
        <w:rPr>
          <w:color w:val="auto"/>
        </w:rPr>
        <w:t xml:space="preserve"> Accelerated Growth and Employment Promotion Strategy</w:t>
      </w:r>
      <w:r w:rsidRPr="0079590F">
        <w:rPr>
          <w:color w:val="auto"/>
        </w:rPr>
        <w:t xml:space="preserve"> </w:t>
      </w:r>
      <w:bookmarkStart w:id="1" w:name="_Hlk510714155"/>
      <w:r w:rsidR="0079590F" w:rsidRPr="0079590F">
        <w:rPr>
          <w:color w:val="auto"/>
        </w:rPr>
        <w:t>(</w:t>
      </w:r>
      <w:proofErr w:type="spellStart"/>
      <w:r w:rsidR="005C7D71" w:rsidRPr="0079590F">
        <w:rPr>
          <w:i/>
          <w:color w:val="auto"/>
        </w:rPr>
        <w:t>Stratégie</w:t>
      </w:r>
      <w:proofErr w:type="spellEnd"/>
      <w:r w:rsidR="005C7D71" w:rsidRPr="0079590F">
        <w:rPr>
          <w:i/>
          <w:color w:val="auto"/>
        </w:rPr>
        <w:t xml:space="preserve"> de </w:t>
      </w:r>
      <w:proofErr w:type="spellStart"/>
      <w:r w:rsidR="005C7D71" w:rsidRPr="0079590F">
        <w:rPr>
          <w:i/>
          <w:color w:val="auto"/>
        </w:rPr>
        <w:t>croissance</w:t>
      </w:r>
      <w:proofErr w:type="spellEnd"/>
      <w:r w:rsidR="005C7D71" w:rsidRPr="0079590F">
        <w:rPr>
          <w:i/>
          <w:color w:val="auto"/>
        </w:rPr>
        <w:t xml:space="preserve"> </w:t>
      </w:r>
      <w:proofErr w:type="spellStart"/>
      <w:r w:rsidR="005C7D71" w:rsidRPr="0079590F">
        <w:rPr>
          <w:i/>
          <w:color w:val="auto"/>
        </w:rPr>
        <w:t>accélérée</w:t>
      </w:r>
      <w:proofErr w:type="spellEnd"/>
      <w:r w:rsidR="005C7D71" w:rsidRPr="0079590F">
        <w:rPr>
          <w:i/>
          <w:color w:val="auto"/>
        </w:rPr>
        <w:t xml:space="preserve"> et de promotion de </w:t>
      </w:r>
      <w:proofErr w:type="spellStart"/>
      <w:r w:rsidR="005C7D71" w:rsidRPr="0079590F">
        <w:rPr>
          <w:i/>
          <w:color w:val="auto"/>
        </w:rPr>
        <w:t>l’emploi</w:t>
      </w:r>
      <w:proofErr w:type="spellEnd"/>
      <w:r w:rsidR="0079590F" w:rsidRPr="0079590F">
        <w:rPr>
          <w:i/>
          <w:color w:val="auto"/>
        </w:rPr>
        <w:t xml:space="preserve">, </w:t>
      </w:r>
      <w:r w:rsidR="005C7D71" w:rsidRPr="0079590F">
        <w:rPr>
          <w:color w:val="auto"/>
        </w:rPr>
        <w:t>SCAPE</w:t>
      </w:r>
      <w:bookmarkEnd w:id="1"/>
      <w:r w:rsidR="0079590F" w:rsidRPr="0079590F">
        <w:rPr>
          <w:color w:val="auto"/>
        </w:rPr>
        <w:t xml:space="preserve">), now succeeded by the </w:t>
      </w:r>
      <w:bookmarkStart w:id="2" w:name="_Hlk510714162"/>
      <w:r w:rsidR="0079590F" w:rsidRPr="0079590F">
        <w:rPr>
          <w:color w:val="auto"/>
          <w:lang w:val="en"/>
        </w:rPr>
        <w:t xml:space="preserve">2018-2022 </w:t>
      </w:r>
      <w:r w:rsidRPr="0079590F">
        <w:rPr>
          <w:color w:val="auto"/>
        </w:rPr>
        <w:t>National Development Plan (</w:t>
      </w:r>
      <w:r w:rsidRPr="0079590F">
        <w:rPr>
          <w:i/>
          <w:color w:val="auto"/>
        </w:rPr>
        <w:t xml:space="preserve">Plan national de </w:t>
      </w:r>
      <w:proofErr w:type="spellStart"/>
      <w:r w:rsidRPr="0079590F">
        <w:rPr>
          <w:i/>
          <w:color w:val="auto"/>
        </w:rPr>
        <w:t>développement</w:t>
      </w:r>
      <w:proofErr w:type="spellEnd"/>
      <w:r w:rsidRPr="0079590F">
        <w:rPr>
          <w:color w:val="auto"/>
        </w:rPr>
        <w:t xml:space="preserve">, PND) </w:t>
      </w:r>
      <w:bookmarkEnd w:id="2"/>
      <w:r w:rsidRPr="0079590F">
        <w:rPr>
          <w:color w:val="auto"/>
        </w:rPr>
        <w:t xml:space="preserve">– which also recognizes REDD+ as a national development priority. REDD+ is also a critical component of Togo's Nationally Determined Contribution (NDC) to the </w:t>
      </w:r>
      <w:r w:rsidR="0079590F" w:rsidRPr="0079590F">
        <w:rPr>
          <w:color w:val="auto"/>
          <w:lang w:eastAsia="pt-PT"/>
        </w:rPr>
        <w:t>United Nations Framework Convention on Climate Change</w:t>
      </w:r>
      <w:r w:rsidR="0079590F" w:rsidRPr="0079590F">
        <w:rPr>
          <w:color w:val="auto"/>
        </w:rPr>
        <w:t>’s (</w:t>
      </w:r>
      <w:r w:rsidRPr="0079590F">
        <w:rPr>
          <w:color w:val="auto"/>
        </w:rPr>
        <w:t>UNFCCC</w:t>
      </w:r>
      <w:r w:rsidR="0079590F" w:rsidRPr="0079590F">
        <w:rPr>
          <w:color w:val="auto"/>
        </w:rPr>
        <w:t>)</w:t>
      </w:r>
      <w:r w:rsidRPr="0079590F">
        <w:rPr>
          <w:color w:val="auto"/>
        </w:rPr>
        <w:t xml:space="preserve"> Paris Accord. </w:t>
      </w:r>
      <w:r w:rsidR="0079590F" w:rsidRPr="0079590F">
        <w:rPr>
          <w:color w:val="auto"/>
        </w:rPr>
        <w:t xml:space="preserve">REDD+ is </w:t>
      </w:r>
      <w:r w:rsidRPr="0079590F">
        <w:rPr>
          <w:color w:val="auto"/>
        </w:rPr>
        <w:t>also support</w:t>
      </w:r>
      <w:r w:rsidR="0079590F" w:rsidRPr="0079590F">
        <w:rPr>
          <w:color w:val="auto"/>
        </w:rPr>
        <w:t>ing</w:t>
      </w:r>
      <w:r w:rsidRPr="0079590F">
        <w:rPr>
          <w:color w:val="auto"/>
        </w:rPr>
        <w:t xml:space="preserve"> the implementation of the forest code and the national forest policy. In addition, given that the major drivers of deforestation come from agriculture and energy, REDD+ is synergetic with the </w:t>
      </w:r>
      <w:bookmarkStart w:id="3" w:name="_Hlk510714173"/>
      <w:r w:rsidRPr="0079590F">
        <w:rPr>
          <w:color w:val="auto"/>
        </w:rPr>
        <w:t>National Program for Agricultural Investment and Food and Nutritional Safety (</w:t>
      </w:r>
      <w:proofErr w:type="spellStart"/>
      <w:r w:rsidRPr="0079590F">
        <w:rPr>
          <w:rStyle w:val="st1"/>
          <w:i/>
          <w:color w:val="auto"/>
        </w:rPr>
        <w:t>Programme</w:t>
      </w:r>
      <w:proofErr w:type="spellEnd"/>
      <w:r w:rsidRPr="0079590F">
        <w:rPr>
          <w:rStyle w:val="st1"/>
          <w:i/>
          <w:color w:val="auto"/>
        </w:rPr>
        <w:t xml:space="preserve"> </w:t>
      </w:r>
      <w:proofErr w:type="spellStart"/>
      <w:r w:rsidRPr="0079590F">
        <w:rPr>
          <w:rStyle w:val="st1"/>
          <w:i/>
          <w:color w:val="auto"/>
        </w:rPr>
        <w:t>agricole</w:t>
      </w:r>
      <w:proofErr w:type="spellEnd"/>
      <w:r w:rsidRPr="0079590F">
        <w:rPr>
          <w:rStyle w:val="st1"/>
          <w:i/>
          <w:color w:val="auto"/>
        </w:rPr>
        <w:t xml:space="preserve"> de </w:t>
      </w:r>
      <w:proofErr w:type="spellStart"/>
      <w:r w:rsidRPr="0079590F">
        <w:rPr>
          <w:rStyle w:val="st1"/>
          <w:i/>
          <w:color w:val="auto"/>
        </w:rPr>
        <w:t>sécurité</w:t>
      </w:r>
      <w:proofErr w:type="spellEnd"/>
      <w:r w:rsidRPr="0079590F">
        <w:rPr>
          <w:rStyle w:val="st1"/>
          <w:i/>
          <w:color w:val="auto"/>
        </w:rPr>
        <w:t xml:space="preserve"> </w:t>
      </w:r>
      <w:proofErr w:type="spellStart"/>
      <w:r w:rsidRPr="0079590F">
        <w:rPr>
          <w:rStyle w:val="st1"/>
          <w:i/>
          <w:color w:val="auto"/>
        </w:rPr>
        <w:t>alimentaire</w:t>
      </w:r>
      <w:proofErr w:type="spellEnd"/>
      <w:r w:rsidRPr="0079590F">
        <w:rPr>
          <w:rStyle w:val="st1"/>
          <w:i/>
          <w:color w:val="auto"/>
        </w:rPr>
        <w:t xml:space="preserve"> et </w:t>
      </w:r>
      <w:proofErr w:type="spellStart"/>
      <w:r w:rsidRPr="0079590F">
        <w:rPr>
          <w:rStyle w:val="st1"/>
          <w:i/>
          <w:color w:val="auto"/>
        </w:rPr>
        <w:t>nutritionnelle</w:t>
      </w:r>
      <w:proofErr w:type="spellEnd"/>
      <w:r w:rsidRPr="0079590F">
        <w:rPr>
          <w:rStyle w:val="st1"/>
          <w:color w:val="auto"/>
        </w:rPr>
        <w:t xml:space="preserve">, </w:t>
      </w:r>
      <w:r w:rsidRPr="0079590F">
        <w:rPr>
          <w:color w:val="auto"/>
        </w:rPr>
        <w:t>PNIASAN)</w:t>
      </w:r>
      <w:bookmarkEnd w:id="3"/>
      <w:r w:rsidRPr="0079590F">
        <w:rPr>
          <w:color w:val="auto"/>
        </w:rPr>
        <w:t xml:space="preserve"> and the </w:t>
      </w:r>
      <w:bookmarkStart w:id="4" w:name="_Hlk510714180"/>
      <w:r w:rsidRPr="0079590F">
        <w:rPr>
          <w:color w:val="auto"/>
        </w:rPr>
        <w:t>Program for the Promotion of Solar Energy (</w:t>
      </w:r>
      <w:proofErr w:type="spellStart"/>
      <w:r w:rsidRPr="0079590F">
        <w:rPr>
          <w:rStyle w:val="Emphasis"/>
          <w:b w:val="0"/>
          <w:i/>
          <w:color w:val="auto"/>
        </w:rPr>
        <w:t>Programme</w:t>
      </w:r>
      <w:proofErr w:type="spellEnd"/>
      <w:r w:rsidRPr="0079590F">
        <w:rPr>
          <w:rStyle w:val="st1"/>
          <w:i/>
          <w:color w:val="auto"/>
        </w:rPr>
        <w:t xml:space="preserve"> de </w:t>
      </w:r>
      <w:proofErr w:type="spellStart"/>
      <w:r w:rsidRPr="0079590F">
        <w:rPr>
          <w:rStyle w:val="st1"/>
          <w:i/>
          <w:color w:val="auto"/>
        </w:rPr>
        <w:t>valorisation</w:t>
      </w:r>
      <w:proofErr w:type="spellEnd"/>
      <w:r w:rsidRPr="0079590F">
        <w:rPr>
          <w:rStyle w:val="st1"/>
          <w:i/>
          <w:color w:val="auto"/>
        </w:rPr>
        <w:t xml:space="preserve"> de </w:t>
      </w:r>
      <w:proofErr w:type="spellStart"/>
      <w:r w:rsidRPr="0079590F">
        <w:rPr>
          <w:rStyle w:val="st1"/>
          <w:i/>
          <w:color w:val="auto"/>
        </w:rPr>
        <w:t>l'</w:t>
      </w:r>
      <w:r w:rsidRPr="0079590F">
        <w:rPr>
          <w:rStyle w:val="Emphasis"/>
          <w:b w:val="0"/>
          <w:i/>
          <w:color w:val="auto"/>
        </w:rPr>
        <w:t>énergie</w:t>
      </w:r>
      <w:proofErr w:type="spellEnd"/>
      <w:r w:rsidRPr="0079590F">
        <w:rPr>
          <w:rStyle w:val="Emphasis"/>
          <w:b w:val="0"/>
          <w:i/>
          <w:color w:val="auto"/>
        </w:rPr>
        <w:t xml:space="preserve"> </w:t>
      </w:r>
      <w:proofErr w:type="spellStart"/>
      <w:r w:rsidRPr="0079590F">
        <w:rPr>
          <w:rStyle w:val="Emphasis"/>
          <w:b w:val="0"/>
          <w:i/>
          <w:color w:val="auto"/>
        </w:rPr>
        <w:t>solaire</w:t>
      </w:r>
      <w:proofErr w:type="spellEnd"/>
      <w:r w:rsidRPr="0079590F">
        <w:rPr>
          <w:rStyle w:val="st1"/>
          <w:b/>
          <w:color w:val="auto"/>
        </w:rPr>
        <w:t xml:space="preserve">, </w:t>
      </w:r>
      <w:r w:rsidRPr="0079590F">
        <w:rPr>
          <w:rStyle w:val="Emphasis"/>
          <w:b w:val="0"/>
          <w:color w:val="auto"/>
        </w:rPr>
        <w:t>PROVES)</w:t>
      </w:r>
      <w:bookmarkEnd w:id="4"/>
      <w:r w:rsidR="0079590F" w:rsidRPr="0079590F">
        <w:rPr>
          <w:rStyle w:val="Emphasis"/>
          <w:b w:val="0"/>
          <w:color w:val="auto"/>
        </w:rPr>
        <w:t>.</w:t>
      </w:r>
    </w:p>
    <w:p w14:paraId="25B06FEC" w14:textId="77777777" w:rsidR="00AE14E5" w:rsidRPr="0079590F" w:rsidRDefault="00AE14E5" w:rsidP="00AE14E5">
      <w:pPr>
        <w:autoSpaceDE w:val="0"/>
        <w:autoSpaceDN w:val="0"/>
        <w:adjustRightInd w:val="0"/>
        <w:spacing w:after="0" w:line="240" w:lineRule="auto"/>
        <w:ind w:left="0" w:firstLine="0"/>
        <w:jc w:val="both"/>
        <w:rPr>
          <w:rFonts w:eastAsiaTheme="minorEastAsia"/>
          <w:b/>
          <w:bCs/>
          <w:color w:val="auto"/>
        </w:rPr>
      </w:pPr>
    </w:p>
    <w:p w14:paraId="0596CE80" w14:textId="77777777" w:rsidR="00216F3C" w:rsidRDefault="002B3816" w:rsidP="00A16AA9">
      <w:pPr>
        <w:pStyle w:val="Heading2"/>
        <w:ind w:left="0"/>
      </w:pPr>
      <w:r>
        <w:t>Sectoral and Institutional Context</w:t>
      </w:r>
    </w:p>
    <w:p w14:paraId="09404035" w14:textId="77777777" w:rsidR="0079590F" w:rsidRDefault="002B3816" w:rsidP="00442039">
      <w:pPr>
        <w:ind w:left="0" w:firstLine="0"/>
        <w:jc w:val="both"/>
      </w:pPr>
      <w:r w:rsidRPr="00AD3386">
        <w:rPr>
          <w:i/>
        </w:rPr>
        <w:t>Context and drivers of deforestation and forest degradation</w:t>
      </w:r>
      <w:r>
        <w:t xml:space="preserve">: Togo has </w:t>
      </w:r>
      <w:r w:rsidR="0079590F">
        <w:t xml:space="preserve">been assessed to have one </w:t>
      </w:r>
      <w:r>
        <w:t xml:space="preserve">the world’s highest level of forest loss relative to forest area (5.1 percent between 2000 and 2010) and </w:t>
      </w:r>
      <w:r w:rsidR="0079590F">
        <w:t>is</w:t>
      </w:r>
      <w:r>
        <w:t xml:space="preserve"> thus classified as a low forest cover-high deforestation (LFHD)</w:t>
      </w:r>
      <w:r w:rsidR="0079590F">
        <w:t xml:space="preserve"> country</w:t>
      </w:r>
      <w:r>
        <w:t xml:space="preserve">. The REDD+ process in Togo aims to curb this trend so that a key portion of these remaining forests can subsist and survive </w:t>
      </w:r>
      <w:r w:rsidR="0079590F">
        <w:t xml:space="preserve">the national forest transition. </w:t>
      </w:r>
      <w:r>
        <w:t>Togo has integrated REDD+ into its National Development Plan, recognizing the important contribution of forests and trees outside forests to biodiversity, society and economic growth. Deforestation</w:t>
      </w:r>
      <w:r w:rsidR="000B1C71">
        <w:t xml:space="preserve"> and forest degradation in Togo</w:t>
      </w:r>
      <w:r>
        <w:t xml:space="preserve"> are a result of overlapping factors interacting at the global, regional and local level, of which some are ‘direct’ drivers of deforestation, like agricultural expansion, infrastructure development, and wood harvesting. Interacting with these, are several ‘indirect’ drivers, institutional and location-specific factors, often associated with economic growth, demographic change, policy incentives in other sectors (i.e.</w:t>
      </w:r>
      <w:r w:rsidR="0079590F">
        <w:t>,</w:t>
      </w:r>
      <w:r>
        <w:t xml:space="preserve"> land use and energy) and technology changes; and political and socio-economic factors like poverty, migration, and land tenure and use rights (Geist and </w:t>
      </w:r>
      <w:proofErr w:type="spellStart"/>
      <w:r>
        <w:t>Lambin</w:t>
      </w:r>
      <w:proofErr w:type="spellEnd"/>
      <w:r>
        <w:t xml:space="preserve"> 2002). </w:t>
      </w:r>
    </w:p>
    <w:p w14:paraId="73653A9B" w14:textId="77777777" w:rsidR="0079590F" w:rsidRDefault="0079590F" w:rsidP="00442039">
      <w:pPr>
        <w:ind w:left="0" w:firstLine="0"/>
        <w:jc w:val="both"/>
      </w:pPr>
    </w:p>
    <w:p w14:paraId="1D17FE95" w14:textId="3562F52C" w:rsidR="00216F3C" w:rsidRDefault="002B3816" w:rsidP="00442039">
      <w:pPr>
        <w:ind w:left="0" w:firstLine="0"/>
        <w:jc w:val="both"/>
      </w:pPr>
      <w:r>
        <w:t xml:space="preserve">The challenge of the strong deforestation and degradation trend of Togo’s forests offers a unique opportunity to formulate a REDD+ strategy as a comprehensive approach to rural development, integrating mitigation as well as adaptation to climate change. There is great political ambition to increase forest cover across the territory expressed in national policy and strategy documents. With this backdrop, the Ministry of Environment and Forest Resources </w:t>
      </w:r>
      <w:r w:rsidR="00F6547B">
        <w:t xml:space="preserve">associated itself with the REDD+ process supported by the Forest </w:t>
      </w:r>
      <w:r w:rsidR="00F6547B">
        <w:lastRenderedPageBreak/>
        <w:t xml:space="preserve">Carbon Partnership Facility (FCPF), administered by the World Bank. </w:t>
      </w:r>
      <w:r>
        <w:t xml:space="preserve">This process is participatory in accordance with a holistic approach that </w:t>
      </w:r>
      <w:proofErr w:type="gramStart"/>
      <w:r>
        <w:t>takes into account</w:t>
      </w:r>
      <w:proofErr w:type="gramEnd"/>
      <w:r>
        <w:t xml:space="preserve"> all socio-economic and ecological aspects while putting people at the center of all interventions. Togo’s </w:t>
      </w:r>
      <w:r w:rsidR="00F6547B">
        <w:t>REDD+ process</w:t>
      </w:r>
      <w:r>
        <w:t xml:space="preserve"> aim</w:t>
      </w:r>
      <w:r w:rsidR="00F6547B">
        <w:t>s to achieve four main outcomes:</w:t>
      </w:r>
      <w:r>
        <w:t xml:space="preserve"> (1) a functioning institutional framework and qualified national expertise developed to drive the REDD+ process; (2) reliable studies are conducted and quality reports produced </w:t>
      </w:r>
      <w:r w:rsidR="00F6547B">
        <w:t>to inform the development of the REDD+ Strategy</w:t>
      </w:r>
      <w:r>
        <w:t xml:space="preserve">; (3) a REDD+ strategy is validated through concerted action by all the </w:t>
      </w:r>
      <w:r w:rsidR="00F6547B">
        <w:t>stakeholders</w:t>
      </w:r>
      <w:r>
        <w:t xml:space="preserve"> concerned; and (4) an effective system is established for the monitoring and evaluation of the development of forest resources at the national level. </w:t>
      </w:r>
    </w:p>
    <w:p w14:paraId="3C8E4A02" w14:textId="77777777" w:rsidR="00216F3C" w:rsidRDefault="002B3816">
      <w:pPr>
        <w:spacing w:after="0" w:line="259" w:lineRule="auto"/>
        <w:ind w:left="504" w:firstLine="0"/>
      </w:pPr>
      <w:r>
        <w:t xml:space="preserve"> </w:t>
      </w:r>
    </w:p>
    <w:p w14:paraId="1FE48DD3" w14:textId="2545B957" w:rsidR="000B4347" w:rsidRPr="00D92452" w:rsidRDefault="002B3816" w:rsidP="00460ACD">
      <w:pPr>
        <w:spacing w:after="127"/>
        <w:ind w:left="0"/>
        <w:jc w:val="both"/>
        <w:rPr>
          <w:color w:val="auto"/>
        </w:rPr>
      </w:pPr>
      <w:r w:rsidRPr="00F51445">
        <w:t xml:space="preserve">Institutional and Policy </w:t>
      </w:r>
      <w:r w:rsidRPr="00F51445">
        <w:rPr>
          <w:color w:val="auto"/>
        </w:rPr>
        <w:t>framework for REDD+:</w:t>
      </w:r>
      <w:r w:rsidRPr="00D92452">
        <w:rPr>
          <w:color w:val="auto"/>
        </w:rPr>
        <w:t xml:space="preserve"> On April 2014, the Ministry of Environment and Forestry Resources (MERF) enacted a decree (Ministerial Order NO 093/MERF) setting the creation, composition and attribution of National REDD+ </w:t>
      </w:r>
      <w:r w:rsidR="00F6547B" w:rsidRPr="00D92452">
        <w:rPr>
          <w:color w:val="auto"/>
        </w:rPr>
        <w:t>Committee</w:t>
      </w:r>
      <w:r w:rsidRPr="00D92452">
        <w:rPr>
          <w:color w:val="auto"/>
        </w:rPr>
        <w:t xml:space="preserve">. The latter is created within the MERF and encompasses the representatives of </w:t>
      </w:r>
      <w:r w:rsidR="00F6547B" w:rsidRPr="00D92452">
        <w:rPr>
          <w:color w:val="auto"/>
        </w:rPr>
        <w:t>thirteen</w:t>
      </w:r>
      <w:r w:rsidRPr="00D92452">
        <w:rPr>
          <w:color w:val="auto"/>
        </w:rPr>
        <w:t xml:space="preserve"> ministries, civil society organizations and those of technical and financial partners. </w:t>
      </w:r>
    </w:p>
    <w:p w14:paraId="1D34D78E" w14:textId="77777777" w:rsidR="00F6547B" w:rsidRPr="00D92452" w:rsidRDefault="00442039" w:rsidP="00F6547B">
      <w:pPr>
        <w:spacing w:after="127"/>
        <w:ind w:left="0"/>
        <w:jc w:val="both"/>
        <w:rPr>
          <w:color w:val="auto"/>
          <w:lang w:val="en-GB"/>
        </w:rPr>
      </w:pPr>
      <w:r w:rsidRPr="00D92452">
        <w:rPr>
          <w:color w:val="auto"/>
        </w:rPr>
        <w:t xml:space="preserve">Currently </w:t>
      </w:r>
      <w:r w:rsidR="000B4347" w:rsidRPr="00D92452">
        <w:rPr>
          <w:color w:val="auto"/>
        </w:rPr>
        <w:t>under implementation by the Ministry of Environm</w:t>
      </w:r>
      <w:r w:rsidRPr="00D92452">
        <w:rPr>
          <w:color w:val="auto"/>
        </w:rPr>
        <w:t>ent and Forest Resources (MERF), the original grant of US$3.8 million, under i</w:t>
      </w:r>
      <w:r w:rsidR="000B4347" w:rsidRPr="00D92452">
        <w:rPr>
          <w:color w:val="auto"/>
        </w:rPr>
        <w:t>mplementation</w:t>
      </w:r>
      <w:r w:rsidRPr="00D92452">
        <w:rPr>
          <w:color w:val="auto"/>
        </w:rPr>
        <w:t>,</w:t>
      </w:r>
      <w:r w:rsidR="000B4347" w:rsidRPr="00D92452">
        <w:rPr>
          <w:color w:val="auto"/>
        </w:rPr>
        <w:t xml:space="preserve"> is progressing well</w:t>
      </w:r>
      <w:r w:rsidR="00F6547B" w:rsidRPr="00D92452">
        <w:rPr>
          <w:color w:val="auto"/>
        </w:rPr>
        <w:t xml:space="preserve">. In September 2017, </w:t>
      </w:r>
      <w:r w:rsidR="000B4347" w:rsidRPr="00D92452">
        <w:rPr>
          <w:color w:val="auto"/>
          <w:lang w:val="en-GB"/>
        </w:rPr>
        <w:t xml:space="preserve">Togo self-assessed its REDD+ Readiness Preparation process using </w:t>
      </w:r>
      <w:r w:rsidR="000B4347" w:rsidRPr="00D92452">
        <w:rPr>
          <w:color w:val="auto"/>
        </w:rPr>
        <w:t xml:space="preserve">the FCPF REDD+ Readiness Assessment Framework’s evaluation criteria and submitted the results </w:t>
      </w:r>
      <w:r w:rsidR="000B4347" w:rsidRPr="00D92452">
        <w:rPr>
          <w:color w:val="auto"/>
          <w:lang w:val="en-GB"/>
        </w:rPr>
        <w:t>to the 24</w:t>
      </w:r>
      <w:r w:rsidR="000B4347" w:rsidRPr="00D92452">
        <w:rPr>
          <w:color w:val="auto"/>
          <w:vertAlign w:val="superscript"/>
          <w:lang w:val="en-GB"/>
        </w:rPr>
        <w:t>th</w:t>
      </w:r>
      <w:r w:rsidR="000B4347" w:rsidRPr="00D92452">
        <w:rPr>
          <w:color w:val="auto"/>
          <w:lang w:val="en-GB"/>
        </w:rPr>
        <w:t xml:space="preserve"> meeting of the FCPF Participants Committee (September 2017) through a Mid-Term</w:t>
      </w:r>
      <w:r w:rsidRPr="00D92452">
        <w:rPr>
          <w:color w:val="auto"/>
          <w:lang w:val="en-GB"/>
        </w:rPr>
        <w:t>.</w:t>
      </w:r>
      <w:r w:rsidR="00F6547B" w:rsidRPr="00D92452">
        <w:rPr>
          <w:color w:val="auto"/>
          <w:lang w:val="en-GB"/>
        </w:rPr>
        <w:t xml:space="preserve"> </w:t>
      </w:r>
      <w:r w:rsidR="00F6547B" w:rsidRPr="00D92452">
        <w:rPr>
          <w:color w:val="auto"/>
        </w:rPr>
        <w:t>The Mid-Term Report (MTR) identified the remaining gaps and associated financial needs to complete the REDD+ Readiness Preparation process, resulting in Togo’s request for an additional US$ 2.93 million from the FCPF. The request was approved by the FCPF Participants Committee on September 27, 2017, subject to the availability of funds which were later confirmed by the FCPF Secretariat on February 13, 2018 and subject to World Bank due diligence.</w:t>
      </w:r>
      <w:r w:rsidR="000B4347" w:rsidRPr="00D92452">
        <w:rPr>
          <w:color w:val="auto"/>
          <w:lang w:val="en-GB"/>
        </w:rPr>
        <w:t xml:space="preserve"> </w:t>
      </w:r>
    </w:p>
    <w:p w14:paraId="6E070972" w14:textId="28B0AEF6" w:rsidR="000B4347" w:rsidRPr="00D92452" w:rsidRDefault="000B4347" w:rsidP="00F6547B">
      <w:pPr>
        <w:spacing w:after="127"/>
        <w:ind w:left="0"/>
        <w:jc w:val="both"/>
        <w:rPr>
          <w:color w:val="auto"/>
        </w:rPr>
      </w:pPr>
      <w:r w:rsidRPr="00D92452">
        <w:rPr>
          <w:color w:val="auto"/>
        </w:rPr>
        <w:t xml:space="preserve">Since the start of operational activities in October 2015, Togo has been implementing REDD+ Readiness activities as defined in its Readiness Preparation Proposal (R-PP) with the support of three programs: (i) the ongoing REDD+ Readiness Preparation Project (P149942) funded by the FCPF (original grant), covering a period of 2015-2018; (ii) the </w:t>
      </w:r>
      <w:bookmarkStart w:id="5" w:name="_Hlk510714093"/>
      <w:r w:rsidRPr="00D92452">
        <w:rPr>
          <w:color w:val="auto"/>
        </w:rPr>
        <w:t xml:space="preserve">Readiness and Rehabilitation of Forests in Togo REDD+ support program </w:t>
      </w:r>
      <w:bookmarkEnd w:id="5"/>
      <w:r w:rsidRPr="00D92452">
        <w:rPr>
          <w:color w:val="auto"/>
        </w:rPr>
        <w:t>("</w:t>
      </w:r>
      <w:proofErr w:type="spellStart"/>
      <w:r w:rsidRPr="00D92452">
        <w:rPr>
          <w:color w:val="auto"/>
        </w:rPr>
        <w:t>ProREDD</w:t>
      </w:r>
      <w:proofErr w:type="spellEnd"/>
      <w:r w:rsidRPr="00D92452">
        <w:rPr>
          <w:color w:val="auto"/>
        </w:rPr>
        <w:t xml:space="preserve">") funded by the German government and implemented by </w:t>
      </w:r>
      <w:bookmarkStart w:id="6" w:name="_Hlk510714114"/>
      <w:r w:rsidRPr="00D92452">
        <w:rPr>
          <w:color w:val="auto"/>
        </w:rPr>
        <w:t>GIZ</w:t>
      </w:r>
      <w:bookmarkEnd w:id="6"/>
      <w:r w:rsidRPr="00D92452">
        <w:rPr>
          <w:color w:val="auto"/>
        </w:rPr>
        <w:t xml:space="preserve">, covering an initial phase for the period 2014-2016 and a second phase for the period 2017-2019; (iii) the </w:t>
      </w:r>
      <w:bookmarkStart w:id="7" w:name="_Hlk510714107"/>
      <w:r w:rsidRPr="00D92452">
        <w:rPr>
          <w:color w:val="auto"/>
        </w:rPr>
        <w:t>Integrated Disaster and Land Management Project (IDLMP)</w:t>
      </w:r>
      <w:bookmarkEnd w:id="7"/>
      <w:r w:rsidRPr="00D92452">
        <w:rPr>
          <w:color w:val="auto"/>
        </w:rPr>
        <w:t xml:space="preserve"> funded by the World Bank (P123922), covering the period 2012-2017; as well as a contribution from the Togolese government. The total cost of Togo’s R-PP was identified as US$ 6.88 million, of which US$ 5.80 million were received from these sources. Following Togo’s self-assessment of progress at mid-term in July 2017, the updated total cost of needs to complete the REDD+ Readiness process was estimated at US$ 2.93 million</w:t>
      </w:r>
      <w:r w:rsidRPr="00D92452">
        <w:rPr>
          <w:color w:val="auto"/>
          <w:vertAlign w:val="superscript"/>
        </w:rPr>
        <w:footnoteReference w:id="1"/>
      </w:r>
      <w:r w:rsidRPr="00D92452">
        <w:rPr>
          <w:color w:val="auto"/>
        </w:rPr>
        <w:t>.</w:t>
      </w:r>
    </w:p>
    <w:p w14:paraId="22F9A9A4" w14:textId="7C20D56C" w:rsidR="00793142" w:rsidRDefault="00F6547B" w:rsidP="00AD3386">
      <w:pPr>
        <w:spacing w:after="287"/>
        <w:ind w:left="0"/>
        <w:jc w:val="both"/>
        <w:rPr>
          <w:bCs/>
          <w:color w:val="00B050"/>
        </w:rPr>
      </w:pPr>
      <w:r w:rsidRPr="00D92452">
        <w:rPr>
          <w:b/>
          <w:color w:val="auto"/>
        </w:rPr>
        <w:t>Consistency with Togo’s Country Partnership Framework (FY17-FY20)</w:t>
      </w:r>
      <w:r w:rsidRPr="00D92452">
        <w:rPr>
          <w:color w:val="auto"/>
        </w:rPr>
        <w:t>. T</w:t>
      </w:r>
      <w:r w:rsidRPr="00D92452">
        <w:rPr>
          <w:bCs/>
          <w:color w:val="auto"/>
        </w:rPr>
        <w:t xml:space="preserve">he AF activities are consistent with the FY17-FY20 Country Partnership Framework </w:t>
      </w:r>
      <w:r w:rsidRPr="00D92452">
        <w:rPr>
          <w:color w:val="auto"/>
        </w:rPr>
        <w:t xml:space="preserve">(Report No. </w:t>
      </w:r>
      <w:r w:rsidRPr="00D92452">
        <w:rPr>
          <w:rFonts w:eastAsiaTheme="minorHAnsi"/>
          <w:color w:val="auto"/>
        </w:rPr>
        <w:t>112965-TG</w:t>
      </w:r>
      <w:r w:rsidRPr="00D92452">
        <w:rPr>
          <w:color w:val="auto"/>
        </w:rPr>
        <w:t xml:space="preserve">). </w:t>
      </w:r>
      <w:r w:rsidRPr="00D92452">
        <w:rPr>
          <w:bCs/>
          <w:color w:val="auto"/>
        </w:rPr>
        <w:t xml:space="preserve">The Country Partnership Framework identifies governance as a foundational and cross cutting theme, to which the project is contributing by strengthening institutions and citizens engagement. In addition, the project contributes to: (i) CPF Focus Area 1 (Private Sector Performance </w:t>
      </w:r>
      <w:r>
        <w:rPr>
          <w:bCs/>
        </w:rPr>
        <w:t>and Job Creation) through productive activities in the forest, agriculture and energy sectors; and (ii) CPF Focus Area 3 (Environmental Sustainability and Resilience) through strengthened management of productive natural resources and resilience and ada</w:t>
      </w:r>
      <w:r w:rsidRPr="002A4FEC">
        <w:rPr>
          <w:bCs/>
        </w:rPr>
        <w:t xml:space="preserve">ptation to climate change. </w:t>
      </w:r>
      <w:r>
        <w:rPr>
          <w:bCs/>
        </w:rPr>
        <w:t xml:space="preserve">Focus Area 3 contains specific indicators to increase the forest </w:t>
      </w:r>
      <w:r>
        <w:rPr>
          <w:bCs/>
        </w:rPr>
        <w:lastRenderedPageBreak/>
        <w:t>area brought under management plans and to increase the area covered by monitoring system for land use vegetation and carbon.</w:t>
      </w:r>
    </w:p>
    <w:p w14:paraId="10DC8C81" w14:textId="77777777" w:rsidR="0079590F" w:rsidRPr="0079590F" w:rsidRDefault="0079590F" w:rsidP="0079590F">
      <w:pPr>
        <w:ind w:left="0" w:firstLine="0"/>
        <w:jc w:val="both"/>
        <w:rPr>
          <w:color w:val="auto"/>
          <w:lang w:val="en-GB"/>
        </w:rPr>
      </w:pPr>
      <w:r w:rsidRPr="0079590F">
        <w:rPr>
          <w:bCs/>
          <w:color w:val="auto"/>
        </w:rPr>
        <w:t xml:space="preserve">The World-Bank is supporting the government of Togo by financing some </w:t>
      </w:r>
      <w:r w:rsidRPr="0079590F">
        <w:rPr>
          <w:color w:val="auto"/>
        </w:rPr>
        <w:t xml:space="preserve">synergetic </w:t>
      </w:r>
      <w:r w:rsidRPr="0079590F">
        <w:rPr>
          <w:bCs/>
          <w:color w:val="auto"/>
        </w:rPr>
        <w:t xml:space="preserve">projects </w:t>
      </w:r>
      <w:r w:rsidRPr="0079590F">
        <w:rPr>
          <w:color w:val="auto"/>
        </w:rPr>
        <w:t xml:space="preserve">with REDD+ </w:t>
      </w:r>
      <w:r w:rsidRPr="0079590F">
        <w:rPr>
          <w:bCs/>
          <w:color w:val="auto"/>
        </w:rPr>
        <w:t xml:space="preserve">such as the </w:t>
      </w:r>
      <w:r w:rsidRPr="0079590F">
        <w:rPr>
          <w:color w:val="auto"/>
        </w:rPr>
        <w:t>IDLM</w:t>
      </w:r>
      <w:r w:rsidRPr="0079590F">
        <w:rPr>
          <w:bCs/>
          <w:color w:val="auto"/>
        </w:rPr>
        <w:t xml:space="preserve"> (P121152), which has </w:t>
      </w:r>
      <w:r w:rsidRPr="0079590F">
        <w:rPr>
          <w:color w:val="auto"/>
        </w:rPr>
        <w:t>strengthened institutional capacities to manage land degradation while promoting sustainable land management practices, and the West Africa Coastal Areas Resilience Project (P162337) which will finance investments to protect vulnerable areas from coastal pressures. The latter project will promote</w:t>
      </w:r>
      <w:r w:rsidRPr="0079590F">
        <w:rPr>
          <w:bCs/>
          <w:color w:val="auto"/>
        </w:rPr>
        <w:t xml:space="preserve"> conservation of sensitive coastal ecosystems and introduce sustainable land management practices </w:t>
      </w:r>
      <w:r w:rsidRPr="0079590F">
        <w:rPr>
          <w:color w:val="auto"/>
        </w:rPr>
        <w:t xml:space="preserve">and alternative income generating activities to reduce ongoing land degradation and pressure on natural ecosystems in the coastal zone. The West Africa Agricultural Productivity Program (P158983), of which Togo is a part of, as well as the Agriculture Sector Support Project (P159637) and Togo Energy Sector Support and Investment Project (P160377) will </w:t>
      </w:r>
      <w:proofErr w:type="gramStart"/>
      <w:r w:rsidRPr="0079590F">
        <w:rPr>
          <w:color w:val="auto"/>
        </w:rPr>
        <w:t>take into account</w:t>
      </w:r>
      <w:proofErr w:type="gramEnd"/>
      <w:r w:rsidRPr="0079590F">
        <w:rPr>
          <w:color w:val="auto"/>
        </w:rPr>
        <w:t xml:space="preserve"> the environment in the project measures to reforest the degraded vegetation cover during construction, in addition to environmental and social monitoring. </w:t>
      </w:r>
    </w:p>
    <w:p w14:paraId="5A1C75B5" w14:textId="77777777" w:rsidR="0079590F" w:rsidRPr="0079590F" w:rsidRDefault="0079590F" w:rsidP="00AD3386">
      <w:pPr>
        <w:spacing w:after="287"/>
        <w:ind w:left="0"/>
        <w:jc w:val="both"/>
        <w:rPr>
          <w:color w:val="00B050"/>
          <w:lang w:val="en-GB"/>
        </w:rPr>
      </w:pPr>
    </w:p>
    <w:p w14:paraId="754515FD" w14:textId="77777777" w:rsidR="00216F3C" w:rsidRDefault="002B3816">
      <w:pPr>
        <w:pStyle w:val="Heading1"/>
        <w:ind w:left="489" w:hanging="452"/>
      </w:pPr>
      <w:r>
        <w:t>Proposed Development Objective(s)</w:t>
      </w:r>
    </w:p>
    <w:p w14:paraId="766984F7" w14:textId="77777777" w:rsidR="009C36C3" w:rsidRDefault="009C36C3">
      <w:pPr>
        <w:pStyle w:val="Heading2"/>
        <w:ind w:left="499"/>
      </w:pPr>
    </w:p>
    <w:p w14:paraId="491EF3E3" w14:textId="77777777" w:rsidR="00216F3C" w:rsidRDefault="002B3816">
      <w:pPr>
        <w:pStyle w:val="Heading2"/>
        <w:ind w:left="499"/>
      </w:pPr>
      <w:r>
        <w:t>Proposed Development Objective(s)</w:t>
      </w:r>
    </w:p>
    <w:p w14:paraId="4E8DFBB1" w14:textId="77777777" w:rsidR="00DC1152" w:rsidRDefault="002B3816">
      <w:pPr>
        <w:spacing w:after="127"/>
        <w:ind w:left="499"/>
      </w:pPr>
      <w:r>
        <w:t xml:space="preserve">The development objective is to reinforce the Republic of Togo’s capacity to design a socially and environmentally sound national strategy to reduce emissions from deforestation and forest degradation. </w:t>
      </w:r>
    </w:p>
    <w:p w14:paraId="78624D12" w14:textId="77777777" w:rsidR="00DC1152" w:rsidRDefault="00DC1152">
      <w:pPr>
        <w:pStyle w:val="Heading2"/>
        <w:ind w:left="499"/>
      </w:pPr>
    </w:p>
    <w:p w14:paraId="7FAA344C" w14:textId="2E7923E1" w:rsidR="00216F3C" w:rsidRPr="00605EE9" w:rsidRDefault="002B3816" w:rsidP="00F6547B">
      <w:pPr>
        <w:pStyle w:val="Heading2"/>
        <w:ind w:left="0"/>
      </w:pPr>
      <w:r w:rsidRPr="00605EE9">
        <w:t>Key Results</w:t>
      </w:r>
    </w:p>
    <w:p w14:paraId="7D4F1757" w14:textId="77777777" w:rsidR="00F6547B" w:rsidRPr="00605EE9" w:rsidRDefault="00F6547B" w:rsidP="00F6547B">
      <w:pPr>
        <w:spacing w:after="200"/>
        <w:ind w:left="0" w:right="29"/>
        <w:jc w:val="both"/>
      </w:pPr>
      <w:r w:rsidRPr="00605EE9">
        <w:rPr>
          <w:b/>
          <w:lang w:val="en-ZA"/>
        </w:rPr>
        <w:t>The</w:t>
      </w:r>
      <w:r w:rsidRPr="00605EE9">
        <w:rPr>
          <w:b/>
        </w:rPr>
        <w:t xml:space="preserve"> results of the original grant remain valid for the AF</w:t>
      </w:r>
      <w:r w:rsidRPr="00605EE9">
        <w:t>, these are:</w:t>
      </w:r>
    </w:p>
    <w:p w14:paraId="5E3F5BE4" w14:textId="77777777" w:rsidR="00F6547B" w:rsidRPr="00605EE9" w:rsidRDefault="00F6547B" w:rsidP="00F6547B">
      <w:pPr>
        <w:pStyle w:val="ListParagraph"/>
        <w:numPr>
          <w:ilvl w:val="0"/>
          <w:numId w:val="6"/>
        </w:numPr>
        <w:autoSpaceDE w:val="0"/>
        <w:autoSpaceDN w:val="0"/>
        <w:adjustRightInd w:val="0"/>
        <w:spacing w:after="200"/>
        <w:contextualSpacing w:val="0"/>
        <w:jc w:val="both"/>
        <w:rPr>
          <w:rFonts w:eastAsiaTheme="minorHAnsi"/>
          <w:color w:val="000000"/>
          <w:sz w:val="22"/>
          <w:szCs w:val="22"/>
        </w:rPr>
      </w:pPr>
      <w:r w:rsidRPr="00605EE9">
        <w:rPr>
          <w:rFonts w:eastAsiaTheme="minorHAnsi"/>
          <w:color w:val="000000"/>
          <w:sz w:val="22"/>
          <w:szCs w:val="22"/>
        </w:rPr>
        <w:t xml:space="preserve">Institutions strengthened at national, regional, and districts levels effectively coordinating and implementing REDD+ readiness with a grievance and redress mechanism operational. </w:t>
      </w:r>
    </w:p>
    <w:p w14:paraId="3FB51A43" w14:textId="77777777" w:rsidR="00F6547B" w:rsidRPr="00605EE9" w:rsidRDefault="00F6547B" w:rsidP="00F6547B">
      <w:pPr>
        <w:pStyle w:val="ListParagraph"/>
        <w:numPr>
          <w:ilvl w:val="0"/>
          <w:numId w:val="6"/>
        </w:numPr>
        <w:autoSpaceDE w:val="0"/>
        <w:autoSpaceDN w:val="0"/>
        <w:adjustRightInd w:val="0"/>
        <w:spacing w:after="200"/>
        <w:contextualSpacing w:val="0"/>
        <w:jc w:val="both"/>
        <w:rPr>
          <w:rFonts w:eastAsiaTheme="minorHAnsi"/>
          <w:color w:val="000000"/>
          <w:sz w:val="22"/>
          <w:szCs w:val="22"/>
        </w:rPr>
      </w:pPr>
      <w:r w:rsidRPr="00605EE9">
        <w:rPr>
          <w:rFonts w:eastAsiaTheme="minorHAnsi"/>
          <w:color w:val="000000"/>
          <w:sz w:val="22"/>
          <w:szCs w:val="22"/>
        </w:rPr>
        <w:t xml:space="preserve">A National REDD+ Strategy incorporating SESA outcomes and recommendations is prepared in consultative manner and validated by national stakeholders. An Environmental and Social Management Framework (ESMF) for managing potential social and environmental risks of agreed REDD+ strategy options is prepared and validated including a benefit sharing options. </w:t>
      </w:r>
    </w:p>
    <w:p w14:paraId="21BD4D6A" w14:textId="77777777" w:rsidR="00F6547B" w:rsidRPr="00605EE9" w:rsidRDefault="00F6547B" w:rsidP="00F6547B">
      <w:pPr>
        <w:spacing w:after="200"/>
        <w:ind w:left="360" w:right="29" w:firstLine="0"/>
        <w:jc w:val="both"/>
        <w:rPr>
          <w:lang w:val="en-ZA"/>
        </w:rPr>
      </w:pPr>
      <w:r w:rsidRPr="00605EE9">
        <w:rPr>
          <w:bCs/>
          <w:kern w:val="32"/>
        </w:rPr>
        <w:t>The following are results indicators specific to the AF and will be reflected in the results framework</w:t>
      </w:r>
      <w:r w:rsidRPr="00605EE9">
        <w:rPr>
          <w:bCs/>
          <w:iCs/>
          <w:kern w:val="32"/>
        </w:rPr>
        <w:t>:</w:t>
      </w:r>
    </w:p>
    <w:p w14:paraId="764FA383" w14:textId="77777777" w:rsidR="00F6547B" w:rsidRPr="00605EE9" w:rsidRDefault="00F6547B" w:rsidP="00F6547B">
      <w:pPr>
        <w:pStyle w:val="ListParagraph"/>
        <w:numPr>
          <w:ilvl w:val="0"/>
          <w:numId w:val="7"/>
        </w:numPr>
        <w:autoSpaceDE w:val="0"/>
        <w:autoSpaceDN w:val="0"/>
        <w:adjustRightInd w:val="0"/>
        <w:jc w:val="both"/>
        <w:rPr>
          <w:sz w:val="22"/>
          <w:szCs w:val="22"/>
        </w:rPr>
      </w:pPr>
      <w:r w:rsidRPr="00605EE9">
        <w:rPr>
          <w:sz w:val="22"/>
          <w:szCs w:val="22"/>
        </w:rPr>
        <w:t>Interventions for the National REDD+ Strategy are defined, including approaches to mobilize resources for their implementation;</w:t>
      </w:r>
    </w:p>
    <w:p w14:paraId="6840C7C8" w14:textId="77777777" w:rsidR="00F6547B" w:rsidRPr="00605EE9" w:rsidRDefault="00F6547B" w:rsidP="00F6547B">
      <w:pPr>
        <w:pStyle w:val="ListParagraph"/>
        <w:numPr>
          <w:ilvl w:val="0"/>
          <w:numId w:val="7"/>
        </w:numPr>
        <w:autoSpaceDE w:val="0"/>
        <w:autoSpaceDN w:val="0"/>
        <w:adjustRightInd w:val="0"/>
        <w:jc w:val="both"/>
        <w:rPr>
          <w:sz w:val="22"/>
          <w:szCs w:val="22"/>
        </w:rPr>
      </w:pPr>
      <w:r w:rsidRPr="00605EE9">
        <w:rPr>
          <w:sz w:val="22"/>
          <w:szCs w:val="22"/>
        </w:rPr>
        <w:t xml:space="preserve">A national </w:t>
      </w:r>
      <w:bookmarkStart w:id="8" w:name="_Hlk510714213"/>
      <w:r w:rsidRPr="00605EE9">
        <w:rPr>
          <w:sz w:val="22"/>
          <w:szCs w:val="22"/>
        </w:rPr>
        <w:t xml:space="preserve">Forest Reference Emissions Level (FREL) </w:t>
      </w:r>
      <w:bookmarkEnd w:id="8"/>
      <w:r w:rsidRPr="00605EE9">
        <w:rPr>
          <w:sz w:val="22"/>
          <w:szCs w:val="22"/>
        </w:rPr>
        <w:t>is established:</w:t>
      </w:r>
    </w:p>
    <w:p w14:paraId="183D32C7" w14:textId="77777777" w:rsidR="00F6547B" w:rsidRPr="00605EE9" w:rsidRDefault="00F6547B" w:rsidP="00F6547B">
      <w:pPr>
        <w:pStyle w:val="ListParagraph"/>
        <w:numPr>
          <w:ilvl w:val="1"/>
          <w:numId w:val="7"/>
        </w:numPr>
        <w:autoSpaceDE w:val="0"/>
        <w:autoSpaceDN w:val="0"/>
        <w:adjustRightInd w:val="0"/>
        <w:jc w:val="both"/>
        <w:rPr>
          <w:sz w:val="22"/>
          <w:szCs w:val="22"/>
        </w:rPr>
      </w:pPr>
      <w:r w:rsidRPr="00605EE9">
        <w:rPr>
          <w:sz w:val="22"/>
          <w:szCs w:val="22"/>
        </w:rPr>
        <w:t>the Second National Forest Inventory is conducted;</w:t>
      </w:r>
    </w:p>
    <w:p w14:paraId="7ED1BE14" w14:textId="77777777" w:rsidR="00F6547B" w:rsidRPr="00605EE9" w:rsidRDefault="00F6547B" w:rsidP="00F6547B">
      <w:pPr>
        <w:pStyle w:val="ListParagraph"/>
        <w:numPr>
          <w:ilvl w:val="1"/>
          <w:numId w:val="7"/>
        </w:numPr>
        <w:autoSpaceDE w:val="0"/>
        <w:autoSpaceDN w:val="0"/>
        <w:adjustRightInd w:val="0"/>
        <w:jc w:val="both"/>
        <w:rPr>
          <w:sz w:val="22"/>
          <w:szCs w:val="22"/>
        </w:rPr>
      </w:pPr>
      <w:r w:rsidRPr="00605EE9">
        <w:rPr>
          <w:rFonts w:eastAsiaTheme="minorHAnsi"/>
          <w:color w:val="000000"/>
          <w:sz w:val="22"/>
          <w:szCs w:val="22"/>
        </w:rPr>
        <w:t>a historical analysis and quantification of past deforestation is conducted.</w:t>
      </w:r>
    </w:p>
    <w:p w14:paraId="4F75F189" w14:textId="77777777" w:rsidR="00F6547B" w:rsidRPr="00605EE9" w:rsidRDefault="00F6547B" w:rsidP="00F6547B">
      <w:pPr>
        <w:pStyle w:val="ListParagraph"/>
        <w:numPr>
          <w:ilvl w:val="0"/>
          <w:numId w:val="7"/>
        </w:numPr>
        <w:autoSpaceDE w:val="0"/>
        <w:autoSpaceDN w:val="0"/>
        <w:adjustRightInd w:val="0"/>
        <w:jc w:val="both"/>
        <w:rPr>
          <w:sz w:val="22"/>
          <w:szCs w:val="22"/>
        </w:rPr>
      </w:pPr>
      <w:r w:rsidRPr="00605EE9">
        <w:rPr>
          <w:sz w:val="22"/>
          <w:szCs w:val="22"/>
          <w:lang w:val="en-ZA"/>
        </w:rPr>
        <w:t>Monitoring systems for forests and safeguards are established:</w:t>
      </w:r>
    </w:p>
    <w:p w14:paraId="7AC000BD" w14:textId="77777777" w:rsidR="00F6547B" w:rsidRPr="00605EE9" w:rsidRDefault="00F6547B" w:rsidP="00F6547B">
      <w:pPr>
        <w:pStyle w:val="ListParagraph"/>
        <w:numPr>
          <w:ilvl w:val="1"/>
          <w:numId w:val="7"/>
        </w:numPr>
        <w:autoSpaceDE w:val="0"/>
        <w:autoSpaceDN w:val="0"/>
        <w:adjustRightInd w:val="0"/>
        <w:jc w:val="both"/>
        <w:rPr>
          <w:sz w:val="22"/>
          <w:szCs w:val="22"/>
        </w:rPr>
      </w:pPr>
      <w:r w:rsidRPr="00605EE9">
        <w:rPr>
          <w:sz w:val="22"/>
          <w:szCs w:val="22"/>
          <w:lang w:val="en-ZA"/>
        </w:rPr>
        <w:t>a</w:t>
      </w:r>
      <w:r w:rsidRPr="00605EE9">
        <w:rPr>
          <w:sz w:val="22"/>
          <w:szCs w:val="22"/>
        </w:rPr>
        <w:t xml:space="preserve"> Measurement, Reporting, and Verification (MRV) system for REDD+ is designed; </w:t>
      </w:r>
    </w:p>
    <w:p w14:paraId="32E9490C" w14:textId="77777777" w:rsidR="00F6547B" w:rsidRPr="00605EE9" w:rsidRDefault="00F6547B" w:rsidP="00F6547B">
      <w:pPr>
        <w:pStyle w:val="ListParagraph"/>
        <w:numPr>
          <w:ilvl w:val="1"/>
          <w:numId w:val="7"/>
        </w:numPr>
        <w:autoSpaceDE w:val="0"/>
        <w:autoSpaceDN w:val="0"/>
        <w:adjustRightInd w:val="0"/>
        <w:jc w:val="both"/>
        <w:rPr>
          <w:sz w:val="22"/>
          <w:szCs w:val="22"/>
        </w:rPr>
      </w:pPr>
      <w:r w:rsidRPr="00605EE9">
        <w:rPr>
          <w:sz w:val="22"/>
          <w:szCs w:val="22"/>
        </w:rPr>
        <w:t xml:space="preserve">a National Forest Monitoring System (NFMS) is designed; </w:t>
      </w:r>
    </w:p>
    <w:p w14:paraId="3AA42AE6" w14:textId="77777777" w:rsidR="00F6547B" w:rsidRPr="00605EE9" w:rsidRDefault="00F6547B" w:rsidP="00F6547B">
      <w:pPr>
        <w:pStyle w:val="ListParagraph"/>
        <w:numPr>
          <w:ilvl w:val="1"/>
          <w:numId w:val="7"/>
        </w:numPr>
        <w:autoSpaceDE w:val="0"/>
        <w:autoSpaceDN w:val="0"/>
        <w:adjustRightInd w:val="0"/>
        <w:jc w:val="both"/>
        <w:rPr>
          <w:sz w:val="22"/>
          <w:szCs w:val="22"/>
        </w:rPr>
      </w:pPr>
      <w:r w:rsidRPr="00605EE9">
        <w:rPr>
          <w:sz w:val="22"/>
          <w:szCs w:val="22"/>
        </w:rPr>
        <w:t>an Information System for Safeguards, Governance and Multiple Benefits is designed.</w:t>
      </w:r>
    </w:p>
    <w:p w14:paraId="0F0511CC" w14:textId="77777777" w:rsidR="00DC1152" w:rsidRPr="00DC1152" w:rsidRDefault="00DC1152" w:rsidP="00DC1152">
      <w:pPr>
        <w:pStyle w:val="ListParagraph"/>
        <w:autoSpaceDE w:val="0"/>
        <w:autoSpaceDN w:val="0"/>
        <w:adjustRightInd w:val="0"/>
        <w:ind w:left="1440"/>
        <w:jc w:val="both"/>
        <w:rPr>
          <w:rFonts w:eastAsiaTheme="minorHAnsi"/>
          <w:color w:val="000000"/>
          <w:sz w:val="22"/>
          <w:szCs w:val="22"/>
        </w:rPr>
      </w:pPr>
    </w:p>
    <w:p w14:paraId="7CC2930A" w14:textId="77777777" w:rsidR="00216F3C" w:rsidRDefault="002B3816">
      <w:pPr>
        <w:pStyle w:val="Heading1"/>
        <w:ind w:left="489" w:hanging="452"/>
      </w:pPr>
      <w:r>
        <w:lastRenderedPageBreak/>
        <w:t>Preliminary Description</w:t>
      </w:r>
    </w:p>
    <w:p w14:paraId="457D486D" w14:textId="77777777" w:rsidR="00DC1152" w:rsidRDefault="00DC1152">
      <w:pPr>
        <w:pStyle w:val="Heading2"/>
        <w:ind w:left="499"/>
      </w:pPr>
    </w:p>
    <w:p w14:paraId="4F8FDB85" w14:textId="160E8126" w:rsidR="00216F3C" w:rsidRDefault="002B3816">
      <w:pPr>
        <w:pStyle w:val="Heading2"/>
        <w:ind w:left="499"/>
      </w:pPr>
      <w:r>
        <w:t>Concept Description</w:t>
      </w:r>
    </w:p>
    <w:p w14:paraId="20EBEAE4" w14:textId="77777777" w:rsidR="006A47ED" w:rsidRDefault="006A47ED">
      <w:pPr>
        <w:ind w:left="499"/>
      </w:pPr>
    </w:p>
    <w:p w14:paraId="5ACB2366" w14:textId="77777777" w:rsidR="000B0D9E" w:rsidRDefault="006A47ED" w:rsidP="00414B3E">
      <w:pPr>
        <w:spacing w:after="70"/>
        <w:ind w:left="327" w:right="244"/>
        <w:jc w:val="both"/>
        <w:rPr>
          <w:lang w:val="en-GB"/>
        </w:rPr>
      </w:pPr>
      <w:r w:rsidRPr="00867A61">
        <w:rPr>
          <w:lang w:val="en-GB"/>
        </w:rPr>
        <w:t xml:space="preserve">The proposed additional grant would enable Togo to complete the REDD+ Readiness process at national-level as defined in its </w:t>
      </w:r>
      <w:r w:rsidRPr="00867A61">
        <w:rPr>
          <w:lang w:eastAsia="pt-PT"/>
        </w:rPr>
        <w:t>Readiness Preparation Proposal</w:t>
      </w:r>
      <w:r w:rsidRPr="00867A61">
        <w:rPr>
          <w:lang w:val="en-GB"/>
        </w:rPr>
        <w:t xml:space="preserve"> (R-PP) submitted to the Forest Carbon Partnership Facility (FCPF).</w:t>
      </w:r>
    </w:p>
    <w:p w14:paraId="6790D4B0" w14:textId="17DB17FA" w:rsidR="00216F3C" w:rsidRDefault="000B0D9E" w:rsidP="00414B3E">
      <w:pPr>
        <w:spacing w:after="70"/>
        <w:ind w:left="327" w:right="244"/>
        <w:jc w:val="both"/>
        <w:rPr>
          <w:lang w:eastAsia="pt-PT"/>
        </w:rPr>
      </w:pPr>
      <w:r>
        <w:rPr>
          <w:lang w:val="en-GB"/>
        </w:rPr>
        <w:t>S</w:t>
      </w:r>
      <w:proofErr w:type="spellStart"/>
      <w:r w:rsidR="006A47ED" w:rsidRPr="00867A61">
        <w:t>pecifically</w:t>
      </w:r>
      <w:proofErr w:type="spellEnd"/>
      <w:r w:rsidR="006A47ED" w:rsidRPr="00867A61">
        <w:t xml:space="preserve">, the AF will: </w:t>
      </w:r>
      <w:r w:rsidR="006A47ED" w:rsidRPr="00867A61">
        <w:rPr>
          <w:lang w:val="en-GB"/>
        </w:rPr>
        <w:t>(i) ensure the operation and reinforce the capacities of the national REDD+ management bodies</w:t>
      </w:r>
      <w:r w:rsidR="006A47ED" w:rsidRPr="00867A61">
        <w:rPr>
          <w:rStyle w:val="FootnoteReference"/>
          <w:lang w:val="en-GB"/>
        </w:rPr>
        <w:footnoteReference w:id="2"/>
      </w:r>
      <w:r w:rsidR="006A47ED" w:rsidRPr="00867A61">
        <w:rPr>
          <w:lang w:val="en-GB"/>
        </w:rPr>
        <w:t xml:space="preserve"> to provide political and technical guidance to the development of the REDD+ Strategy; (ii) reinforce the capacities and organization of the main stakeholders</w:t>
      </w:r>
      <w:r w:rsidR="006A47ED" w:rsidRPr="00867A61">
        <w:rPr>
          <w:rStyle w:val="FootnoteReference"/>
          <w:lang w:val="en-GB"/>
        </w:rPr>
        <w:footnoteReference w:id="3"/>
      </w:r>
      <w:r w:rsidR="006A47ED" w:rsidRPr="00867A61">
        <w:rPr>
          <w:lang w:val="en-GB"/>
        </w:rPr>
        <w:t xml:space="preserve"> for a more effective participation in the development and implementation of the REDD+ Strategy; (iii) finalize the REDD+ Strategy with a detailed action plan and budget for implementation; (iv) enhance the efforts to consult, validate and disseminate the REDD+ strategy at local levels; (v) </w:t>
      </w:r>
      <w:proofErr w:type="spellStart"/>
      <w:r w:rsidR="006A47ED" w:rsidRPr="00867A61">
        <w:rPr>
          <w:lang w:val="en-GB"/>
        </w:rPr>
        <w:t>develope</w:t>
      </w:r>
      <w:proofErr w:type="spellEnd"/>
      <w:r w:rsidR="006A47ED" w:rsidRPr="00867A61">
        <w:rPr>
          <w:lang w:val="en-GB"/>
        </w:rPr>
        <w:t xml:space="preserve"> a Measurement, Reporting and Verification (MRV) system for REDD+; (vi) ensure the integration of REDD+ into sectoral strategies and measures; (vii) prepare the Government of Togo to </w:t>
      </w:r>
      <w:r w:rsidR="006A47ED" w:rsidRPr="00867A61">
        <w:rPr>
          <w:lang w:eastAsia="pt-PT"/>
        </w:rPr>
        <w:t>access available funding from REDD+ mechanisms.</w:t>
      </w:r>
    </w:p>
    <w:p w14:paraId="4B3380F3" w14:textId="77777777" w:rsidR="000B0D9E" w:rsidRDefault="000B0D9E" w:rsidP="000B0D9E">
      <w:pPr>
        <w:spacing w:after="70"/>
        <w:ind w:left="327" w:right="244"/>
      </w:pPr>
    </w:p>
    <w:p w14:paraId="3A3C5A40" w14:textId="4ECECDA5" w:rsidR="00216F3C" w:rsidRDefault="002B3816">
      <w:pPr>
        <w:pStyle w:val="Heading1"/>
        <w:ind w:left="489" w:hanging="452"/>
      </w:pPr>
      <w:r>
        <w:t>Safeguard Policies that might apply</w:t>
      </w:r>
    </w:p>
    <w:p w14:paraId="6A86486B" w14:textId="77777777" w:rsidR="000B0D9E" w:rsidRPr="000B0D9E" w:rsidRDefault="000B0D9E" w:rsidP="000B0D9E">
      <w:pPr>
        <w:ind w:left="0" w:firstLine="0"/>
      </w:pPr>
    </w:p>
    <w:tbl>
      <w:tblPr>
        <w:tblStyle w:val="TableGrid"/>
        <w:tblW w:w="8856" w:type="dxa"/>
        <w:tblInd w:w="504" w:type="dxa"/>
        <w:tblCellMar>
          <w:left w:w="52" w:type="dxa"/>
          <w:right w:w="134" w:type="dxa"/>
        </w:tblCellMar>
        <w:tblLook w:val="04A0" w:firstRow="1" w:lastRow="0" w:firstColumn="1" w:lastColumn="0" w:noHBand="0" w:noVBand="1"/>
      </w:tblPr>
      <w:tblGrid>
        <w:gridCol w:w="6695"/>
        <w:gridCol w:w="720"/>
        <w:gridCol w:w="720"/>
        <w:gridCol w:w="721"/>
      </w:tblGrid>
      <w:tr w:rsidR="00216F3C" w14:paraId="008C9AB0" w14:textId="77777777">
        <w:trPr>
          <w:trHeight w:val="288"/>
        </w:trPr>
        <w:tc>
          <w:tcPr>
            <w:tcW w:w="6696" w:type="dxa"/>
            <w:tcBorders>
              <w:top w:val="single" w:sz="4" w:space="0" w:color="000000"/>
              <w:left w:val="single" w:sz="4" w:space="0" w:color="000000"/>
              <w:bottom w:val="single" w:sz="4" w:space="0" w:color="000000"/>
              <w:right w:val="single" w:sz="4" w:space="0" w:color="000000"/>
            </w:tcBorders>
          </w:tcPr>
          <w:p w14:paraId="385F1BD2" w14:textId="77777777" w:rsidR="00216F3C" w:rsidRDefault="002B3816">
            <w:pPr>
              <w:spacing w:after="0" w:line="259" w:lineRule="auto"/>
              <w:ind w:left="0" w:firstLine="0"/>
            </w:pPr>
            <w:r>
              <w:rPr>
                <w:b/>
              </w:rPr>
              <w:t>Safeguard Policies Triggered by the Project</w:t>
            </w:r>
          </w:p>
        </w:tc>
        <w:tc>
          <w:tcPr>
            <w:tcW w:w="720" w:type="dxa"/>
            <w:tcBorders>
              <w:top w:val="single" w:sz="4" w:space="0" w:color="000000"/>
              <w:left w:val="single" w:sz="4" w:space="0" w:color="000000"/>
              <w:bottom w:val="single" w:sz="4" w:space="0" w:color="000000"/>
              <w:right w:val="single" w:sz="4" w:space="0" w:color="000000"/>
            </w:tcBorders>
          </w:tcPr>
          <w:p w14:paraId="33BB2793" w14:textId="77777777" w:rsidR="00216F3C" w:rsidRDefault="002B3816">
            <w:pPr>
              <w:spacing w:after="0" w:line="259" w:lineRule="auto"/>
              <w:ind w:left="137" w:firstLine="0"/>
            </w:pPr>
            <w:r>
              <w:rPr>
                <w:b/>
              </w:rPr>
              <w:t>Yes</w:t>
            </w:r>
          </w:p>
        </w:tc>
        <w:tc>
          <w:tcPr>
            <w:tcW w:w="720" w:type="dxa"/>
            <w:tcBorders>
              <w:top w:val="single" w:sz="4" w:space="0" w:color="000000"/>
              <w:left w:val="single" w:sz="4" w:space="0" w:color="000000"/>
              <w:bottom w:val="single" w:sz="4" w:space="0" w:color="000000"/>
              <w:right w:val="single" w:sz="4" w:space="0" w:color="000000"/>
            </w:tcBorders>
          </w:tcPr>
          <w:p w14:paraId="2DE9F58A" w14:textId="77777777" w:rsidR="00216F3C" w:rsidRDefault="002B3816">
            <w:pPr>
              <w:spacing w:after="0" w:line="259" w:lineRule="auto"/>
              <w:ind w:left="174" w:firstLine="0"/>
            </w:pPr>
            <w:r>
              <w:rPr>
                <w:b/>
              </w:rPr>
              <w:t>No</w:t>
            </w:r>
          </w:p>
        </w:tc>
        <w:tc>
          <w:tcPr>
            <w:tcW w:w="720" w:type="dxa"/>
            <w:tcBorders>
              <w:top w:val="single" w:sz="4" w:space="0" w:color="000000"/>
              <w:left w:val="single" w:sz="4" w:space="0" w:color="000000"/>
              <w:bottom w:val="single" w:sz="4" w:space="0" w:color="000000"/>
              <w:right w:val="single" w:sz="4" w:space="0" w:color="000000"/>
            </w:tcBorders>
          </w:tcPr>
          <w:p w14:paraId="037D7F63" w14:textId="77777777" w:rsidR="00216F3C" w:rsidRDefault="002B3816">
            <w:pPr>
              <w:spacing w:after="0" w:line="259" w:lineRule="auto"/>
              <w:ind w:left="82" w:firstLine="0"/>
              <w:jc w:val="both"/>
            </w:pPr>
            <w:r>
              <w:rPr>
                <w:b/>
              </w:rPr>
              <w:t>TBD</w:t>
            </w:r>
          </w:p>
        </w:tc>
      </w:tr>
      <w:tr w:rsidR="00216F3C" w14:paraId="2C9692F2"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2D16FB60" w14:textId="77777777" w:rsidR="00216F3C" w:rsidRDefault="002B3816">
            <w:pPr>
              <w:spacing w:after="0" w:line="259" w:lineRule="auto"/>
              <w:ind w:left="0" w:firstLine="0"/>
            </w:pPr>
            <w:r>
              <w:t>Environmental Assessment OP/BP 4.01</w:t>
            </w:r>
          </w:p>
        </w:tc>
        <w:tc>
          <w:tcPr>
            <w:tcW w:w="720" w:type="dxa"/>
            <w:tcBorders>
              <w:top w:val="single" w:sz="4" w:space="0" w:color="000000"/>
              <w:left w:val="single" w:sz="4" w:space="0" w:color="000000"/>
              <w:bottom w:val="single" w:sz="4" w:space="0" w:color="000000"/>
              <w:right w:val="single" w:sz="4" w:space="0" w:color="000000"/>
            </w:tcBorders>
          </w:tcPr>
          <w:p w14:paraId="65B65682"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1F21AD41"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6A0067AF" w14:textId="77777777" w:rsidR="00216F3C" w:rsidRDefault="00216F3C">
            <w:pPr>
              <w:spacing w:after="160" w:line="259" w:lineRule="auto"/>
              <w:ind w:left="0" w:firstLine="0"/>
            </w:pPr>
          </w:p>
        </w:tc>
      </w:tr>
      <w:tr w:rsidR="00216F3C" w14:paraId="7D047193"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279016BF" w14:textId="77777777" w:rsidR="00216F3C" w:rsidRDefault="002B3816">
            <w:pPr>
              <w:spacing w:after="0" w:line="259" w:lineRule="auto"/>
              <w:ind w:left="0" w:firstLine="0"/>
            </w:pPr>
            <w:r>
              <w:t>Natural Habitats OP/BP 4.04</w:t>
            </w:r>
          </w:p>
        </w:tc>
        <w:tc>
          <w:tcPr>
            <w:tcW w:w="720" w:type="dxa"/>
            <w:tcBorders>
              <w:top w:val="single" w:sz="4" w:space="0" w:color="000000"/>
              <w:left w:val="single" w:sz="4" w:space="0" w:color="000000"/>
              <w:bottom w:val="single" w:sz="4" w:space="0" w:color="000000"/>
              <w:right w:val="single" w:sz="4" w:space="0" w:color="000000"/>
            </w:tcBorders>
          </w:tcPr>
          <w:p w14:paraId="5DC56624"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78EC5B3A"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1E74AC58" w14:textId="77777777" w:rsidR="00216F3C" w:rsidRDefault="00216F3C">
            <w:pPr>
              <w:spacing w:after="160" w:line="259" w:lineRule="auto"/>
              <w:ind w:left="0" w:firstLine="0"/>
            </w:pPr>
          </w:p>
        </w:tc>
      </w:tr>
      <w:tr w:rsidR="00216F3C" w14:paraId="12A748E8"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2E860ACA" w14:textId="77777777" w:rsidR="00216F3C" w:rsidRDefault="002B3816">
            <w:pPr>
              <w:spacing w:after="0" w:line="259" w:lineRule="auto"/>
              <w:ind w:left="0" w:firstLine="0"/>
            </w:pPr>
            <w:r>
              <w:t>Forests OP/BP 4.36</w:t>
            </w:r>
          </w:p>
        </w:tc>
        <w:tc>
          <w:tcPr>
            <w:tcW w:w="720" w:type="dxa"/>
            <w:tcBorders>
              <w:top w:val="single" w:sz="4" w:space="0" w:color="000000"/>
              <w:left w:val="single" w:sz="4" w:space="0" w:color="000000"/>
              <w:bottom w:val="single" w:sz="4" w:space="0" w:color="000000"/>
              <w:right w:val="single" w:sz="4" w:space="0" w:color="000000"/>
            </w:tcBorders>
          </w:tcPr>
          <w:p w14:paraId="6758C0EC"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52EDF9E5"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0E98B012" w14:textId="77777777" w:rsidR="00216F3C" w:rsidRDefault="00216F3C">
            <w:pPr>
              <w:spacing w:after="160" w:line="259" w:lineRule="auto"/>
              <w:ind w:left="0" w:firstLine="0"/>
            </w:pPr>
          </w:p>
        </w:tc>
      </w:tr>
      <w:tr w:rsidR="00216F3C" w14:paraId="0241CA16"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36A49FC2" w14:textId="77777777" w:rsidR="00216F3C" w:rsidRDefault="002B3816">
            <w:pPr>
              <w:spacing w:after="0" w:line="259" w:lineRule="auto"/>
              <w:ind w:left="0" w:firstLine="0"/>
            </w:pPr>
            <w:r>
              <w:t>Pest Management OP 4.09</w:t>
            </w:r>
          </w:p>
        </w:tc>
        <w:tc>
          <w:tcPr>
            <w:tcW w:w="720" w:type="dxa"/>
            <w:tcBorders>
              <w:top w:val="single" w:sz="4" w:space="0" w:color="000000"/>
              <w:left w:val="single" w:sz="4" w:space="0" w:color="000000"/>
              <w:bottom w:val="single" w:sz="4" w:space="0" w:color="000000"/>
              <w:right w:val="single" w:sz="4" w:space="0" w:color="000000"/>
            </w:tcBorders>
          </w:tcPr>
          <w:p w14:paraId="6491A726"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42C63632"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4919EA64" w14:textId="77777777" w:rsidR="00216F3C" w:rsidRDefault="00216F3C">
            <w:pPr>
              <w:spacing w:after="160" w:line="259" w:lineRule="auto"/>
              <w:ind w:left="0" w:firstLine="0"/>
            </w:pPr>
          </w:p>
        </w:tc>
      </w:tr>
      <w:tr w:rsidR="00216F3C" w14:paraId="3AA282D6"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30F2539C" w14:textId="77777777" w:rsidR="00216F3C" w:rsidRDefault="002B3816">
            <w:pPr>
              <w:spacing w:after="0" w:line="259" w:lineRule="auto"/>
              <w:ind w:left="0" w:firstLine="0"/>
            </w:pPr>
            <w:r>
              <w:t>Physical Cultural Resources OP/BP 4.11</w:t>
            </w:r>
          </w:p>
        </w:tc>
        <w:tc>
          <w:tcPr>
            <w:tcW w:w="720" w:type="dxa"/>
            <w:tcBorders>
              <w:top w:val="single" w:sz="4" w:space="0" w:color="000000"/>
              <w:left w:val="single" w:sz="4" w:space="0" w:color="000000"/>
              <w:bottom w:val="single" w:sz="4" w:space="0" w:color="000000"/>
              <w:right w:val="single" w:sz="4" w:space="0" w:color="000000"/>
            </w:tcBorders>
          </w:tcPr>
          <w:p w14:paraId="5B7E4231"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15BE3D53"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vAlign w:val="bottom"/>
          </w:tcPr>
          <w:p w14:paraId="3E4365BB" w14:textId="77777777" w:rsidR="00216F3C" w:rsidRDefault="00216F3C">
            <w:pPr>
              <w:spacing w:after="160" w:line="259" w:lineRule="auto"/>
              <w:ind w:left="0" w:firstLine="0"/>
            </w:pPr>
          </w:p>
        </w:tc>
      </w:tr>
      <w:tr w:rsidR="00216F3C" w14:paraId="1A74C7B7"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078225A9" w14:textId="77777777" w:rsidR="00216F3C" w:rsidRDefault="002B3816">
            <w:pPr>
              <w:spacing w:after="0" w:line="259" w:lineRule="auto"/>
              <w:ind w:left="0" w:firstLine="0"/>
            </w:pPr>
            <w:r>
              <w:t>Indigenous Peoples OP/BP 4.10</w:t>
            </w:r>
          </w:p>
        </w:tc>
        <w:tc>
          <w:tcPr>
            <w:tcW w:w="720" w:type="dxa"/>
            <w:tcBorders>
              <w:top w:val="single" w:sz="4" w:space="0" w:color="000000"/>
              <w:left w:val="single" w:sz="4" w:space="0" w:color="000000"/>
              <w:bottom w:val="single" w:sz="4" w:space="0" w:color="000000"/>
              <w:right w:val="single" w:sz="4" w:space="0" w:color="000000"/>
            </w:tcBorders>
          </w:tcPr>
          <w:p w14:paraId="26EB76AC"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323479C1"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222FAFB7" w14:textId="77777777" w:rsidR="00216F3C" w:rsidRDefault="00216F3C">
            <w:pPr>
              <w:spacing w:after="160" w:line="259" w:lineRule="auto"/>
              <w:ind w:left="0" w:firstLine="0"/>
            </w:pPr>
          </w:p>
        </w:tc>
      </w:tr>
      <w:tr w:rsidR="00216F3C" w14:paraId="3CFDF2E8"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0D1E6EDB" w14:textId="77777777" w:rsidR="00216F3C" w:rsidRDefault="002B3816">
            <w:pPr>
              <w:spacing w:after="0" w:line="259" w:lineRule="auto"/>
              <w:ind w:left="0" w:firstLine="0"/>
            </w:pPr>
            <w:r>
              <w:t>Involuntary Resettlement OP/BP 4.12</w:t>
            </w:r>
          </w:p>
        </w:tc>
        <w:tc>
          <w:tcPr>
            <w:tcW w:w="720" w:type="dxa"/>
            <w:tcBorders>
              <w:top w:val="single" w:sz="4" w:space="0" w:color="000000"/>
              <w:left w:val="single" w:sz="4" w:space="0" w:color="000000"/>
              <w:bottom w:val="single" w:sz="4" w:space="0" w:color="000000"/>
              <w:right w:val="single" w:sz="4" w:space="0" w:color="000000"/>
            </w:tcBorders>
          </w:tcPr>
          <w:p w14:paraId="638F83F3"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13C5EA8E"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2AC404EE" w14:textId="77777777" w:rsidR="00216F3C" w:rsidRDefault="00216F3C">
            <w:pPr>
              <w:spacing w:after="160" w:line="259" w:lineRule="auto"/>
              <w:ind w:left="0" w:firstLine="0"/>
            </w:pPr>
          </w:p>
        </w:tc>
      </w:tr>
      <w:tr w:rsidR="00216F3C" w14:paraId="39AFD8CA"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755C7CF4" w14:textId="77777777" w:rsidR="00216F3C" w:rsidRDefault="002B3816">
            <w:pPr>
              <w:spacing w:after="0" w:line="259" w:lineRule="auto"/>
              <w:ind w:left="0" w:firstLine="0"/>
            </w:pPr>
            <w:r>
              <w:t>Safety of Dams OP/BP 4.37</w:t>
            </w:r>
          </w:p>
        </w:tc>
        <w:tc>
          <w:tcPr>
            <w:tcW w:w="720" w:type="dxa"/>
            <w:tcBorders>
              <w:top w:val="single" w:sz="4" w:space="0" w:color="000000"/>
              <w:left w:val="single" w:sz="4" w:space="0" w:color="000000"/>
              <w:bottom w:val="single" w:sz="4" w:space="0" w:color="000000"/>
              <w:right w:val="single" w:sz="4" w:space="0" w:color="000000"/>
            </w:tcBorders>
          </w:tcPr>
          <w:p w14:paraId="78329233"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471FAE94"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25794DF1" w14:textId="77777777" w:rsidR="00216F3C" w:rsidRDefault="00216F3C">
            <w:pPr>
              <w:spacing w:after="160" w:line="259" w:lineRule="auto"/>
              <w:ind w:left="0" w:firstLine="0"/>
            </w:pPr>
          </w:p>
        </w:tc>
      </w:tr>
      <w:tr w:rsidR="00216F3C" w14:paraId="2BEA9E0E"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2A1C86BD" w14:textId="77777777" w:rsidR="00216F3C" w:rsidRDefault="002B3816">
            <w:pPr>
              <w:spacing w:after="0" w:line="259" w:lineRule="auto"/>
              <w:ind w:left="0" w:firstLine="0"/>
            </w:pPr>
            <w:r>
              <w:t>Projects on International Waterways OP/BP 7.50</w:t>
            </w:r>
          </w:p>
        </w:tc>
        <w:tc>
          <w:tcPr>
            <w:tcW w:w="720" w:type="dxa"/>
            <w:tcBorders>
              <w:top w:val="single" w:sz="4" w:space="0" w:color="000000"/>
              <w:left w:val="single" w:sz="4" w:space="0" w:color="000000"/>
              <w:bottom w:val="single" w:sz="4" w:space="0" w:color="000000"/>
              <w:right w:val="single" w:sz="4" w:space="0" w:color="000000"/>
            </w:tcBorders>
          </w:tcPr>
          <w:p w14:paraId="2369D3D5"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2DF05DAF"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7946CB1A" w14:textId="77777777" w:rsidR="00216F3C" w:rsidRDefault="00216F3C">
            <w:pPr>
              <w:spacing w:after="160" w:line="259" w:lineRule="auto"/>
              <w:ind w:left="0" w:firstLine="0"/>
            </w:pPr>
          </w:p>
        </w:tc>
      </w:tr>
      <w:tr w:rsidR="00216F3C" w14:paraId="08CE224A" w14:textId="77777777">
        <w:trPr>
          <w:trHeight w:val="324"/>
        </w:trPr>
        <w:tc>
          <w:tcPr>
            <w:tcW w:w="6696" w:type="dxa"/>
            <w:tcBorders>
              <w:top w:val="single" w:sz="4" w:space="0" w:color="000000"/>
              <w:left w:val="single" w:sz="4" w:space="0" w:color="000000"/>
              <w:bottom w:val="single" w:sz="4" w:space="0" w:color="000000"/>
              <w:right w:val="single" w:sz="4" w:space="0" w:color="000000"/>
            </w:tcBorders>
          </w:tcPr>
          <w:p w14:paraId="62BE516E" w14:textId="77777777" w:rsidR="00216F3C" w:rsidRDefault="002B3816">
            <w:pPr>
              <w:spacing w:after="0" w:line="259" w:lineRule="auto"/>
              <w:ind w:left="0" w:firstLine="0"/>
            </w:pPr>
            <w:r>
              <w:t>Projects in Disputed Areas OP/BP 7.60</w:t>
            </w:r>
          </w:p>
        </w:tc>
        <w:tc>
          <w:tcPr>
            <w:tcW w:w="720" w:type="dxa"/>
            <w:tcBorders>
              <w:top w:val="single" w:sz="4" w:space="0" w:color="000000"/>
              <w:left w:val="single" w:sz="4" w:space="0" w:color="000000"/>
              <w:bottom w:val="single" w:sz="4" w:space="0" w:color="000000"/>
              <w:right w:val="single" w:sz="4" w:space="0" w:color="000000"/>
            </w:tcBorders>
          </w:tcPr>
          <w:p w14:paraId="3A46DAB4" w14:textId="77777777" w:rsidR="00216F3C" w:rsidRDefault="00216F3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4B40FAE4" w14:textId="77777777" w:rsidR="00216F3C" w:rsidRDefault="002B3816">
            <w:pPr>
              <w:spacing w:after="0" w:line="259" w:lineRule="auto"/>
              <w:ind w:left="82" w:firstLine="0"/>
              <w:jc w:val="center"/>
            </w:pPr>
            <w:r>
              <w:rPr>
                <w:rFonts w:ascii="Calibri" w:eastAsia="Calibri" w:hAnsi="Calibri" w:cs="Calibri"/>
                <w:sz w:val="18"/>
              </w:rPr>
              <w:t>✖</w:t>
            </w:r>
          </w:p>
        </w:tc>
        <w:tc>
          <w:tcPr>
            <w:tcW w:w="720" w:type="dxa"/>
            <w:tcBorders>
              <w:top w:val="single" w:sz="4" w:space="0" w:color="000000"/>
              <w:left w:val="single" w:sz="4" w:space="0" w:color="000000"/>
              <w:bottom w:val="single" w:sz="4" w:space="0" w:color="000000"/>
              <w:right w:val="single" w:sz="4" w:space="0" w:color="000000"/>
            </w:tcBorders>
          </w:tcPr>
          <w:p w14:paraId="16E5CBF5" w14:textId="77777777" w:rsidR="00216F3C" w:rsidRDefault="00216F3C">
            <w:pPr>
              <w:spacing w:after="160" w:line="259" w:lineRule="auto"/>
              <w:ind w:left="0" w:firstLine="0"/>
            </w:pPr>
          </w:p>
        </w:tc>
      </w:tr>
    </w:tbl>
    <w:p w14:paraId="06324A3F" w14:textId="67D2568E" w:rsidR="000B0D9E" w:rsidRDefault="000B0D9E" w:rsidP="000B0D9E">
      <w:pPr>
        <w:pStyle w:val="Heading1"/>
        <w:numPr>
          <w:ilvl w:val="0"/>
          <w:numId w:val="0"/>
        </w:numPr>
        <w:ind w:left="489"/>
      </w:pPr>
    </w:p>
    <w:p w14:paraId="0B4F626D" w14:textId="77777777" w:rsidR="00605EE9" w:rsidRPr="00605EE9" w:rsidRDefault="00605EE9" w:rsidP="00605EE9"/>
    <w:p w14:paraId="670631C5" w14:textId="1F62DC41" w:rsidR="00216F3C" w:rsidRDefault="002B3816">
      <w:pPr>
        <w:pStyle w:val="Heading1"/>
        <w:ind w:left="489" w:hanging="452"/>
      </w:pPr>
      <w:r>
        <w:t>Financing (in USD Million)</w:t>
      </w:r>
    </w:p>
    <w:p w14:paraId="2EA8760B" w14:textId="77777777" w:rsidR="000B0D9E" w:rsidRPr="000B0D9E" w:rsidRDefault="000B0D9E" w:rsidP="000B0D9E">
      <w:pPr>
        <w:ind w:left="0" w:firstLine="0"/>
      </w:pPr>
    </w:p>
    <w:tbl>
      <w:tblPr>
        <w:tblStyle w:val="TableGrid"/>
        <w:tblW w:w="8856" w:type="dxa"/>
        <w:tblInd w:w="504" w:type="dxa"/>
        <w:tblCellMar>
          <w:right w:w="28" w:type="dxa"/>
        </w:tblCellMar>
        <w:tblLook w:val="04A0" w:firstRow="1" w:lastRow="0" w:firstColumn="1" w:lastColumn="0" w:noHBand="0" w:noVBand="1"/>
      </w:tblPr>
      <w:tblGrid>
        <w:gridCol w:w="2160"/>
        <w:gridCol w:w="2160"/>
        <w:gridCol w:w="1548"/>
        <w:gridCol w:w="702"/>
        <w:gridCol w:w="1072"/>
        <w:gridCol w:w="1214"/>
      </w:tblGrid>
      <w:tr w:rsidR="00216F3C" w14:paraId="189F7631" w14:textId="77777777">
        <w:trPr>
          <w:trHeight w:val="344"/>
        </w:trPr>
        <w:tc>
          <w:tcPr>
            <w:tcW w:w="2160" w:type="dxa"/>
            <w:tcBorders>
              <w:top w:val="single" w:sz="4" w:space="0" w:color="000000"/>
              <w:left w:val="single" w:sz="4" w:space="0" w:color="000000"/>
              <w:bottom w:val="single" w:sz="4" w:space="0" w:color="000000"/>
              <w:right w:val="single" w:sz="4" w:space="0" w:color="000000"/>
            </w:tcBorders>
          </w:tcPr>
          <w:p w14:paraId="73B037F1" w14:textId="77777777" w:rsidR="00216F3C" w:rsidRDefault="002B3816">
            <w:pPr>
              <w:spacing w:after="0" w:line="259" w:lineRule="auto"/>
              <w:ind w:left="52" w:firstLine="0"/>
            </w:pPr>
            <w:r>
              <w:rPr>
                <w:sz w:val="24"/>
              </w:rPr>
              <w:t>Total Project Cost:</w:t>
            </w:r>
          </w:p>
        </w:tc>
        <w:tc>
          <w:tcPr>
            <w:tcW w:w="2160" w:type="dxa"/>
            <w:tcBorders>
              <w:top w:val="single" w:sz="4" w:space="0" w:color="000000"/>
              <w:left w:val="single" w:sz="4" w:space="0" w:color="000000"/>
              <w:bottom w:val="single" w:sz="4" w:space="0" w:color="000000"/>
              <w:right w:val="single" w:sz="4" w:space="0" w:color="000000"/>
            </w:tcBorders>
          </w:tcPr>
          <w:p w14:paraId="4A5F0F89" w14:textId="4AF15AF8" w:rsidR="00216F3C" w:rsidRDefault="000B0D9E">
            <w:pPr>
              <w:spacing w:after="0" w:line="259" w:lineRule="auto"/>
              <w:ind w:left="470" w:firstLine="0"/>
            </w:pPr>
            <w:r>
              <w:t>2</w:t>
            </w:r>
            <w:r w:rsidR="002B3816">
              <w:t>.</w:t>
            </w:r>
            <w:r>
              <w:t>93</w:t>
            </w:r>
          </w:p>
        </w:tc>
        <w:tc>
          <w:tcPr>
            <w:tcW w:w="1548" w:type="dxa"/>
            <w:tcBorders>
              <w:top w:val="single" w:sz="4" w:space="0" w:color="000000"/>
              <w:left w:val="single" w:sz="4" w:space="0" w:color="000000"/>
              <w:bottom w:val="single" w:sz="4" w:space="0" w:color="000000"/>
              <w:right w:val="nil"/>
            </w:tcBorders>
          </w:tcPr>
          <w:p w14:paraId="3BE3E5B1" w14:textId="77777777" w:rsidR="00216F3C" w:rsidRDefault="002B3816">
            <w:pPr>
              <w:spacing w:after="0" w:line="259" w:lineRule="auto"/>
              <w:ind w:left="52" w:firstLine="0"/>
              <w:jc w:val="both"/>
            </w:pPr>
            <w:r>
              <w:rPr>
                <w:sz w:val="24"/>
              </w:rPr>
              <w:t>Total Bank Fin</w:t>
            </w:r>
          </w:p>
        </w:tc>
        <w:tc>
          <w:tcPr>
            <w:tcW w:w="702" w:type="dxa"/>
            <w:tcBorders>
              <w:top w:val="single" w:sz="4" w:space="0" w:color="000000"/>
              <w:left w:val="nil"/>
              <w:bottom w:val="single" w:sz="4" w:space="0" w:color="000000"/>
              <w:right w:val="single" w:sz="4" w:space="0" w:color="000000"/>
            </w:tcBorders>
          </w:tcPr>
          <w:p w14:paraId="30EF98DC" w14:textId="77777777" w:rsidR="00216F3C" w:rsidRDefault="002B3816">
            <w:pPr>
              <w:spacing w:after="0" w:line="259" w:lineRule="auto"/>
              <w:ind w:left="-43" w:firstLine="0"/>
              <w:jc w:val="both"/>
            </w:pPr>
            <w:proofErr w:type="spellStart"/>
            <w:r>
              <w:rPr>
                <w:sz w:val="24"/>
              </w:rPr>
              <w:t>ancing</w:t>
            </w:r>
            <w:proofErr w:type="spellEnd"/>
            <w:r>
              <w:rPr>
                <w:sz w:val="24"/>
              </w:rPr>
              <w:t>:</w:t>
            </w:r>
          </w:p>
        </w:tc>
        <w:tc>
          <w:tcPr>
            <w:tcW w:w="1072" w:type="dxa"/>
            <w:tcBorders>
              <w:top w:val="single" w:sz="4" w:space="0" w:color="000000"/>
              <w:left w:val="single" w:sz="4" w:space="0" w:color="000000"/>
              <w:bottom w:val="single" w:sz="4" w:space="0" w:color="000000"/>
              <w:right w:val="nil"/>
            </w:tcBorders>
          </w:tcPr>
          <w:p w14:paraId="72C7F66D" w14:textId="77777777" w:rsidR="00216F3C" w:rsidRDefault="002B3816">
            <w:pPr>
              <w:spacing w:after="0" w:line="259" w:lineRule="auto"/>
              <w:ind w:left="560" w:firstLine="0"/>
            </w:pPr>
            <w:r>
              <w:t>0.00</w:t>
            </w:r>
          </w:p>
        </w:tc>
        <w:tc>
          <w:tcPr>
            <w:tcW w:w="1214" w:type="dxa"/>
            <w:tcBorders>
              <w:top w:val="single" w:sz="4" w:space="0" w:color="000000"/>
              <w:left w:val="nil"/>
              <w:bottom w:val="single" w:sz="4" w:space="0" w:color="000000"/>
              <w:right w:val="single" w:sz="4" w:space="0" w:color="000000"/>
            </w:tcBorders>
          </w:tcPr>
          <w:p w14:paraId="7C45B0E0" w14:textId="77777777" w:rsidR="00216F3C" w:rsidRDefault="00216F3C">
            <w:pPr>
              <w:spacing w:after="160" w:line="259" w:lineRule="auto"/>
              <w:ind w:left="0" w:firstLine="0"/>
            </w:pPr>
          </w:p>
        </w:tc>
      </w:tr>
      <w:tr w:rsidR="00216F3C" w14:paraId="22A71B21" w14:textId="77777777">
        <w:trPr>
          <w:trHeight w:val="344"/>
        </w:trPr>
        <w:tc>
          <w:tcPr>
            <w:tcW w:w="2160" w:type="dxa"/>
            <w:tcBorders>
              <w:top w:val="single" w:sz="4" w:space="0" w:color="000000"/>
              <w:left w:val="single" w:sz="4" w:space="0" w:color="000000"/>
              <w:bottom w:val="single" w:sz="4" w:space="0" w:color="000000"/>
              <w:right w:val="single" w:sz="4" w:space="0" w:color="000000"/>
            </w:tcBorders>
          </w:tcPr>
          <w:p w14:paraId="3885F02C" w14:textId="77777777" w:rsidR="00216F3C" w:rsidRDefault="002B3816">
            <w:pPr>
              <w:spacing w:after="0" w:line="259" w:lineRule="auto"/>
              <w:ind w:left="52" w:firstLine="0"/>
            </w:pPr>
            <w:r>
              <w:rPr>
                <w:sz w:val="24"/>
              </w:rPr>
              <w:t>Financing Gap:</w:t>
            </w:r>
          </w:p>
        </w:tc>
        <w:tc>
          <w:tcPr>
            <w:tcW w:w="2160" w:type="dxa"/>
            <w:tcBorders>
              <w:top w:val="single" w:sz="4" w:space="0" w:color="000000"/>
              <w:left w:val="single" w:sz="4" w:space="0" w:color="000000"/>
              <w:bottom w:val="single" w:sz="4" w:space="0" w:color="000000"/>
              <w:right w:val="single" w:sz="4" w:space="0" w:color="000000"/>
            </w:tcBorders>
          </w:tcPr>
          <w:p w14:paraId="055B8E92" w14:textId="77777777" w:rsidR="00216F3C" w:rsidRDefault="002B3816">
            <w:pPr>
              <w:spacing w:after="0" w:line="259" w:lineRule="auto"/>
              <w:ind w:left="470" w:firstLine="0"/>
            </w:pPr>
            <w:r>
              <w:t>0.00</w:t>
            </w:r>
          </w:p>
        </w:tc>
        <w:tc>
          <w:tcPr>
            <w:tcW w:w="1548" w:type="dxa"/>
            <w:tcBorders>
              <w:top w:val="single" w:sz="4" w:space="0" w:color="000000"/>
              <w:left w:val="single" w:sz="4" w:space="0" w:color="000000"/>
              <w:bottom w:val="single" w:sz="4" w:space="0" w:color="000000"/>
              <w:right w:val="nil"/>
            </w:tcBorders>
          </w:tcPr>
          <w:p w14:paraId="24792E90" w14:textId="77777777" w:rsidR="00216F3C" w:rsidRDefault="00216F3C">
            <w:pPr>
              <w:spacing w:after="160" w:line="259" w:lineRule="auto"/>
              <w:ind w:left="0" w:firstLine="0"/>
            </w:pPr>
          </w:p>
        </w:tc>
        <w:tc>
          <w:tcPr>
            <w:tcW w:w="1774" w:type="dxa"/>
            <w:gridSpan w:val="2"/>
            <w:tcBorders>
              <w:top w:val="single" w:sz="4" w:space="0" w:color="000000"/>
              <w:left w:val="nil"/>
              <w:bottom w:val="single" w:sz="4" w:space="0" w:color="000000"/>
              <w:right w:val="nil"/>
            </w:tcBorders>
          </w:tcPr>
          <w:p w14:paraId="57FC14A4" w14:textId="77777777" w:rsidR="00216F3C" w:rsidRDefault="00216F3C">
            <w:pPr>
              <w:spacing w:after="160" w:line="259" w:lineRule="auto"/>
              <w:ind w:left="0" w:firstLine="0"/>
            </w:pPr>
          </w:p>
        </w:tc>
        <w:tc>
          <w:tcPr>
            <w:tcW w:w="1214" w:type="dxa"/>
            <w:tcBorders>
              <w:top w:val="single" w:sz="4" w:space="0" w:color="000000"/>
              <w:left w:val="nil"/>
              <w:bottom w:val="single" w:sz="4" w:space="0" w:color="000000"/>
              <w:right w:val="single" w:sz="4" w:space="0" w:color="000000"/>
            </w:tcBorders>
          </w:tcPr>
          <w:p w14:paraId="7CB0B89B" w14:textId="77777777" w:rsidR="00216F3C" w:rsidRDefault="00216F3C">
            <w:pPr>
              <w:spacing w:after="160" w:line="259" w:lineRule="auto"/>
              <w:ind w:left="0" w:firstLine="0"/>
            </w:pPr>
          </w:p>
        </w:tc>
      </w:tr>
      <w:tr w:rsidR="00216F3C" w14:paraId="7DEC403A" w14:textId="77777777">
        <w:trPr>
          <w:trHeight w:val="288"/>
        </w:trPr>
        <w:tc>
          <w:tcPr>
            <w:tcW w:w="5868" w:type="dxa"/>
            <w:gridSpan w:val="3"/>
            <w:tcBorders>
              <w:top w:val="single" w:sz="4" w:space="0" w:color="000000"/>
              <w:left w:val="single" w:sz="4" w:space="0" w:color="000000"/>
              <w:bottom w:val="single" w:sz="4" w:space="0" w:color="000000"/>
              <w:right w:val="single" w:sz="4" w:space="0" w:color="000000"/>
            </w:tcBorders>
          </w:tcPr>
          <w:p w14:paraId="7FC88E89" w14:textId="77777777" w:rsidR="00216F3C" w:rsidRDefault="002B3816">
            <w:pPr>
              <w:spacing w:after="0" w:line="259" w:lineRule="auto"/>
              <w:ind w:left="28" w:firstLine="0"/>
            </w:pPr>
            <w:r>
              <w:rPr>
                <w:b/>
              </w:rPr>
              <w:t>Financing Source</w:t>
            </w:r>
          </w:p>
        </w:tc>
        <w:tc>
          <w:tcPr>
            <w:tcW w:w="1774" w:type="dxa"/>
            <w:gridSpan w:val="2"/>
            <w:tcBorders>
              <w:top w:val="single" w:sz="4" w:space="0" w:color="000000"/>
              <w:left w:val="single" w:sz="4" w:space="0" w:color="000000"/>
              <w:bottom w:val="single" w:sz="4" w:space="0" w:color="000000"/>
              <w:right w:val="nil"/>
            </w:tcBorders>
          </w:tcPr>
          <w:p w14:paraId="4C111DE6" w14:textId="77777777" w:rsidR="00216F3C" w:rsidRDefault="00216F3C">
            <w:pPr>
              <w:spacing w:after="160" w:line="259" w:lineRule="auto"/>
              <w:ind w:left="0" w:firstLine="0"/>
            </w:pPr>
          </w:p>
        </w:tc>
        <w:tc>
          <w:tcPr>
            <w:tcW w:w="1214" w:type="dxa"/>
            <w:tcBorders>
              <w:top w:val="single" w:sz="4" w:space="0" w:color="000000"/>
              <w:left w:val="nil"/>
              <w:bottom w:val="single" w:sz="4" w:space="0" w:color="000000"/>
              <w:right w:val="single" w:sz="4" w:space="0" w:color="000000"/>
            </w:tcBorders>
          </w:tcPr>
          <w:p w14:paraId="47B4CB68" w14:textId="77777777" w:rsidR="00216F3C" w:rsidRDefault="002B3816">
            <w:pPr>
              <w:spacing w:after="0" w:line="259" w:lineRule="auto"/>
              <w:ind w:left="0" w:firstLine="0"/>
              <w:jc w:val="right"/>
            </w:pPr>
            <w:r>
              <w:rPr>
                <w:b/>
              </w:rPr>
              <w:t>Amount</w:t>
            </w:r>
          </w:p>
        </w:tc>
      </w:tr>
      <w:tr w:rsidR="00216F3C" w14:paraId="043754FC" w14:textId="77777777">
        <w:trPr>
          <w:trHeight w:val="324"/>
        </w:trPr>
        <w:tc>
          <w:tcPr>
            <w:tcW w:w="5868" w:type="dxa"/>
            <w:gridSpan w:val="3"/>
            <w:tcBorders>
              <w:top w:val="single" w:sz="4" w:space="0" w:color="000000"/>
              <w:left w:val="single" w:sz="4" w:space="0" w:color="000000"/>
              <w:bottom w:val="single" w:sz="4" w:space="0" w:color="000000"/>
              <w:right w:val="single" w:sz="4" w:space="0" w:color="000000"/>
            </w:tcBorders>
          </w:tcPr>
          <w:p w14:paraId="6B68DD0A" w14:textId="77777777" w:rsidR="00216F3C" w:rsidRDefault="002B3816">
            <w:pPr>
              <w:spacing w:after="0" w:line="259" w:lineRule="auto"/>
              <w:ind w:left="52" w:firstLine="0"/>
            </w:pPr>
            <w:r>
              <w:t xml:space="preserve"> Borrower</w:t>
            </w:r>
          </w:p>
        </w:tc>
        <w:tc>
          <w:tcPr>
            <w:tcW w:w="1774" w:type="dxa"/>
            <w:gridSpan w:val="2"/>
            <w:tcBorders>
              <w:top w:val="single" w:sz="4" w:space="0" w:color="000000"/>
              <w:left w:val="single" w:sz="4" w:space="0" w:color="000000"/>
              <w:bottom w:val="single" w:sz="4" w:space="0" w:color="000000"/>
              <w:right w:val="nil"/>
            </w:tcBorders>
          </w:tcPr>
          <w:p w14:paraId="30F4BF18" w14:textId="77777777" w:rsidR="00216F3C" w:rsidRDefault="00216F3C">
            <w:pPr>
              <w:spacing w:after="160" w:line="259" w:lineRule="auto"/>
              <w:ind w:left="0" w:firstLine="0"/>
            </w:pPr>
          </w:p>
        </w:tc>
        <w:tc>
          <w:tcPr>
            <w:tcW w:w="1214" w:type="dxa"/>
            <w:tcBorders>
              <w:top w:val="single" w:sz="4" w:space="0" w:color="000000"/>
              <w:left w:val="nil"/>
              <w:bottom w:val="single" w:sz="4" w:space="0" w:color="000000"/>
              <w:right w:val="single" w:sz="4" w:space="0" w:color="000000"/>
            </w:tcBorders>
          </w:tcPr>
          <w:p w14:paraId="3853DC4D" w14:textId="77777777" w:rsidR="00216F3C" w:rsidRDefault="002B3816">
            <w:pPr>
              <w:spacing w:after="0" w:line="259" w:lineRule="auto"/>
              <w:ind w:left="0" w:right="23" w:firstLine="0"/>
              <w:jc w:val="right"/>
            </w:pPr>
            <w:r>
              <w:t>0.00</w:t>
            </w:r>
          </w:p>
        </w:tc>
      </w:tr>
      <w:tr w:rsidR="00216F3C" w14:paraId="7DF333F8" w14:textId="77777777">
        <w:trPr>
          <w:trHeight w:val="324"/>
        </w:trPr>
        <w:tc>
          <w:tcPr>
            <w:tcW w:w="5868" w:type="dxa"/>
            <w:gridSpan w:val="3"/>
            <w:tcBorders>
              <w:top w:val="single" w:sz="4" w:space="0" w:color="000000"/>
              <w:left w:val="single" w:sz="4" w:space="0" w:color="000000"/>
              <w:bottom w:val="single" w:sz="4" w:space="0" w:color="000000"/>
              <w:right w:val="single" w:sz="4" w:space="0" w:color="000000"/>
            </w:tcBorders>
          </w:tcPr>
          <w:p w14:paraId="59C4074F" w14:textId="77777777" w:rsidR="00216F3C" w:rsidRDefault="002B3816">
            <w:pPr>
              <w:spacing w:after="0" w:line="259" w:lineRule="auto"/>
              <w:ind w:left="52" w:firstLine="0"/>
            </w:pPr>
            <w:r>
              <w:t xml:space="preserve"> Carbon Fund</w:t>
            </w:r>
          </w:p>
        </w:tc>
        <w:tc>
          <w:tcPr>
            <w:tcW w:w="1774" w:type="dxa"/>
            <w:gridSpan w:val="2"/>
            <w:tcBorders>
              <w:top w:val="single" w:sz="4" w:space="0" w:color="000000"/>
              <w:left w:val="single" w:sz="4" w:space="0" w:color="000000"/>
              <w:bottom w:val="single" w:sz="4" w:space="0" w:color="000000"/>
              <w:right w:val="nil"/>
            </w:tcBorders>
          </w:tcPr>
          <w:p w14:paraId="505951A4" w14:textId="77777777" w:rsidR="00216F3C" w:rsidRDefault="00216F3C">
            <w:pPr>
              <w:spacing w:after="160" w:line="259" w:lineRule="auto"/>
              <w:ind w:left="0" w:firstLine="0"/>
            </w:pPr>
          </w:p>
        </w:tc>
        <w:tc>
          <w:tcPr>
            <w:tcW w:w="1214" w:type="dxa"/>
            <w:tcBorders>
              <w:top w:val="single" w:sz="4" w:space="0" w:color="000000"/>
              <w:left w:val="nil"/>
              <w:bottom w:val="single" w:sz="4" w:space="0" w:color="000000"/>
              <w:right w:val="single" w:sz="4" w:space="0" w:color="000000"/>
            </w:tcBorders>
          </w:tcPr>
          <w:p w14:paraId="0D9DE8A8" w14:textId="77777777" w:rsidR="00216F3C" w:rsidRDefault="002B3816">
            <w:pPr>
              <w:spacing w:after="0" w:line="259" w:lineRule="auto"/>
              <w:ind w:left="0" w:right="23" w:firstLine="0"/>
              <w:jc w:val="right"/>
            </w:pPr>
            <w:r>
              <w:t>0.00</w:t>
            </w:r>
          </w:p>
        </w:tc>
      </w:tr>
      <w:tr w:rsidR="00216F3C" w14:paraId="2ECEB00D" w14:textId="77777777">
        <w:trPr>
          <w:trHeight w:val="324"/>
        </w:trPr>
        <w:tc>
          <w:tcPr>
            <w:tcW w:w="5868" w:type="dxa"/>
            <w:gridSpan w:val="3"/>
            <w:tcBorders>
              <w:top w:val="single" w:sz="4" w:space="0" w:color="000000"/>
              <w:left w:val="single" w:sz="4" w:space="0" w:color="000000"/>
              <w:bottom w:val="single" w:sz="4" w:space="0" w:color="000000"/>
              <w:right w:val="single" w:sz="4" w:space="0" w:color="000000"/>
            </w:tcBorders>
          </w:tcPr>
          <w:p w14:paraId="761DA11C" w14:textId="77777777" w:rsidR="00216F3C" w:rsidRDefault="002B3816">
            <w:pPr>
              <w:spacing w:after="0" w:line="259" w:lineRule="auto"/>
              <w:ind w:left="52" w:firstLine="0"/>
            </w:pPr>
            <w:r>
              <w:t xml:space="preserve"> Readiness Fund of the Forest Carbon Partnership Facility</w:t>
            </w:r>
          </w:p>
        </w:tc>
        <w:tc>
          <w:tcPr>
            <w:tcW w:w="1774" w:type="dxa"/>
            <w:gridSpan w:val="2"/>
            <w:tcBorders>
              <w:top w:val="single" w:sz="4" w:space="0" w:color="000000"/>
              <w:left w:val="single" w:sz="4" w:space="0" w:color="000000"/>
              <w:bottom w:val="single" w:sz="4" w:space="0" w:color="000000"/>
              <w:right w:val="nil"/>
            </w:tcBorders>
          </w:tcPr>
          <w:p w14:paraId="69BA9E4A" w14:textId="77777777" w:rsidR="00216F3C" w:rsidRDefault="00216F3C">
            <w:pPr>
              <w:spacing w:after="160" w:line="259" w:lineRule="auto"/>
              <w:ind w:left="0" w:firstLine="0"/>
            </w:pPr>
          </w:p>
        </w:tc>
        <w:tc>
          <w:tcPr>
            <w:tcW w:w="1214" w:type="dxa"/>
            <w:tcBorders>
              <w:top w:val="single" w:sz="4" w:space="0" w:color="000000"/>
              <w:left w:val="nil"/>
              <w:bottom w:val="single" w:sz="4" w:space="0" w:color="000000"/>
              <w:right w:val="single" w:sz="4" w:space="0" w:color="000000"/>
            </w:tcBorders>
          </w:tcPr>
          <w:p w14:paraId="3757651C" w14:textId="275BF168" w:rsidR="00216F3C" w:rsidRDefault="000B0D9E">
            <w:pPr>
              <w:spacing w:after="0" w:line="259" w:lineRule="auto"/>
              <w:ind w:left="0" w:right="23" w:firstLine="0"/>
              <w:jc w:val="right"/>
            </w:pPr>
            <w:r>
              <w:t>2</w:t>
            </w:r>
            <w:r w:rsidR="002B3816">
              <w:t>.</w:t>
            </w:r>
            <w:r>
              <w:t>93</w:t>
            </w:r>
          </w:p>
        </w:tc>
      </w:tr>
      <w:tr w:rsidR="00216F3C" w14:paraId="7457484F" w14:textId="77777777">
        <w:trPr>
          <w:trHeight w:val="324"/>
        </w:trPr>
        <w:tc>
          <w:tcPr>
            <w:tcW w:w="5868" w:type="dxa"/>
            <w:gridSpan w:val="3"/>
            <w:tcBorders>
              <w:top w:val="single" w:sz="4" w:space="0" w:color="000000"/>
              <w:left w:val="single" w:sz="4" w:space="0" w:color="000000"/>
              <w:bottom w:val="single" w:sz="4" w:space="0" w:color="000000"/>
              <w:right w:val="single" w:sz="4" w:space="0" w:color="000000"/>
            </w:tcBorders>
          </w:tcPr>
          <w:p w14:paraId="4A44A422" w14:textId="77777777" w:rsidR="00216F3C" w:rsidRDefault="002B3816">
            <w:pPr>
              <w:spacing w:after="0" w:line="259" w:lineRule="auto"/>
              <w:ind w:left="52" w:firstLine="0"/>
            </w:pPr>
            <w:r>
              <w:t xml:space="preserve"> Total</w:t>
            </w:r>
          </w:p>
        </w:tc>
        <w:tc>
          <w:tcPr>
            <w:tcW w:w="1774" w:type="dxa"/>
            <w:gridSpan w:val="2"/>
            <w:tcBorders>
              <w:top w:val="single" w:sz="4" w:space="0" w:color="000000"/>
              <w:left w:val="single" w:sz="4" w:space="0" w:color="000000"/>
              <w:bottom w:val="single" w:sz="4" w:space="0" w:color="000000"/>
              <w:right w:val="nil"/>
            </w:tcBorders>
          </w:tcPr>
          <w:p w14:paraId="46599C25" w14:textId="77777777" w:rsidR="00216F3C" w:rsidRDefault="00216F3C">
            <w:pPr>
              <w:spacing w:after="160" w:line="259" w:lineRule="auto"/>
              <w:ind w:left="0" w:firstLine="0"/>
            </w:pPr>
          </w:p>
        </w:tc>
        <w:tc>
          <w:tcPr>
            <w:tcW w:w="1214" w:type="dxa"/>
            <w:tcBorders>
              <w:top w:val="single" w:sz="4" w:space="0" w:color="000000"/>
              <w:left w:val="nil"/>
              <w:bottom w:val="single" w:sz="4" w:space="0" w:color="000000"/>
              <w:right w:val="single" w:sz="4" w:space="0" w:color="000000"/>
            </w:tcBorders>
          </w:tcPr>
          <w:p w14:paraId="76C81194" w14:textId="5A826712" w:rsidR="00216F3C" w:rsidRDefault="000B0D9E">
            <w:pPr>
              <w:spacing w:after="0" w:line="259" w:lineRule="auto"/>
              <w:ind w:left="0" w:right="23" w:firstLine="0"/>
              <w:jc w:val="right"/>
            </w:pPr>
            <w:r>
              <w:t>2.93</w:t>
            </w:r>
          </w:p>
        </w:tc>
      </w:tr>
    </w:tbl>
    <w:p w14:paraId="537DEE1E" w14:textId="77777777" w:rsidR="009C36C3" w:rsidRDefault="009C36C3" w:rsidP="009C36C3">
      <w:pPr>
        <w:pStyle w:val="Heading1"/>
        <w:numPr>
          <w:ilvl w:val="0"/>
          <w:numId w:val="0"/>
        </w:numPr>
        <w:ind w:left="489"/>
      </w:pPr>
    </w:p>
    <w:p w14:paraId="2124D2A3" w14:textId="77777777" w:rsidR="00216F3C" w:rsidRDefault="002B3816">
      <w:pPr>
        <w:pStyle w:val="Heading1"/>
        <w:ind w:left="489" w:hanging="452"/>
      </w:pPr>
      <w:r>
        <w:t>Contact point</w:t>
      </w:r>
    </w:p>
    <w:p w14:paraId="6F34AEC2" w14:textId="77777777" w:rsidR="000B0D9E" w:rsidRDefault="000B0D9E">
      <w:pPr>
        <w:pStyle w:val="Heading2"/>
        <w:spacing w:after="7"/>
        <w:ind w:left="499"/>
      </w:pPr>
    </w:p>
    <w:p w14:paraId="1CB1739C" w14:textId="50EB5550" w:rsidR="00216F3C" w:rsidRDefault="002B3816">
      <w:pPr>
        <w:pStyle w:val="Heading2"/>
        <w:spacing w:after="7"/>
        <w:ind w:left="499"/>
      </w:pPr>
      <w:r>
        <w:t>World Bank</w:t>
      </w:r>
    </w:p>
    <w:p w14:paraId="5EACEA95" w14:textId="77777777" w:rsidR="00216F3C" w:rsidRDefault="002B3816">
      <w:pPr>
        <w:tabs>
          <w:tab w:val="center" w:pos="877"/>
          <w:tab w:val="center" w:pos="2305"/>
        </w:tabs>
        <w:ind w:left="0" w:firstLine="0"/>
      </w:pPr>
      <w:r>
        <w:rPr>
          <w:rFonts w:ascii="Calibri" w:eastAsia="Calibri" w:hAnsi="Calibri" w:cs="Calibri"/>
        </w:rPr>
        <w:tab/>
      </w:r>
      <w:r>
        <w:t>Contact:</w:t>
      </w:r>
      <w:r>
        <w:tab/>
      </w:r>
      <w:r w:rsidR="009C36C3">
        <w:t>Mirko Serkovic</w:t>
      </w:r>
    </w:p>
    <w:p w14:paraId="2AB037D6" w14:textId="0E8F7097" w:rsidR="00216F3C" w:rsidRDefault="002B3816" w:rsidP="00605EE9">
      <w:pPr>
        <w:tabs>
          <w:tab w:val="center" w:pos="742"/>
          <w:tab w:val="center" w:pos="1440"/>
        </w:tabs>
        <w:ind w:left="0" w:firstLine="0"/>
      </w:pPr>
      <w:r>
        <w:rPr>
          <w:rFonts w:ascii="Calibri" w:eastAsia="Calibri" w:hAnsi="Calibri" w:cs="Calibri"/>
        </w:rPr>
        <w:tab/>
      </w:r>
      <w:r>
        <w:t>Title:</w:t>
      </w:r>
      <w:r>
        <w:tab/>
      </w:r>
      <w:r w:rsidR="00605EE9">
        <w:t xml:space="preserve">            Natural Resources Management</w:t>
      </w:r>
      <w:r w:rsidR="009C36C3">
        <w:t xml:space="preserve"> Specialist</w:t>
      </w:r>
    </w:p>
    <w:p w14:paraId="455AE130" w14:textId="77777777" w:rsidR="00216F3C" w:rsidRDefault="002B3816" w:rsidP="009C36C3">
      <w:pPr>
        <w:tabs>
          <w:tab w:val="center" w:pos="681"/>
          <w:tab w:val="center" w:pos="2340"/>
        </w:tabs>
        <w:ind w:left="0" w:firstLine="0"/>
      </w:pPr>
      <w:r>
        <w:rPr>
          <w:rFonts w:ascii="Calibri" w:eastAsia="Calibri" w:hAnsi="Calibri" w:cs="Calibri"/>
        </w:rPr>
        <w:tab/>
      </w:r>
      <w:r>
        <w:t>Tel:</w:t>
      </w:r>
      <w:r>
        <w:tab/>
      </w:r>
      <w:r w:rsidR="009C36C3">
        <w:t>+1-202-458-7796</w:t>
      </w:r>
    </w:p>
    <w:p w14:paraId="4A7DBD1D" w14:textId="77777777" w:rsidR="00216F3C" w:rsidRDefault="002B3816">
      <w:pPr>
        <w:tabs>
          <w:tab w:val="center" w:pos="797"/>
          <w:tab w:val="center" w:pos="2816"/>
        </w:tabs>
        <w:spacing w:after="314"/>
        <w:ind w:left="0" w:firstLine="0"/>
      </w:pPr>
      <w:r>
        <w:rPr>
          <w:rFonts w:ascii="Calibri" w:eastAsia="Calibri" w:hAnsi="Calibri" w:cs="Calibri"/>
        </w:rPr>
        <w:tab/>
      </w:r>
      <w:r>
        <w:t>Email:</w:t>
      </w:r>
      <w:r>
        <w:tab/>
      </w:r>
      <w:r w:rsidR="009C36C3">
        <w:t>mserkovic</w:t>
      </w:r>
      <w:r>
        <w:t>@worldbank.org</w:t>
      </w:r>
    </w:p>
    <w:p w14:paraId="54CCD0BC" w14:textId="77777777" w:rsidR="00216F3C" w:rsidRPr="00974033" w:rsidRDefault="002B3816">
      <w:pPr>
        <w:pStyle w:val="Heading2"/>
        <w:spacing w:after="7"/>
        <w:ind w:left="499"/>
      </w:pPr>
      <w:r w:rsidRPr="00974033">
        <w:t>Borrower/Client/Recipient</w:t>
      </w:r>
    </w:p>
    <w:p w14:paraId="507095E9" w14:textId="4318553B" w:rsidR="00216F3C" w:rsidRPr="00974033" w:rsidRDefault="002B3816">
      <w:pPr>
        <w:ind w:left="499"/>
      </w:pPr>
      <w:r w:rsidRPr="00974033">
        <w:t>Name:</w:t>
      </w:r>
      <w:r w:rsidR="00605EE9" w:rsidRPr="00974033">
        <w:t xml:space="preserve"> </w:t>
      </w:r>
      <w:r w:rsidR="002106E3">
        <w:t>Republic of Togo</w:t>
      </w:r>
    </w:p>
    <w:p w14:paraId="0A33EEC7" w14:textId="1BAA1950" w:rsidR="00216F3C" w:rsidRPr="00974033" w:rsidRDefault="002B3816">
      <w:pPr>
        <w:ind w:left="499"/>
      </w:pPr>
      <w:r w:rsidRPr="00974033">
        <w:t>Contact:</w:t>
      </w:r>
      <w:r w:rsidR="00517906" w:rsidRPr="00974033">
        <w:t xml:space="preserve"> SANI Yaya</w:t>
      </w:r>
    </w:p>
    <w:p w14:paraId="055C07B0" w14:textId="54C9BD0F" w:rsidR="00216F3C" w:rsidRPr="00974033" w:rsidRDefault="002B3816">
      <w:pPr>
        <w:ind w:left="499"/>
      </w:pPr>
      <w:r w:rsidRPr="00974033">
        <w:t>Title:</w:t>
      </w:r>
      <w:r w:rsidR="00517906" w:rsidRPr="00974033">
        <w:t xml:space="preserve"> Minister of Economy and Finance</w:t>
      </w:r>
    </w:p>
    <w:p w14:paraId="369F91AD" w14:textId="1A613D7E" w:rsidR="00216F3C" w:rsidRPr="00974033" w:rsidRDefault="002B3816">
      <w:pPr>
        <w:ind w:left="499"/>
      </w:pPr>
      <w:r w:rsidRPr="00974033">
        <w:t>Tel:</w:t>
      </w:r>
      <w:r w:rsidR="00517906" w:rsidRPr="00974033">
        <w:t xml:space="preserve"> </w:t>
      </w:r>
      <w:r w:rsidR="007C412E" w:rsidRPr="00974033">
        <w:t>+228 22 21 35 54</w:t>
      </w:r>
    </w:p>
    <w:p w14:paraId="19E6EBDB" w14:textId="213C8138" w:rsidR="00605EE9" w:rsidRPr="00974033" w:rsidRDefault="002B3816" w:rsidP="00517906">
      <w:pPr>
        <w:pStyle w:val="Heading2"/>
        <w:spacing w:after="0" w:line="388" w:lineRule="auto"/>
        <w:ind w:left="499" w:right="4500"/>
        <w:rPr>
          <w:b w:val="0"/>
          <w:lang w:val="fr-FR"/>
        </w:rPr>
      </w:pPr>
      <w:proofErr w:type="gramStart"/>
      <w:r w:rsidRPr="00974033">
        <w:rPr>
          <w:b w:val="0"/>
          <w:lang w:val="fr-FR"/>
        </w:rPr>
        <w:t>Email:</w:t>
      </w:r>
      <w:proofErr w:type="gramEnd"/>
      <w:r w:rsidR="00517906" w:rsidRPr="00974033">
        <w:rPr>
          <w:b w:val="0"/>
          <w:lang w:val="fr-FR"/>
        </w:rPr>
        <w:t xml:space="preserve"> </w:t>
      </w:r>
      <w:hyperlink r:id="rId8" w:history="1">
        <w:r w:rsidR="00517906" w:rsidRPr="00974033">
          <w:rPr>
            <w:rStyle w:val="Hyperlink"/>
            <w:b w:val="0"/>
            <w:lang w:val="fr-FR"/>
          </w:rPr>
          <w:t>secretariat.ministre@ecnomie.gouv.tg</w:t>
        </w:r>
      </w:hyperlink>
      <w:r w:rsidR="00517906" w:rsidRPr="00974033">
        <w:rPr>
          <w:b w:val="0"/>
          <w:lang w:val="fr-FR"/>
        </w:rPr>
        <w:t xml:space="preserve"> </w:t>
      </w:r>
    </w:p>
    <w:p w14:paraId="22A4702B" w14:textId="2FDF059C" w:rsidR="00216F3C" w:rsidRDefault="002B3816">
      <w:pPr>
        <w:pStyle w:val="Heading2"/>
        <w:spacing w:after="0" w:line="388" w:lineRule="auto"/>
        <w:ind w:left="499" w:right="6650"/>
      </w:pPr>
      <w:r>
        <w:t>Implementing Agencies</w:t>
      </w:r>
    </w:p>
    <w:p w14:paraId="196FDEB1" w14:textId="48356F87" w:rsidR="00216F3C" w:rsidRDefault="002B3816">
      <w:pPr>
        <w:ind w:left="499"/>
      </w:pPr>
      <w:r>
        <w:t>Name:</w:t>
      </w:r>
      <w:r w:rsidR="00605EE9">
        <w:t xml:space="preserve"> </w:t>
      </w:r>
      <w:r w:rsidR="00605EE9" w:rsidRPr="00605EE9">
        <w:rPr>
          <w:bCs/>
        </w:rPr>
        <w:t>Ministry of Environment and Forest Resources</w:t>
      </w:r>
    </w:p>
    <w:p w14:paraId="73BEE133" w14:textId="470934AE" w:rsidR="00216F3C" w:rsidRDefault="002B3816">
      <w:pPr>
        <w:ind w:left="499"/>
      </w:pPr>
      <w:r>
        <w:t>Contact:</w:t>
      </w:r>
      <w:r w:rsidR="00605EE9">
        <w:t xml:space="preserve"> </w:t>
      </w:r>
      <w:r w:rsidR="00605EE9" w:rsidRPr="00AD5E99">
        <w:t xml:space="preserve">GBADOE </w:t>
      </w:r>
      <w:proofErr w:type="spellStart"/>
      <w:r w:rsidR="00605EE9" w:rsidRPr="00AD5E99">
        <w:t>Edjidomélé</w:t>
      </w:r>
      <w:proofErr w:type="spellEnd"/>
      <w:r w:rsidR="00605EE9">
        <w:t xml:space="preserve"> </w:t>
      </w:r>
    </w:p>
    <w:p w14:paraId="7CD24481" w14:textId="1CD95314" w:rsidR="00216F3C" w:rsidRDefault="002B3816">
      <w:pPr>
        <w:ind w:left="499"/>
      </w:pPr>
      <w:r>
        <w:t>Title:</w:t>
      </w:r>
      <w:r w:rsidR="00605EE9">
        <w:t xml:space="preserve"> </w:t>
      </w:r>
      <w:r w:rsidR="00605EE9" w:rsidRPr="00AD5E99">
        <w:t>General Director, Forest Development Office</w:t>
      </w:r>
    </w:p>
    <w:p w14:paraId="299B071F" w14:textId="4345A442" w:rsidR="00216F3C" w:rsidRPr="00974033" w:rsidRDefault="002B3816">
      <w:pPr>
        <w:ind w:left="499"/>
        <w:rPr>
          <w:lang w:val="fr-FR"/>
        </w:rPr>
      </w:pPr>
      <w:r w:rsidRPr="00974033">
        <w:rPr>
          <w:lang w:val="fr-FR"/>
        </w:rPr>
        <w:t>Tel:</w:t>
      </w:r>
      <w:r w:rsidR="00605EE9" w:rsidRPr="00974033">
        <w:rPr>
          <w:lang w:val="fr-FR"/>
        </w:rPr>
        <w:t xml:space="preserve"> +228 22 51 42 17; +228 90 05 40 62</w:t>
      </w:r>
    </w:p>
    <w:p w14:paraId="3B6CE649" w14:textId="5827BDD8" w:rsidR="00216F3C" w:rsidRPr="00974033" w:rsidRDefault="002B3816">
      <w:pPr>
        <w:spacing w:after="287"/>
        <w:ind w:left="499"/>
        <w:rPr>
          <w:lang w:val="fr-FR"/>
        </w:rPr>
      </w:pPr>
      <w:proofErr w:type="gramStart"/>
      <w:r w:rsidRPr="00974033">
        <w:rPr>
          <w:lang w:val="fr-FR"/>
        </w:rPr>
        <w:t>Email:</w:t>
      </w:r>
      <w:proofErr w:type="gramEnd"/>
      <w:r w:rsidR="00605EE9" w:rsidRPr="00974033">
        <w:rPr>
          <w:lang w:val="fr-FR"/>
        </w:rPr>
        <w:t xml:space="preserve"> </w:t>
      </w:r>
      <w:hyperlink r:id="rId9" w:history="1">
        <w:r w:rsidR="00605EE9" w:rsidRPr="00974033">
          <w:rPr>
            <w:rStyle w:val="Hyperlink"/>
            <w:lang w:val="fr-FR"/>
          </w:rPr>
          <w:t>redjidomele@yahoo.fr</w:t>
        </w:r>
      </w:hyperlink>
      <w:r w:rsidR="00605EE9" w:rsidRPr="00974033">
        <w:rPr>
          <w:lang w:val="fr-FR"/>
        </w:rPr>
        <w:t xml:space="preserve">; </w:t>
      </w:r>
      <w:hyperlink r:id="rId10" w:history="1">
        <w:r w:rsidR="00605EE9" w:rsidRPr="00974033">
          <w:rPr>
            <w:rStyle w:val="Hyperlink"/>
            <w:lang w:val="fr-FR"/>
          </w:rPr>
          <w:t>odefdirection@gmail.com</w:t>
        </w:r>
      </w:hyperlink>
    </w:p>
    <w:p w14:paraId="5BCB56EF" w14:textId="77777777" w:rsidR="00216F3C" w:rsidRDefault="002B3816">
      <w:pPr>
        <w:spacing w:after="0" w:line="259" w:lineRule="auto"/>
        <w:ind w:left="47"/>
      </w:pPr>
      <w:r>
        <w:rPr>
          <w:b/>
          <w:sz w:val="24"/>
        </w:rPr>
        <w:t>VII. For more information contact:</w:t>
      </w:r>
    </w:p>
    <w:p w14:paraId="1222FD30" w14:textId="77777777" w:rsidR="00216F3C" w:rsidRDefault="002B3816">
      <w:pPr>
        <w:ind w:left="499"/>
      </w:pPr>
      <w:r>
        <w:t xml:space="preserve">The World Bank </w:t>
      </w:r>
    </w:p>
    <w:p w14:paraId="6357E18B" w14:textId="77777777" w:rsidR="00216F3C" w:rsidRDefault="002B3816">
      <w:pPr>
        <w:ind w:left="499"/>
      </w:pPr>
      <w:r>
        <w:t xml:space="preserve">1818 H Street, NW </w:t>
      </w:r>
    </w:p>
    <w:p w14:paraId="3D7479CC" w14:textId="77777777" w:rsidR="00216F3C" w:rsidRDefault="002B3816">
      <w:pPr>
        <w:ind w:left="499"/>
      </w:pPr>
      <w:r>
        <w:t xml:space="preserve">Washington, D.C. 20433 </w:t>
      </w:r>
    </w:p>
    <w:p w14:paraId="38715AF4" w14:textId="77777777" w:rsidR="00216F3C" w:rsidRDefault="002B3816">
      <w:pPr>
        <w:ind w:left="499"/>
      </w:pPr>
      <w:r>
        <w:t xml:space="preserve">Telephone: (202) 458-4500 </w:t>
      </w:r>
    </w:p>
    <w:p w14:paraId="6FBB264B" w14:textId="77777777" w:rsidR="00216F3C" w:rsidRDefault="002B3816">
      <w:pPr>
        <w:ind w:left="499"/>
      </w:pPr>
      <w:r>
        <w:t xml:space="preserve">Fax: (202) 522-1500 </w:t>
      </w:r>
    </w:p>
    <w:p w14:paraId="79B8FB69" w14:textId="28DFD8B5" w:rsidR="00216F3C" w:rsidRDefault="002B3816">
      <w:pPr>
        <w:ind w:left="499"/>
      </w:pPr>
      <w:r>
        <w:t xml:space="preserve">Web: </w:t>
      </w:r>
      <w:hyperlink r:id="rId11" w:history="1">
        <w:r w:rsidR="00605EE9">
          <w:rPr>
            <w:rStyle w:val="Hyperlink"/>
          </w:rPr>
          <w:t>www.worldbank.org/projects</w:t>
        </w:r>
      </w:hyperlink>
    </w:p>
    <w:sectPr w:rsidR="00216F3C">
      <w:footerReference w:type="even" r:id="rId12"/>
      <w:footerReference w:type="default" r:id="rId13"/>
      <w:footerReference w:type="first" r:id="rId14"/>
      <w:pgSz w:w="12240" w:h="15840"/>
      <w:pgMar w:top="1401" w:right="1440" w:bottom="1597" w:left="1440"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E8BB" w14:textId="77777777" w:rsidR="008A3B97" w:rsidRDefault="008A3B97">
      <w:pPr>
        <w:spacing w:after="0" w:line="240" w:lineRule="auto"/>
      </w:pPr>
      <w:r>
        <w:separator/>
      </w:r>
    </w:p>
  </w:endnote>
  <w:endnote w:type="continuationSeparator" w:id="0">
    <w:p w14:paraId="472F2B30" w14:textId="77777777" w:rsidR="008A3B97" w:rsidRDefault="008A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2038" w14:textId="77777777" w:rsidR="00216F3C" w:rsidRDefault="002B3816">
    <w:pPr>
      <w:spacing w:after="0" w:line="259" w:lineRule="auto"/>
      <w:ind w:left="0"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106E3">
      <w:rPr>
        <w:sz w:val="20"/>
      </w:rPr>
      <w:fldChar w:fldCharType="begin"/>
    </w:r>
    <w:r w:rsidR="002106E3">
      <w:rPr>
        <w:sz w:val="20"/>
      </w:rPr>
      <w:instrText xml:space="preserve"> NUMPAGES   \* MERGEFORMAT </w:instrText>
    </w:r>
    <w:r w:rsidR="002106E3">
      <w:rPr>
        <w:sz w:val="20"/>
      </w:rPr>
      <w:fldChar w:fldCharType="separate"/>
    </w:r>
    <w:r>
      <w:rPr>
        <w:sz w:val="20"/>
      </w:rPr>
      <w:t>8</w:t>
    </w:r>
    <w:r w:rsidR="002106E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C85D" w14:textId="0E7BBB70" w:rsidR="00216F3C" w:rsidRDefault="002B3816">
    <w:pPr>
      <w:spacing w:after="0" w:line="259" w:lineRule="auto"/>
      <w:ind w:left="0" w:firstLine="0"/>
      <w:jc w:val="center"/>
    </w:pPr>
    <w:r>
      <w:rPr>
        <w:sz w:val="20"/>
      </w:rPr>
      <w:t xml:space="preserve">Page </w:t>
    </w:r>
    <w:r>
      <w:fldChar w:fldCharType="begin"/>
    </w:r>
    <w:r>
      <w:instrText xml:space="preserve"> PAGE   \* MERGEFORMAT </w:instrText>
    </w:r>
    <w:r>
      <w:fldChar w:fldCharType="separate"/>
    </w:r>
    <w:r w:rsidR="00D10B42" w:rsidRPr="00D10B42">
      <w:rPr>
        <w:noProof/>
        <w:sz w:val="20"/>
      </w:rPr>
      <w:t>1</w:t>
    </w:r>
    <w:r>
      <w:rPr>
        <w:sz w:val="20"/>
      </w:rPr>
      <w:fldChar w:fldCharType="end"/>
    </w:r>
    <w:r>
      <w:rPr>
        <w:sz w:val="20"/>
      </w:rPr>
      <w:t xml:space="preserve"> of </w:t>
    </w:r>
    <w:r w:rsidR="002106E3">
      <w:rPr>
        <w:noProof/>
        <w:sz w:val="20"/>
      </w:rPr>
      <w:fldChar w:fldCharType="begin"/>
    </w:r>
    <w:r w:rsidR="002106E3">
      <w:rPr>
        <w:noProof/>
        <w:sz w:val="20"/>
      </w:rPr>
      <w:instrText xml:space="preserve"> NUMPAGES   \* MERGEFORMAT </w:instrText>
    </w:r>
    <w:r w:rsidR="002106E3">
      <w:rPr>
        <w:noProof/>
        <w:sz w:val="20"/>
      </w:rPr>
      <w:fldChar w:fldCharType="separate"/>
    </w:r>
    <w:r w:rsidR="00D10B42" w:rsidRPr="00D10B42">
      <w:rPr>
        <w:noProof/>
        <w:sz w:val="20"/>
      </w:rPr>
      <w:t>11</w:t>
    </w:r>
    <w:r w:rsidR="002106E3">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5035" w14:textId="77777777" w:rsidR="00216F3C" w:rsidRDefault="002B3816">
    <w:pPr>
      <w:spacing w:after="0" w:line="259" w:lineRule="auto"/>
      <w:ind w:left="0"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106E3">
      <w:rPr>
        <w:sz w:val="20"/>
      </w:rPr>
      <w:fldChar w:fldCharType="begin"/>
    </w:r>
    <w:r w:rsidR="002106E3">
      <w:rPr>
        <w:sz w:val="20"/>
      </w:rPr>
      <w:instrText xml:space="preserve"> NUMPAGES   \* MERGEFORMAT </w:instrText>
    </w:r>
    <w:r w:rsidR="002106E3">
      <w:rPr>
        <w:sz w:val="20"/>
      </w:rPr>
      <w:fldChar w:fldCharType="separate"/>
    </w:r>
    <w:r>
      <w:rPr>
        <w:sz w:val="20"/>
      </w:rPr>
      <w:t>8</w:t>
    </w:r>
    <w:r w:rsidR="002106E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1389" w14:textId="77777777" w:rsidR="008A3B97" w:rsidRDefault="008A3B97">
      <w:pPr>
        <w:spacing w:after="0" w:line="240" w:lineRule="auto"/>
      </w:pPr>
      <w:r>
        <w:separator/>
      </w:r>
    </w:p>
  </w:footnote>
  <w:footnote w:type="continuationSeparator" w:id="0">
    <w:p w14:paraId="3DBC5A67" w14:textId="77777777" w:rsidR="008A3B97" w:rsidRDefault="008A3B97">
      <w:pPr>
        <w:spacing w:after="0" w:line="240" w:lineRule="auto"/>
      </w:pPr>
      <w:r>
        <w:continuationSeparator/>
      </w:r>
    </w:p>
  </w:footnote>
  <w:footnote w:id="1">
    <w:p w14:paraId="1F023EBF" w14:textId="77777777" w:rsidR="000B4347" w:rsidRPr="002B6E7C" w:rsidRDefault="000B4347" w:rsidP="000B4347">
      <w:pPr>
        <w:pStyle w:val="FootnoteText"/>
        <w:jc w:val="both"/>
      </w:pPr>
      <w:r w:rsidRPr="002B6E7C">
        <w:rPr>
          <w:rStyle w:val="FootnoteReference"/>
        </w:rPr>
        <w:footnoteRef/>
      </w:r>
      <w:r w:rsidRPr="002B6E7C">
        <w:t xml:space="preserve">Detailed information on progress achieved under the original grant and the rationale for additional funds are contained in Togo’s Mid Term Progress Report (MTR) and Request for Additional Funding to the FCPF: </w:t>
      </w:r>
      <w:hyperlink r:id="rId1" w:history="1">
        <w:r w:rsidRPr="002B6E7C">
          <w:rPr>
            <w:rStyle w:val="Hyperlink"/>
          </w:rPr>
          <w:t>https://www.forestcarbonpartnership.org/sites/fcp/files/2017/July/RMP-Final-12Juillet_version_rev30Aout_EN.pdf</w:t>
        </w:r>
      </w:hyperlink>
      <w:r w:rsidRPr="002B6E7C">
        <w:t xml:space="preserve">  </w:t>
      </w:r>
    </w:p>
  </w:footnote>
  <w:footnote w:id="2">
    <w:p w14:paraId="1CD2D58F" w14:textId="77777777" w:rsidR="006A47ED" w:rsidRDefault="006A47ED" w:rsidP="00605EE9">
      <w:pPr>
        <w:pStyle w:val="FootnoteText"/>
        <w:jc w:val="both"/>
      </w:pPr>
      <w:r>
        <w:rPr>
          <w:rStyle w:val="FootnoteReference"/>
        </w:rPr>
        <w:footnoteRef/>
      </w:r>
      <w:r>
        <w:t xml:space="preserve"> The REDD+ National Committee, </w:t>
      </w:r>
      <w:r w:rsidRPr="008B2C6B">
        <w:t>the REDD+ National Working Group and the REDD+ regional focal points in the country’s five regions</w:t>
      </w:r>
      <w:r>
        <w:t>.</w:t>
      </w:r>
    </w:p>
  </w:footnote>
  <w:footnote w:id="3">
    <w:p w14:paraId="5F57A26B" w14:textId="77777777" w:rsidR="006A47ED" w:rsidRDefault="006A47ED" w:rsidP="00605EE9">
      <w:pPr>
        <w:pStyle w:val="FootnoteText"/>
        <w:jc w:val="both"/>
      </w:pPr>
      <w:r w:rsidRPr="002B6E7C">
        <w:rPr>
          <w:rStyle w:val="FootnoteReference"/>
        </w:rPr>
        <w:footnoteRef/>
      </w:r>
      <w:r w:rsidRPr="002B6E7C">
        <w:t xml:space="preserve"> </w:t>
      </w:r>
      <w:r>
        <w:t>T</w:t>
      </w:r>
      <w:r w:rsidRPr="002B6E7C">
        <w:t xml:space="preserve">he National Council of Civil Society Organizations for </w:t>
      </w:r>
      <w:r>
        <w:t>Sustainable Development (CNODD);</w:t>
      </w:r>
      <w:r w:rsidRPr="002B6E7C">
        <w:t xml:space="preserve"> the producer organizations represented by the Togolese Coordination o</w:t>
      </w:r>
      <w:r>
        <w:t>f Producer Organizations (CTOP);</w:t>
      </w:r>
      <w:r w:rsidRPr="002B6E7C">
        <w:t xml:space="preserve"> the </w:t>
      </w:r>
      <w:r>
        <w:t>youth</w:t>
      </w:r>
      <w:r w:rsidRPr="002B6E7C">
        <w:t xml:space="preserve"> represented by the National Youth Council (CNJ)</w:t>
      </w:r>
      <w:r>
        <w:t>;</w:t>
      </w:r>
      <w:r w:rsidRPr="002B6E7C">
        <w:t xml:space="preserve"> and the women represented by the Togo REDD+ Women's Consortium (CF-REDD+ Togo)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EDD"/>
    <w:multiLevelType w:val="hybridMultilevel"/>
    <w:tmpl w:val="6B82C9C8"/>
    <w:lvl w:ilvl="0" w:tplc="400A427E">
      <w:start w:val="1"/>
      <w:numFmt w:val="decimal"/>
      <w:lvlText w:val="%1."/>
      <w:lvlJc w:val="left"/>
      <w:pPr>
        <w:ind w:left="720" w:hanging="360"/>
      </w:pPr>
      <w:rPr>
        <w:rFonts w:hint="default"/>
        <w:b w:val="0"/>
        <w:i w:val="0"/>
      </w:rPr>
    </w:lvl>
    <w:lvl w:ilvl="1" w:tplc="5E8225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568A65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240"/>
    <w:multiLevelType w:val="hybridMultilevel"/>
    <w:tmpl w:val="1E9494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6598"/>
    <w:multiLevelType w:val="hybridMultilevel"/>
    <w:tmpl w:val="3E92DFA0"/>
    <w:lvl w:ilvl="0" w:tplc="400A427E">
      <w:start w:val="1"/>
      <w:numFmt w:val="decimal"/>
      <w:lvlText w:val="%1."/>
      <w:lvlJc w:val="left"/>
      <w:pPr>
        <w:ind w:left="720" w:hanging="360"/>
      </w:pPr>
      <w:rPr>
        <w:rFonts w:hint="default"/>
        <w:b w:val="0"/>
        <w:i w:val="0"/>
      </w:rPr>
    </w:lvl>
    <w:lvl w:ilvl="1" w:tplc="8B04BB52">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3713"/>
    <w:multiLevelType w:val="hybridMultilevel"/>
    <w:tmpl w:val="5AE0C9EC"/>
    <w:lvl w:ilvl="0" w:tplc="400A427E">
      <w:start w:val="1"/>
      <w:numFmt w:val="decimal"/>
      <w:lvlText w:val="%1."/>
      <w:lvlJc w:val="left"/>
      <w:pPr>
        <w:ind w:left="720" w:hanging="360"/>
      </w:pPr>
      <w:rPr>
        <w:rFonts w:hint="default"/>
        <w:b w:val="0"/>
        <w:i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C7C24"/>
    <w:multiLevelType w:val="hybridMultilevel"/>
    <w:tmpl w:val="7B5AC094"/>
    <w:lvl w:ilvl="0" w:tplc="63A0462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52B3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2A23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9E89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50EF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5E11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E0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D660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5617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873168"/>
    <w:multiLevelType w:val="hybridMultilevel"/>
    <w:tmpl w:val="F15E5ED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F60AB"/>
    <w:multiLevelType w:val="hybridMultilevel"/>
    <w:tmpl w:val="A2F07860"/>
    <w:lvl w:ilvl="0" w:tplc="0409001B">
      <w:start w:val="1"/>
      <w:numFmt w:val="lowerRoman"/>
      <w:lvlText w:val="%1."/>
      <w:lvlJc w:val="right"/>
      <w:pPr>
        <w:ind w:left="720" w:hanging="360"/>
      </w:pPr>
      <w:rPr>
        <w:rFonts w:hint="default"/>
        <w:b w:val="0"/>
        <w:i w:val="0"/>
      </w:rPr>
    </w:lvl>
    <w:lvl w:ilvl="1" w:tplc="8B04BB52">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3C"/>
    <w:rsid w:val="000168D0"/>
    <w:rsid w:val="00066E1B"/>
    <w:rsid w:val="00082B72"/>
    <w:rsid w:val="000B0D9E"/>
    <w:rsid w:val="000B1C71"/>
    <w:rsid w:val="000B1E1F"/>
    <w:rsid w:val="000B4347"/>
    <w:rsid w:val="000D2AED"/>
    <w:rsid w:val="000D3A6A"/>
    <w:rsid w:val="000E3C90"/>
    <w:rsid w:val="001179EC"/>
    <w:rsid w:val="00117E42"/>
    <w:rsid w:val="0012474D"/>
    <w:rsid w:val="0019103C"/>
    <w:rsid w:val="001F0172"/>
    <w:rsid w:val="002106E3"/>
    <w:rsid w:val="00216F3C"/>
    <w:rsid w:val="00225A14"/>
    <w:rsid w:val="002325F4"/>
    <w:rsid w:val="002552D9"/>
    <w:rsid w:val="0028059E"/>
    <w:rsid w:val="002A11ED"/>
    <w:rsid w:val="002B3816"/>
    <w:rsid w:val="002D4DD6"/>
    <w:rsid w:val="00375937"/>
    <w:rsid w:val="00384522"/>
    <w:rsid w:val="00386F6A"/>
    <w:rsid w:val="00392DD3"/>
    <w:rsid w:val="003D72C7"/>
    <w:rsid w:val="003F5A67"/>
    <w:rsid w:val="00414B3E"/>
    <w:rsid w:val="00415C2F"/>
    <w:rsid w:val="00442039"/>
    <w:rsid w:val="00460ACD"/>
    <w:rsid w:val="00485B9D"/>
    <w:rsid w:val="004B4CF9"/>
    <w:rsid w:val="004F5350"/>
    <w:rsid w:val="00517906"/>
    <w:rsid w:val="0054312E"/>
    <w:rsid w:val="0054374E"/>
    <w:rsid w:val="005969A4"/>
    <w:rsid w:val="005B2EBA"/>
    <w:rsid w:val="005B439E"/>
    <w:rsid w:val="005C7D71"/>
    <w:rsid w:val="005F2C18"/>
    <w:rsid w:val="00601F22"/>
    <w:rsid w:val="00605EE9"/>
    <w:rsid w:val="0062310A"/>
    <w:rsid w:val="0063667F"/>
    <w:rsid w:val="006A47ED"/>
    <w:rsid w:val="006C03F4"/>
    <w:rsid w:val="00720A6B"/>
    <w:rsid w:val="00762999"/>
    <w:rsid w:val="00775266"/>
    <w:rsid w:val="00793120"/>
    <w:rsid w:val="00793142"/>
    <w:rsid w:val="0079590F"/>
    <w:rsid w:val="007C412E"/>
    <w:rsid w:val="007D5025"/>
    <w:rsid w:val="007D7BCF"/>
    <w:rsid w:val="007E74C2"/>
    <w:rsid w:val="0082673D"/>
    <w:rsid w:val="0088166D"/>
    <w:rsid w:val="008A3B97"/>
    <w:rsid w:val="008D7A6D"/>
    <w:rsid w:val="00917BC4"/>
    <w:rsid w:val="00950D71"/>
    <w:rsid w:val="00974033"/>
    <w:rsid w:val="00977156"/>
    <w:rsid w:val="009960A5"/>
    <w:rsid w:val="009A4A63"/>
    <w:rsid w:val="009C36C3"/>
    <w:rsid w:val="00A16AA9"/>
    <w:rsid w:val="00A645C7"/>
    <w:rsid w:val="00AD0F7B"/>
    <w:rsid w:val="00AD3386"/>
    <w:rsid w:val="00AE14E5"/>
    <w:rsid w:val="00B02CF5"/>
    <w:rsid w:val="00B6755E"/>
    <w:rsid w:val="00B93BC8"/>
    <w:rsid w:val="00BE69B8"/>
    <w:rsid w:val="00C068CF"/>
    <w:rsid w:val="00C135AF"/>
    <w:rsid w:val="00C61C2D"/>
    <w:rsid w:val="00C644DB"/>
    <w:rsid w:val="00C92CC8"/>
    <w:rsid w:val="00C95876"/>
    <w:rsid w:val="00D01317"/>
    <w:rsid w:val="00D10B42"/>
    <w:rsid w:val="00D31788"/>
    <w:rsid w:val="00D6460F"/>
    <w:rsid w:val="00D92452"/>
    <w:rsid w:val="00D94552"/>
    <w:rsid w:val="00D94F6A"/>
    <w:rsid w:val="00DB14C2"/>
    <w:rsid w:val="00DC1152"/>
    <w:rsid w:val="00E02C50"/>
    <w:rsid w:val="00E34E0B"/>
    <w:rsid w:val="00ED73FF"/>
    <w:rsid w:val="00EF5ABC"/>
    <w:rsid w:val="00F422F9"/>
    <w:rsid w:val="00F46E28"/>
    <w:rsid w:val="00F51445"/>
    <w:rsid w:val="00F6112D"/>
    <w:rsid w:val="00F6547B"/>
    <w:rsid w:val="00FA0222"/>
    <w:rsid w:val="00FA4738"/>
    <w:rsid w:val="00FA751E"/>
    <w:rsid w:val="00FB732F"/>
    <w:rsid w:val="00FB79F0"/>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AE45"/>
  <w15:docId w15:val="{95263826-70A3-4E83-9A5F-4742408B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514"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
      </w:numPr>
      <w:spacing w:after="0"/>
      <w:ind w:left="6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8"/>
      <w:ind w:left="514"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C36C3"/>
    <w:rPr>
      <w:sz w:val="16"/>
      <w:szCs w:val="16"/>
    </w:rPr>
  </w:style>
  <w:style w:type="paragraph" w:styleId="CommentText">
    <w:name w:val="annotation text"/>
    <w:basedOn w:val="Normal"/>
    <w:link w:val="CommentTextChar"/>
    <w:uiPriority w:val="99"/>
    <w:semiHidden/>
    <w:unhideWhenUsed/>
    <w:rsid w:val="009C36C3"/>
    <w:pPr>
      <w:spacing w:line="240" w:lineRule="auto"/>
    </w:pPr>
    <w:rPr>
      <w:sz w:val="20"/>
      <w:szCs w:val="20"/>
    </w:rPr>
  </w:style>
  <w:style w:type="character" w:customStyle="1" w:styleId="CommentTextChar">
    <w:name w:val="Comment Text Char"/>
    <w:basedOn w:val="DefaultParagraphFont"/>
    <w:link w:val="CommentText"/>
    <w:uiPriority w:val="99"/>
    <w:semiHidden/>
    <w:rsid w:val="009C36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C36C3"/>
    <w:rPr>
      <w:b/>
      <w:bCs/>
    </w:rPr>
  </w:style>
  <w:style w:type="character" w:customStyle="1" w:styleId="CommentSubjectChar">
    <w:name w:val="Comment Subject Char"/>
    <w:basedOn w:val="CommentTextChar"/>
    <w:link w:val="CommentSubject"/>
    <w:uiPriority w:val="99"/>
    <w:semiHidden/>
    <w:rsid w:val="009C36C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C3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C3"/>
    <w:rPr>
      <w:rFonts w:ascii="Segoe UI" w:eastAsia="Times New Roman" w:hAnsi="Segoe UI" w:cs="Segoe UI"/>
      <w:color w:val="000000"/>
      <w:sz w:val="18"/>
      <w:szCs w:val="18"/>
    </w:rPr>
  </w:style>
  <w:style w:type="paragraph" w:styleId="ListParagraph">
    <w:name w:val="List Paragraph"/>
    <w:aliases w:val="Numbered List Paragraph,List Paragraph1,References,Bullets,List Paragraph (numbered (a)),Liste 1,ReferencesCxSpLast,Medium Grid 1 - Accent 21,List Paragraph nowy,123 List Paragraph,List_Paragraph,Multilevel para_II,Akapit z listą BS,lp1"/>
    <w:basedOn w:val="Normal"/>
    <w:link w:val="ListParagraphChar"/>
    <w:uiPriority w:val="34"/>
    <w:qFormat/>
    <w:rsid w:val="00DC1152"/>
    <w:pPr>
      <w:spacing w:after="0" w:line="240" w:lineRule="auto"/>
      <w:ind w:left="720" w:firstLine="0"/>
      <w:contextualSpacing/>
    </w:pPr>
    <w:rPr>
      <w:color w:val="auto"/>
      <w:sz w:val="24"/>
      <w:szCs w:val="24"/>
    </w:rPr>
  </w:style>
  <w:style w:type="character" w:customStyle="1" w:styleId="ListParagraphChar">
    <w:name w:val="List Paragraph Char"/>
    <w:aliases w:val="Numbered List Paragraph Char,List Paragraph1 Char,References Char,Bullets Char,List Paragraph (numbered (a)) Char,Liste 1 Char,ReferencesCxSpLast Char,Medium Grid 1 - Accent 21 Char,List Paragraph nowy Char,123 List Paragraph Char"/>
    <w:link w:val="ListParagraph"/>
    <w:uiPriority w:val="34"/>
    <w:qFormat/>
    <w:locked/>
    <w:rsid w:val="00DC1152"/>
    <w:rPr>
      <w:rFonts w:ascii="Times New Roman" w:eastAsia="Times New Roman" w:hAnsi="Times New Roman" w:cs="Times New Roman"/>
      <w:sz w:val="24"/>
      <w:szCs w:val="24"/>
    </w:rPr>
  </w:style>
  <w:style w:type="paragraph" w:styleId="Header">
    <w:name w:val="header"/>
    <w:basedOn w:val="Normal"/>
    <w:link w:val="HeaderChar"/>
    <w:uiPriority w:val="99"/>
    <w:rsid w:val="00DC1152"/>
    <w:pPr>
      <w:tabs>
        <w:tab w:val="center" w:pos="4320"/>
        <w:tab w:val="right" w:pos="8640"/>
      </w:tabs>
      <w:spacing w:after="0" w:line="240" w:lineRule="auto"/>
      <w:ind w:left="0" w:firstLine="0"/>
    </w:pPr>
    <w:rPr>
      <w:color w:val="auto"/>
      <w:sz w:val="24"/>
      <w:szCs w:val="24"/>
    </w:rPr>
  </w:style>
  <w:style w:type="character" w:customStyle="1" w:styleId="HeaderChar">
    <w:name w:val="Header Char"/>
    <w:basedOn w:val="DefaultParagraphFont"/>
    <w:link w:val="Header"/>
    <w:uiPriority w:val="99"/>
    <w:rsid w:val="00DC1152"/>
    <w:rPr>
      <w:rFonts w:ascii="Times New Roman" w:eastAsia="Times New Roman" w:hAnsi="Times New Roman" w:cs="Times New Roman"/>
      <w:sz w:val="24"/>
      <w:szCs w:val="24"/>
    </w:rPr>
  </w:style>
  <w:style w:type="paragraph" w:styleId="FootnoteText">
    <w:name w:val="footnote text"/>
    <w:aliases w:val="single space,footnote text,fn,FOOTNOTES,Footnote Text Char2,Footnote Text Char1 Char1,Footnote Text Char Char Char1,Footnote Text Char1 Char Char,Footnote Text Char Char Char Char,Footnote Text Char Char1 Char,Footnote Text Char Char2,ft,f"/>
    <w:basedOn w:val="Normal"/>
    <w:link w:val="FootnoteTextChar"/>
    <w:uiPriority w:val="99"/>
    <w:qFormat/>
    <w:rsid w:val="006A47ED"/>
    <w:pPr>
      <w:spacing w:after="0" w:line="240" w:lineRule="auto"/>
      <w:ind w:left="0" w:firstLine="0"/>
    </w:pPr>
    <w:rPr>
      <w:color w:val="auto"/>
      <w:sz w:val="20"/>
      <w:szCs w:val="20"/>
    </w:rPr>
  </w:style>
  <w:style w:type="character" w:customStyle="1" w:styleId="FootnoteTextChar">
    <w:name w:val="Footnote Text Char"/>
    <w:aliases w:val="single space Char,footnote text Char,fn Char,FOOTNOTES Char,Footnote Text Char2 Char,Footnote Text Char1 Char1 Char,Footnote Text Char Char Char1 Char,Footnote Text Char1 Char Char Char,Footnote Text Char Char Char Char Char,ft Char"/>
    <w:basedOn w:val="DefaultParagraphFont"/>
    <w:link w:val="FootnoteText"/>
    <w:uiPriority w:val="99"/>
    <w:rsid w:val="006A47ED"/>
    <w:rPr>
      <w:rFonts w:ascii="Times New Roman" w:eastAsia="Times New Roman" w:hAnsi="Times New Roman" w:cs="Times New Roman"/>
      <w:sz w:val="20"/>
      <w:szCs w:val="20"/>
    </w:rPr>
  </w:style>
  <w:style w:type="character" w:styleId="FootnoteReference">
    <w:name w:val="footnote reference"/>
    <w:aliases w:val="ftref,16 Point,Superscript 6 Point,BVI fnr,Ref,de nota al pie,fr,Used by Word for Help footnote symbols,Car Car Char Car Char Car Car Char Car Char Char,SUPERS,BVI fn,(NECG) Footnote Reference,footnote ref,Footnote Reference Number,R"/>
    <w:basedOn w:val="DefaultParagraphFont"/>
    <w:link w:val="CharCharCharCharCarCharChar1CharCharCharChar1CharCharCharChar"/>
    <w:uiPriority w:val="99"/>
    <w:qFormat/>
    <w:rsid w:val="006A47ED"/>
    <w:rPr>
      <w:vertAlign w:val="superscript"/>
    </w:rPr>
  </w:style>
  <w:style w:type="paragraph" w:customStyle="1" w:styleId="CharCharCharCharCarCharChar1CharCharCharChar1CharCharCharChar">
    <w:name w:val="Char Char Char Char Car Char Char1 Char Char Char Char1 Char Char Char Char"/>
    <w:aliases w:val="Char Char Char1 Char Char Char Char1 Char Char Char Char"/>
    <w:basedOn w:val="Normal"/>
    <w:next w:val="Normal"/>
    <w:link w:val="FootnoteReference"/>
    <w:uiPriority w:val="99"/>
    <w:rsid w:val="006A47ED"/>
    <w:pPr>
      <w:spacing w:after="120" w:line="240" w:lineRule="exact"/>
      <w:ind w:left="0" w:firstLine="0"/>
      <w:jc w:val="both"/>
    </w:pPr>
    <w:rPr>
      <w:rFonts w:asciiTheme="minorHAnsi" w:eastAsiaTheme="minorEastAsia" w:hAnsiTheme="minorHAnsi" w:cstheme="minorBidi"/>
      <w:color w:val="auto"/>
      <w:vertAlign w:val="superscript"/>
    </w:rPr>
  </w:style>
  <w:style w:type="character" w:styleId="Hyperlink">
    <w:name w:val="Hyperlink"/>
    <w:basedOn w:val="DefaultParagraphFont"/>
    <w:uiPriority w:val="99"/>
    <w:rsid w:val="000B4347"/>
    <w:rPr>
      <w:color w:val="0000FF"/>
      <w:u w:val="single"/>
    </w:rPr>
  </w:style>
  <w:style w:type="character" w:customStyle="1" w:styleId="st1">
    <w:name w:val="st1"/>
    <w:basedOn w:val="DefaultParagraphFont"/>
    <w:rsid w:val="00BE69B8"/>
  </w:style>
  <w:style w:type="character" w:styleId="Emphasis">
    <w:name w:val="Emphasis"/>
    <w:basedOn w:val="DefaultParagraphFont"/>
    <w:uiPriority w:val="20"/>
    <w:qFormat/>
    <w:rsid w:val="00BE69B8"/>
    <w:rPr>
      <w:b/>
      <w:bCs/>
      <w:i w:val="0"/>
      <w:iCs w:val="0"/>
    </w:rPr>
  </w:style>
  <w:style w:type="character" w:styleId="UnresolvedMention">
    <w:name w:val="Unresolved Mention"/>
    <w:basedOn w:val="DefaultParagraphFont"/>
    <w:uiPriority w:val="99"/>
    <w:semiHidden/>
    <w:unhideWhenUsed/>
    <w:rsid w:val="005179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iat.ministre@ecnomie.gouv.t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proje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efdirection@gmail.com" TargetMode="External"/><Relationship Id="rId4" Type="http://schemas.openxmlformats.org/officeDocument/2006/relationships/settings" Target="settings.xml"/><Relationship Id="rId9" Type="http://schemas.openxmlformats.org/officeDocument/2006/relationships/hyperlink" Target="mailto:redjidomele@yahoo.f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orestcarbonpartnership.org/sites/fcp/files/2017/July/RMP-Final-12Juillet_version_rev30Aou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DD8C-E041-48F2-B485-BB659891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Ivo Serkovic</dc:creator>
  <cp:keywords/>
  <cp:lastModifiedBy>Lina Janenaite</cp:lastModifiedBy>
  <cp:revision>3</cp:revision>
  <cp:lastPrinted>2018-12-06T11:58:00Z</cp:lastPrinted>
  <dcterms:created xsi:type="dcterms:W3CDTF">2019-04-10T16:44:00Z</dcterms:created>
  <dcterms:modified xsi:type="dcterms:W3CDTF">2019-04-10T16:44:00Z</dcterms:modified>
</cp:coreProperties>
</file>