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FCE6" w14:textId="1E5DB91F" w:rsidR="008E2273" w:rsidRDefault="00E81988" w:rsidP="008E2273">
      <w:pPr>
        <w:jc w:val="center"/>
        <w:rPr>
          <w:b/>
          <w:sz w:val="36"/>
        </w:rPr>
      </w:pPr>
      <w:r>
        <w:rPr>
          <w:b/>
          <w:noProof/>
          <w:sz w:val="36"/>
          <w:lang w:val="en-US"/>
        </w:rPr>
        <mc:AlternateContent>
          <mc:Choice Requires="wps">
            <w:drawing>
              <wp:anchor distT="0" distB="0" distL="114300" distR="114300" simplePos="0" relativeHeight="251659264" behindDoc="0" locked="0" layoutInCell="1" allowOverlap="1" wp14:anchorId="0C939B27" wp14:editId="5E28B0E8">
                <wp:simplePos x="0" y="0"/>
                <wp:positionH relativeFrom="column">
                  <wp:posOffset>5019675</wp:posOffset>
                </wp:positionH>
                <wp:positionV relativeFrom="paragraph">
                  <wp:posOffset>-742950</wp:posOffset>
                </wp:positionV>
                <wp:extent cx="142875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8A80D" w14:textId="1560E8C0" w:rsidR="00E81988" w:rsidRPr="000C653C" w:rsidRDefault="000C653C">
                            <w:pPr>
                              <w:rPr>
                                <w:rFonts w:ascii="Arial" w:hAnsi="Arial" w:cs="Arial"/>
                                <w:sz w:val="44"/>
                                <w:szCs w:val="44"/>
                              </w:rPr>
                            </w:pPr>
                            <w:r>
                              <w:rPr>
                                <w:rFonts w:ascii="Arial" w:hAnsi="Arial" w:cs="Arial"/>
                                <w:sz w:val="44"/>
                                <w:szCs w:val="44"/>
                              </w:rPr>
                              <w:t>101137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939B27" id="_x0000_t202" coordsize="21600,21600" o:spt="202" path="m,l,21600r21600,l21600,xe">
                <v:stroke joinstyle="miter"/>
                <v:path gradientshapeok="t" o:connecttype="rect"/>
              </v:shapetype>
              <v:shape id="Text Box 1" o:spid="_x0000_s1026" type="#_x0000_t202" style="position:absolute;left:0;text-align:left;margin-left:395.25pt;margin-top:-58.5pt;width:11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" fillcolor="white [3201]" stroked="f" strokeweight=".5pt">
                <v:textbox>
                  <w:txbxContent>
                    <w:p w14:paraId="3368A80D" w14:textId="1560E8C0" w:rsidR="00E81988" w:rsidRPr="000C653C" w:rsidRDefault="000C653C">
                      <w:pPr>
                        <w:rPr>
                          <w:rFonts w:ascii="Arial" w:hAnsi="Arial" w:cs="Arial"/>
                          <w:sz w:val="44"/>
                          <w:szCs w:val="44"/>
                        </w:rPr>
                      </w:pPr>
                      <w:r>
                        <w:rPr>
                          <w:rFonts w:ascii="Arial" w:hAnsi="Arial" w:cs="Arial"/>
                          <w:sz w:val="44"/>
                          <w:szCs w:val="44"/>
                        </w:rPr>
                        <w:t>101137</w:t>
                      </w:r>
                      <w:bookmarkStart w:id="1" w:name="_GoBack"/>
                      <w:bookmarkEnd w:id="1"/>
                    </w:p>
                  </w:txbxContent>
                </v:textbox>
              </v:shape>
            </w:pict>
          </mc:Fallback>
        </mc:AlternateContent>
      </w:r>
      <w:r w:rsidR="00335FA0">
        <w:rPr>
          <w:b/>
          <w:sz w:val="36"/>
        </w:rPr>
        <w:t xml:space="preserve">Commerce </w:t>
      </w:r>
      <w:r w:rsidR="008E2273">
        <w:rPr>
          <w:b/>
          <w:sz w:val="36"/>
        </w:rPr>
        <w:t xml:space="preserve">Algérie-Mali. </w:t>
      </w:r>
    </w:p>
    <w:p w14:paraId="1849D920" w14:textId="4F9A5500" w:rsidR="00724D45" w:rsidRPr="007900EF" w:rsidRDefault="00335FA0" w:rsidP="008E2273">
      <w:pPr>
        <w:jc w:val="center"/>
        <w:rPr>
          <w:b/>
          <w:sz w:val="36"/>
        </w:rPr>
      </w:pPr>
      <w:r>
        <w:rPr>
          <w:b/>
          <w:sz w:val="36"/>
        </w:rPr>
        <w:t>La Normalité de l’Inform</w:t>
      </w:r>
      <w:r w:rsidR="00DD14C1">
        <w:rPr>
          <w:b/>
          <w:sz w:val="36"/>
        </w:rPr>
        <w:t>a</w:t>
      </w:r>
      <w:r>
        <w:rPr>
          <w:b/>
          <w:sz w:val="36"/>
        </w:rPr>
        <w:t>l</w:t>
      </w:r>
      <w:r w:rsidR="00DD14C1">
        <w:rPr>
          <w:b/>
          <w:sz w:val="36"/>
        </w:rPr>
        <w:t>ité</w:t>
      </w:r>
    </w:p>
    <w:p w14:paraId="641B64BC" w14:textId="77777777" w:rsidR="00724D45" w:rsidRDefault="00724D45" w:rsidP="00724D45">
      <w:pPr>
        <w:jc w:val="both"/>
        <w:rPr>
          <w:b/>
          <w:sz w:val="24"/>
          <w:szCs w:val="24"/>
        </w:rPr>
      </w:pPr>
    </w:p>
    <w:p w14:paraId="09F45E69" w14:textId="77777777" w:rsidR="00AF7D85" w:rsidRPr="00AF7D85" w:rsidRDefault="00AF7D85" w:rsidP="00AF7D85">
      <w:pPr>
        <w:jc w:val="center"/>
        <w:rPr>
          <w:sz w:val="24"/>
          <w:szCs w:val="24"/>
        </w:rPr>
      </w:pPr>
      <w:r w:rsidRPr="00AF7D85">
        <w:rPr>
          <w:sz w:val="24"/>
          <w:szCs w:val="24"/>
        </w:rPr>
        <w:t xml:space="preserve">Sami </w:t>
      </w:r>
      <w:proofErr w:type="spellStart"/>
      <w:r w:rsidRPr="00AF7D85">
        <w:rPr>
          <w:sz w:val="24"/>
          <w:szCs w:val="24"/>
        </w:rPr>
        <w:t>Bensassi</w:t>
      </w:r>
      <w:proofErr w:type="spellEnd"/>
    </w:p>
    <w:p w14:paraId="7ED69B03" w14:textId="77777777" w:rsidR="00AF7D85" w:rsidRPr="00AF7D85" w:rsidRDefault="00AF7D85" w:rsidP="00AF7D85">
      <w:pPr>
        <w:jc w:val="center"/>
        <w:rPr>
          <w:sz w:val="24"/>
          <w:szCs w:val="24"/>
        </w:rPr>
      </w:pPr>
      <w:r w:rsidRPr="00AF7D85">
        <w:rPr>
          <w:sz w:val="24"/>
          <w:szCs w:val="24"/>
        </w:rPr>
        <w:t xml:space="preserve">Anne </w:t>
      </w:r>
      <w:proofErr w:type="spellStart"/>
      <w:r w:rsidRPr="00AF7D85">
        <w:rPr>
          <w:sz w:val="24"/>
          <w:szCs w:val="24"/>
        </w:rPr>
        <w:t>Brockmeyer</w:t>
      </w:r>
      <w:proofErr w:type="spellEnd"/>
    </w:p>
    <w:p w14:paraId="0A05BD20" w14:textId="77777777" w:rsidR="00AF7D85" w:rsidRPr="00AF7D85" w:rsidRDefault="00AF7D85" w:rsidP="00AF7D85">
      <w:pPr>
        <w:jc w:val="center"/>
        <w:rPr>
          <w:sz w:val="24"/>
          <w:szCs w:val="24"/>
        </w:rPr>
      </w:pPr>
      <w:r w:rsidRPr="00AF7D85">
        <w:rPr>
          <w:sz w:val="24"/>
          <w:szCs w:val="24"/>
        </w:rPr>
        <w:t>Matthieu Pellerin</w:t>
      </w:r>
    </w:p>
    <w:p w14:paraId="193531D8" w14:textId="77777777" w:rsidR="00AF7D85" w:rsidRPr="00AF7D85" w:rsidRDefault="00AF7D85" w:rsidP="00AF7D85">
      <w:pPr>
        <w:jc w:val="center"/>
        <w:rPr>
          <w:sz w:val="24"/>
          <w:szCs w:val="24"/>
        </w:rPr>
      </w:pPr>
      <w:r w:rsidRPr="00AF7D85">
        <w:rPr>
          <w:sz w:val="24"/>
          <w:szCs w:val="24"/>
        </w:rPr>
        <w:t>Ga</w:t>
      </w:r>
      <w:r>
        <w:rPr>
          <w:sz w:val="24"/>
          <w:szCs w:val="24"/>
        </w:rPr>
        <w:t xml:space="preserve">ël </w:t>
      </w:r>
      <w:proofErr w:type="spellStart"/>
      <w:r>
        <w:rPr>
          <w:sz w:val="24"/>
          <w:szCs w:val="24"/>
        </w:rPr>
        <w:t>Raballand</w:t>
      </w:r>
      <w:proofErr w:type="spellEnd"/>
      <w:r>
        <w:rPr>
          <w:rStyle w:val="FootnoteReference"/>
          <w:sz w:val="24"/>
          <w:szCs w:val="24"/>
        </w:rPr>
        <w:footnoteReference w:id="2"/>
      </w:r>
    </w:p>
    <w:p w14:paraId="28C5EE4E" w14:textId="77777777" w:rsidR="00724D45" w:rsidRPr="007900EF" w:rsidRDefault="00724D45" w:rsidP="00724D45">
      <w:pPr>
        <w:spacing w:before="100" w:beforeAutospacing="1"/>
        <w:jc w:val="both"/>
        <w:rPr>
          <w:b/>
        </w:rPr>
      </w:pPr>
    </w:p>
    <w:p w14:paraId="4C540113" w14:textId="77777777" w:rsidR="00724D45" w:rsidRPr="007900EF" w:rsidRDefault="00724D45" w:rsidP="008E2273">
      <w:pPr>
        <w:spacing w:before="100" w:beforeAutospacing="1"/>
        <w:jc w:val="center"/>
        <w:rPr>
          <w:b/>
        </w:rPr>
      </w:pPr>
      <w:r w:rsidRPr="007900EF">
        <w:rPr>
          <w:b/>
        </w:rPr>
        <w:t>Résumé</w:t>
      </w:r>
    </w:p>
    <w:p w14:paraId="4DBA0E78" w14:textId="77777777" w:rsidR="00724D45" w:rsidRDefault="00724D45" w:rsidP="00724D45">
      <w:pPr>
        <w:jc w:val="both"/>
      </w:pPr>
    </w:p>
    <w:p w14:paraId="75C9DFE4" w14:textId="00C89E55" w:rsidR="009677C1" w:rsidRPr="009677C1" w:rsidRDefault="00114992" w:rsidP="009677C1">
      <w:pPr>
        <w:jc w:val="both"/>
        <w:rPr>
          <w:rFonts w:cs="Helvetica"/>
        </w:rPr>
      </w:pPr>
      <w:r w:rsidRPr="001062B7">
        <w:t xml:space="preserve">Le </w:t>
      </w:r>
      <w:r w:rsidR="00AF3227">
        <w:t>nord</w:t>
      </w:r>
      <w:r w:rsidRPr="001062B7">
        <w:t xml:space="preserve"> du Mali vit largement du commerce informel, qualifié de contrebande mais largement toléré pour l’ensemble des produits exception faite du carburant et des armes</w:t>
      </w:r>
      <w:r w:rsidR="009677C1">
        <w:t xml:space="preserve"> et</w:t>
      </w:r>
      <w:r w:rsidRPr="001062B7">
        <w:t xml:space="preserve"> drogues</w:t>
      </w:r>
      <w:r w:rsidR="009677C1">
        <w:t>.</w:t>
      </w:r>
      <w:r w:rsidR="0019775A">
        <w:t xml:space="preserve"> </w:t>
      </w:r>
      <w:r w:rsidR="0056771A" w:rsidRPr="002C78DA">
        <w:t xml:space="preserve">Malgré la fermeture officielle de la frontière algérienne en janvier 2013, les flux de commerce informels restent </w:t>
      </w:r>
      <w:r w:rsidR="0056771A">
        <w:t xml:space="preserve">donc </w:t>
      </w:r>
      <w:r w:rsidR="0056771A" w:rsidRPr="002C78DA">
        <w:t>importants.</w:t>
      </w:r>
      <w:r w:rsidR="0019775A">
        <w:t xml:space="preserve"> </w:t>
      </w:r>
      <w:r w:rsidR="009677C1">
        <w:rPr>
          <w:rFonts w:cs="Helvetica"/>
        </w:rPr>
        <w:t xml:space="preserve">On a ainsi pu estimer en </w:t>
      </w:r>
      <w:r w:rsidR="00137CEB">
        <w:rPr>
          <w:rFonts w:cs="Helvetica"/>
        </w:rPr>
        <w:t>collectant des données sur les volumes transitant, les destinations de transit et les prix de vente des différents produits dans les différentes villes</w:t>
      </w:r>
      <w:r w:rsidR="009677C1">
        <w:rPr>
          <w:rFonts w:cs="Helvetica"/>
        </w:rPr>
        <w:t>, l</w:t>
      </w:r>
      <w:r w:rsidR="009677C1" w:rsidRPr="005769C6">
        <w:rPr>
          <w:rFonts w:cs="Helvetica"/>
        </w:rPr>
        <w:t xml:space="preserve">e chiffre d’affaires hebdomadaire du commerce au </w:t>
      </w:r>
      <w:r w:rsidR="00AF3227">
        <w:rPr>
          <w:rFonts w:cs="Helvetica"/>
        </w:rPr>
        <w:t>nord</w:t>
      </w:r>
      <w:r w:rsidR="009677C1" w:rsidRPr="005769C6">
        <w:rPr>
          <w:rFonts w:cs="Helvetica"/>
        </w:rPr>
        <w:t xml:space="preserve"> Mali e</w:t>
      </w:r>
      <w:r w:rsidR="009677C1">
        <w:rPr>
          <w:rFonts w:cs="Helvetica"/>
        </w:rPr>
        <w:t>n 2014 à</w:t>
      </w:r>
      <w:r w:rsidR="009677C1" w:rsidRPr="005769C6">
        <w:rPr>
          <w:rFonts w:cs="Helvetica"/>
        </w:rPr>
        <w:t xml:space="preserve"> environ 1,36 million USD, ce qui permet d’estimer les importations maliennes à plus de 54 millions USD annuels</w:t>
      </w:r>
      <w:r w:rsidR="009677C1">
        <w:rPr>
          <w:rFonts w:cs="Helvetica"/>
        </w:rPr>
        <w:t xml:space="preserve">, une baisse d’environ 2/3 depuis 2011, pic du commerce entre Mali et Algérie. Or, </w:t>
      </w:r>
      <w:r w:rsidR="009677C1">
        <w:t xml:space="preserve">les algériens déclaraient officiellement 1,02 million d’exportations et les maliens 1,89 million d’importations en 2011, soit respectivement 0,6% et 1,2% du volume de commerce informel estimé. Les marges sont environ de 20% (contre 30% en 2011). Le commerce informel est très important en termes d’approvisionnement du </w:t>
      </w:r>
      <w:r w:rsidR="00AF3227">
        <w:t>nord</w:t>
      </w:r>
      <w:r w:rsidR="009677C1">
        <w:t xml:space="preserve"> Mali et permet aux régions du </w:t>
      </w:r>
      <w:r w:rsidR="00AF3227">
        <w:t>nord</w:t>
      </w:r>
      <w:r w:rsidR="009677C1">
        <w:t xml:space="preserve"> de bénéficier de prix plus faibles que s’ils provenaient du sud du pays et explique pourquoi le niveau de pauvreté est si faible, notamment à Kidal. L’Etat malien est ainsi dans une position inconfortable car il est économiquement légitime que le </w:t>
      </w:r>
      <w:r w:rsidR="00AF3227">
        <w:t>nord</w:t>
      </w:r>
      <w:r w:rsidR="009677C1">
        <w:t xml:space="preserve"> soit largement ancré à l’Algérie mais cela renforce, par le biais de la corruption</w:t>
      </w:r>
      <w:r w:rsidR="00607E4F">
        <w:t xml:space="preserve"> d’institutions comme les douanes</w:t>
      </w:r>
      <w:r w:rsidR="009677C1">
        <w:t>, la faiblesse de l’Etat malien. Aussi, une politique totale de répression est impossi</w:t>
      </w:r>
      <w:r w:rsidR="00F561E8">
        <w:t>ble. Néanmoins, un laisser-faire</w:t>
      </w:r>
      <w:r w:rsidR="009677C1">
        <w:t xml:space="preserve"> n’est pas envisageable non plus car les marges de ce commerce permettent</w:t>
      </w:r>
      <w:r w:rsidR="00F561E8">
        <w:t xml:space="preserve"> aux contrebandiers de rendre inopérante </w:t>
      </w:r>
      <w:r w:rsidR="009677C1">
        <w:t xml:space="preserve">les institutions maliennes au </w:t>
      </w:r>
      <w:r w:rsidR="00AF3227">
        <w:t>nord</w:t>
      </w:r>
      <w:r w:rsidR="009677C1">
        <w:t xml:space="preserve"> du pays (douanes, armée et autorités politiques). </w:t>
      </w:r>
    </w:p>
    <w:p w14:paraId="5C9F26E9" w14:textId="77777777" w:rsidR="00AF7D85" w:rsidRPr="00607E4F" w:rsidRDefault="00AF7D85" w:rsidP="00724D45">
      <w:pPr>
        <w:jc w:val="both"/>
        <w:rPr>
          <w:b/>
        </w:rPr>
      </w:pPr>
    </w:p>
    <w:p w14:paraId="23F0723C" w14:textId="77777777" w:rsidR="0067222B" w:rsidRDefault="00724D45" w:rsidP="0067222B">
      <w:r w:rsidRPr="007900EF">
        <w:t xml:space="preserve">Mots-clés : </w:t>
      </w:r>
      <w:r>
        <w:t>commerce informel, Algérie, Mali</w:t>
      </w:r>
      <w:r w:rsidRPr="007900EF">
        <w:t>, carburants, douanes.</w:t>
      </w:r>
    </w:p>
    <w:sdt>
      <w:sdtPr>
        <w:rPr>
          <w:rFonts w:asciiTheme="majorHAnsi" w:eastAsiaTheme="majorEastAsia" w:hAnsiTheme="majorHAnsi" w:cstheme="majorBidi"/>
          <w:b/>
          <w:bCs/>
          <w:color w:val="365F91" w:themeColor="accent1" w:themeShade="BF"/>
          <w:sz w:val="28"/>
          <w:szCs w:val="28"/>
          <w:lang w:val="en-US" w:eastAsia="ja-JP"/>
        </w:rPr>
        <w:id w:val="-285359173"/>
        <w:docPartObj>
          <w:docPartGallery w:val="Table of Contents"/>
          <w:docPartUnique/>
        </w:docPartObj>
      </w:sdtPr>
      <w:sdtEndPr>
        <w:rPr>
          <w:rFonts w:asciiTheme="minorHAnsi" w:eastAsiaTheme="minorHAnsi" w:hAnsiTheme="minorHAnsi" w:cstheme="minorBidi"/>
          <w:b w:val="0"/>
          <w:bCs w:val="0"/>
          <w:noProof/>
          <w:color w:val="auto"/>
          <w:sz w:val="22"/>
          <w:szCs w:val="22"/>
          <w:lang w:val="fr-FR" w:eastAsia="en-US"/>
        </w:rPr>
      </w:sdtEndPr>
      <w:sdtContent>
        <w:p w14:paraId="00D38A77" w14:textId="77777777" w:rsidR="00CD7ECD" w:rsidRDefault="00CD7ECD" w:rsidP="00CD7ECD">
          <w:pPr>
            <w:jc w:val="both"/>
            <w:rPr>
              <w:rFonts w:asciiTheme="majorHAnsi" w:eastAsiaTheme="majorEastAsia" w:hAnsiTheme="majorHAnsi" w:cstheme="majorBidi"/>
              <w:b/>
              <w:bCs/>
              <w:color w:val="365F91" w:themeColor="accent1" w:themeShade="BF"/>
              <w:sz w:val="28"/>
              <w:szCs w:val="28"/>
              <w:lang w:val="en-US" w:eastAsia="ja-JP"/>
            </w:rPr>
          </w:pPr>
        </w:p>
        <w:p w14:paraId="21B7254A" w14:textId="4E7394D4" w:rsidR="00A66377" w:rsidRPr="00A66377" w:rsidRDefault="007D1B01" w:rsidP="00CD7ECD">
          <w:pPr>
            <w:jc w:val="both"/>
          </w:pPr>
          <w:r>
            <w:rPr>
              <w:b/>
              <w:bCs/>
            </w:rPr>
            <w:t>Table des matières</w:t>
          </w:r>
        </w:p>
      </w:sdtContent>
    </w:sdt>
    <w:p w14:paraId="608943D1" w14:textId="77777777" w:rsidR="00D4280F" w:rsidRDefault="00DD14C1">
      <w:pPr>
        <w:pStyle w:val="TOC1"/>
        <w:tabs>
          <w:tab w:val="left" w:pos="440"/>
          <w:tab w:val="right" w:leader="dot" w:pos="9016"/>
        </w:tabs>
        <w:rPr>
          <w:rFonts w:eastAsiaTheme="minorEastAsia"/>
          <w:noProof/>
          <w:lang w:val="en-US"/>
        </w:rPr>
      </w:pPr>
      <w:r>
        <w:fldChar w:fldCharType="begin"/>
      </w:r>
      <w:r>
        <w:instrText xml:space="preserve"> TOC \o "1-1" \h \z \u </w:instrText>
      </w:r>
      <w:r>
        <w:fldChar w:fldCharType="separate"/>
      </w:r>
      <w:hyperlink w:anchor="_Toc386104453" w:history="1">
        <w:r w:rsidR="00D4280F" w:rsidRPr="00EC28D5">
          <w:rPr>
            <w:rStyle w:val="Hyperlink"/>
            <w:noProof/>
          </w:rPr>
          <w:t>1.</w:t>
        </w:r>
        <w:r w:rsidR="00D4280F">
          <w:rPr>
            <w:rFonts w:eastAsiaTheme="minorEastAsia"/>
            <w:noProof/>
            <w:lang w:val="en-US"/>
          </w:rPr>
          <w:tab/>
        </w:r>
        <w:r w:rsidR="00D4280F" w:rsidRPr="00EC28D5">
          <w:rPr>
            <w:rStyle w:val="Hyperlink"/>
            <w:noProof/>
          </w:rPr>
          <w:t>Introduction</w:t>
        </w:r>
        <w:r w:rsidR="00D4280F">
          <w:rPr>
            <w:noProof/>
            <w:webHidden/>
          </w:rPr>
          <w:tab/>
        </w:r>
        <w:r w:rsidR="00D4280F">
          <w:rPr>
            <w:noProof/>
            <w:webHidden/>
          </w:rPr>
          <w:fldChar w:fldCharType="begin"/>
        </w:r>
        <w:r w:rsidR="00D4280F">
          <w:rPr>
            <w:noProof/>
            <w:webHidden/>
          </w:rPr>
          <w:instrText xml:space="preserve"> PAGEREF _Toc386104453 \h </w:instrText>
        </w:r>
        <w:r w:rsidR="00D4280F">
          <w:rPr>
            <w:noProof/>
            <w:webHidden/>
          </w:rPr>
        </w:r>
        <w:r w:rsidR="00D4280F">
          <w:rPr>
            <w:noProof/>
            <w:webHidden/>
          </w:rPr>
          <w:fldChar w:fldCharType="separate"/>
        </w:r>
        <w:r w:rsidR="00D4280F">
          <w:rPr>
            <w:noProof/>
            <w:webHidden/>
          </w:rPr>
          <w:t>3</w:t>
        </w:r>
        <w:r w:rsidR="00D4280F">
          <w:rPr>
            <w:noProof/>
            <w:webHidden/>
          </w:rPr>
          <w:fldChar w:fldCharType="end"/>
        </w:r>
      </w:hyperlink>
    </w:p>
    <w:p w14:paraId="0CFB8730" w14:textId="77777777" w:rsidR="00D4280F" w:rsidRDefault="00E81988">
      <w:pPr>
        <w:pStyle w:val="TOC1"/>
        <w:tabs>
          <w:tab w:val="left" w:pos="440"/>
          <w:tab w:val="right" w:leader="dot" w:pos="9016"/>
        </w:tabs>
        <w:rPr>
          <w:rFonts w:eastAsiaTheme="minorEastAsia"/>
          <w:noProof/>
          <w:lang w:val="en-US"/>
        </w:rPr>
      </w:pPr>
      <w:hyperlink w:anchor="_Toc386104454" w:history="1">
        <w:r w:rsidR="00D4280F" w:rsidRPr="00EC28D5">
          <w:rPr>
            <w:rStyle w:val="Hyperlink"/>
            <w:noProof/>
          </w:rPr>
          <w:t>2.</w:t>
        </w:r>
        <w:r w:rsidR="00D4280F">
          <w:rPr>
            <w:rFonts w:eastAsiaTheme="minorEastAsia"/>
            <w:noProof/>
            <w:lang w:val="en-US"/>
          </w:rPr>
          <w:tab/>
        </w:r>
        <w:r w:rsidR="00D4280F" w:rsidRPr="00EC28D5">
          <w:rPr>
            <w:rStyle w:val="Hyperlink"/>
            <w:noProof/>
          </w:rPr>
          <w:t>La réglementation de la frontière en Algérie et la question des subventions au sud algérien</w:t>
        </w:r>
        <w:r w:rsidR="00D4280F">
          <w:rPr>
            <w:noProof/>
            <w:webHidden/>
          </w:rPr>
          <w:tab/>
        </w:r>
        <w:r w:rsidR="00D4280F">
          <w:rPr>
            <w:noProof/>
            <w:webHidden/>
          </w:rPr>
          <w:fldChar w:fldCharType="begin"/>
        </w:r>
        <w:r w:rsidR="00D4280F">
          <w:rPr>
            <w:noProof/>
            <w:webHidden/>
          </w:rPr>
          <w:instrText xml:space="preserve"> PAGEREF _Toc386104454 \h </w:instrText>
        </w:r>
        <w:r w:rsidR="00D4280F">
          <w:rPr>
            <w:noProof/>
            <w:webHidden/>
          </w:rPr>
        </w:r>
        <w:r w:rsidR="00D4280F">
          <w:rPr>
            <w:noProof/>
            <w:webHidden/>
          </w:rPr>
          <w:fldChar w:fldCharType="separate"/>
        </w:r>
        <w:r w:rsidR="00D4280F">
          <w:rPr>
            <w:noProof/>
            <w:webHidden/>
          </w:rPr>
          <w:t>7</w:t>
        </w:r>
        <w:r w:rsidR="00D4280F">
          <w:rPr>
            <w:noProof/>
            <w:webHidden/>
          </w:rPr>
          <w:fldChar w:fldCharType="end"/>
        </w:r>
      </w:hyperlink>
    </w:p>
    <w:p w14:paraId="287E033F" w14:textId="77777777" w:rsidR="00D4280F" w:rsidRDefault="00E81988">
      <w:pPr>
        <w:pStyle w:val="TOC1"/>
        <w:tabs>
          <w:tab w:val="left" w:pos="440"/>
          <w:tab w:val="right" w:leader="dot" w:pos="9016"/>
        </w:tabs>
        <w:rPr>
          <w:rFonts w:eastAsiaTheme="minorEastAsia"/>
          <w:noProof/>
          <w:lang w:val="en-US"/>
        </w:rPr>
      </w:pPr>
      <w:hyperlink w:anchor="_Toc386104455" w:history="1">
        <w:r w:rsidR="00D4280F" w:rsidRPr="00EC28D5">
          <w:rPr>
            <w:rStyle w:val="Hyperlink"/>
            <w:noProof/>
          </w:rPr>
          <w:t>3.</w:t>
        </w:r>
        <w:r w:rsidR="00D4280F">
          <w:rPr>
            <w:rFonts w:eastAsiaTheme="minorEastAsia"/>
            <w:noProof/>
            <w:lang w:val="en-US"/>
          </w:rPr>
          <w:tab/>
        </w:r>
        <w:r w:rsidR="00D4280F" w:rsidRPr="00EC28D5">
          <w:rPr>
            <w:rStyle w:val="Hyperlink"/>
            <w:noProof/>
          </w:rPr>
          <w:t>Les faiblesses et déséquilibres du commerce officiel</w:t>
        </w:r>
        <w:r w:rsidR="00D4280F">
          <w:rPr>
            <w:noProof/>
            <w:webHidden/>
          </w:rPr>
          <w:tab/>
        </w:r>
        <w:r w:rsidR="00D4280F">
          <w:rPr>
            <w:noProof/>
            <w:webHidden/>
          </w:rPr>
          <w:fldChar w:fldCharType="begin"/>
        </w:r>
        <w:r w:rsidR="00D4280F">
          <w:rPr>
            <w:noProof/>
            <w:webHidden/>
          </w:rPr>
          <w:instrText xml:space="preserve"> PAGEREF _Toc386104455 \h </w:instrText>
        </w:r>
        <w:r w:rsidR="00D4280F">
          <w:rPr>
            <w:noProof/>
            <w:webHidden/>
          </w:rPr>
        </w:r>
        <w:r w:rsidR="00D4280F">
          <w:rPr>
            <w:noProof/>
            <w:webHidden/>
          </w:rPr>
          <w:fldChar w:fldCharType="separate"/>
        </w:r>
        <w:r w:rsidR="00D4280F">
          <w:rPr>
            <w:noProof/>
            <w:webHidden/>
          </w:rPr>
          <w:t>13</w:t>
        </w:r>
        <w:r w:rsidR="00D4280F">
          <w:rPr>
            <w:noProof/>
            <w:webHidden/>
          </w:rPr>
          <w:fldChar w:fldCharType="end"/>
        </w:r>
      </w:hyperlink>
    </w:p>
    <w:p w14:paraId="054F5451" w14:textId="77777777" w:rsidR="00D4280F" w:rsidRDefault="00E81988">
      <w:pPr>
        <w:pStyle w:val="TOC1"/>
        <w:tabs>
          <w:tab w:val="left" w:pos="440"/>
          <w:tab w:val="right" w:leader="dot" w:pos="9016"/>
        </w:tabs>
        <w:rPr>
          <w:rFonts w:eastAsiaTheme="minorEastAsia"/>
          <w:noProof/>
          <w:lang w:val="en-US"/>
        </w:rPr>
      </w:pPr>
      <w:hyperlink w:anchor="_Toc386104456" w:history="1">
        <w:r w:rsidR="00D4280F" w:rsidRPr="00EC28D5">
          <w:rPr>
            <w:rStyle w:val="Hyperlink"/>
            <w:noProof/>
          </w:rPr>
          <w:t>4.</w:t>
        </w:r>
        <w:r w:rsidR="00D4280F">
          <w:rPr>
            <w:rFonts w:eastAsiaTheme="minorEastAsia"/>
            <w:noProof/>
            <w:lang w:val="en-US"/>
          </w:rPr>
          <w:tab/>
        </w:r>
        <w:r w:rsidR="00D4280F" w:rsidRPr="00EC28D5">
          <w:rPr>
            <w:rStyle w:val="Hyperlink"/>
            <w:noProof/>
          </w:rPr>
          <w:t>La réalité : la contrebande, une normalité du Nord</w:t>
        </w:r>
        <w:r w:rsidR="00D4280F">
          <w:rPr>
            <w:noProof/>
            <w:webHidden/>
          </w:rPr>
          <w:tab/>
        </w:r>
        <w:r w:rsidR="00D4280F">
          <w:rPr>
            <w:noProof/>
            <w:webHidden/>
          </w:rPr>
          <w:fldChar w:fldCharType="begin"/>
        </w:r>
        <w:r w:rsidR="00D4280F">
          <w:rPr>
            <w:noProof/>
            <w:webHidden/>
          </w:rPr>
          <w:instrText xml:space="preserve"> PAGEREF _Toc386104456 \h </w:instrText>
        </w:r>
        <w:r w:rsidR="00D4280F">
          <w:rPr>
            <w:noProof/>
            <w:webHidden/>
          </w:rPr>
        </w:r>
        <w:r w:rsidR="00D4280F">
          <w:rPr>
            <w:noProof/>
            <w:webHidden/>
          </w:rPr>
          <w:fldChar w:fldCharType="separate"/>
        </w:r>
        <w:r w:rsidR="00D4280F">
          <w:rPr>
            <w:noProof/>
            <w:webHidden/>
          </w:rPr>
          <w:t>16</w:t>
        </w:r>
        <w:r w:rsidR="00D4280F">
          <w:rPr>
            <w:noProof/>
            <w:webHidden/>
          </w:rPr>
          <w:fldChar w:fldCharType="end"/>
        </w:r>
      </w:hyperlink>
    </w:p>
    <w:p w14:paraId="4F626564" w14:textId="77777777" w:rsidR="00D4280F" w:rsidRDefault="00E81988">
      <w:pPr>
        <w:pStyle w:val="TOC1"/>
        <w:tabs>
          <w:tab w:val="left" w:pos="440"/>
          <w:tab w:val="right" w:leader="dot" w:pos="9016"/>
        </w:tabs>
        <w:rPr>
          <w:rFonts w:eastAsiaTheme="minorEastAsia"/>
          <w:noProof/>
          <w:lang w:val="en-US"/>
        </w:rPr>
      </w:pPr>
      <w:hyperlink w:anchor="_Toc386104457" w:history="1">
        <w:r w:rsidR="00D4280F" w:rsidRPr="00EC28D5">
          <w:rPr>
            <w:rStyle w:val="Hyperlink"/>
            <w:noProof/>
          </w:rPr>
          <w:t>5.</w:t>
        </w:r>
        <w:r w:rsidR="00D4280F">
          <w:rPr>
            <w:rFonts w:eastAsiaTheme="minorEastAsia"/>
            <w:noProof/>
            <w:lang w:val="en-US"/>
          </w:rPr>
          <w:tab/>
        </w:r>
        <w:r w:rsidR="00D4280F" w:rsidRPr="00EC28D5">
          <w:rPr>
            <w:rStyle w:val="Hyperlink"/>
            <w:noProof/>
          </w:rPr>
          <w:t>L’organisation des filières de contrebande</w:t>
        </w:r>
        <w:r w:rsidR="00D4280F">
          <w:rPr>
            <w:noProof/>
            <w:webHidden/>
          </w:rPr>
          <w:tab/>
        </w:r>
        <w:r w:rsidR="00D4280F">
          <w:rPr>
            <w:noProof/>
            <w:webHidden/>
          </w:rPr>
          <w:fldChar w:fldCharType="begin"/>
        </w:r>
        <w:r w:rsidR="00D4280F">
          <w:rPr>
            <w:noProof/>
            <w:webHidden/>
          </w:rPr>
          <w:instrText xml:space="preserve"> PAGEREF _Toc386104457 \h </w:instrText>
        </w:r>
        <w:r w:rsidR="00D4280F">
          <w:rPr>
            <w:noProof/>
            <w:webHidden/>
          </w:rPr>
        </w:r>
        <w:r w:rsidR="00D4280F">
          <w:rPr>
            <w:noProof/>
            <w:webHidden/>
          </w:rPr>
          <w:fldChar w:fldCharType="separate"/>
        </w:r>
        <w:r w:rsidR="00D4280F">
          <w:rPr>
            <w:noProof/>
            <w:webHidden/>
          </w:rPr>
          <w:t>20</w:t>
        </w:r>
        <w:r w:rsidR="00D4280F">
          <w:rPr>
            <w:noProof/>
            <w:webHidden/>
          </w:rPr>
          <w:fldChar w:fldCharType="end"/>
        </w:r>
      </w:hyperlink>
    </w:p>
    <w:p w14:paraId="0CD88F7D" w14:textId="77777777" w:rsidR="00D4280F" w:rsidRDefault="00E81988">
      <w:pPr>
        <w:pStyle w:val="TOC1"/>
        <w:tabs>
          <w:tab w:val="left" w:pos="440"/>
          <w:tab w:val="right" w:leader="dot" w:pos="9016"/>
        </w:tabs>
        <w:rPr>
          <w:rFonts w:eastAsiaTheme="minorEastAsia"/>
          <w:noProof/>
          <w:lang w:val="en-US"/>
        </w:rPr>
      </w:pPr>
      <w:hyperlink w:anchor="_Toc386104458" w:history="1">
        <w:r w:rsidR="00D4280F" w:rsidRPr="00EC28D5">
          <w:rPr>
            <w:rStyle w:val="Hyperlink"/>
            <w:noProof/>
          </w:rPr>
          <w:t>6.</w:t>
        </w:r>
        <w:r w:rsidR="00D4280F">
          <w:rPr>
            <w:rFonts w:eastAsiaTheme="minorEastAsia"/>
            <w:noProof/>
            <w:lang w:val="en-US"/>
          </w:rPr>
          <w:tab/>
        </w:r>
        <w:r w:rsidR="00D4280F" w:rsidRPr="00EC28D5">
          <w:rPr>
            <w:rStyle w:val="Hyperlink"/>
            <w:noProof/>
          </w:rPr>
          <w:t>L’impact du commerce informel pour le développement</w:t>
        </w:r>
        <w:r w:rsidR="00D4280F">
          <w:rPr>
            <w:noProof/>
            <w:webHidden/>
          </w:rPr>
          <w:tab/>
        </w:r>
        <w:r w:rsidR="00D4280F">
          <w:rPr>
            <w:noProof/>
            <w:webHidden/>
          </w:rPr>
          <w:fldChar w:fldCharType="begin"/>
        </w:r>
        <w:r w:rsidR="00D4280F">
          <w:rPr>
            <w:noProof/>
            <w:webHidden/>
          </w:rPr>
          <w:instrText xml:space="preserve"> PAGEREF _Toc386104458 \h </w:instrText>
        </w:r>
        <w:r w:rsidR="00D4280F">
          <w:rPr>
            <w:noProof/>
            <w:webHidden/>
          </w:rPr>
        </w:r>
        <w:r w:rsidR="00D4280F">
          <w:rPr>
            <w:noProof/>
            <w:webHidden/>
          </w:rPr>
          <w:fldChar w:fldCharType="separate"/>
        </w:r>
        <w:r w:rsidR="00D4280F">
          <w:rPr>
            <w:noProof/>
            <w:webHidden/>
          </w:rPr>
          <w:t>25</w:t>
        </w:r>
        <w:r w:rsidR="00D4280F">
          <w:rPr>
            <w:noProof/>
            <w:webHidden/>
          </w:rPr>
          <w:fldChar w:fldCharType="end"/>
        </w:r>
      </w:hyperlink>
    </w:p>
    <w:p w14:paraId="6B055FEF" w14:textId="77777777" w:rsidR="00D4280F" w:rsidRDefault="00E81988">
      <w:pPr>
        <w:pStyle w:val="TOC1"/>
        <w:tabs>
          <w:tab w:val="left" w:pos="440"/>
          <w:tab w:val="right" w:leader="dot" w:pos="9016"/>
        </w:tabs>
        <w:rPr>
          <w:rFonts w:eastAsiaTheme="minorEastAsia"/>
          <w:noProof/>
          <w:lang w:val="en-US"/>
        </w:rPr>
      </w:pPr>
      <w:hyperlink w:anchor="_Toc386104459" w:history="1">
        <w:r w:rsidR="00D4280F" w:rsidRPr="00EC28D5">
          <w:rPr>
            <w:rStyle w:val="Hyperlink"/>
            <w:noProof/>
          </w:rPr>
          <w:t>7.</w:t>
        </w:r>
        <w:r w:rsidR="00D4280F">
          <w:rPr>
            <w:rFonts w:eastAsiaTheme="minorEastAsia"/>
            <w:noProof/>
            <w:lang w:val="en-US"/>
          </w:rPr>
          <w:tab/>
        </w:r>
        <w:r w:rsidR="00D4280F" w:rsidRPr="00EC28D5">
          <w:rPr>
            <w:rStyle w:val="Hyperlink"/>
            <w:noProof/>
          </w:rPr>
          <w:t>Conclusions et recommandations</w:t>
        </w:r>
        <w:r w:rsidR="00D4280F">
          <w:rPr>
            <w:noProof/>
            <w:webHidden/>
          </w:rPr>
          <w:tab/>
        </w:r>
        <w:r w:rsidR="00D4280F">
          <w:rPr>
            <w:noProof/>
            <w:webHidden/>
          </w:rPr>
          <w:fldChar w:fldCharType="begin"/>
        </w:r>
        <w:r w:rsidR="00D4280F">
          <w:rPr>
            <w:noProof/>
            <w:webHidden/>
          </w:rPr>
          <w:instrText xml:space="preserve"> PAGEREF _Toc386104459 \h </w:instrText>
        </w:r>
        <w:r w:rsidR="00D4280F">
          <w:rPr>
            <w:noProof/>
            <w:webHidden/>
          </w:rPr>
        </w:r>
        <w:r w:rsidR="00D4280F">
          <w:rPr>
            <w:noProof/>
            <w:webHidden/>
          </w:rPr>
          <w:fldChar w:fldCharType="separate"/>
        </w:r>
        <w:r w:rsidR="00D4280F">
          <w:rPr>
            <w:noProof/>
            <w:webHidden/>
          </w:rPr>
          <w:t>31</w:t>
        </w:r>
        <w:r w:rsidR="00D4280F">
          <w:rPr>
            <w:noProof/>
            <w:webHidden/>
          </w:rPr>
          <w:fldChar w:fldCharType="end"/>
        </w:r>
      </w:hyperlink>
    </w:p>
    <w:p w14:paraId="483E5680" w14:textId="77777777" w:rsidR="00D4280F" w:rsidRDefault="00E81988">
      <w:pPr>
        <w:pStyle w:val="TOC1"/>
        <w:tabs>
          <w:tab w:val="left" w:pos="440"/>
          <w:tab w:val="right" w:leader="dot" w:pos="9016"/>
        </w:tabs>
        <w:rPr>
          <w:rFonts w:eastAsiaTheme="minorEastAsia"/>
          <w:noProof/>
          <w:lang w:val="en-US"/>
        </w:rPr>
      </w:pPr>
      <w:hyperlink w:anchor="_Toc386104460" w:history="1">
        <w:r w:rsidR="00D4280F" w:rsidRPr="00EC28D5">
          <w:rPr>
            <w:rStyle w:val="Hyperlink"/>
            <w:noProof/>
            <w:lang w:val="en-GB"/>
          </w:rPr>
          <w:t>8.</w:t>
        </w:r>
        <w:r w:rsidR="00D4280F">
          <w:rPr>
            <w:rFonts w:eastAsiaTheme="minorEastAsia"/>
            <w:noProof/>
            <w:lang w:val="en-US"/>
          </w:rPr>
          <w:tab/>
        </w:r>
        <w:r w:rsidR="00D4280F" w:rsidRPr="00EC28D5">
          <w:rPr>
            <w:rStyle w:val="Hyperlink"/>
            <w:noProof/>
            <w:lang w:val="en-GB"/>
          </w:rPr>
          <w:t>Bibliographie</w:t>
        </w:r>
        <w:r w:rsidR="00D4280F">
          <w:rPr>
            <w:noProof/>
            <w:webHidden/>
          </w:rPr>
          <w:tab/>
        </w:r>
        <w:r w:rsidR="00D4280F">
          <w:rPr>
            <w:noProof/>
            <w:webHidden/>
          </w:rPr>
          <w:fldChar w:fldCharType="begin"/>
        </w:r>
        <w:r w:rsidR="00D4280F">
          <w:rPr>
            <w:noProof/>
            <w:webHidden/>
          </w:rPr>
          <w:instrText xml:space="preserve"> PAGEREF _Toc386104460 \h </w:instrText>
        </w:r>
        <w:r w:rsidR="00D4280F">
          <w:rPr>
            <w:noProof/>
            <w:webHidden/>
          </w:rPr>
        </w:r>
        <w:r w:rsidR="00D4280F">
          <w:rPr>
            <w:noProof/>
            <w:webHidden/>
          </w:rPr>
          <w:fldChar w:fldCharType="separate"/>
        </w:r>
        <w:r w:rsidR="00D4280F">
          <w:rPr>
            <w:noProof/>
            <w:webHidden/>
          </w:rPr>
          <w:t>32</w:t>
        </w:r>
        <w:r w:rsidR="00D4280F">
          <w:rPr>
            <w:noProof/>
            <w:webHidden/>
          </w:rPr>
          <w:fldChar w:fldCharType="end"/>
        </w:r>
      </w:hyperlink>
    </w:p>
    <w:p w14:paraId="1A893DF3" w14:textId="77777777" w:rsidR="00D4280F" w:rsidRDefault="00E81988">
      <w:pPr>
        <w:pStyle w:val="TOC1"/>
        <w:tabs>
          <w:tab w:val="right" w:leader="dot" w:pos="9016"/>
        </w:tabs>
        <w:rPr>
          <w:rFonts w:eastAsiaTheme="minorEastAsia"/>
          <w:noProof/>
          <w:lang w:val="en-US"/>
        </w:rPr>
      </w:pPr>
      <w:hyperlink w:anchor="_Toc386104461" w:history="1">
        <w:r w:rsidR="00D4280F" w:rsidRPr="00EC28D5">
          <w:rPr>
            <w:rStyle w:val="Hyperlink"/>
            <w:noProof/>
          </w:rPr>
          <w:t>Annexe 1 : Brève présentation de la méthode des statistiques miroirs</w:t>
        </w:r>
        <w:r w:rsidR="00D4280F">
          <w:rPr>
            <w:noProof/>
            <w:webHidden/>
          </w:rPr>
          <w:tab/>
        </w:r>
        <w:r w:rsidR="00D4280F">
          <w:rPr>
            <w:noProof/>
            <w:webHidden/>
          </w:rPr>
          <w:fldChar w:fldCharType="begin"/>
        </w:r>
        <w:r w:rsidR="00D4280F">
          <w:rPr>
            <w:noProof/>
            <w:webHidden/>
          </w:rPr>
          <w:instrText xml:space="preserve"> PAGEREF _Toc386104461 \h </w:instrText>
        </w:r>
        <w:r w:rsidR="00D4280F">
          <w:rPr>
            <w:noProof/>
            <w:webHidden/>
          </w:rPr>
        </w:r>
        <w:r w:rsidR="00D4280F">
          <w:rPr>
            <w:noProof/>
            <w:webHidden/>
          </w:rPr>
          <w:fldChar w:fldCharType="separate"/>
        </w:r>
        <w:r w:rsidR="00D4280F">
          <w:rPr>
            <w:noProof/>
            <w:webHidden/>
          </w:rPr>
          <w:t>33</w:t>
        </w:r>
        <w:r w:rsidR="00D4280F">
          <w:rPr>
            <w:noProof/>
            <w:webHidden/>
          </w:rPr>
          <w:fldChar w:fldCharType="end"/>
        </w:r>
      </w:hyperlink>
    </w:p>
    <w:p w14:paraId="1E1A57C4" w14:textId="77777777" w:rsidR="00D4280F" w:rsidRDefault="00E81988">
      <w:pPr>
        <w:pStyle w:val="TOC1"/>
        <w:tabs>
          <w:tab w:val="right" w:leader="dot" w:pos="9016"/>
        </w:tabs>
        <w:rPr>
          <w:rFonts w:eastAsiaTheme="minorEastAsia"/>
          <w:noProof/>
          <w:lang w:val="en-US"/>
        </w:rPr>
      </w:pPr>
      <w:hyperlink w:anchor="_Toc386104462" w:history="1">
        <w:r w:rsidR="00D4280F" w:rsidRPr="00EC28D5">
          <w:rPr>
            <w:rStyle w:val="Hyperlink"/>
            <w:noProof/>
          </w:rPr>
          <w:t>Annexe 2 : Les exportations maliennes officielles en direction de l'Algérie</w:t>
        </w:r>
        <w:r w:rsidR="00D4280F">
          <w:rPr>
            <w:noProof/>
            <w:webHidden/>
          </w:rPr>
          <w:tab/>
        </w:r>
        <w:r w:rsidR="00D4280F">
          <w:rPr>
            <w:noProof/>
            <w:webHidden/>
          </w:rPr>
          <w:fldChar w:fldCharType="begin"/>
        </w:r>
        <w:r w:rsidR="00D4280F">
          <w:rPr>
            <w:noProof/>
            <w:webHidden/>
          </w:rPr>
          <w:instrText xml:space="preserve"> PAGEREF _Toc386104462 \h </w:instrText>
        </w:r>
        <w:r w:rsidR="00D4280F">
          <w:rPr>
            <w:noProof/>
            <w:webHidden/>
          </w:rPr>
        </w:r>
        <w:r w:rsidR="00D4280F">
          <w:rPr>
            <w:noProof/>
            <w:webHidden/>
          </w:rPr>
          <w:fldChar w:fldCharType="separate"/>
        </w:r>
        <w:r w:rsidR="00D4280F">
          <w:rPr>
            <w:noProof/>
            <w:webHidden/>
          </w:rPr>
          <w:t>34</w:t>
        </w:r>
        <w:r w:rsidR="00D4280F">
          <w:rPr>
            <w:noProof/>
            <w:webHidden/>
          </w:rPr>
          <w:fldChar w:fldCharType="end"/>
        </w:r>
      </w:hyperlink>
    </w:p>
    <w:p w14:paraId="73A5AE6D" w14:textId="77777777" w:rsidR="00D4280F" w:rsidRDefault="00E81988">
      <w:pPr>
        <w:pStyle w:val="TOC1"/>
        <w:tabs>
          <w:tab w:val="right" w:leader="dot" w:pos="9016"/>
        </w:tabs>
        <w:rPr>
          <w:rFonts w:eastAsiaTheme="minorEastAsia"/>
          <w:noProof/>
          <w:lang w:val="en-US"/>
        </w:rPr>
      </w:pPr>
      <w:hyperlink w:anchor="_Toc386104463" w:history="1">
        <w:r w:rsidR="00D4280F" w:rsidRPr="00EC28D5">
          <w:rPr>
            <w:rStyle w:val="Hyperlink"/>
            <w:noProof/>
          </w:rPr>
          <w:t>Annexe 3: Les importations algériennes officielles en provenance du Mali</w:t>
        </w:r>
        <w:r w:rsidR="00D4280F">
          <w:rPr>
            <w:noProof/>
            <w:webHidden/>
          </w:rPr>
          <w:tab/>
        </w:r>
        <w:r w:rsidR="00D4280F">
          <w:rPr>
            <w:noProof/>
            <w:webHidden/>
          </w:rPr>
          <w:fldChar w:fldCharType="begin"/>
        </w:r>
        <w:r w:rsidR="00D4280F">
          <w:rPr>
            <w:noProof/>
            <w:webHidden/>
          </w:rPr>
          <w:instrText xml:space="preserve"> PAGEREF _Toc386104463 \h </w:instrText>
        </w:r>
        <w:r w:rsidR="00D4280F">
          <w:rPr>
            <w:noProof/>
            <w:webHidden/>
          </w:rPr>
        </w:r>
        <w:r w:rsidR="00D4280F">
          <w:rPr>
            <w:noProof/>
            <w:webHidden/>
          </w:rPr>
          <w:fldChar w:fldCharType="separate"/>
        </w:r>
        <w:r w:rsidR="00D4280F">
          <w:rPr>
            <w:noProof/>
            <w:webHidden/>
          </w:rPr>
          <w:t>35</w:t>
        </w:r>
        <w:r w:rsidR="00D4280F">
          <w:rPr>
            <w:noProof/>
            <w:webHidden/>
          </w:rPr>
          <w:fldChar w:fldCharType="end"/>
        </w:r>
      </w:hyperlink>
    </w:p>
    <w:p w14:paraId="36217C97" w14:textId="77777777" w:rsidR="00D4280F" w:rsidRDefault="00E81988">
      <w:pPr>
        <w:pStyle w:val="TOC1"/>
        <w:tabs>
          <w:tab w:val="right" w:leader="dot" w:pos="9016"/>
        </w:tabs>
        <w:rPr>
          <w:rFonts w:eastAsiaTheme="minorEastAsia"/>
          <w:noProof/>
          <w:lang w:val="en-US"/>
        </w:rPr>
      </w:pPr>
      <w:hyperlink w:anchor="_Toc386104464" w:history="1">
        <w:r w:rsidR="00D4280F" w:rsidRPr="00EC28D5">
          <w:rPr>
            <w:rStyle w:val="Hyperlink"/>
            <w:noProof/>
          </w:rPr>
          <w:t>Annexe 4 : Biens reportés de part et d'autre de la frontière dans le sens Algérie Mali</w:t>
        </w:r>
        <w:r w:rsidR="00D4280F">
          <w:rPr>
            <w:noProof/>
            <w:webHidden/>
          </w:rPr>
          <w:tab/>
        </w:r>
        <w:r w:rsidR="00D4280F">
          <w:rPr>
            <w:noProof/>
            <w:webHidden/>
          </w:rPr>
          <w:fldChar w:fldCharType="begin"/>
        </w:r>
        <w:r w:rsidR="00D4280F">
          <w:rPr>
            <w:noProof/>
            <w:webHidden/>
          </w:rPr>
          <w:instrText xml:space="preserve"> PAGEREF _Toc386104464 \h </w:instrText>
        </w:r>
        <w:r w:rsidR="00D4280F">
          <w:rPr>
            <w:noProof/>
            <w:webHidden/>
          </w:rPr>
        </w:r>
        <w:r w:rsidR="00D4280F">
          <w:rPr>
            <w:noProof/>
            <w:webHidden/>
          </w:rPr>
          <w:fldChar w:fldCharType="separate"/>
        </w:r>
        <w:r w:rsidR="00D4280F">
          <w:rPr>
            <w:noProof/>
            <w:webHidden/>
          </w:rPr>
          <w:t>35</w:t>
        </w:r>
        <w:r w:rsidR="00D4280F">
          <w:rPr>
            <w:noProof/>
            <w:webHidden/>
          </w:rPr>
          <w:fldChar w:fldCharType="end"/>
        </w:r>
      </w:hyperlink>
    </w:p>
    <w:p w14:paraId="3DB58366" w14:textId="77777777" w:rsidR="00D4280F" w:rsidRDefault="00E81988">
      <w:pPr>
        <w:pStyle w:val="TOC1"/>
        <w:tabs>
          <w:tab w:val="right" w:leader="dot" w:pos="9016"/>
        </w:tabs>
        <w:rPr>
          <w:rFonts w:eastAsiaTheme="minorEastAsia"/>
          <w:noProof/>
          <w:lang w:val="en-US"/>
        </w:rPr>
      </w:pPr>
      <w:hyperlink w:anchor="_Toc386104465" w:history="1">
        <w:r w:rsidR="00D4280F" w:rsidRPr="00EC28D5">
          <w:rPr>
            <w:rStyle w:val="Hyperlink"/>
            <w:noProof/>
          </w:rPr>
          <w:t>Annexe 5: Les importations maliennes totales de cigarettes et d’essence</w:t>
        </w:r>
        <w:r w:rsidR="00D4280F">
          <w:rPr>
            <w:noProof/>
            <w:webHidden/>
          </w:rPr>
          <w:tab/>
        </w:r>
        <w:r w:rsidR="00D4280F">
          <w:rPr>
            <w:noProof/>
            <w:webHidden/>
          </w:rPr>
          <w:fldChar w:fldCharType="begin"/>
        </w:r>
        <w:r w:rsidR="00D4280F">
          <w:rPr>
            <w:noProof/>
            <w:webHidden/>
          </w:rPr>
          <w:instrText xml:space="preserve"> PAGEREF _Toc386104465 \h </w:instrText>
        </w:r>
        <w:r w:rsidR="00D4280F">
          <w:rPr>
            <w:noProof/>
            <w:webHidden/>
          </w:rPr>
        </w:r>
        <w:r w:rsidR="00D4280F">
          <w:rPr>
            <w:noProof/>
            <w:webHidden/>
          </w:rPr>
          <w:fldChar w:fldCharType="separate"/>
        </w:r>
        <w:r w:rsidR="00D4280F">
          <w:rPr>
            <w:noProof/>
            <w:webHidden/>
          </w:rPr>
          <w:t>37</w:t>
        </w:r>
        <w:r w:rsidR="00D4280F">
          <w:rPr>
            <w:noProof/>
            <w:webHidden/>
          </w:rPr>
          <w:fldChar w:fldCharType="end"/>
        </w:r>
      </w:hyperlink>
    </w:p>
    <w:p w14:paraId="777EB206" w14:textId="77777777" w:rsidR="00D4280F" w:rsidRDefault="00E81988">
      <w:pPr>
        <w:pStyle w:val="TOC1"/>
        <w:tabs>
          <w:tab w:val="right" w:leader="dot" w:pos="9016"/>
        </w:tabs>
        <w:rPr>
          <w:rFonts w:eastAsiaTheme="minorEastAsia"/>
          <w:noProof/>
          <w:lang w:val="en-US"/>
        </w:rPr>
      </w:pPr>
      <w:hyperlink w:anchor="_Toc386104466" w:history="1">
        <w:r w:rsidR="00D4280F" w:rsidRPr="00EC28D5">
          <w:rPr>
            <w:rStyle w:val="Hyperlink"/>
            <w:noProof/>
          </w:rPr>
          <w:t>Annexe 6 : Calcul de marges pour la farine et les pâtes selon les villes</w:t>
        </w:r>
        <w:r w:rsidR="00D4280F">
          <w:rPr>
            <w:noProof/>
            <w:webHidden/>
          </w:rPr>
          <w:tab/>
        </w:r>
        <w:r w:rsidR="00D4280F">
          <w:rPr>
            <w:noProof/>
            <w:webHidden/>
          </w:rPr>
          <w:fldChar w:fldCharType="begin"/>
        </w:r>
        <w:r w:rsidR="00D4280F">
          <w:rPr>
            <w:noProof/>
            <w:webHidden/>
          </w:rPr>
          <w:instrText xml:space="preserve"> PAGEREF _Toc386104466 \h </w:instrText>
        </w:r>
        <w:r w:rsidR="00D4280F">
          <w:rPr>
            <w:noProof/>
            <w:webHidden/>
          </w:rPr>
        </w:r>
        <w:r w:rsidR="00D4280F">
          <w:rPr>
            <w:noProof/>
            <w:webHidden/>
          </w:rPr>
          <w:fldChar w:fldCharType="separate"/>
        </w:r>
        <w:r w:rsidR="00D4280F">
          <w:rPr>
            <w:noProof/>
            <w:webHidden/>
          </w:rPr>
          <w:t>38</w:t>
        </w:r>
        <w:r w:rsidR="00D4280F">
          <w:rPr>
            <w:noProof/>
            <w:webHidden/>
          </w:rPr>
          <w:fldChar w:fldCharType="end"/>
        </w:r>
      </w:hyperlink>
    </w:p>
    <w:p w14:paraId="71A1A095" w14:textId="77777777" w:rsidR="00DD14C1" w:rsidRDefault="00DD14C1">
      <w:pPr>
        <w:pStyle w:val="TOC1"/>
        <w:tabs>
          <w:tab w:val="left" w:pos="440"/>
          <w:tab w:val="right" w:leader="dot" w:pos="9016"/>
        </w:tabs>
        <w:rPr>
          <w:rFonts w:asciiTheme="majorHAnsi" w:eastAsiaTheme="majorEastAsia" w:hAnsiTheme="majorHAnsi" w:cstheme="majorBidi"/>
          <w:b/>
          <w:bCs/>
          <w:color w:val="365F91" w:themeColor="accent1" w:themeShade="BF"/>
          <w:sz w:val="28"/>
          <w:szCs w:val="28"/>
          <w:lang w:val="en-US" w:eastAsia="ja-JP"/>
        </w:rPr>
      </w:pPr>
      <w:r>
        <w:fldChar w:fldCharType="end"/>
      </w:r>
    </w:p>
    <w:p w14:paraId="6AA857B5" w14:textId="77777777" w:rsidR="00724D45" w:rsidRPr="007900EF" w:rsidRDefault="00724D45" w:rsidP="00724D45">
      <w:pPr>
        <w:pStyle w:val="TOCHeading"/>
        <w:jc w:val="both"/>
        <w:rPr>
          <w:lang w:val="fr-FR"/>
        </w:rPr>
      </w:pPr>
    </w:p>
    <w:p w14:paraId="5739B902" w14:textId="4C7CB981" w:rsidR="00606B1E" w:rsidRPr="00606B1E" w:rsidRDefault="00606B1E" w:rsidP="00606B1E">
      <w:r>
        <w:rPr>
          <w:noProof/>
          <w:lang w:val="en-US"/>
        </w:rPr>
        <w:drawing>
          <wp:inline distT="0" distB="0" distL="0" distR="0" wp14:anchorId="181EB900" wp14:editId="6DABF669">
            <wp:extent cx="5731510" cy="4298106"/>
            <wp:effectExtent l="0" t="0" r="2540" b="7620"/>
            <wp:docPr id="6" name="Picture 6" descr="C:\Users\wb254375\AppData\Local\Temp\notesA1083B\~3387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54375\AppData\Local\Temp\notesA1083B\~33875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298106"/>
                    </a:xfrm>
                    <a:prstGeom prst="rect">
                      <a:avLst/>
                    </a:prstGeom>
                    <a:noFill/>
                    <a:ln>
                      <a:noFill/>
                    </a:ln>
                  </pic:spPr>
                </pic:pic>
              </a:graphicData>
            </a:graphic>
          </wp:inline>
        </w:drawing>
      </w:r>
    </w:p>
    <w:p w14:paraId="5C7B5E09" w14:textId="77777777" w:rsidR="00724D45" w:rsidRPr="007900EF" w:rsidRDefault="00724D45" w:rsidP="00724D45">
      <w:pPr>
        <w:pStyle w:val="Heading1"/>
        <w:numPr>
          <w:ilvl w:val="0"/>
          <w:numId w:val="1"/>
        </w:numPr>
        <w:jc w:val="both"/>
        <w:rPr>
          <w:color w:val="auto"/>
        </w:rPr>
      </w:pPr>
      <w:bookmarkStart w:id="2" w:name="_Toc384903140"/>
      <w:bookmarkStart w:id="3" w:name="_Toc386104453"/>
      <w:r w:rsidRPr="007900EF">
        <w:rPr>
          <w:color w:val="auto"/>
        </w:rPr>
        <w:t>Introduction</w:t>
      </w:r>
      <w:bookmarkEnd w:id="2"/>
      <w:bookmarkEnd w:id="3"/>
    </w:p>
    <w:p w14:paraId="03D37715" w14:textId="77777777" w:rsidR="00724D45" w:rsidRPr="007900EF" w:rsidRDefault="00724D45" w:rsidP="00724D45">
      <w:pPr>
        <w:pStyle w:val="ListParagraph"/>
        <w:ind w:left="0"/>
        <w:jc w:val="both"/>
        <w:rPr>
          <w:b/>
        </w:rPr>
      </w:pPr>
    </w:p>
    <w:p w14:paraId="30923400" w14:textId="3B0AAEC1" w:rsidR="00414023" w:rsidRPr="007013FB" w:rsidRDefault="00E249E4" w:rsidP="00E249E4">
      <w:pPr>
        <w:pStyle w:val="ListParagraph"/>
        <w:ind w:left="0"/>
        <w:jc w:val="both"/>
      </w:pPr>
      <w:r w:rsidRPr="00E249E4">
        <w:rPr>
          <w:b/>
        </w:rPr>
        <w:t xml:space="preserve">Le commerce informel parait essentiel à la survie de la région saharienne. Selon la plupart des sources, l’économie du </w:t>
      </w:r>
      <w:r w:rsidR="00AF3227">
        <w:rPr>
          <w:b/>
        </w:rPr>
        <w:t>nord</w:t>
      </w:r>
      <w:r w:rsidRPr="00E249E4">
        <w:rPr>
          <w:b/>
        </w:rPr>
        <w:t xml:space="preserve"> Mali est dépendante de ses relations avec le sud Algérien.</w:t>
      </w:r>
      <w:r w:rsidR="00650530">
        <w:rPr>
          <w:b/>
        </w:rPr>
        <w:t xml:space="preserve"> </w:t>
      </w:r>
      <w:r w:rsidRPr="00E249E4">
        <w:rPr>
          <w:b/>
        </w:rPr>
        <w:t xml:space="preserve">La frontière </w:t>
      </w:r>
      <w:proofErr w:type="spellStart"/>
      <w:r w:rsidRPr="00E249E4">
        <w:rPr>
          <w:b/>
        </w:rPr>
        <w:t>algéro</w:t>
      </w:r>
      <w:proofErr w:type="spellEnd"/>
      <w:r w:rsidRPr="00E249E4">
        <w:rPr>
          <w:b/>
        </w:rPr>
        <w:t xml:space="preserve">-malienne est longue de plus de 1300 kilomètres et est fermée officiellement </w:t>
      </w:r>
      <w:r w:rsidRPr="00B734F7">
        <w:rPr>
          <w:b/>
        </w:rPr>
        <w:t>depuis</w:t>
      </w:r>
      <w:r w:rsidRPr="007013FB">
        <w:rPr>
          <w:b/>
        </w:rPr>
        <w:t xml:space="preserve"> </w:t>
      </w:r>
      <w:r w:rsidR="00DD14C1" w:rsidRPr="0019775A">
        <w:rPr>
          <w:b/>
        </w:rPr>
        <w:t>fin janvier</w:t>
      </w:r>
      <w:r w:rsidRPr="0019775A">
        <w:rPr>
          <w:b/>
        </w:rPr>
        <w:t xml:space="preserve"> 2013</w:t>
      </w:r>
      <w:r w:rsidRPr="0019775A">
        <w:t>.</w:t>
      </w:r>
    </w:p>
    <w:p w14:paraId="628C251D" w14:textId="017BFD7E" w:rsidR="00E249E4" w:rsidRDefault="00E249E4" w:rsidP="00E249E4">
      <w:pPr>
        <w:pStyle w:val="ListParagraph"/>
        <w:ind w:left="0"/>
        <w:jc w:val="both"/>
        <w:rPr>
          <w:b/>
        </w:rPr>
      </w:pPr>
    </w:p>
    <w:p w14:paraId="758AD627" w14:textId="14B98BE6" w:rsidR="00724D45" w:rsidRPr="00E249E4" w:rsidRDefault="00724D45" w:rsidP="00E249E4">
      <w:pPr>
        <w:pStyle w:val="ListParagraph"/>
        <w:ind w:left="0"/>
        <w:jc w:val="both"/>
        <w:rPr>
          <w:b/>
        </w:rPr>
      </w:pPr>
      <w:r>
        <w:rPr>
          <w:b/>
        </w:rPr>
        <w:t>Cette étude a pour objet une tentative d’évaluation du commerce informel entre l’Algérie et le Mali</w:t>
      </w:r>
      <w:r w:rsidR="00E249E4">
        <w:rPr>
          <w:b/>
        </w:rPr>
        <w:t xml:space="preserve"> et son impact en termes de développement économique et de gouvernance au </w:t>
      </w:r>
      <w:r w:rsidR="00AF3227">
        <w:rPr>
          <w:b/>
        </w:rPr>
        <w:t>Nord</w:t>
      </w:r>
      <w:r w:rsidR="00137CEB">
        <w:rPr>
          <w:b/>
        </w:rPr>
        <w:t xml:space="preserve"> Mali car même </w:t>
      </w:r>
      <w:r w:rsidR="00E249E4">
        <w:t>si la frontière</w:t>
      </w:r>
      <w:r w:rsidR="00E249E4" w:rsidRPr="00E249E4">
        <w:t xml:space="preserve"> a une réalité cartographique, administrative et économique, les liens familiaux et tribaux </w:t>
      </w:r>
      <w:r w:rsidR="00137CEB">
        <w:t>continuent</w:t>
      </w:r>
      <w:r w:rsidR="00E249E4" w:rsidRPr="00E249E4">
        <w:t>, rendant cette région particulièrement propice au commerce transfrontalier.</w:t>
      </w:r>
      <w:r w:rsidR="00E249E4">
        <w:t xml:space="preserve"> </w:t>
      </w:r>
    </w:p>
    <w:p w14:paraId="0B065E51" w14:textId="77777777" w:rsidR="00B734F7" w:rsidRDefault="00B734F7" w:rsidP="004C6224">
      <w:pPr>
        <w:pStyle w:val="ListParagraph"/>
        <w:ind w:left="0"/>
        <w:jc w:val="both"/>
        <w:rPr>
          <w:b/>
        </w:rPr>
      </w:pPr>
    </w:p>
    <w:p w14:paraId="6A468E93" w14:textId="28112520" w:rsidR="004C6224" w:rsidRPr="007900EF" w:rsidRDefault="004C6224" w:rsidP="004C6224">
      <w:pPr>
        <w:pStyle w:val="ListParagraph"/>
        <w:ind w:left="0"/>
        <w:jc w:val="both"/>
      </w:pPr>
      <w:r w:rsidRPr="007900EF">
        <w:rPr>
          <w:b/>
        </w:rPr>
        <w:t xml:space="preserve">Le commerce informel </w:t>
      </w:r>
      <w:r w:rsidR="00550017">
        <w:rPr>
          <w:b/>
        </w:rPr>
        <w:t>est considéré</w:t>
      </w:r>
      <w:r w:rsidRPr="007900EF">
        <w:rPr>
          <w:b/>
        </w:rPr>
        <w:t xml:space="preserve"> dans cette étude comme un flux de biens non reporté ou reporté de manière inadéquate par les autorités douanières du pays. </w:t>
      </w:r>
      <w:r w:rsidRPr="007900EF">
        <w:t>Il englobe ainsi plusieurs phénomènes : le commerce de biens passant par les postes frontières pour lesquelles de fausses déclarations sont faites en termes de nature des biens ou de quantités,</w:t>
      </w:r>
      <w:r w:rsidR="00B902A5">
        <w:t xml:space="preserve"> </w:t>
      </w:r>
      <w:r w:rsidRPr="007900EF">
        <w:t>la contrebande de biens (i.e. lorsque les biens sont passés complètement à l’insu des autorités douanières) à travers ou hors des postes frontières</w:t>
      </w:r>
      <w:r>
        <w:t xml:space="preserve">. </w:t>
      </w:r>
      <w:r w:rsidRPr="007900EF">
        <w:t>En outre, on ne traite pas des produits dont la libre circulation est illégale dans le pays (armes et drogues</w:t>
      </w:r>
      <w:r w:rsidR="00137CEB">
        <w:t xml:space="preserve"> dans la mesure où la collecte d’informations est encore plus difficile</w:t>
      </w:r>
      <w:r w:rsidRPr="007900EF">
        <w:t xml:space="preserve">).  </w:t>
      </w:r>
    </w:p>
    <w:p w14:paraId="2FD899B6" w14:textId="4A2EF8AB" w:rsidR="003A146E" w:rsidRDefault="003A146E" w:rsidP="003A146E">
      <w:pPr>
        <w:jc w:val="both"/>
        <w:rPr>
          <w:rFonts w:cstheme="minorHAnsi"/>
          <w:lang w:bidi="ar-DZ"/>
        </w:rPr>
      </w:pPr>
      <w:r w:rsidRPr="003A779A">
        <w:rPr>
          <w:rFonts w:cstheme="minorHAnsi"/>
          <w:b/>
          <w:lang w:bidi="ar-DZ"/>
        </w:rPr>
        <w:lastRenderedPageBreak/>
        <w:t>Les statistiques des saisies opérées par les différents services de sécurité ne permettant d'apporter</w:t>
      </w:r>
      <w:r w:rsidR="00B902A5">
        <w:rPr>
          <w:rFonts w:cstheme="minorHAnsi"/>
          <w:b/>
          <w:lang w:bidi="ar-DZ"/>
        </w:rPr>
        <w:t xml:space="preserve"> </w:t>
      </w:r>
      <w:r w:rsidRPr="003A779A">
        <w:rPr>
          <w:rFonts w:cstheme="minorHAnsi"/>
          <w:b/>
          <w:lang w:bidi="ar-DZ"/>
        </w:rPr>
        <w:t>qu'une vision partielle sur ces phénomènes</w:t>
      </w:r>
      <w:r w:rsidRPr="003A146E">
        <w:rPr>
          <w:rFonts w:cstheme="minorHAnsi"/>
          <w:lang w:bidi="ar-DZ"/>
        </w:rPr>
        <w:t>, nous avons cherché, tout d’abord, à identifier les produits concernés, à comprendre les circuits économiques, géographiques et sociaux qui les véhiculent et</w:t>
      </w:r>
      <w:r w:rsidR="00B902A5">
        <w:rPr>
          <w:rFonts w:cstheme="minorHAnsi"/>
          <w:lang w:bidi="ar-DZ"/>
        </w:rPr>
        <w:t xml:space="preserve"> </w:t>
      </w:r>
      <w:r w:rsidRPr="003A146E">
        <w:rPr>
          <w:rFonts w:cstheme="minorHAnsi"/>
          <w:lang w:bidi="ar-DZ"/>
        </w:rPr>
        <w:t xml:space="preserve">saisir la stratégie des acteurs opérant de part et d’autre des frontières. </w:t>
      </w:r>
    </w:p>
    <w:p w14:paraId="238D9BB5" w14:textId="65374196" w:rsidR="003A146E" w:rsidRPr="003A146E" w:rsidRDefault="003A146E" w:rsidP="003A146E">
      <w:pPr>
        <w:jc w:val="both"/>
        <w:rPr>
          <w:rFonts w:cstheme="minorHAnsi"/>
          <w:lang w:bidi="ar-DZ"/>
        </w:rPr>
      </w:pPr>
      <w:r w:rsidRPr="00137CEB">
        <w:rPr>
          <w:rFonts w:cstheme="minorHAnsi"/>
          <w:lang w:bidi="ar-DZ"/>
        </w:rPr>
        <w:t>Pour cela, des entretie</w:t>
      </w:r>
      <w:r w:rsidR="00137CEB" w:rsidRPr="00137CEB">
        <w:rPr>
          <w:rFonts w:cstheme="minorHAnsi"/>
          <w:lang w:bidi="ar-DZ"/>
        </w:rPr>
        <w:t xml:space="preserve">ns ont été menés auprès de différentes catégories de population: </w:t>
      </w:r>
      <w:r w:rsidRPr="00137CEB">
        <w:t>agents économiques</w:t>
      </w:r>
      <w:r w:rsidR="00137CEB" w:rsidRPr="00137CEB">
        <w:t xml:space="preserve">, </w:t>
      </w:r>
      <w:r w:rsidRPr="00137CEB">
        <w:t xml:space="preserve">responsables administratifs </w:t>
      </w:r>
      <w:r w:rsidR="00137CEB" w:rsidRPr="00137CEB">
        <w:t>et</w:t>
      </w:r>
      <w:r w:rsidR="00B902A5" w:rsidRPr="00137CEB">
        <w:rPr>
          <w:rFonts w:cstheme="minorHAnsi"/>
          <w:lang w:bidi="ar-DZ"/>
        </w:rPr>
        <w:t xml:space="preserve"> </w:t>
      </w:r>
      <w:r w:rsidRPr="00137CEB">
        <w:rPr>
          <w:rFonts w:cstheme="minorHAnsi"/>
          <w:lang w:bidi="ar-DZ"/>
        </w:rPr>
        <w:t>commerçants</w:t>
      </w:r>
      <w:r w:rsidRPr="003A146E">
        <w:rPr>
          <w:rFonts w:cstheme="minorHAnsi"/>
          <w:lang w:bidi="ar-DZ"/>
        </w:rPr>
        <w:t xml:space="preserve"> locaux exerçant le commerce du troc et </w:t>
      </w:r>
      <w:r w:rsidR="00137CEB">
        <w:rPr>
          <w:rFonts w:cstheme="minorHAnsi"/>
          <w:lang w:bidi="ar-DZ"/>
        </w:rPr>
        <w:t xml:space="preserve">le commerce libre et </w:t>
      </w:r>
      <w:r w:rsidRPr="003A146E">
        <w:rPr>
          <w:rFonts w:cstheme="minorHAnsi"/>
          <w:lang w:bidi="ar-DZ"/>
        </w:rPr>
        <w:t xml:space="preserve">personnes ayant anciennement pratiqué la contrebande. </w:t>
      </w:r>
    </w:p>
    <w:p w14:paraId="0A9B3843" w14:textId="2EE6272C" w:rsidR="003A146E" w:rsidRPr="003A146E" w:rsidRDefault="003A146E" w:rsidP="003A146E">
      <w:pPr>
        <w:jc w:val="both"/>
        <w:rPr>
          <w:rFonts w:cstheme="minorHAnsi"/>
          <w:lang w:bidi="ar-DZ"/>
        </w:rPr>
      </w:pPr>
      <w:r w:rsidRPr="003A146E">
        <w:rPr>
          <w:rFonts w:cstheme="minorHAnsi"/>
          <w:lang w:bidi="ar-DZ"/>
        </w:rPr>
        <w:t xml:space="preserve">Dans un premier temps, des informations ont été recueillies auprès des </w:t>
      </w:r>
      <w:r w:rsidR="00550017">
        <w:rPr>
          <w:rFonts w:cstheme="minorHAnsi"/>
          <w:lang w:bidi="ar-DZ"/>
        </w:rPr>
        <w:t xml:space="preserve">acteurs </w:t>
      </w:r>
      <w:r w:rsidRPr="003A146E">
        <w:rPr>
          <w:rFonts w:cstheme="minorHAnsi"/>
          <w:lang w:bidi="ar-DZ"/>
        </w:rPr>
        <w:t>institutionnels sur</w:t>
      </w:r>
      <w:r w:rsidR="00B902A5">
        <w:rPr>
          <w:rFonts w:cstheme="minorHAnsi"/>
          <w:lang w:bidi="ar-DZ"/>
        </w:rPr>
        <w:t xml:space="preserve"> </w:t>
      </w:r>
      <w:r w:rsidRPr="003A146E">
        <w:rPr>
          <w:rFonts w:cstheme="minorHAnsi"/>
          <w:lang w:bidi="ar-DZ"/>
        </w:rPr>
        <w:t xml:space="preserve">les modes d'approvisionnement des produits subventionnés dans la région </w:t>
      </w:r>
      <w:r w:rsidRPr="00137CEB">
        <w:rPr>
          <w:rFonts w:cstheme="minorHAnsi"/>
          <w:lang w:bidi="ar-DZ"/>
        </w:rPr>
        <w:t xml:space="preserve">de </w:t>
      </w:r>
      <w:r w:rsidRPr="00137CEB">
        <w:t>Tamanrasset</w:t>
      </w:r>
      <w:r w:rsidR="00137CEB" w:rsidRPr="00137CEB">
        <w:rPr>
          <w:rStyle w:val="FootnoteReference"/>
        </w:rPr>
        <w:footnoteReference w:id="3"/>
      </w:r>
      <w:r w:rsidRPr="00137CEB">
        <w:t>.</w:t>
      </w:r>
      <w:r w:rsidRPr="00137CEB">
        <w:rPr>
          <w:rFonts w:cstheme="minorHAnsi"/>
          <w:lang w:bidi="ar-DZ"/>
        </w:rPr>
        <w:t xml:space="preserve"> Cette</w:t>
      </w:r>
      <w:r w:rsidRPr="003A146E">
        <w:rPr>
          <w:rFonts w:cstheme="minorHAnsi"/>
          <w:lang w:bidi="ar-DZ"/>
        </w:rPr>
        <w:t xml:space="preserve"> première ét</w:t>
      </w:r>
      <w:r w:rsidR="00E249E4">
        <w:rPr>
          <w:rFonts w:cstheme="minorHAnsi"/>
          <w:lang w:bidi="ar-DZ"/>
        </w:rPr>
        <w:t>ape nous a permis d'identifier les chaî</w:t>
      </w:r>
      <w:r w:rsidRPr="003A146E">
        <w:rPr>
          <w:rFonts w:cstheme="minorHAnsi"/>
          <w:lang w:bidi="ar-DZ"/>
        </w:rPr>
        <w:t xml:space="preserve">nons de distribution et les quantités commercialisées en région. </w:t>
      </w:r>
    </w:p>
    <w:p w14:paraId="07CA980F" w14:textId="1C6593BC" w:rsidR="003A146E" w:rsidRPr="00326379" w:rsidRDefault="003A146E" w:rsidP="003A146E">
      <w:pPr>
        <w:jc w:val="both"/>
        <w:rPr>
          <w:rFonts w:cstheme="minorHAnsi"/>
          <w:lang w:bidi="ar-DZ"/>
        </w:rPr>
      </w:pPr>
      <w:r w:rsidRPr="003A146E">
        <w:rPr>
          <w:rFonts w:cstheme="minorHAnsi"/>
          <w:lang w:bidi="ar-DZ"/>
        </w:rPr>
        <w:t>Ces chiffres</w:t>
      </w:r>
      <w:r w:rsidR="00B902A5">
        <w:rPr>
          <w:rFonts w:cstheme="minorHAnsi"/>
          <w:lang w:bidi="ar-DZ"/>
        </w:rPr>
        <w:t xml:space="preserve"> </w:t>
      </w:r>
      <w:r w:rsidRPr="003A146E">
        <w:rPr>
          <w:rFonts w:cstheme="minorHAnsi"/>
          <w:lang w:bidi="ar-DZ"/>
        </w:rPr>
        <w:t>ont été ensuite</w:t>
      </w:r>
      <w:r w:rsidR="00B902A5">
        <w:rPr>
          <w:rFonts w:cstheme="minorHAnsi"/>
          <w:lang w:bidi="ar-DZ"/>
        </w:rPr>
        <w:t xml:space="preserve"> </w:t>
      </w:r>
      <w:r w:rsidRPr="003A146E">
        <w:rPr>
          <w:rFonts w:cstheme="minorHAnsi"/>
          <w:lang w:bidi="ar-DZ"/>
        </w:rPr>
        <w:t>recoupés avec les données issues des entretiens effectués avec des personnes exerçant le commerce transfrontalier formel et informel</w:t>
      </w:r>
      <w:r w:rsidR="00137CEB">
        <w:rPr>
          <w:rStyle w:val="FootnoteReference"/>
          <w:rFonts w:cstheme="minorHAnsi"/>
          <w:lang w:bidi="ar-DZ"/>
        </w:rPr>
        <w:footnoteReference w:id="4"/>
      </w:r>
      <w:r w:rsidRPr="003A146E">
        <w:rPr>
          <w:rFonts w:cstheme="minorHAnsi"/>
          <w:lang w:bidi="ar-DZ"/>
        </w:rPr>
        <w:t xml:space="preserve"> </w:t>
      </w:r>
      <w:r w:rsidR="00F561E8">
        <w:rPr>
          <w:rFonts w:cstheme="minorHAnsi"/>
          <w:lang w:bidi="ar-DZ"/>
        </w:rPr>
        <w:t xml:space="preserve">en Algérie et au Mali </w:t>
      </w:r>
      <w:r w:rsidRPr="003A146E">
        <w:rPr>
          <w:rFonts w:cstheme="minorHAnsi"/>
          <w:lang w:bidi="ar-DZ"/>
        </w:rPr>
        <w:t xml:space="preserve">pour connaitre les circuits, les prix réels des </w:t>
      </w:r>
      <w:r w:rsidR="009F4368">
        <w:rPr>
          <w:rFonts w:cstheme="minorHAnsi"/>
          <w:lang w:bidi="ar-DZ"/>
        </w:rPr>
        <w:t>produits et les marges</w:t>
      </w:r>
      <w:r w:rsidRPr="003A146E">
        <w:rPr>
          <w:rFonts w:cstheme="minorHAnsi"/>
          <w:lang w:bidi="ar-DZ"/>
        </w:rPr>
        <w:t>.</w:t>
      </w:r>
      <w:r w:rsidR="00F561E8">
        <w:rPr>
          <w:rFonts w:cstheme="minorHAnsi"/>
          <w:lang w:bidi="ar-DZ"/>
        </w:rPr>
        <w:t xml:space="preserve"> </w:t>
      </w:r>
      <w:r w:rsidRPr="00E60E10">
        <w:t>Les informations r</w:t>
      </w:r>
      <w:r w:rsidR="00E249E4" w:rsidRPr="00991972">
        <w:t xml:space="preserve">ecueillies lors des entretiens </w:t>
      </w:r>
      <w:r w:rsidRPr="00815798">
        <w:t>sur</w:t>
      </w:r>
      <w:r w:rsidR="00B902A5">
        <w:rPr>
          <w:rFonts w:cstheme="minorHAnsi"/>
          <w:lang w:bidi="ar-DZ"/>
        </w:rPr>
        <w:t xml:space="preserve"> </w:t>
      </w:r>
      <w:r w:rsidRPr="00815798">
        <w:t xml:space="preserve">la contrebande ont été confrontées aux statistiques </w:t>
      </w:r>
      <w:r w:rsidR="00E60E10" w:rsidRPr="00B734F7">
        <w:t>officielles</w:t>
      </w:r>
      <w:r w:rsidRPr="00B734F7">
        <w:t>.</w:t>
      </w:r>
    </w:p>
    <w:p w14:paraId="02381A72" w14:textId="5A3C80DA" w:rsidR="003A146E" w:rsidRPr="00326379" w:rsidRDefault="003A146E" w:rsidP="003A146E">
      <w:pPr>
        <w:jc w:val="both"/>
        <w:rPr>
          <w:rFonts w:cstheme="minorHAnsi"/>
          <w:lang w:bidi="ar-DZ"/>
        </w:rPr>
      </w:pPr>
      <w:r w:rsidRPr="00326379">
        <w:rPr>
          <w:rFonts w:cstheme="minorHAnsi"/>
          <w:lang w:bidi="ar-DZ"/>
        </w:rPr>
        <w:t>Cette</w:t>
      </w:r>
      <w:r w:rsidR="00B902A5">
        <w:rPr>
          <w:rFonts w:cstheme="minorHAnsi"/>
          <w:lang w:bidi="ar-DZ"/>
        </w:rPr>
        <w:t xml:space="preserve"> </w:t>
      </w:r>
      <w:r w:rsidRPr="00326379">
        <w:rPr>
          <w:rFonts w:cstheme="minorHAnsi"/>
          <w:lang w:bidi="ar-DZ"/>
        </w:rPr>
        <w:t xml:space="preserve">approche a permis de comprendre assez précisément l’organisation des principaux flux transfrontaliers. </w:t>
      </w:r>
    </w:p>
    <w:p w14:paraId="3D5B3439" w14:textId="77777777" w:rsidR="00D40F56" w:rsidRPr="00114992" w:rsidRDefault="00D40F56" w:rsidP="00D40F56">
      <w:pPr>
        <w:jc w:val="both"/>
      </w:pPr>
      <w:r w:rsidRPr="00114992">
        <w:t>A l’analyse des sta</w:t>
      </w:r>
      <w:r w:rsidR="00114992">
        <w:t>tistiques officielles, il semblait</w:t>
      </w:r>
      <w:r w:rsidRPr="00114992">
        <w:t xml:space="preserve"> qu’il y a</w:t>
      </w:r>
      <w:r w:rsidR="00114992">
        <w:t>va</w:t>
      </w:r>
      <w:r w:rsidRPr="00114992">
        <w:t>it une énigme puisque selon les autorités algériennes,</w:t>
      </w:r>
      <w:r w:rsidR="00114992">
        <w:t xml:space="preserve"> l’Algérie affichait</w:t>
      </w:r>
      <w:r w:rsidRPr="00114992">
        <w:t xml:space="preserve"> un surplus commercial avec le Mali et selon les auto</w:t>
      </w:r>
      <w:r w:rsidR="00114992">
        <w:t>rités maliennes, le Mali affichait</w:t>
      </w:r>
      <w:r w:rsidRPr="00114992">
        <w:t xml:space="preserve"> un surplus commercial avec l’Algérie. De plus,</w:t>
      </w:r>
      <w:r w:rsidR="00114992">
        <w:t xml:space="preserve"> il ne semblait exister</w:t>
      </w:r>
      <w:r w:rsidRPr="00114992">
        <w:t xml:space="preserve"> aucune correspondance entre les flux d’exportations maliens vers l’Algérie reportées par les autorités maliennes et les flux d’importations en provenance du Mali reportées par les autorités algériennes.</w:t>
      </w:r>
    </w:p>
    <w:p w14:paraId="6EEF3A03" w14:textId="487B130B" w:rsidR="00114992" w:rsidRDefault="00114992" w:rsidP="00114992">
      <w:pPr>
        <w:jc w:val="both"/>
      </w:pPr>
      <w:r>
        <w:rPr>
          <w:rFonts w:cs="Helvetica"/>
        </w:rPr>
        <w:t xml:space="preserve">Cette énigme s’explique par le fait que les statistiques officielles sont extrêmement parcellaires. On a ainsi pu estimer en utilisant la méthodologie </w:t>
      </w:r>
      <w:r w:rsidR="00137CEB">
        <w:rPr>
          <w:rFonts w:cs="Helvetica"/>
        </w:rPr>
        <w:t xml:space="preserve">de recoupement de différentes sources fondées sur l’estimation des volumes, produits et destinations </w:t>
      </w:r>
      <w:r>
        <w:rPr>
          <w:rFonts w:cs="Helvetica"/>
        </w:rPr>
        <w:t>utilisée dans différentes régions du monde</w:t>
      </w:r>
      <w:r w:rsidR="00581212">
        <w:rPr>
          <w:rFonts w:cs="Helvetica"/>
        </w:rPr>
        <w:t xml:space="preserve"> (</w:t>
      </w:r>
      <w:proofErr w:type="spellStart"/>
      <w:r w:rsidR="00581212">
        <w:rPr>
          <w:rFonts w:cs="Helvetica"/>
        </w:rPr>
        <w:t>Raballand</w:t>
      </w:r>
      <w:proofErr w:type="spellEnd"/>
      <w:r w:rsidR="00581212">
        <w:rPr>
          <w:rFonts w:cs="Helvetica"/>
        </w:rPr>
        <w:t xml:space="preserve"> et al. 2010, Mitra et al. 2012, </w:t>
      </w:r>
      <w:proofErr w:type="spellStart"/>
      <w:r w:rsidR="00581212">
        <w:rPr>
          <w:rFonts w:cs="Helvetica"/>
        </w:rPr>
        <w:t>Ayadi</w:t>
      </w:r>
      <w:proofErr w:type="spellEnd"/>
      <w:r w:rsidR="00581212">
        <w:rPr>
          <w:rFonts w:cs="Helvetica"/>
        </w:rPr>
        <w:t xml:space="preserve"> et al. 2013)</w:t>
      </w:r>
      <w:r>
        <w:rPr>
          <w:rFonts w:cs="Helvetica"/>
        </w:rPr>
        <w:t>, l</w:t>
      </w:r>
      <w:r w:rsidRPr="005769C6">
        <w:rPr>
          <w:rFonts w:cs="Helvetica"/>
        </w:rPr>
        <w:t xml:space="preserve">e chiffre d’affaires hebdomadaire du commerce au </w:t>
      </w:r>
      <w:r w:rsidR="00AF3227">
        <w:rPr>
          <w:rFonts w:cs="Helvetica"/>
        </w:rPr>
        <w:t>nord</w:t>
      </w:r>
      <w:r w:rsidRPr="005769C6">
        <w:rPr>
          <w:rFonts w:cs="Helvetica"/>
        </w:rPr>
        <w:t xml:space="preserve"> Mali e</w:t>
      </w:r>
      <w:r>
        <w:rPr>
          <w:rFonts w:cs="Helvetica"/>
        </w:rPr>
        <w:t>n 2014 à</w:t>
      </w:r>
      <w:r w:rsidRPr="005769C6">
        <w:rPr>
          <w:rFonts w:cs="Helvetica"/>
        </w:rPr>
        <w:t xml:space="preserve"> environ 1,36 million USD, ce qui permet d’estimer les importations maliennes à plus de 54 millions USD annuels</w:t>
      </w:r>
      <w:r w:rsidRPr="005769C6">
        <w:rPr>
          <w:rStyle w:val="FootnoteReference"/>
          <w:rFonts w:cs="Helvetica"/>
        </w:rPr>
        <w:footnoteReference w:id="5"/>
      </w:r>
      <w:r w:rsidRPr="005769C6">
        <w:rPr>
          <w:rFonts w:cs="Helvetica"/>
        </w:rPr>
        <w:t xml:space="preserve">. </w:t>
      </w:r>
      <w:r>
        <w:rPr>
          <w:rFonts w:cs="Helvetica"/>
        </w:rPr>
        <w:t>Il est à noter que ce chiffre d’affaires a baissé d’environ 2/3 depuis 2011, pic du commerce entre Mali et Algérie. Aussi, en 2011, on pouvait l’estimer à plus de 150 millions de dollars</w:t>
      </w:r>
      <w:r w:rsidR="002C78DA">
        <w:rPr>
          <w:rStyle w:val="FootnoteReference"/>
          <w:b/>
        </w:rPr>
        <w:footnoteReference w:id="6"/>
      </w:r>
      <w:r>
        <w:rPr>
          <w:rFonts w:cs="Helvetica"/>
        </w:rPr>
        <w:t xml:space="preserve"> (avec 180 camions traversant la frontière par semaine)</w:t>
      </w:r>
      <w:r w:rsidRPr="00E6333E">
        <w:rPr>
          <w:rFonts w:ascii="Calibri" w:hAnsi="Calibri" w:cs="Helvetica"/>
        </w:rPr>
        <w:t>.</w:t>
      </w:r>
      <w:r>
        <w:rPr>
          <w:rFonts w:cs="Helvetica"/>
        </w:rPr>
        <w:t xml:space="preserve"> Or, </w:t>
      </w:r>
      <w:r>
        <w:t>les algériens déclaraient officiellement 1,02 million d’exportations et les maliens 1,89 million d’importations en 2011, soit respectivement 0,6% et 1,2% du volume de commerce informel estimé.</w:t>
      </w:r>
      <w:r w:rsidR="00EC13F9">
        <w:t xml:space="preserve"> Les marges sont environ de 20% (contre 30% en 2011). </w:t>
      </w:r>
    </w:p>
    <w:p w14:paraId="66CE1860" w14:textId="05D4203F" w:rsidR="002C78DA" w:rsidRDefault="00114992" w:rsidP="00114992">
      <w:pPr>
        <w:jc w:val="both"/>
      </w:pPr>
      <w:r>
        <w:lastRenderedPageBreak/>
        <w:t xml:space="preserve">Le commerce informel est très important en termes d’approvisionnement du </w:t>
      </w:r>
      <w:r w:rsidR="00AF3227">
        <w:t>nord</w:t>
      </w:r>
      <w:r>
        <w:t xml:space="preserve"> Mali et permet aux régions du </w:t>
      </w:r>
      <w:r w:rsidR="00AF3227">
        <w:t>nord</w:t>
      </w:r>
      <w:r>
        <w:t xml:space="preserve"> de bénéficier de prix plus faibles que s’ils provenaient du sud du pays</w:t>
      </w:r>
      <w:r w:rsidR="002C78DA">
        <w:t xml:space="preserve"> et explique pourquoi le niveau de pauvreté est si faible, notamment à Kidal</w:t>
      </w:r>
      <w:r>
        <w:t>.</w:t>
      </w:r>
      <w:r w:rsidR="00B902A5">
        <w:t xml:space="preserve"> </w:t>
      </w:r>
      <w:r w:rsidR="00963B60">
        <w:t>Ainsi, le ratio commerce informel sur PIB régional atteint près de 50% à Kidal</w:t>
      </w:r>
      <w:r w:rsidR="00AE0362">
        <w:rPr>
          <w:rStyle w:val="FootnoteReference"/>
          <w:b/>
        </w:rPr>
        <w:footnoteReference w:id="7"/>
      </w:r>
      <w:r w:rsidR="00963B60">
        <w:t xml:space="preserve"> et est en moyenne supérieur à 20% dans le nord du pays (contre 1% à Bamako). </w:t>
      </w:r>
      <w:r w:rsidR="002C78DA">
        <w:t xml:space="preserve">C’est également l’une des principales activités en termes d’emplois, notamment dans l’extrême </w:t>
      </w:r>
      <w:r w:rsidR="00AF3227">
        <w:t>nord</w:t>
      </w:r>
      <w:r w:rsidR="002C78DA">
        <w:t xml:space="preserve"> du pays.</w:t>
      </w:r>
    </w:p>
    <w:p w14:paraId="0B8A1B4E" w14:textId="2A437D99" w:rsidR="00114992" w:rsidRDefault="00114992" w:rsidP="00114992">
      <w:pPr>
        <w:jc w:val="both"/>
      </w:pPr>
      <w:r w:rsidRPr="002C78DA">
        <w:t xml:space="preserve">La quasi-totalité des produits vendus au </w:t>
      </w:r>
      <w:r w:rsidR="00AF3227">
        <w:t>nord</w:t>
      </w:r>
      <w:r w:rsidRPr="002C78DA">
        <w:t xml:space="preserve"> Mali sont ceux qui sont subventionnés en Algérie, à savoir les pâtes alimentaires, la farine, la semoule mais aussi les carburants</w:t>
      </w:r>
      <w:r w:rsidR="00BB2718">
        <w:t xml:space="preserve"> (voir figure 1)</w:t>
      </w:r>
      <w:r w:rsidRPr="002C78DA">
        <w:t>.</w:t>
      </w:r>
      <w:r w:rsidR="00B734F7">
        <w:t xml:space="preserve"> </w:t>
      </w:r>
      <w:r w:rsidRPr="002C78DA">
        <w:t>Malgré la fermeture officielle de la frontière algérienne en janvier 2013, les flux de commerce informels restent importants</w:t>
      </w:r>
      <w:r w:rsidR="002C78DA" w:rsidRPr="002C78DA">
        <w:t>.</w:t>
      </w:r>
    </w:p>
    <w:p w14:paraId="42E7753C" w14:textId="77777777" w:rsidR="00BB2718" w:rsidRPr="00C36120" w:rsidRDefault="00BB2718" w:rsidP="00BB2718">
      <w:pPr>
        <w:pStyle w:val="Caption"/>
        <w:rPr>
          <w:rFonts w:cstheme="minorHAnsi"/>
          <w:color w:val="auto"/>
          <w:sz w:val="22"/>
          <w:szCs w:val="22"/>
          <w:lang w:bidi="ar-DZ"/>
        </w:rPr>
      </w:pPr>
      <w:r w:rsidRPr="00C36120">
        <w:rPr>
          <w:color w:val="auto"/>
          <w:sz w:val="22"/>
          <w:szCs w:val="22"/>
        </w:rPr>
        <w:t xml:space="preserve">Figure </w:t>
      </w:r>
      <w:r w:rsidRPr="00C36120">
        <w:rPr>
          <w:color w:val="auto"/>
          <w:sz w:val="22"/>
          <w:szCs w:val="22"/>
        </w:rPr>
        <w:fldChar w:fldCharType="begin"/>
      </w:r>
      <w:r w:rsidRPr="00C36120">
        <w:rPr>
          <w:color w:val="auto"/>
          <w:sz w:val="22"/>
          <w:szCs w:val="22"/>
        </w:rPr>
        <w:instrText xml:space="preserve"> SEQ Figure \* ARABIC </w:instrText>
      </w:r>
      <w:r w:rsidRPr="00C36120">
        <w:rPr>
          <w:color w:val="auto"/>
          <w:sz w:val="22"/>
          <w:szCs w:val="22"/>
        </w:rPr>
        <w:fldChar w:fldCharType="separate"/>
      </w:r>
      <w:r w:rsidR="00CD7ECD">
        <w:rPr>
          <w:noProof/>
          <w:color w:val="auto"/>
          <w:sz w:val="22"/>
          <w:szCs w:val="22"/>
        </w:rPr>
        <w:t>1</w:t>
      </w:r>
      <w:r w:rsidRPr="00C36120">
        <w:rPr>
          <w:color w:val="auto"/>
          <w:sz w:val="22"/>
          <w:szCs w:val="22"/>
        </w:rPr>
        <w:fldChar w:fldCharType="end"/>
      </w:r>
      <w:r w:rsidRPr="00C36120">
        <w:rPr>
          <w:color w:val="auto"/>
          <w:sz w:val="22"/>
          <w:szCs w:val="22"/>
        </w:rPr>
        <w:t> : La répartition des flux en provenance d’Algérie vers le Mali</w:t>
      </w:r>
      <w:r>
        <w:rPr>
          <w:color w:val="auto"/>
          <w:sz w:val="22"/>
          <w:szCs w:val="22"/>
        </w:rPr>
        <w:t xml:space="preserve"> en 2014</w:t>
      </w:r>
    </w:p>
    <w:p w14:paraId="4489562A" w14:textId="77777777" w:rsidR="00BB2718" w:rsidRDefault="00BB2718" w:rsidP="00BB2718">
      <w:pPr>
        <w:jc w:val="both"/>
        <w:rPr>
          <w:rFonts w:cstheme="minorHAnsi"/>
          <w:lang w:bidi="ar-DZ"/>
        </w:rPr>
      </w:pPr>
      <w:r>
        <w:rPr>
          <w:noProof/>
          <w:lang w:val="en-US"/>
        </w:rPr>
        <w:drawing>
          <wp:inline distT="0" distB="0" distL="0" distR="0" wp14:anchorId="63BB5B27" wp14:editId="25A4D577">
            <wp:extent cx="4667250" cy="23526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FCED81" w14:textId="20658AB0" w:rsidR="004A0FAF" w:rsidRPr="004A0FAF" w:rsidRDefault="004A0FAF" w:rsidP="00F1524B">
      <w:pPr>
        <w:jc w:val="both"/>
      </w:pPr>
      <w:r w:rsidRPr="004A0FAF">
        <w:t>Source</w:t>
      </w:r>
      <w:r>
        <w:t xml:space="preserve"> des données</w:t>
      </w:r>
      <w:r w:rsidRPr="004A0FAF">
        <w:t> : enquêtes des auteurs.</w:t>
      </w:r>
    </w:p>
    <w:p w14:paraId="449FC636" w14:textId="65F645D0" w:rsidR="00F1524B" w:rsidRDefault="00127829" w:rsidP="00F1524B">
      <w:pPr>
        <w:jc w:val="both"/>
      </w:pPr>
      <w:r w:rsidRPr="0040730B">
        <w:rPr>
          <w:b/>
        </w:rPr>
        <w:t xml:space="preserve">Les trois principaux points de passage frontaliers sont </w:t>
      </w:r>
      <w:proofErr w:type="spellStart"/>
      <w:r w:rsidRPr="0040730B">
        <w:rPr>
          <w:b/>
        </w:rPr>
        <w:t>Borj</w:t>
      </w:r>
      <w:proofErr w:type="spellEnd"/>
      <w:r>
        <w:rPr>
          <w:b/>
        </w:rPr>
        <w:t xml:space="preserve"> </w:t>
      </w:r>
      <w:proofErr w:type="spellStart"/>
      <w:r w:rsidRPr="0040730B">
        <w:rPr>
          <w:b/>
        </w:rPr>
        <w:t>Badji</w:t>
      </w:r>
      <w:proofErr w:type="spellEnd"/>
      <w:r>
        <w:rPr>
          <w:b/>
        </w:rPr>
        <w:t xml:space="preserve"> </w:t>
      </w:r>
      <w:proofErr w:type="spellStart"/>
      <w:proofErr w:type="gramStart"/>
      <w:r w:rsidRPr="0040730B">
        <w:rPr>
          <w:b/>
        </w:rPr>
        <w:t>Mokthar</w:t>
      </w:r>
      <w:proofErr w:type="spellEnd"/>
      <w:r>
        <w:rPr>
          <w:b/>
        </w:rPr>
        <w:t xml:space="preserve"> </w:t>
      </w:r>
      <w:r w:rsidRPr="0040730B">
        <w:rPr>
          <w:b/>
        </w:rPr>
        <w:t>,</w:t>
      </w:r>
      <w:proofErr w:type="gramEnd"/>
      <w:r w:rsidRPr="0040730B">
        <w:rPr>
          <w:b/>
        </w:rPr>
        <w:t xml:space="preserve"> quelque peu supplanté depuis 2012 par </w:t>
      </w:r>
      <w:proofErr w:type="spellStart"/>
      <w:r w:rsidRPr="0040730B">
        <w:rPr>
          <w:b/>
        </w:rPr>
        <w:t>Tinzawaten</w:t>
      </w:r>
      <w:proofErr w:type="spellEnd"/>
      <w:r w:rsidRPr="0040730B">
        <w:rPr>
          <w:b/>
        </w:rPr>
        <w:t xml:space="preserve"> et </w:t>
      </w:r>
      <w:proofErr w:type="spellStart"/>
      <w:r w:rsidRPr="0040730B">
        <w:rPr>
          <w:b/>
        </w:rPr>
        <w:t>Timiaouine</w:t>
      </w:r>
      <w:proofErr w:type="spellEnd"/>
      <w:r>
        <w:rPr>
          <w:b/>
        </w:rPr>
        <w:t xml:space="preserve"> (voir carte 1)</w:t>
      </w:r>
      <w:r w:rsidRPr="00A728F8">
        <w:t xml:space="preserve">. A </w:t>
      </w:r>
      <w:proofErr w:type="spellStart"/>
      <w:r w:rsidRPr="00A728F8">
        <w:t>Borj</w:t>
      </w:r>
      <w:proofErr w:type="spellEnd"/>
      <w:r>
        <w:t xml:space="preserve"> </w:t>
      </w:r>
      <w:proofErr w:type="spellStart"/>
      <w:r w:rsidRPr="00A728F8">
        <w:t>Badji</w:t>
      </w:r>
      <w:proofErr w:type="spellEnd"/>
      <w:r>
        <w:t xml:space="preserve"> </w:t>
      </w:r>
      <w:proofErr w:type="spellStart"/>
      <w:r w:rsidRPr="00A728F8">
        <w:t>Mokthar</w:t>
      </w:r>
      <w:proofErr w:type="spellEnd"/>
      <w:r w:rsidRPr="00A728F8">
        <w:t xml:space="preserve">, les marchandises sont stockées dans les magasins puis envoyées à bord de petits camions ou de 4X4 jusqu’à In Khalil, où elles sont rechargées au fur et à mesure dans de nouveaux camions. </w:t>
      </w:r>
      <w:r w:rsidR="00F1524B">
        <w:t>Le carburant n’est pas un produit comme les autres et sa contrebande est le fait d’un nombre limité de fraudeurs en raison de l’extrême fermeté des Algériens en la matière.</w:t>
      </w:r>
    </w:p>
    <w:p w14:paraId="65435390" w14:textId="77777777" w:rsidR="00127829" w:rsidRDefault="00127829" w:rsidP="00127829">
      <w:pPr>
        <w:jc w:val="both"/>
        <w:rPr>
          <w:rFonts w:ascii="Calibri" w:hAnsi="Calibri" w:cs="Helvetica"/>
        </w:rPr>
      </w:pPr>
      <w:r w:rsidRPr="0040730B">
        <w:rPr>
          <w:rFonts w:ascii="Calibri" w:hAnsi="Calibri" w:cs="Helvetica"/>
          <w:b/>
        </w:rPr>
        <w:t>Les routes n’ont quasiment pas changé depuis 2011, certaines étant privilégiées par rapport à d’autres temporairement en raison de la situation sécuritaire qui prévaut</w:t>
      </w:r>
      <w:r w:rsidRPr="0034026C">
        <w:rPr>
          <w:rFonts w:ascii="Calibri" w:hAnsi="Calibri" w:cs="Helvetica"/>
        </w:rPr>
        <w:t>. L’un des changements majeurs</w:t>
      </w:r>
      <w:r>
        <w:rPr>
          <w:rFonts w:ascii="Calibri" w:hAnsi="Calibri" w:cs="Helvetica"/>
        </w:rPr>
        <w:t xml:space="preserve"> tient au remplacement du hub d’</w:t>
      </w:r>
      <w:r w:rsidRPr="0034026C">
        <w:rPr>
          <w:rFonts w:ascii="Calibri" w:hAnsi="Calibri" w:cs="Helvetica"/>
        </w:rPr>
        <w:t xml:space="preserve">In Khalil au profit de Tal </w:t>
      </w:r>
      <w:proofErr w:type="spellStart"/>
      <w:r w:rsidRPr="0034026C">
        <w:rPr>
          <w:rFonts w:ascii="Calibri" w:hAnsi="Calibri" w:cs="Helvetica"/>
        </w:rPr>
        <w:t>Handak</w:t>
      </w:r>
      <w:proofErr w:type="spellEnd"/>
      <w:r w:rsidRPr="0034026C">
        <w:rPr>
          <w:rFonts w:ascii="Calibri" w:hAnsi="Calibri" w:cs="Helvetica"/>
        </w:rPr>
        <w:t xml:space="preserve">, qualifié de « mini In Khalil », en raison de la situation sécuritaire extrêmement vive qui prévaut à In Khalil depuis le début de l’année 2013. </w:t>
      </w:r>
      <w:r>
        <w:rPr>
          <w:rFonts w:ascii="Calibri" w:hAnsi="Calibri" w:cs="Helvetica"/>
        </w:rPr>
        <w:t xml:space="preserve"> </w:t>
      </w:r>
      <w:r w:rsidRPr="0034026C">
        <w:rPr>
          <w:rFonts w:ascii="Calibri" w:hAnsi="Calibri" w:cs="Helvetica"/>
        </w:rPr>
        <w:t xml:space="preserve">La région de Gao est approvisionnée directement depuis </w:t>
      </w:r>
      <w:proofErr w:type="spellStart"/>
      <w:r w:rsidRPr="00035A87">
        <w:rPr>
          <w:rFonts w:ascii="Calibri" w:hAnsi="Calibri" w:cs="Helvetica"/>
        </w:rPr>
        <w:t>Borj</w:t>
      </w:r>
      <w:proofErr w:type="spellEnd"/>
      <w:r>
        <w:rPr>
          <w:rFonts w:ascii="Calibri" w:hAnsi="Calibri" w:cs="Helvetica"/>
        </w:rPr>
        <w:t xml:space="preserve"> </w:t>
      </w:r>
      <w:proofErr w:type="spellStart"/>
      <w:r w:rsidRPr="00035A87">
        <w:rPr>
          <w:rFonts w:ascii="Calibri" w:hAnsi="Calibri" w:cs="Helvetica"/>
        </w:rPr>
        <w:t>Badji</w:t>
      </w:r>
      <w:proofErr w:type="spellEnd"/>
      <w:r>
        <w:rPr>
          <w:rFonts w:ascii="Calibri" w:hAnsi="Calibri" w:cs="Helvetica"/>
        </w:rPr>
        <w:t xml:space="preserve"> </w:t>
      </w:r>
      <w:proofErr w:type="spellStart"/>
      <w:r w:rsidRPr="00035A87">
        <w:rPr>
          <w:rFonts w:ascii="Calibri" w:hAnsi="Calibri" w:cs="Helvetica"/>
        </w:rPr>
        <w:t>Mokthar</w:t>
      </w:r>
      <w:proofErr w:type="spellEnd"/>
      <w:r w:rsidRPr="0034026C">
        <w:rPr>
          <w:rFonts w:ascii="Calibri" w:hAnsi="Calibri" w:cs="Helvetica"/>
        </w:rPr>
        <w:t>, via in Khalil, sans passer par la ville de Kidal.</w:t>
      </w:r>
    </w:p>
    <w:p w14:paraId="4083E287" w14:textId="77777777" w:rsidR="00F1524B" w:rsidRPr="00C73609" w:rsidRDefault="00F1524B" w:rsidP="00F1524B">
      <w:pPr>
        <w:pStyle w:val="Caption"/>
        <w:rPr>
          <w:color w:val="auto"/>
          <w:sz w:val="22"/>
          <w:szCs w:val="22"/>
        </w:rPr>
      </w:pPr>
      <w:r w:rsidRPr="00C73609">
        <w:rPr>
          <w:color w:val="auto"/>
          <w:sz w:val="22"/>
          <w:szCs w:val="22"/>
        </w:rPr>
        <w:lastRenderedPageBreak/>
        <w:t xml:space="preserve">Carte </w:t>
      </w:r>
      <w:r w:rsidRPr="00C73609">
        <w:rPr>
          <w:color w:val="auto"/>
          <w:sz w:val="22"/>
          <w:szCs w:val="22"/>
        </w:rPr>
        <w:fldChar w:fldCharType="begin"/>
      </w:r>
      <w:r w:rsidRPr="00C73609">
        <w:rPr>
          <w:color w:val="auto"/>
          <w:sz w:val="22"/>
          <w:szCs w:val="22"/>
        </w:rPr>
        <w:instrText xml:space="preserve"> SEQ Carte \* ARABIC </w:instrText>
      </w:r>
      <w:r w:rsidRPr="00C73609">
        <w:rPr>
          <w:color w:val="auto"/>
          <w:sz w:val="22"/>
          <w:szCs w:val="22"/>
        </w:rPr>
        <w:fldChar w:fldCharType="separate"/>
      </w:r>
      <w:r w:rsidR="008229BD">
        <w:rPr>
          <w:noProof/>
          <w:color w:val="auto"/>
          <w:sz w:val="22"/>
          <w:szCs w:val="22"/>
        </w:rPr>
        <w:t>1</w:t>
      </w:r>
      <w:r w:rsidRPr="00C73609">
        <w:rPr>
          <w:color w:val="auto"/>
          <w:sz w:val="22"/>
          <w:szCs w:val="22"/>
        </w:rPr>
        <w:fldChar w:fldCharType="end"/>
      </w:r>
      <w:r w:rsidRPr="00C73609">
        <w:rPr>
          <w:color w:val="auto"/>
          <w:sz w:val="22"/>
          <w:szCs w:val="22"/>
        </w:rPr>
        <w:t> : Les routes du commerce informel entre Mali et Algérie</w:t>
      </w:r>
    </w:p>
    <w:p w14:paraId="1E9637E0" w14:textId="77777777" w:rsidR="00F1524B" w:rsidRDefault="00F1524B" w:rsidP="00F1524B">
      <w:pPr>
        <w:jc w:val="both"/>
      </w:pPr>
      <w:r>
        <w:rPr>
          <w:noProof/>
          <w:lang w:val="en-US"/>
        </w:rPr>
        <w:drawing>
          <wp:inline distT="0" distB="0" distL="0" distR="0" wp14:anchorId="03EA5642" wp14:editId="4FFBD933">
            <wp:extent cx="5929513" cy="453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866" cy="4534935"/>
                    </a:xfrm>
                    <a:prstGeom prst="rect">
                      <a:avLst/>
                    </a:prstGeom>
                    <a:noFill/>
                    <a:ln>
                      <a:noFill/>
                    </a:ln>
                  </pic:spPr>
                </pic:pic>
              </a:graphicData>
            </a:graphic>
          </wp:inline>
        </w:drawing>
      </w:r>
    </w:p>
    <w:p w14:paraId="72864BD0" w14:textId="08F2F1CC" w:rsidR="004A0FAF" w:rsidRPr="004A0FAF" w:rsidRDefault="004A0FAF" w:rsidP="00D40F56">
      <w:pPr>
        <w:jc w:val="both"/>
      </w:pPr>
      <w:r w:rsidRPr="004A0FAF">
        <w:t>Source : représentation des auteurs fondée sur les enquêtes.</w:t>
      </w:r>
    </w:p>
    <w:p w14:paraId="4C463F8D" w14:textId="3C59786B" w:rsidR="00114992" w:rsidRDefault="002C78DA" w:rsidP="00D40F56">
      <w:pPr>
        <w:jc w:val="both"/>
      </w:pPr>
      <w:r w:rsidRPr="002C78DA">
        <w:t xml:space="preserve">Le commerce informel a un impact ambivalent sur le </w:t>
      </w:r>
      <w:r w:rsidR="00AF3227">
        <w:t>nord</w:t>
      </w:r>
      <w:r w:rsidRPr="002C78DA">
        <w:t xml:space="preserve"> Mali : malgré son impact économique et social positif, il renforce l’intégration économique du </w:t>
      </w:r>
      <w:r w:rsidR="00AF3227">
        <w:t>nord</w:t>
      </w:r>
      <w:r w:rsidRPr="002C78DA">
        <w:t xml:space="preserve"> Mali à l’Algérie et crée ainsi des </w:t>
      </w:r>
      <w:r w:rsidR="00550017" w:rsidRPr="002C78DA">
        <w:t>rancœurs</w:t>
      </w:r>
      <w:r w:rsidRPr="002C78DA">
        <w:t xml:space="preserve"> vis-à-vis de Bamako. En outre, de par s</w:t>
      </w:r>
      <w:r w:rsidR="00945FE1">
        <w:t>on impact sur la corruption d’</w:t>
      </w:r>
      <w:r w:rsidRPr="002C78DA">
        <w:t>institutions</w:t>
      </w:r>
      <w:r w:rsidR="00945FE1">
        <w:t xml:space="preserve"> comme les douanes ou l’armée, il mine</w:t>
      </w:r>
      <w:r w:rsidRPr="002C78DA">
        <w:t xml:space="preserve"> la présence de l’Etat malien au </w:t>
      </w:r>
      <w:r w:rsidR="00AF3227">
        <w:t>Nord</w:t>
      </w:r>
      <w:r w:rsidRPr="002C78DA">
        <w:t>.</w:t>
      </w:r>
    </w:p>
    <w:p w14:paraId="3E00D140" w14:textId="77777777" w:rsidR="002C78DA" w:rsidRDefault="002C78DA" w:rsidP="00D40F56">
      <w:pPr>
        <w:jc w:val="both"/>
      </w:pPr>
      <w:r>
        <w:t>En outre, d’un point de vue national, le potentiel de rece</w:t>
      </w:r>
      <w:r w:rsidR="00AF3227">
        <w:t>ttes de ces flux est</w:t>
      </w:r>
      <w:r>
        <w:t xml:space="preserve"> marginal (tout au plus 25 millions de dollars en période normale de trafic) et, hormis quelques rares produits, les volumes consommés sont faibles et les flux atteignant le sud du pays le sont également.</w:t>
      </w:r>
    </w:p>
    <w:p w14:paraId="40685399" w14:textId="5F2F7112" w:rsidR="002C78DA" w:rsidRDefault="002C78DA" w:rsidP="00D40F56">
      <w:pPr>
        <w:jc w:val="both"/>
      </w:pPr>
      <w:r>
        <w:t xml:space="preserve">La dépendance économique vis-à-vis de l’Algérie créé une vulnérabilité extrême pour l’Etat malien </w:t>
      </w:r>
      <w:r w:rsidR="00EC13F9">
        <w:t xml:space="preserve">au </w:t>
      </w:r>
      <w:r w:rsidR="00AF3227">
        <w:t>nord</w:t>
      </w:r>
      <w:r w:rsidR="00EC13F9">
        <w:t xml:space="preserve"> du pays. L’Etat malien est ainsi</w:t>
      </w:r>
      <w:r w:rsidR="00697933">
        <w:t xml:space="preserve"> dans une position</w:t>
      </w:r>
      <w:r w:rsidR="00EC13F9">
        <w:t xml:space="preserve"> inconfortable car il est économiquement légitime que le </w:t>
      </w:r>
      <w:r w:rsidR="00AF3227">
        <w:t>nord</w:t>
      </w:r>
      <w:r w:rsidR="00EC13F9">
        <w:t xml:space="preserve"> soit largement ancré à l’Algérie mais cela renforce, par le biais de la corruption, la faiblesse de l’Etat malien. Aussi, une politique totale de répression est impossible. Néanmoins, un laisser-aller n’est pas envisageable non plus d’autant que les marges peuvent au minimum être estimées à 10-15 millions de dollars (sans parler du trafic d’armes ou de stupéfiants) et permettent aux contrebandiers de</w:t>
      </w:r>
      <w:r w:rsidR="00C76B3A">
        <w:t xml:space="preserve"> rendre la répression contre les trafics inefficace</w:t>
      </w:r>
      <w:r w:rsidR="00EC13F9">
        <w:t xml:space="preserve"> (</w:t>
      </w:r>
      <w:r w:rsidR="00C76B3A">
        <w:t xml:space="preserve">que ce soit les </w:t>
      </w:r>
      <w:r w:rsidR="00EC13F9">
        <w:t xml:space="preserve">douanes, </w:t>
      </w:r>
      <w:r w:rsidR="00C76B3A">
        <w:t>l’armée ou même les</w:t>
      </w:r>
      <w:r w:rsidR="00EC13F9">
        <w:t xml:space="preserve"> autorités politiques). </w:t>
      </w:r>
    </w:p>
    <w:p w14:paraId="7D5BFC21" w14:textId="77777777" w:rsidR="00EC13F9" w:rsidRPr="002C78DA" w:rsidRDefault="00EC13F9" w:rsidP="00D40F56">
      <w:pPr>
        <w:jc w:val="both"/>
      </w:pPr>
      <w:r>
        <w:lastRenderedPageBreak/>
        <w:t xml:space="preserve">Etant donné l’importance économique et politique de l’Algérie pour le </w:t>
      </w:r>
      <w:r w:rsidR="00AF3227">
        <w:t>nord</w:t>
      </w:r>
      <w:r>
        <w:t xml:space="preserve"> Mali et les problèmes actuels d’instabilité, il est crucial que des discussions soient menées avec les autorités algériennes. </w:t>
      </w:r>
    </w:p>
    <w:p w14:paraId="4CE47F3D" w14:textId="77777777" w:rsidR="00D40F56" w:rsidRDefault="006822AC" w:rsidP="00326379">
      <w:pPr>
        <w:jc w:val="both"/>
      </w:pPr>
      <w:r w:rsidRPr="006822AC">
        <w:t xml:space="preserve">En outre, </w:t>
      </w:r>
      <w:r>
        <w:t xml:space="preserve">il est important </w:t>
      </w:r>
      <w:r w:rsidR="00AA0AD7">
        <w:t xml:space="preserve">de distinguer les différentes filières de contrebande et </w:t>
      </w:r>
      <w:r w:rsidR="00AF3227">
        <w:t xml:space="preserve">probablement </w:t>
      </w:r>
      <w:r w:rsidR="00AA0AD7">
        <w:t>délaisser l’aspect fiscal au profit d’un contrôle plus sécuritaire de la contrebande.</w:t>
      </w:r>
    </w:p>
    <w:p w14:paraId="74F22DBC" w14:textId="445EAC43" w:rsidR="00D85DD3" w:rsidRPr="00326379" w:rsidRDefault="00D85DD3" w:rsidP="00326379">
      <w:pPr>
        <w:jc w:val="both"/>
        <w:rPr>
          <w:rFonts w:cstheme="minorHAnsi"/>
          <w:lang w:bidi="ar-DZ"/>
        </w:rPr>
      </w:pPr>
      <w:r>
        <w:t>L</w:t>
      </w:r>
      <w:r w:rsidR="00E60E10">
        <w:t>’article</w:t>
      </w:r>
      <w:r>
        <w:t xml:space="preserve"> est organisé comme suit : la second</w:t>
      </w:r>
      <w:r w:rsidR="00AF3227">
        <w:t>e</w:t>
      </w:r>
      <w:r>
        <w:t xml:space="preserve"> section présente le contexte réglementaire et </w:t>
      </w:r>
      <w:r w:rsidR="00F561E8">
        <w:t xml:space="preserve">le rôle joué par les subventions algériennes, suivi de </w:t>
      </w:r>
      <w:r>
        <w:t>l’analyse des statistiques officielles, ensuite est estimé le volume du commerce informel en 2011 et en 2014 puis  l’organisation des principales filières</w:t>
      </w:r>
      <w:r w:rsidR="004B69C8">
        <w:t xml:space="preserve"> est d</w:t>
      </w:r>
      <w:r w:rsidR="00F946B0">
        <w:t>é</w:t>
      </w:r>
      <w:r w:rsidR="004B69C8">
        <w:t>crite</w:t>
      </w:r>
      <w:r>
        <w:t xml:space="preserve">. La section suivante montre l’impact social du commerce informel mais aussi l’impact en termes de gouvernance et au niveau macroéconomique, la dernière section propose quelques pistes possibles d’amélioration. </w:t>
      </w:r>
    </w:p>
    <w:p w14:paraId="09D178B1" w14:textId="31E7CC6D" w:rsidR="008E2273" w:rsidRDefault="008E2273" w:rsidP="00724D45">
      <w:pPr>
        <w:pStyle w:val="Heading1"/>
        <w:numPr>
          <w:ilvl w:val="0"/>
          <w:numId w:val="1"/>
        </w:numPr>
        <w:jc w:val="both"/>
        <w:rPr>
          <w:color w:val="auto"/>
        </w:rPr>
      </w:pPr>
      <w:bookmarkStart w:id="4" w:name="_Toc384903141"/>
      <w:bookmarkStart w:id="5" w:name="_Toc386104454"/>
      <w:r>
        <w:rPr>
          <w:color w:val="auto"/>
        </w:rPr>
        <w:t xml:space="preserve">La </w:t>
      </w:r>
      <w:r w:rsidR="00B305E3">
        <w:rPr>
          <w:color w:val="auto"/>
        </w:rPr>
        <w:t>réglementation de la frontière en Algérie</w:t>
      </w:r>
      <w:bookmarkEnd w:id="4"/>
      <w:r w:rsidR="0048165D">
        <w:rPr>
          <w:color w:val="auto"/>
        </w:rPr>
        <w:t xml:space="preserve"> et la question des subventions au sud algérien</w:t>
      </w:r>
      <w:bookmarkEnd w:id="5"/>
    </w:p>
    <w:p w14:paraId="5E7F6FBA" w14:textId="77777777" w:rsidR="00EA4650" w:rsidRDefault="00EA4650" w:rsidP="00EA4650"/>
    <w:p w14:paraId="2352A537" w14:textId="77777777" w:rsidR="00EA4650" w:rsidRDefault="00EA4650" w:rsidP="00EA4650">
      <w:pPr>
        <w:jc w:val="both"/>
        <w:rPr>
          <w:rFonts w:cstheme="minorHAnsi"/>
          <w:lang w:bidi="ar-DZ"/>
        </w:rPr>
      </w:pPr>
      <w:r w:rsidRPr="00B22027">
        <w:rPr>
          <w:rFonts w:cstheme="minorHAnsi"/>
          <w:lang w:bidi="ar-DZ"/>
        </w:rPr>
        <w:t>Les wilayas</w:t>
      </w:r>
      <w:r>
        <w:rPr>
          <w:rFonts w:cstheme="minorHAnsi"/>
          <w:lang w:bidi="ar-DZ"/>
        </w:rPr>
        <w:t xml:space="preserve"> </w:t>
      </w:r>
      <w:r w:rsidRPr="00B22027">
        <w:rPr>
          <w:rFonts w:cstheme="minorHAnsi"/>
          <w:lang w:bidi="ar-DZ"/>
        </w:rPr>
        <w:t>du sud de l'Algérie, dont Tamanrasset, bénéficient d'</w:t>
      </w:r>
      <w:r>
        <w:rPr>
          <w:rFonts w:cstheme="minorHAnsi"/>
          <w:lang w:bidi="ar-DZ"/>
        </w:rPr>
        <w:t>un double système de subvention :</w:t>
      </w:r>
      <w:r w:rsidRPr="00B22027">
        <w:rPr>
          <w:rFonts w:cstheme="minorHAnsi"/>
          <w:lang w:bidi="ar-DZ"/>
        </w:rPr>
        <w:t xml:space="preserve"> le</w:t>
      </w:r>
      <w:r>
        <w:rPr>
          <w:rFonts w:cstheme="minorHAnsi"/>
          <w:lang w:bidi="ar-DZ"/>
        </w:rPr>
        <w:t xml:space="preserve"> </w:t>
      </w:r>
      <w:r w:rsidRPr="00B22027">
        <w:rPr>
          <w:rFonts w:cstheme="minorHAnsi"/>
          <w:lang w:bidi="ar-DZ"/>
        </w:rPr>
        <w:t>système de</w:t>
      </w:r>
      <w:r>
        <w:rPr>
          <w:rFonts w:cstheme="minorHAnsi"/>
          <w:lang w:bidi="ar-DZ"/>
        </w:rPr>
        <w:t xml:space="preserve"> </w:t>
      </w:r>
      <w:r w:rsidRPr="00B22027">
        <w:rPr>
          <w:rFonts w:cstheme="minorHAnsi"/>
          <w:lang w:bidi="ar-DZ"/>
        </w:rPr>
        <w:t>compensation des frais de transports mis en place</w:t>
      </w:r>
      <w:r>
        <w:rPr>
          <w:rFonts w:cstheme="minorHAnsi"/>
          <w:lang w:bidi="ar-DZ"/>
        </w:rPr>
        <w:t xml:space="preserve"> </w:t>
      </w:r>
      <w:r w:rsidRPr="00B22027">
        <w:rPr>
          <w:rFonts w:cstheme="minorHAnsi"/>
          <w:lang w:bidi="ar-DZ"/>
        </w:rPr>
        <w:t>exclusivement pour ces régions</w:t>
      </w:r>
      <w:r>
        <w:rPr>
          <w:rFonts w:cstheme="minorHAnsi"/>
          <w:lang w:bidi="ar-DZ"/>
        </w:rPr>
        <w:t xml:space="preserve"> et</w:t>
      </w:r>
      <w:r w:rsidRPr="00B22027">
        <w:rPr>
          <w:rFonts w:cstheme="minorHAnsi"/>
          <w:lang w:bidi="ar-DZ"/>
        </w:rPr>
        <w:t xml:space="preserve"> la</w:t>
      </w:r>
      <w:r>
        <w:rPr>
          <w:rFonts w:cstheme="minorHAnsi"/>
          <w:lang w:bidi="ar-DZ"/>
        </w:rPr>
        <w:t xml:space="preserve"> </w:t>
      </w:r>
      <w:r w:rsidRPr="00B22027">
        <w:rPr>
          <w:rFonts w:cstheme="minorHAnsi"/>
          <w:lang w:bidi="ar-DZ"/>
        </w:rPr>
        <w:t>subvention des prix des produits de large consommation (dite subvention à la source) applicable sur l'ensemble du territoire algérien.</w:t>
      </w:r>
    </w:p>
    <w:p w14:paraId="00A2E2A9" w14:textId="5ABB7608" w:rsidR="00310042" w:rsidRDefault="00310042" w:rsidP="00EA4650">
      <w:pPr>
        <w:jc w:val="both"/>
        <w:rPr>
          <w:rFonts w:cstheme="minorHAnsi"/>
          <w:lang w:bidi="ar-DZ"/>
        </w:rPr>
      </w:pPr>
      <w:r>
        <w:rPr>
          <w:rFonts w:cstheme="minorHAnsi"/>
          <w:lang w:bidi="ar-DZ"/>
        </w:rPr>
        <w:t>Etant donné l’impact potentiel de subvention des pays limitrophes, un système de troc a été mis en place pour réguler les flux.</w:t>
      </w:r>
    </w:p>
    <w:p w14:paraId="500E96C9" w14:textId="40C99B40" w:rsidR="00310042" w:rsidRPr="00B22027" w:rsidRDefault="00310042" w:rsidP="00EA4650">
      <w:pPr>
        <w:jc w:val="both"/>
        <w:rPr>
          <w:rFonts w:cstheme="minorHAnsi"/>
          <w:lang w:bidi="ar-DZ"/>
        </w:rPr>
      </w:pPr>
      <w:r>
        <w:rPr>
          <w:rFonts w:cstheme="minorHAnsi"/>
          <w:lang w:bidi="ar-DZ"/>
        </w:rPr>
        <w:t>Enfin, en 2012, suite à la prise du pouvoir par des islamistes au nord Mali et à l’intervention militaire française subséquente, la frontière a été officiellement fermée avec le Mali en janvier 2013.</w:t>
      </w:r>
    </w:p>
    <w:p w14:paraId="3498F8C9" w14:textId="77777777" w:rsidR="00EA4650" w:rsidRPr="00AC2B21" w:rsidRDefault="00EA4650" w:rsidP="00EA4650">
      <w:pPr>
        <w:pStyle w:val="Heading2"/>
        <w:rPr>
          <w:lang w:bidi="ar-DZ"/>
        </w:rPr>
      </w:pPr>
      <w:bookmarkStart w:id="6" w:name="_Toc384903156"/>
      <w:r w:rsidRPr="00F40DC2">
        <w:t>Le fond</w:t>
      </w:r>
      <w:r>
        <w:t>s</w:t>
      </w:r>
      <w:r w:rsidRPr="00F40DC2">
        <w:t xml:space="preserve"> de compensation des frais de transport</w:t>
      </w:r>
      <w:r>
        <w:rPr>
          <w:lang w:bidi="ar-DZ"/>
        </w:rPr>
        <w:t xml:space="preserve"> en Algérie</w:t>
      </w:r>
      <w:bookmarkEnd w:id="6"/>
    </w:p>
    <w:p w14:paraId="6B8D0DA2" w14:textId="77777777" w:rsidR="00EA4650" w:rsidRPr="00B2529C" w:rsidRDefault="00EA4650" w:rsidP="00EA4650">
      <w:pPr>
        <w:jc w:val="both"/>
        <w:rPr>
          <w:rFonts w:cstheme="minorHAnsi"/>
          <w:b/>
          <w:lang w:bidi="ar-DZ"/>
        </w:rPr>
      </w:pPr>
      <w:r w:rsidRPr="00B3348F">
        <w:rPr>
          <w:rFonts w:cstheme="minorHAnsi"/>
          <w:b/>
          <w:lang w:bidi="ar-DZ"/>
        </w:rPr>
        <w:t>Le système de</w:t>
      </w:r>
      <w:r>
        <w:rPr>
          <w:rFonts w:cstheme="minorHAnsi"/>
          <w:b/>
          <w:lang w:bidi="ar-DZ"/>
        </w:rPr>
        <w:t xml:space="preserve"> </w:t>
      </w:r>
      <w:r w:rsidRPr="00B3348F">
        <w:rPr>
          <w:rFonts w:cstheme="minorHAnsi"/>
          <w:b/>
          <w:lang w:bidi="ar-DZ"/>
        </w:rPr>
        <w:t>compensation se présente sous forme de remboursement des frais de transport, induits par l'approvisionnement et la distribution des produits de large consommation au niveau des wilayas des régions du sud</w:t>
      </w:r>
      <w:r w:rsidRPr="00AC2B21">
        <w:rPr>
          <w:rFonts w:cstheme="minorHAnsi"/>
          <w:lang w:bidi="ar-DZ"/>
        </w:rPr>
        <w:t xml:space="preserve"> (Tamanrasset, Illizi, Adrar, Tindouf, Ouargla, Bechar, El </w:t>
      </w:r>
      <w:proofErr w:type="spellStart"/>
      <w:r w:rsidRPr="00AC2B21">
        <w:rPr>
          <w:rFonts w:cstheme="minorHAnsi"/>
          <w:lang w:bidi="ar-DZ"/>
        </w:rPr>
        <w:t>Beidh</w:t>
      </w:r>
      <w:proofErr w:type="spellEnd"/>
      <w:r w:rsidRPr="00AC2B21">
        <w:rPr>
          <w:rFonts w:cstheme="minorHAnsi"/>
          <w:lang w:bidi="ar-DZ"/>
        </w:rPr>
        <w:t xml:space="preserve">, El oued, Ghardaïa, </w:t>
      </w:r>
      <w:proofErr w:type="spellStart"/>
      <w:r w:rsidRPr="00AC2B21">
        <w:rPr>
          <w:rFonts w:cstheme="minorHAnsi"/>
          <w:lang w:bidi="ar-DZ"/>
        </w:rPr>
        <w:t>Naama</w:t>
      </w:r>
      <w:proofErr w:type="spellEnd"/>
      <w:r w:rsidRPr="00AC2B21">
        <w:rPr>
          <w:rFonts w:cstheme="minorHAnsi"/>
          <w:lang w:bidi="ar-DZ"/>
        </w:rPr>
        <w:t>).Ce programme est</w:t>
      </w:r>
      <w:r>
        <w:rPr>
          <w:rFonts w:cstheme="minorHAnsi"/>
          <w:lang w:bidi="ar-DZ"/>
        </w:rPr>
        <w:t xml:space="preserve"> régi</w:t>
      </w:r>
      <w:r w:rsidRPr="00AC2B21">
        <w:rPr>
          <w:rFonts w:cstheme="minorHAnsi"/>
          <w:lang w:bidi="ar-DZ"/>
        </w:rPr>
        <w:t xml:space="preserve"> par le décret exécutif du 10 juillet 2007</w:t>
      </w:r>
      <w:r w:rsidRPr="00AC2B21">
        <w:rPr>
          <w:rStyle w:val="FootnoteReference"/>
          <w:rFonts w:cstheme="minorHAnsi"/>
          <w:lang w:bidi="ar-DZ"/>
        </w:rPr>
        <w:footnoteReference w:id="8"/>
      </w:r>
      <w:r w:rsidRPr="00AC2B21">
        <w:rPr>
          <w:rFonts w:cstheme="minorHAnsi"/>
          <w:lang w:bidi="ar-DZ"/>
        </w:rPr>
        <w:t>.Le remboursement couvre à la fois les transports inter wilayas ainsi que le transport à l'intérieur de la wilaya bénéficiaire. Ce dispositif a pour objectif d'assurer l'alimentation les populations des localités éloignées en</w:t>
      </w:r>
      <w:r>
        <w:rPr>
          <w:rFonts w:cstheme="minorHAnsi"/>
          <w:lang w:bidi="ar-DZ"/>
        </w:rPr>
        <w:t xml:space="preserve"> </w:t>
      </w:r>
      <w:r w:rsidRPr="00AC2B21">
        <w:rPr>
          <w:rFonts w:cstheme="minorHAnsi"/>
          <w:lang w:bidi="ar-DZ"/>
        </w:rPr>
        <w:t>produits de large consommation.</w:t>
      </w:r>
    </w:p>
    <w:p w14:paraId="1D50FF28" w14:textId="77777777" w:rsidR="00EA4650" w:rsidRPr="00AC2B21" w:rsidRDefault="00EA4650" w:rsidP="00EA4650">
      <w:pPr>
        <w:jc w:val="both"/>
        <w:rPr>
          <w:rFonts w:cstheme="minorHAnsi"/>
          <w:lang w:bidi="ar-DZ"/>
        </w:rPr>
      </w:pPr>
      <w:r w:rsidRPr="00AC2B21">
        <w:rPr>
          <w:rFonts w:cstheme="minorHAnsi"/>
          <w:lang w:bidi="ar-DZ"/>
        </w:rPr>
        <w:t>Le système de remboursement est calculé sur la base suivante:</w:t>
      </w:r>
    </w:p>
    <w:p w14:paraId="47596C62" w14:textId="39BCFB72" w:rsidR="00EA4650" w:rsidRPr="00AC2B21" w:rsidRDefault="00EA4650" w:rsidP="00EA4650">
      <w:pPr>
        <w:pBdr>
          <w:top w:val="single" w:sz="4" w:space="1" w:color="auto"/>
          <w:left w:val="single" w:sz="4" w:space="4" w:color="auto"/>
          <w:bottom w:val="single" w:sz="4" w:space="1" w:color="auto"/>
          <w:right w:val="single" w:sz="4" w:space="4" w:color="auto"/>
        </w:pBdr>
        <w:jc w:val="center"/>
        <w:rPr>
          <w:rFonts w:cstheme="minorHAnsi"/>
          <w:lang w:bidi="ar-DZ"/>
        </w:rPr>
      </w:pPr>
      <w:r w:rsidRPr="00AC2B21">
        <w:rPr>
          <w:rFonts w:cstheme="minorHAnsi"/>
          <w:lang w:bidi="ar-DZ"/>
        </w:rPr>
        <w:t>Montant de la compensation par opération=</w:t>
      </w:r>
      <w:r>
        <w:rPr>
          <w:rFonts w:cstheme="minorHAnsi"/>
          <w:lang w:bidi="ar-DZ"/>
        </w:rPr>
        <w:t xml:space="preserve"> </w:t>
      </w:r>
      <w:r w:rsidRPr="00AC2B21">
        <w:rPr>
          <w:rFonts w:cstheme="minorHAnsi"/>
          <w:lang w:bidi="ar-DZ"/>
        </w:rPr>
        <w:t>Distanc</w:t>
      </w:r>
      <w:r w:rsidR="00DC78D1">
        <w:rPr>
          <w:rFonts w:cstheme="minorHAnsi"/>
          <w:lang w:bidi="ar-DZ"/>
        </w:rPr>
        <w:t xml:space="preserve">e (en km) X poids (en tonne) X </w:t>
      </w:r>
      <w:r w:rsidRPr="00AC2B21">
        <w:rPr>
          <w:rFonts w:cstheme="minorHAnsi"/>
          <w:lang w:bidi="ar-DZ"/>
        </w:rPr>
        <w:t>3 DA</w:t>
      </w:r>
    </w:p>
    <w:p w14:paraId="4C9FD70C" w14:textId="77777777" w:rsidR="00EA4650" w:rsidRDefault="00EA4650" w:rsidP="00EA4650">
      <w:pPr>
        <w:jc w:val="both"/>
        <w:rPr>
          <w:rFonts w:cstheme="minorHAnsi"/>
          <w:b/>
          <w:lang w:bidi="ar-DZ"/>
        </w:rPr>
      </w:pPr>
      <w:r w:rsidRPr="00B2529C">
        <w:rPr>
          <w:rFonts w:cstheme="minorHAnsi"/>
          <w:b/>
          <w:lang w:bidi="ar-DZ"/>
        </w:rPr>
        <w:lastRenderedPageBreak/>
        <w:t>Un chargement de 40 tonnes acheminé depuis Alger (distance estimée officiellement de 1945 km) donne</w:t>
      </w:r>
      <w:r>
        <w:rPr>
          <w:rFonts w:cstheme="minorHAnsi"/>
          <w:b/>
          <w:lang w:bidi="ar-DZ"/>
        </w:rPr>
        <w:t xml:space="preserve"> </w:t>
      </w:r>
      <w:r w:rsidRPr="00B2529C">
        <w:rPr>
          <w:rFonts w:cstheme="minorHAnsi"/>
          <w:b/>
          <w:lang w:bidi="ar-DZ"/>
        </w:rPr>
        <w:t>droit à un remboursement de l'ordre de 233 400, 00 DA soit un montant supérieur au prix réel de transport qui ne dépasse pas, selon les déclarations,</w:t>
      </w:r>
      <w:r>
        <w:rPr>
          <w:rFonts w:cstheme="minorHAnsi"/>
          <w:b/>
          <w:lang w:bidi="ar-DZ"/>
        </w:rPr>
        <w:t xml:space="preserve"> </w:t>
      </w:r>
      <w:r w:rsidRPr="00B2529C">
        <w:rPr>
          <w:rFonts w:cstheme="minorHAnsi"/>
          <w:b/>
          <w:lang w:bidi="ar-DZ"/>
        </w:rPr>
        <w:t xml:space="preserve">180 000, 00 DA. </w:t>
      </w:r>
    </w:p>
    <w:p w14:paraId="2B09D355" w14:textId="7A113B0A" w:rsidR="00EA4650" w:rsidRPr="00B2529C" w:rsidRDefault="00EA4650" w:rsidP="00EA4650">
      <w:pPr>
        <w:jc w:val="both"/>
        <w:rPr>
          <w:rFonts w:cstheme="minorHAnsi"/>
          <w:b/>
          <w:lang w:bidi="ar-DZ"/>
        </w:rPr>
      </w:pPr>
      <w:r w:rsidRPr="00B2529C">
        <w:rPr>
          <w:rFonts w:cstheme="minorHAnsi"/>
          <w:b/>
          <w:lang w:bidi="ar-DZ"/>
        </w:rPr>
        <w:t>Le budget</w:t>
      </w:r>
      <w:r>
        <w:rPr>
          <w:rFonts w:cstheme="minorHAnsi"/>
          <w:b/>
          <w:lang w:bidi="ar-DZ"/>
        </w:rPr>
        <w:t xml:space="preserve"> </w:t>
      </w:r>
      <w:r w:rsidRPr="00B2529C">
        <w:rPr>
          <w:rFonts w:cstheme="minorHAnsi"/>
          <w:b/>
          <w:lang w:bidi="ar-DZ"/>
        </w:rPr>
        <w:t>global alloué en 2013</w:t>
      </w:r>
      <w:r>
        <w:rPr>
          <w:rFonts w:cstheme="minorHAnsi"/>
          <w:b/>
          <w:lang w:bidi="ar-DZ"/>
        </w:rPr>
        <w:t xml:space="preserve"> </w:t>
      </w:r>
      <w:r w:rsidRPr="00B2529C">
        <w:rPr>
          <w:rFonts w:cstheme="minorHAnsi"/>
          <w:b/>
          <w:lang w:bidi="ar-DZ"/>
        </w:rPr>
        <w:t>à ce programme est de 979 309 333</w:t>
      </w:r>
      <w:r w:rsidR="00912315">
        <w:rPr>
          <w:rFonts w:cstheme="minorHAnsi"/>
          <w:b/>
          <w:lang w:bidi="ar-DZ"/>
        </w:rPr>
        <w:t xml:space="preserve">  DA (soit près de 12,5 millions de dollars)</w:t>
      </w:r>
      <w:r w:rsidRPr="00B2529C">
        <w:rPr>
          <w:rFonts w:cstheme="minorHAnsi"/>
          <w:b/>
          <w:lang w:bidi="ar-DZ"/>
        </w:rPr>
        <w:t xml:space="preserve"> dont</w:t>
      </w:r>
      <w:r>
        <w:rPr>
          <w:rFonts w:cstheme="minorHAnsi"/>
          <w:b/>
          <w:lang w:bidi="ar-DZ"/>
        </w:rPr>
        <w:t xml:space="preserve"> </w:t>
      </w:r>
      <w:r w:rsidR="00912315">
        <w:rPr>
          <w:rFonts w:cstheme="minorHAnsi"/>
          <w:b/>
          <w:lang w:bidi="ar-DZ"/>
        </w:rPr>
        <w:t xml:space="preserve">près du quart </w:t>
      </w:r>
      <w:r w:rsidRPr="00B2529C">
        <w:rPr>
          <w:rFonts w:cstheme="minorHAnsi"/>
          <w:b/>
          <w:lang w:bidi="ar-DZ"/>
        </w:rPr>
        <w:t>pour la wilaya de Tamanrasset uniquement.</w:t>
      </w:r>
    </w:p>
    <w:p w14:paraId="32FD33E7" w14:textId="77777777" w:rsidR="00EA4650" w:rsidRDefault="00EA4650" w:rsidP="00EA4650">
      <w:pPr>
        <w:pStyle w:val="Heading2"/>
        <w:rPr>
          <w:lang w:bidi="ar-DZ"/>
        </w:rPr>
      </w:pPr>
      <w:bookmarkStart w:id="7" w:name="_Toc384903157"/>
      <w:r>
        <w:rPr>
          <w:lang w:bidi="ar-DZ"/>
        </w:rPr>
        <w:t>L’importance des subventions à la consommation en Algérie</w:t>
      </w:r>
      <w:bookmarkEnd w:id="7"/>
    </w:p>
    <w:p w14:paraId="36BCFE75" w14:textId="77777777" w:rsidR="00EA4650" w:rsidRPr="00F013F1" w:rsidRDefault="00EA4650" w:rsidP="00EA4650">
      <w:pPr>
        <w:jc w:val="both"/>
        <w:rPr>
          <w:rFonts w:cstheme="minorHAnsi"/>
          <w:b/>
          <w:bCs/>
          <w:lang w:bidi="ar-DZ"/>
        </w:rPr>
      </w:pPr>
      <w:r w:rsidRPr="00F013F1">
        <w:rPr>
          <w:rFonts w:cstheme="minorHAnsi"/>
          <w:b/>
          <w:bCs/>
          <w:lang w:bidi="ar-DZ"/>
        </w:rPr>
        <w:t>La subvention à la source (Liste des prix des</w:t>
      </w:r>
      <w:r>
        <w:rPr>
          <w:rFonts w:cstheme="minorHAnsi"/>
          <w:b/>
          <w:bCs/>
          <w:lang w:bidi="ar-DZ"/>
        </w:rPr>
        <w:t xml:space="preserve"> </w:t>
      </w:r>
      <w:r w:rsidRPr="00F013F1">
        <w:rPr>
          <w:rFonts w:cstheme="minorHAnsi"/>
          <w:b/>
          <w:bCs/>
          <w:lang w:bidi="ar-DZ"/>
        </w:rPr>
        <w:t>produits subventionnés):</w:t>
      </w:r>
    </w:p>
    <w:p w14:paraId="0B7AAAAB" w14:textId="77777777" w:rsidR="00EA4650" w:rsidRPr="00613803" w:rsidRDefault="00EA4650" w:rsidP="00EA4650">
      <w:pPr>
        <w:pStyle w:val="ListParagraph"/>
        <w:numPr>
          <w:ilvl w:val="0"/>
          <w:numId w:val="9"/>
        </w:numPr>
        <w:jc w:val="both"/>
        <w:rPr>
          <w:rFonts w:cstheme="minorHAnsi"/>
          <w:lang w:bidi="ar-DZ"/>
        </w:rPr>
      </w:pPr>
      <w:r w:rsidRPr="00613803">
        <w:rPr>
          <w:rFonts w:cstheme="minorHAnsi"/>
          <w:b/>
          <w:bCs/>
          <w:lang w:bidi="ar-DZ"/>
        </w:rPr>
        <w:t xml:space="preserve">Semoule normale: </w:t>
      </w:r>
      <w:r w:rsidRPr="00613803">
        <w:rPr>
          <w:rFonts w:cstheme="minorHAnsi"/>
          <w:lang w:bidi="ar-DZ"/>
        </w:rPr>
        <w:t>900</w:t>
      </w:r>
      <w:r>
        <w:rPr>
          <w:rFonts w:cstheme="minorHAnsi"/>
          <w:lang w:bidi="ar-DZ"/>
        </w:rPr>
        <w:t xml:space="preserve"> </w:t>
      </w:r>
      <w:r w:rsidRPr="00613803">
        <w:rPr>
          <w:rFonts w:cstheme="minorHAnsi"/>
          <w:lang w:bidi="ar-DZ"/>
        </w:rPr>
        <w:t>da/</w:t>
      </w:r>
      <w:r>
        <w:rPr>
          <w:rFonts w:cstheme="minorHAnsi"/>
          <w:lang w:bidi="ar-DZ"/>
        </w:rPr>
        <w:t xml:space="preserve"> </w:t>
      </w:r>
      <w:r w:rsidRPr="00613803">
        <w:rPr>
          <w:rFonts w:cstheme="minorHAnsi"/>
          <w:lang w:bidi="ar-DZ"/>
        </w:rPr>
        <w:t>25</w:t>
      </w:r>
      <w:r>
        <w:rPr>
          <w:rFonts w:cstheme="minorHAnsi"/>
          <w:lang w:bidi="ar-DZ"/>
        </w:rPr>
        <w:t xml:space="preserve"> </w:t>
      </w:r>
      <w:r w:rsidRPr="00613803">
        <w:rPr>
          <w:rFonts w:cstheme="minorHAnsi"/>
          <w:lang w:bidi="ar-DZ"/>
        </w:rPr>
        <w:t>kg</w:t>
      </w:r>
    </w:p>
    <w:p w14:paraId="7BF225A1" w14:textId="77777777" w:rsidR="00EA4650" w:rsidRPr="00613803" w:rsidRDefault="00EA4650" w:rsidP="00EA4650">
      <w:pPr>
        <w:pStyle w:val="ListParagraph"/>
        <w:numPr>
          <w:ilvl w:val="0"/>
          <w:numId w:val="9"/>
        </w:numPr>
        <w:jc w:val="both"/>
        <w:rPr>
          <w:rFonts w:cstheme="minorHAnsi"/>
          <w:lang w:bidi="ar-DZ"/>
        </w:rPr>
      </w:pPr>
      <w:r w:rsidRPr="00613803">
        <w:rPr>
          <w:rFonts w:cstheme="minorHAnsi"/>
          <w:b/>
          <w:bCs/>
          <w:lang w:bidi="ar-DZ"/>
        </w:rPr>
        <w:t>Semoule qualité extra</w:t>
      </w:r>
      <w:r w:rsidRPr="00613803">
        <w:rPr>
          <w:rFonts w:cstheme="minorHAnsi"/>
          <w:lang w:bidi="ar-DZ"/>
        </w:rPr>
        <w:t>: 1000</w:t>
      </w:r>
      <w:r>
        <w:rPr>
          <w:rFonts w:cstheme="minorHAnsi"/>
          <w:lang w:bidi="ar-DZ"/>
        </w:rPr>
        <w:t xml:space="preserve"> da</w:t>
      </w:r>
      <w:r w:rsidRPr="00613803">
        <w:rPr>
          <w:rFonts w:cstheme="minorHAnsi"/>
          <w:lang w:bidi="ar-DZ"/>
        </w:rPr>
        <w:t>/ 25 kg</w:t>
      </w:r>
    </w:p>
    <w:p w14:paraId="139A8495" w14:textId="77777777" w:rsidR="00EA4650" w:rsidRPr="00613803" w:rsidRDefault="00EA4650" w:rsidP="00EA4650">
      <w:pPr>
        <w:pStyle w:val="ListParagraph"/>
        <w:numPr>
          <w:ilvl w:val="0"/>
          <w:numId w:val="9"/>
        </w:numPr>
        <w:jc w:val="both"/>
        <w:rPr>
          <w:rFonts w:cstheme="minorHAnsi"/>
          <w:lang w:bidi="ar-DZ"/>
        </w:rPr>
      </w:pPr>
      <w:r w:rsidRPr="00613803">
        <w:rPr>
          <w:rFonts w:cstheme="minorHAnsi"/>
          <w:b/>
          <w:bCs/>
          <w:lang w:bidi="ar-DZ"/>
        </w:rPr>
        <w:t xml:space="preserve">Lait: </w:t>
      </w:r>
      <w:r w:rsidRPr="00613803">
        <w:rPr>
          <w:rFonts w:cstheme="minorHAnsi"/>
          <w:lang w:bidi="ar-DZ"/>
        </w:rPr>
        <w:t>25 da/ litre</w:t>
      </w:r>
    </w:p>
    <w:p w14:paraId="29DCFB9B" w14:textId="77777777" w:rsidR="00EA4650" w:rsidRPr="00613803" w:rsidRDefault="00EA4650" w:rsidP="00EA4650">
      <w:pPr>
        <w:pStyle w:val="ListParagraph"/>
        <w:numPr>
          <w:ilvl w:val="0"/>
          <w:numId w:val="9"/>
        </w:numPr>
        <w:jc w:val="both"/>
        <w:rPr>
          <w:rFonts w:cstheme="minorHAnsi"/>
          <w:lang w:bidi="ar-DZ"/>
        </w:rPr>
      </w:pPr>
      <w:r w:rsidRPr="00613803">
        <w:rPr>
          <w:rFonts w:cstheme="minorHAnsi"/>
          <w:b/>
          <w:bCs/>
          <w:lang w:bidi="ar-DZ"/>
        </w:rPr>
        <w:t>Farine:</w:t>
      </w:r>
      <w:r w:rsidRPr="00613803">
        <w:rPr>
          <w:rFonts w:cstheme="minorHAnsi"/>
          <w:lang w:bidi="ar-DZ"/>
        </w:rPr>
        <w:t xml:space="preserve"> 2000</w:t>
      </w:r>
      <w:r>
        <w:rPr>
          <w:rFonts w:cstheme="minorHAnsi"/>
          <w:lang w:bidi="ar-DZ"/>
        </w:rPr>
        <w:t xml:space="preserve"> </w:t>
      </w:r>
      <w:r w:rsidRPr="00613803">
        <w:rPr>
          <w:rFonts w:cstheme="minorHAnsi"/>
          <w:lang w:bidi="ar-DZ"/>
        </w:rPr>
        <w:t>da /</w:t>
      </w:r>
      <w:r>
        <w:rPr>
          <w:rFonts w:cstheme="minorHAnsi"/>
          <w:lang w:bidi="ar-DZ"/>
        </w:rPr>
        <w:t xml:space="preserve"> </w:t>
      </w:r>
      <w:r w:rsidRPr="00613803">
        <w:rPr>
          <w:rFonts w:cstheme="minorHAnsi"/>
          <w:lang w:bidi="ar-DZ"/>
        </w:rPr>
        <w:t>100</w:t>
      </w:r>
      <w:r>
        <w:rPr>
          <w:rFonts w:cstheme="minorHAnsi"/>
          <w:lang w:bidi="ar-DZ"/>
        </w:rPr>
        <w:t xml:space="preserve"> </w:t>
      </w:r>
      <w:r w:rsidRPr="00613803">
        <w:rPr>
          <w:rFonts w:cstheme="minorHAnsi"/>
          <w:lang w:bidi="ar-DZ"/>
        </w:rPr>
        <w:t>kg (pour les boulangers), 2080 da /</w:t>
      </w:r>
      <w:r>
        <w:rPr>
          <w:rFonts w:cstheme="minorHAnsi"/>
          <w:lang w:bidi="ar-DZ"/>
        </w:rPr>
        <w:t xml:space="preserve"> </w:t>
      </w:r>
      <w:r w:rsidRPr="00613803">
        <w:rPr>
          <w:rFonts w:cstheme="minorHAnsi"/>
          <w:lang w:bidi="ar-DZ"/>
        </w:rPr>
        <w:t>100 kg pour les</w:t>
      </w:r>
      <w:r>
        <w:rPr>
          <w:rFonts w:cstheme="minorHAnsi"/>
          <w:lang w:bidi="ar-DZ"/>
        </w:rPr>
        <w:t xml:space="preserve"> </w:t>
      </w:r>
      <w:r w:rsidRPr="00613803">
        <w:rPr>
          <w:rFonts w:cstheme="minorHAnsi"/>
          <w:lang w:bidi="ar-DZ"/>
        </w:rPr>
        <w:t>vendeurs détaillants, 2180 da/ 100 kg pour le consommateur</w:t>
      </w:r>
    </w:p>
    <w:p w14:paraId="1DAD3AFC" w14:textId="77777777" w:rsidR="00EA4650" w:rsidRPr="00613803" w:rsidRDefault="00EA4650" w:rsidP="00EA4650">
      <w:pPr>
        <w:pStyle w:val="ListParagraph"/>
        <w:numPr>
          <w:ilvl w:val="0"/>
          <w:numId w:val="9"/>
        </w:numPr>
        <w:jc w:val="both"/>
        <w:rPr>
          <w:rFonts w:cstheme="minorHAnsi"/>
          <w:lang w:bidi="ar-DZ"/>
        </w:rPr>
      </w:pPr>
      <w:r w:rsidRPr="00613803">
        <w:rPr>
          <w:rFonts w:cstheme="minorHAnsi"/>
          <w:b/>
          <w:bCs/>
          <w:lang w:bidi="ar-DZ"/>
        </w:rPr>
        <w:t>Sucre :</w:t>
      </w:r>
      <w:r w:rsidRPr="00613803">
        <w:rPr>
          <w:rFonts w:cstheme="minorHAnsi"/>
          <w:lang w:bidi="ar-DZ"/>
        </w:rPr>
        <w:t xml:space="preserve"> entre 90 et 95 da/ kg</w:t>
      </w:r>
    </w:p>
    <w:p w14:paraId="19BC8893" w14:textId="77777777" w:rsidR="00EA4650" w:rsidRPr="007013FB" w:rsidRDefault="00EA4650" w:rsidP="00EA4650">
      <w:pPr>
        <w:pStyle w:val="ListParagraph"/>
        <w:numPr>
          <w:ilvl w:val="0"/>
          <w:numId w:val="9"/>
        </w:numPr>
        <w:jc w:val="both"/>
        <w:rPr>
          <w:lang w:val="da-DK"/>
        </w:rPr>
      </w:pPr>
      <w:r w:rsidRPr="007013FB">
        <w:rPr>
          <w:b/>
          <w:lang w:val="da-DK"/>
        </w:rPr>
        <w:t>Huile:</w:t>
      </w:r>
      <w:r w:rsidRPr="007013FB">
        <w:rPr>
          <w:lang w:val="da-DK"/>
        </w:rPr>
        <w:t xml:space="preserve"> 600 da /50 L, 250 da/ 2L, 125 da/ 1 L</w:t>
      </w:r>
    </w:p>
    <w:p w14:paraId="70D03DA0" w14:textId="77777777" w:rsidR="00EA4650" w:rsidRDefault="00EA4650" w:rsidP="00EA4650">
      <w:pPr>
        <w:pStyle w:val="ListParagraph"/>
        <w:numPr>
          <w:ilvl w:val="0"/>
          <w:numId w:val="9"/>
        </w:numPr>
        <w:jc w:val="both"/>
        <w:rPr>
          <w:rFonts w:cstheme="minorHAnsi"/>
          <w:lang w:bidi="ar-DZ"/>
        </w:rPr>
      </w:pPr>
      <w:r w:rsidRPr="00613803">
        <w:rPr>
          <w:rFonts w:cstheme="minorHAnsi"/>
          <w:b/>
          <w:bCs/>
          <w:lang w:bidi="ar-DZ"/>
        </w:rPr>
        <w:t>Ciment:</w:t>
      </w:r>
      <w:r w:rsidRPr="00613803">
        <w:rPr>
          <w:rFonts w:cstheme="minorHAnsi"/>
          <w:lang w:bidi="ar-DZ"/>
        </w:rPr>
        <w:t xml:space="preserve"> le prix du ciment n'est pas dé</w:t>
      </w:r>
      <w:r>
        <w:rPr>
          <w:rFonts w:cstheme="minorHAnsi"/>
          <w:lang w:bidi="ar-DZ"/>
        </w:rPr>
        <w:t>fini mais les marges de bénéfices</w:t>
      </w:r>
      <w:r w:rsidRPr="00613803">
        <w:rPr>
          <w:rFonts w:cstheme="minorHAnsi"/>
          <w:lang w:bidi="ar-DZ"/>
        </w:rPr>
        <w:t xml:space="preserve"> sont</w:t>
      </w:r>
      <w:r>
        <w:rPr>
          <w:rFonts w:cstheme="minorHAnsi"/>
          <w:lang w:bidi="ar-DZ"/>
        </w:rPr>
        <w:t xml:space="preserve"> </w:t>
      </w:r>
      <w:r w:rsidRPr="00613803">
        <w:rPr>
          <w:rFonts w:cstheme="minorHAnsi"/>
          <w:lang w:bidi="ar-DZ"/>
        </w:rPr>
        <w:t>fixées à 40 da/25 kg pour les grossistes et 80 da/25 kg pour les détaillants.</w:t>
      </w:r>
    </w:p>
    <w:p w14:paraId="7FD9153D" w14:textId="2FFFABED" w:rsidR="00EA4650" w:rsidRDefault="00EA4650" w:rsidP="00EA4650">
      <w:pPr>
        <w:jc w:val="both"/>
        <w:rPr>
          <w:rFonts w:cstheme="minorHAnsi"/>
          <w:lang w:bidi="ar-DZ"/>
        </w:rPr>
      </w:pPr>
      <w:r>
        <w:rPr>
          <w:rFonts w:cstheme="minorHAnsi"/>
          <w:b/>
          <w:lang w:bidi="ar-DZ"/>
        </w:rPr>
        <w:t>L</w:t>
      </w:r>
      <w:r w:rsidRPr="00B2529C">
        <w:rPr>
          <w:rFonts w:cstheme="minorHAnsi"/>
          <w:b/>
          <w:lang w:bidi="ar-DZ"/>
        </w:rPr>
        <w:t>a dotation en</w:t>
      </w:r>
      <w:r>
        <w:rPr>
          <w:rFonts w:cstheme="minorHAnsi"/>
          <w:b/>
          <w:lang w:bidi="ar-DZ"/>
        </w:rPr>
        <w:t xml:space="preserve"> </w:t>
      </w:r>
      <w:r w:rsidRPr="00B2529C">
        <w:rPr>
          <w:rFonts w:cstheme="minorHAnsi"/>
          <w:b/>
          <w:lang w:bidi="ar-DZ"/>
        </w:rPr>
        <w:t>prod</w:t>
      </w:r>
      <w:r>
        <w:rPr>
          <w:rFonts w:cstheme="minorHAnsi"/>
          <w:b/>
          <w:lang w:bidi="ar-DZ"/>
        </w:rPr>
        <w:t xml:space="preserve">uits subventionnés n'est pas </w:t>
      </w:r>
      <w:r w:rsidRPr="00B2529C">
        <w:rPr>
          <w:rFonts w:cstheme="minorHAnsi"/>
          <w:b/>
          <w:lang w:bidi="ar-DZ"/>
        </w:rPr>
        <w:t>basée sur une étude des besoins réels</w:t>
      </w:r>
      <w:r>
        <w:rPr>
          <w:rFonts w:cstheme="minorHAnsi"/>
          <w:b/>
          <w:lang w:bidi="ar-DZ"/>
        </w:rPr>
        <w:t xml:space="preserve"> </w:t>
      </w:r>
      <w:r w:rsidRPr="00B2529C">
        <w:rPr>
          <w:rFonts w:cstheme="minorHAnsi"/>
          <w:b/>
          <w:lang w:bidi="ar-DZ"/>
        </w:rPr>
        <w:t>de consommation.</w:t>
      </w:r>
      <w:r>
        <w:rPr>
          <w:rFonts w:cstheme="minorHAnsi"/>
          <w:lang w:bidi="ar-DZ"/>
        </w:rPr>
        <w:t xml:space="preserve"> L</w:t>
      </w:r>
      <w:r w:rsidRPr="00AC2B21">
        <w:rPr>
          <w:rFonts w:cstheme="minorHAnsi"/>
          <w:lang w:bidi="ar-DZ"/>
        </w:rPr>
        <w:t>a direction du commerce, contrairement à la société NAFTAL, ne détient pas un contrôle</w:t>
      </w:r>
      <w:r>
        <w:rPr>
          <w:rFonts w:cstheme="minorHAnsi"/>
          <w:lang w:bidi="ar-DZ"/>
        </w:rPr>
        <w:t xml:space="preserve"> </w:t>
      </w:r>
      <w:r w:rsidRPr="00AC2B21">
        <w:rPr>
          <w:rFonts w:cstheme="minorHAnsi"/>
          <w:lang w:bidi="ar-DZ"/>
        </w:rPr>
        <w:t>sur la distribution de ces produits. Elle n'intervient que pour suivre la procédure de remboursement des frais de transport et</w:t>
      </w:r>
      <w:r>
        <w:rPr>
          <w:rFonts w:cstheme="minorHAnsi"/>
          <w:lang w:bidi="ar-DZ"/>
        </w:rPr>
        <w:t xml:space="preserve"> </w:t>
      </w:r>
      <w:r w:rsidRPr="00AC2B21">
        <w:rPr>
          <w:rFonts w:cstheme="minorHAnsi"/>
          <w:lang w:bidi="ar-DZ"/>
        </w:rPr>
        <w:t>vérifier la régularité des informations figurant sur les demandes.</w:t>
      </w:r>
      <w:r>
        <w:rPr>
          <w:rFonts w:cstheme="minorHAnsi"/>
          <w:lang w:bidi="ar-DZ"/>
        </w:rPr>
        <w:t xml:space="preserve"> </w:t>
      </w:r>
      <w:r w:rsidRPr="00AC2B21">
        <w:rPr>
          <w:rFonts w:cstheme="minorHAnsi"/>
          <w:lang w:bidi="ar-DZ"/>
        </w:rPr>
        <w:t>Chaque commerçant grossiste légalement enregistré et non inscrit sur le fichier des fraudeurs</w:t>
      </w:r>
      <w:r>
        <w:rPr>
          <w:rFonts w:cstheme="minorHAnsi"/>
          <w:lang w:bidi="ar-DZ"/>
        </w:rPr>
        <w:t xml:space="preserve"> </w:t>
      </w:r>
      <w:r w:rsidRPr="00AC2B21">
        <w:rPr>
          <w:rFonts w:cstheme="minorHAnsi"/>
          <w:lang w:bidi="ar-DZ"/>
        </w:rPr>
        <w:t>peut prétendre à ce remboursement quel</w:t>
      </w:r>
      <w:r>
        <w:rPr>
          <w:rFonts w:cstheme="minorHAnsi"/>
          <w:lang w:bidi="ar-DZ"/>
        </w:rPr>
        <w:t xml:space="preserve"> </w:t>
      </w:r>
      <w:r w:rsidRPr="00AC2B21">
        <w:rPr>
          <w:rFonts w:cstheme="minorHAnsi"/>
          <w:lang w:bidi="ar-DZ"/>
        </w:rPr>
        <w:t>que soit le nombre des opérations et la quantité des produits acheminés. Ce règlement se fait annuellement à hauteur du budget alloué et dans le cas d'insuffisance des crédits, les montants non remboursés sont reconduits sur l'année suivante. Ce procédé a généré</w:t>
      </w:r>
      <w:r>
        <w:rPr>
          <w:rFonts w:cstheme="minorHAnsi"/>
          <w:lang w:bidi="ar-DZ"/>
        </w:rPr>
        <w:t xml:space="preserve"> jusqu'en 2</w:t>
      </w:r>
      <w:r w:rsidRPr="00AC2B21">
        <w:rPr>
          <w:rFonts w:cstheme="minorHAnsi"/>
          <w:lang w:bidi="ar-DZ"/>
        </w:rPr>
        <w:t>0</w:t>
      </w:r>
      <w:r>
        <w:rPr>
          <w:rFonts w:cstheme="minorHAnsi"/>
          <w:lang w:bidi="ar-DZ"/>
        </w:rPr>
        <w:t>1</w:t>
      </w:r>
      <w:r w:rsidRPr="00AC2B21">
        <w:rPr>
          <w:rFonts w:cstheme="minorHAnsi"/>
          <w:lang w:bidi="ar-DZ"/>
        </w:rPr>
        <w:t>3, une dette cumulée de plus de 1, 8 milliards de dinars que la direction du commerce éponge graduellement à partir du fond de compensation</w:t>
      </w:r>
      <w:r w:rsidR="000D735B">
        <w:rPr>
          <w:rFonts w:cstheme="minorHAnsi"/>
          <w:lang w:bidi="ar-DZ"/>
        </w:rPr>
        <w:t xml:space="preserve"> (près de 25 millions de dollars)</w:t>
      </w:r>
      <w:r>
        <w:rPr>
          <w:rStyle w:val="FootnoteReference"/>
          <w:rFonts w:cstheme="minorHAnsi"/>
          <w:lang w:bidi="ar-DZ"/>
        </w:rPr>
        <w:footnoteReference w:id="9"/>
      </w:r>
      <w:r>
        <w:rPr>
          <w:rFonts w:cstheme="minorHAnsi"/>
          <w:lang w:bidi="ar-DZ"/>
        </w:rPr>
        <w:t>.</w:t>
      </w:r>
    </w:p>
    <w:p w14:paraId="4610B793" w14:textId="77777777" w:rsidR="00EA4650" w:rsidRPr="00740933" w:rsidRDefault="00EA4650" w:rsidP="00EA4650">
      <w:pPr>
        <w:jc w:val="both"/>
        <w:rPr>
          <w:rFonts w:cstheme="minorHAnsi"/>
          <w:b/>
          <w:bCs/>
          <w:lang w:bidi="ar-DZ"/>
        </w:rPr>
      </w:pPr>
      <w:r w:rsidRPr="00740933">
        <w:rPr>
          <w:rFonts w:cstheme="minorHAnsi"/>
          <w:lang w:bidi="ar-DZ"/>
        </w:rPr>
        <w:t>Le carburant est un produit largement subventionné en Algérie, la valeur de l'essence normal</w:t>
      </w:r>
      <w:r>
        <w:rPr>
          <w:rFonts w:cstheme="minorHAnsi"/>
          <w:lang w:bidi="ar-DZ"/>
        </w:rPr>
        <w:t>e</w:t>
      </w:r>
      <w:r w:rsidRPr="00740933">
        <w:rPr>
          <w:rFonts w:cstheme="minorHAnsi"/>
          <w:lang w:bidi="ar-DZ"/>
        </w:rPr>
        <w:t xml:space="preserve"> étant de</w:t>
      </w:r>
      <w:r>
        <w:rPr>
          <w:rFonts w:cstheme="minorHAnsi"/>
          <w:lang w:bidi="ar-DZ"/>
        </w:rPr>
        <w:t xml:space="preserve"> </w:t>
      </w:r>
      <w:r w:rsidRPr="00740933">
        <w:rPr>
          <w:rFonts w:cstheme="minorHAnsi"/>
          <w:lang w:bidi="ar-DZ"/>
        </w:rPr>
        <w:t>21,20 da/L (soit 27 cents); le super 23 da/L (29 cents) et le gasoil 13,70da/L (17 cents) et cela sur l'ensemble du territoire. Le prix</w:t>
      </w:r>
      <w:r>
        <w:rPr>
          <w:rFonts w:cstheme="minorHAnsi"/>
          <w:lang w:bidi="ar-DZ"/>
        </w:rPr>
        <w:t xml:space="preserve"> </w:t>
      </w:r>
      <w:r w:rsidRPr="00740933">
        <w:rPr>
          <w:rFonts w:cstheme="minorHAnsi"/>
          <w:lang w:bidi="ar-DZ"/>
        </w:rPr>
        <w:t>de vente au Niger varie entre</w:t>
      </w:r>
      <w:r>
        <w:rPr>
          <w:rFonts w:cstheme="minorHAnsi"/>
          <w:lang w:bidi="ar-DZ"/>
        </w:rPr>
        <w:t xml:space="preserve"> </w:t>
      </w:r>
      <w:r w:rsidRPr="00740933">
        <w:rPr>
          <w:rFonts w:cstheme="minorHAnsi"/>
          <w:lang w:bidi="ar-DZ"/>
        </w:rPr>
        <w:t xml:space="preserve">78 cents et 1,3 dollar ; le prix du gasoil varie entre 65 cents et 1,1 dollar. </w:t>
      </w:r>
    </w:p>
    <w:p w14:paraId="0A5F6A55" w14:textId="77777777" w:rsidR="00EA4650" w:rsidRPr="00AC2B21" w:rsidRDefault="00EA4650" w:rsidP="00EA4650">
      <w:pPr>
        <w:jc w:val="both"/>
        <w:rPr>
          <w:rFonts w:cstheme="minorHAnsi"/>
          <w:lang w:bidi="ar-DZ"/>
        </w:rPr>
      </w:pPr>
      <w:r w:rsidRPr="00B2529C">
        <w:rPr>
          <w:rFonts w:cstheme="minorHAnsi"/>
          <w:b/>
          <w:lang w:bidi="ar-DZ"/>
        </w:rPr>
        <w:t>Les localités frontalières sont soumises à une forme de régulation de l'approvisionnement.</w:t>
      </w:r>
      <w:r w:rsidRPr="00AC2B21">
        <w:rPr>
          <w:rFonts w:cstheme="minorHAnsi"/>
          <w:lang w:bidi="ar-DZ"/>
        </w:rPr>
        <w:t xml:space="preserve"> Cette régulation consiste à la limitation, pour chaque opérateur identifié, des quantités de produits subventionnés à commercialiser</w:t>
      </w:r>
      <w:r>
        <w:rPr>
          <w:rFonts w:cstheme="minorHAnsi"/>
          <w:lang w:bidi="ar-DZ"/>
        </w:rPr>
        <w:t xml:space="preserve"> au niveau de ces régions</w:t>
      </w:r>
      <w:r w:rsidRPr="00AC2B21">
        <w:rPr>
          <w:rFonts w:cstheme="minorHAnsi"/>
          <w:lang w:bidi="ar-DZ"/>
        </w:rPr>
        <w:t xml:space="preserve">. </w:t>
      </w:r>
      <w:r>
        <w:rPr>
          <w:rFonts w:cstheme="minorHAnsi"/>
          <w:lang w:bidi="ar-DZ"/>
        </w:rPr>
        <w:t>Mais c</w:t>
      </w:r>
      <w:r w:rsidRPr="00AC2B21">
        <w:rPr>
          <w:rFonts w:cstheme="minorHAnsi"/>
          <w:lang w:bidi="ar-DZ"/>
        </w:rPr>
        <w:t xml:space="preserve">e dispositif ne limite pas le nombre </w:t>
      </w:r>
      <w:r w:rsidRPr="00AC2B21">
        <w:rPr>
          <w:rFonts w:cstheme="minorHAnsi"/>
          <w:lang w:bidi="ar-DZ"/>
        </w:rPr>
        <w:lastRenderedPageBreak/>
        <w:t>de commerçants pouvant souscrire à cette activité et</w:t>
      </w:r>
      <w:r>
        <w:rPr>
          <w:rFonts w:cstheme="minorHAnsi"/>
          <w:lang w:bidi="ar-DZ"/>
        </w:rPr>
        <w:t xml:space="preserve"> </w:t>
      </w:r>
      <w:r w:rsidRPr="00AC2B21">
        <w:rPr>
          <w:rFonts w:cstheme="minorHAnsi"/>
          <w:lang w:bidi="ar-DZ"/>
        </w:rPr>
        <w:t>ne fixe pas, par conséquent, de seuils limites aux dotations des zones frontalières.</w:t>
      </w:r>
    </w:p>
    <w:p w14:paraId="097EEFE3" w14:textId="26DF4FF9" w:rsidR="00EA4650" w:rsidRPr="00AC2B21" w:rsidRDefault="00EA4650" w:rsidP="00EA4650">
      <w:pPr>
        <w:jc w:val="both"/>
        <w:rPr>
          <w:rFonts w:cstheme="minorHAnsi"/>
          <w:lang w:bidi="ar-DZ"/>
        </w:rPr>
      </w:pPr>
      <w:r w:rsidRPr="00B2529C">
        <w:rPr>
          <w:rFonts w:cstheme="minorHAnsi"/>
          <w:b/>
          <w:lang w:bidi="ar-DZ"/>
        </w:rPr>
        <w:t>La liste comprenant les noms des commerçants, leur identifiant fiscal et les quantités autorisées par produit est transmise par la direction du commerce aux services des douanes qui sont</w:t>
      </w:r>
      <w:r>
        <w:rPr>
          <w:rFonts w:cstheme="minorHAnsi"/>
          <w:b/>
          <w:lang w:bidi="ar-DZ"/>
        </w:rPr>
        <w:t xml:space="preserve"> </w:t>
      </w:r>
      <w:r w:rsidRPr="00B2529C">
        <w:rPr>
          <w:rFonts w:cstheme="minorHAnsi"/>
          <w:b/>
          <w:lang w:bidi="ar-DZ"/>
        </w:rPr>
        <w:t>chargés de délivrer sur demande les titres de passage en douane.</w:t>
      </w:r>
      <w:r w:rsidRPr="00AC2B21">
        <w:rPr>
          <w:rFonts w:cstheme="minorHAnsi"/>
          <w:lang w:bidi="ar-DZ"/>
        </w:rPr>
        <w:t xml:space="preserve"> Le dispositif permet</w:t>
      </w:r>
      <w:r>
        <w:rPr>
          <w:rFonts w:cstheme="minorHAnsi"/>
          <w:lang w:bidi="ar-DZ"/>
        </w:rPr>
        <w:t xml:space="preserve"> </w:t>
      </w:r>
      <w:r w:rsidRPr="00AC2B21">
        <w:rPr>
          <w:rFonts w:cstheme="minorHAnsi"/>
          <w:lang w:bidi="ar-DZ"/>
        </w:rPr>
        <w:t>de faciliter le contrôle des mouvements des produits subventionnés et de disposer de chiffres des dotations annuelle</w:t>
      </w:r>
      <w:r w:rsidRPr="00AC2B21">
        <w:rPr>
          <w:rFonts w:cstheme="minorHAnsi"/>
          <w:b/>
          <w:bCs/>
          <w:lang w:bidi="ar-DZ"/>
        </w:rPr>
        <w:t xml:space="preserve">s </w:t>
      </w:r>
      <w:r w:rsidRPr="00AC2B21">
        <w:rPr>
          <w:rFonts w:cstheme="minorHAnsi"/>
          <w:lang w:bidi="ar-DZ"/>
        </w:rPr>
        <w:t>de ces régions</w:t>
      </w:r>
      <w:r w:rsidRPr="00AC2B21">
        <w:rPr>
          <w:rFonts w:cstheme="minorHAnsi"/>
          <w:b/>
          <w:bCs/>
          <w:lang w:bidi="ar-DZ"/>
        </w:rPr>
        <w:t>.</w:t>
      </w:r>
      <w:r w:rsidRPr="00AC2B21">
        <w:rPr>
          <w:rFonts w:cstheme="minorHAnsi"/>
          <w:lang w:bidi="ar-DZ"/>
        </w:rPr>
        <w:t xml:space="preserve"> </w:t>
      </w:r>
      <w:r w:rsidR="00013E6F">
        <w:rPr>
          <w:rFonts w:cstheme="minorHAnsi"/>
          <w:lang w:bidi="ar-DZ"/>
        </w:rPr>
        <w:t>La semoule, la farine et les pâtes sont les produits</w:t>
      </w:r>
      <w:r w:rsidR="001E687A">
        <w:rPr>
          <w:rFonts w:cstheme="minorHAnsi"/>
          <w:lang w:bidi="ar-DZ"/>
        </w:rPr>
        <w:t xml:space="preserve"> de consommation les plus subventionnés avec plus de 2000 tonnes pour </w:t>
      </w:r>
      <w:proofErr w:type="spellStart"/>
      <w:r w:rsidR="001E687A">
        <w:rPr>
          <w:rFonts w:cstheme="minorHAnsi"/>
          <w:lang w:bidi="ar-DZ"/>
        </w:rPr>
        <w:t>Tinzawaten</w:t>
      </w:r>
      <w:proofErr w:type="spellEnd"/>
      <w:r w:rsidR="001E687A">
        <w:rPr>
          <w:rFonts w:cstheme="minorHAnsi"/>
          <w:lang w:bidi="ar-DZ"/>
        </w:rPr>
        <w:t xml:space="preserve"> et In </w:t>
      </w:r>
      <w:proofErr w:type="spellStart"/>
      <w:r w:rsidR="001E687A">
        <w:rPr>
          <w:rFonts w:cstheme="minorHAnsi"/>
          <w:lang w:bidi="ar-DZ"/>
        </w:rPr>
        <w:t>Guezzam</w:t>
      </w:r>
      <w:proofErr w:type="spellEnd"/>
      <w:r w:rsidR="001E687A">
        <w:rPr>
          <w:rFonts w:cstheme="minorHAnsi"/>
          <w:lang w:bidi="ar-DZ"/>
        </w:rPr>
        <w:t xml:space="preserve"> et 4000 tonnes de ciment pour les deux localités. </w:t>
      </w:r>
    </w:p>
    <w:p w14:paraId="7628ABB1" w14:textId="5A7ECBEA" w:rsidR="00EA4650" w:rsidRDefault="00EA4650" w:rsidP="00EA4650">
      <w:pPr>
        <w:jc w:val="both"/>
        <w:rPr>
          <w:rFonts w:cstheme="minorHAnsi"/>
          <w:lang w:bidi="ar-DZ"/>
        </w:rPr>
      </w:pPr>
      <w:r w:rsidRPr="00B2529C">
        <w:rPr>
          <w:rFonts w:cstheme="minorHAnsi"/>
          <w:b/>
          <w:lang w:bidi="ar-DZ"/>
        </w:rPr>
        <w:t>L'examen des listes des commerçants autorisés à l'approvisionnement des localités frontalières révèle également le contrôle des deux</w:t>
      </w:r>
      <w:r>
        <w:rPr>
          <w:rFonts w:cstheme="minorHAnsi"/>
          <w:b/>
          <w:lang w:bidi="ar-DZ"/>
        </w:rPr>
        <w:t xml:space="preserve"> </w:t>
      </w:r>
      <w:r w:rsidRPr="00B2529C">
        <w:rPr>
          <w:rFonts w:cstheme="minorHAnsi"/>
          <w:b/>
          <w:lang w:bidi="ar-DZ"/>
        </w:rPr>
        <w:t>filières</w:t>
      </w:r>
      <w:r>
        <w:rPr>
          <w:rFonts w:cstheme="minorHAnsi"/>
          <w:b/>
          <w:lang w:bidi="ar-DZ"/>
        </w:rPr>
        <w:t xml:space="preserve"> </w:t>
      </w:r>
      <w:r w:rsidRPr="00B2529C">
        <w:rPr>
          <w:rFonts w:cstheme="minorHAnsi"/>
          <w:b/>
          <w:lang w:bidi="ar-DZ"/>
        </w:rPr>
        <w:t>(denrées alimentaires et matériaux de construction) par</w:t>
      </w:r>
      <w:r>
        <w:rPr>
          <w:rFonts w:cstheme="minorHAnsi"/>
          <w:b/>
          <w:lang w:bidi="ar-DZ"/>
        </w:rPr>
        <w:t xml:space="preserve"> </w:t>
      </w:r>
      <w:r w:rsidR="008229BD">
        <w:rPr>
          <w:rFonts w:cstheme="minorHAnsi"/>
          <w:b/>
          <w:lang w:bidi="ar-DZ"/>
        </w:rPr>
        <w:t>certaines tribus</w:t>
      </w:r>
      <w:r w:rsidRPr="00B2529C">
        <w:rPr>
          <w:rFonts w:cstheme="minorHAnsi"/>
          <w:b/>
          <w:lang w:bidi="ar-DZ"/>
        </w:rPr>
        <w:t>.</w:t>
      </w:r>
      <w:r w:rsidRPr="00AC2B21">
        <w:rPr>
          <w:rFonts w:cstheme="minorHAnsi"/>
          <w:lang w:bidi="ar-DZ"/>
        </w:rPr>
        <w:t xml:space="preserve"> A </w:t>
      </w:r>
      <w:proofErr w:type="spellStart"/>
      <w:r>
        <w:rPr>
          <w:rFonts w:cstheme="minorHAnsi"/>
          <w:lang w:bidi="ar-DZ"/>
        </w:rPr>
        <w:t>Tinzawaten</w:t>
      </w:r>
      <w:proofErr w:type="spellEnd"/>
      <w:r>
        <w:rPr>
          <w:rFonts w:cstheme="minorHAnsi"/>
          <w:lang w:bidi="ar-DZ"/>
        </w:rPr>
        <w:t>, un</w:t>
      </w:r>
      <w:r w:rsidRPr="00AC2B21">
        <w:rPr>
          <w:rFonts w:cstheme="minorHAnsi"/>
          <w:lang w:bidi="ar-DZ"/>
        </w:rPr>
        <w:t xml:space="preserve"> groupe représente 7 sur les 42 opérateurs autorisés à l'approvisionnement de cette localité en matériaux de construction (16% de l'activité) et 6 sur les 67 autorisés pour l'approvisionnement des denrées alimentaires (à peu près 8% de l'activité). Nous trouvons également quelques membres de cette famille dans le commerce du troc.</w:t>
      </w:r>
    </w:p>
    <w:p w14:paraId="440FC749" w14:textId="10287895" w:rsidR="008905E0" w:rsidRDefault="008905E0" w:rsidP="008905E0">
      <w:pPr>
        <w:pStyle w:val="Heading2"/>
        <w:rPr>
          <w:lang w:bidi="ar-DZ"/>
        </w:rPr>
      </w:pPr>
      <w:bookmarkStart w:id="8" w:name="_Toc384903142"/>
      <w:r>
        <w:rPr>
          <w:lang w:bidi="ar-DZ"/>
        </w:rPr>
        <w:t>Le contrôle des frontières du côté algérien</w:t>
      </w:r>
      <w:bookmarkEnd w:id="8"/>
    </w:p>
    <w:p w14:paraId="2C5D2312" w14:textId="515CC3DA" w:rsidR="008905E0" w:rsidRDefault="00E60E10" w:rsidP="008905E0">
      <w:pPr>
        <w:autoSpaceDE w:val="0"/>
        <w:autoSpaceDN w:val="0"/>
        <w:adjustRightInd w:val="0"/>
        <w:spacing w:after="0"/>
        <w:jc w:val="both"/>
        <w:rPr>
          <w:rFonts w:cstheme="minorHAnsi"/>
        </w:rPr>
      </w:pPr>
      <w:r w:rsidRPr="00B00723">
        <w:rPr>
          <w:b/>
        </w:rPr>
        <w:t xml:space="preserve">Les frontières </w:t>
      </w:r>
      <w:r w:rsidRPr="00B00723">
        <w:rPr>
          <w:rFonts w:cstheme="minorHAnsi"/>
          <w:b/>
        </w:rPr>
        <w:t>qui séparent</w:t>
      </w:r>
      <w:r w:rsidRPr="00B00723">
        <w:rPr>
          <w:b/>
        </w:rPr>
        <w:t xml:space="preserve"> l’Algérie</w:t>
      </w:r>
      <w:r w:rsidRPr="00B00723">
        <w:rPr>
          <w:rFonts w:cstheme="minorHAnsi"/>
          <w:b/>
        </w:rPr>
        <w:t xml:space="preserve"> et le Mali sont aussi longues que celles avec le Maroc (1 376 km).</w:t>
      </w:r>
      <w:r w:rsidRPr="00B00723">
        <w:rPr>
          <w:b/>
        </w:rPr>
        <w:t xml:space="preserve"> </w:t>
      </w:r>
      <w:r w:rsidR="00884943" w:rsidRPr="00B00723">
        <w:rPr>
          <w:rFonts w:cstheme="minorHAnsi"/>
          <w:b/>
        </w:rPr>
        <w:t>La</w:t>
      </w:r>
      <w:r w:rsidR="008905E0" w:rsidRPr="00B00723">
        <w:rPr>
          <w:rFonts w:cstheme="minorHAnsi"/>
          <w:b/>
        </w:rPr>
        <w:t xml:space="preserve"> surveillance</w:t>
      </w:r>
      <w:r>
        <w:rPr>
          <w:rFonts w:cstheme="minorHAnsi"/>
          <w:b/>
        </w:rPr>
        <w:t xml:space="preserve"> de la frontière sud de l’</w:t>
      </w:r>
      <w:proofErr w:type="spellStart"/>
      <w:r>
        <w:rPr>
          <w:rFonts w:cstheme="minorHAnsi"/>
          <w:b/>
        </w:rPr>
        <w:t>Agérie</w:t>
      </w:r>
      <w:proofErr w:type="spellEnd"/>
      <w:r w:rsidR="008905E0" w:rsidRPr="00372AA4">
        <w:rPr>
          <w:rFonts w:cstheme="minorHAnsi"/>
          <w:b/>
        </w:rPr>
        <w:t xml:space="preserve"> est d’autant plus difficile que la densité de la population est très faible, surtout dans l’extrême Sud.</w:t>
      </w:r>
      <w:r w:rsidR="008905E0" w:rsidRPr="00312537">
        <w:rPr>
          <w:rFonts w:cstheme="minorHAnsi"/>
        </w:rPr>
        <w:t xml:space="preserve"> Avec le Niger, les frontières sont longues de 956 km. Ces frontières couvrent une région saharienne traversée par le</w:t>
      </w:r>
      <w:r w:rsidR="001E687A">
        <w:rPr>
          <w:rFonts w:cstheme="minorHAnsi"/>
        </w:rPr>
        <w:t>s pistes empruntées par les commerçants</w:t>
      </w:r>
      <w:r w:rsidR="008905E0" w:rsidRPr="00312537">
        <w:rPr>
          <w:rFonts w:cstheme="minorHAnsi"/>
        </w:rPr>
        <w:t>.</w:t>
      </w:r>
    </w:p>
    <w:p w14:paraId="0C17446E" w14:textId="77777777" w:rsidR="00BD1053" w:rsidRDefault="00BD1053" w:rsidP="008905E0">
      <w:pPr>
        <w:autoSpaceDE w:val="0"/>
        <w:autoSpaceDN w:val="0"/>
        <w:adjustRightInd w:val="0"/>
        <w:spacing w:after="0"/>
        <w:jc w:val="both"/>
        <w:rPr>
          <w:rFonts w:cstheme="minorHAnsi"/>
        </w:rPr>
      </w:pPr>
    </w:p>
    <w:p w14:paraId="73A8F019" w14:textId="72293A8D" w:rsidR="00BD1053" w:rsidRPr="00BD1053" w:rsidRDefault="00BD1053" w:rsidP="00BD1053">
      <w:pPr>
        <w:jc w:val="both"/>
        <w:rPr>
          <w:b/>
        </w:rPr>
      </w:pPr>
      <w:r w:rsidRPr="00BD1053">
        <w:rPr>
          <w:b/>
        </w:rPr>
        <w:t xml:space="preserve">Le conflit qui prévaut </w:t>
      </w:r>
      <w:r w:rsidR="00431CC8">
        <w:rPr>
          <w:b/>
        </w:rPr>
        <w:t xml:space="preserve">au nord du Mali </w:t>
      </w:r>
      <w:r w:rsidRPr="00BD1053">
        <w:rPr>
          <w:b/>
        </w:rPr>
        <w:t>depuis janvier 2012 a bouleversé les équilibres commerciaux entre l’Algérie et le Mali. L’Algérie a fermé officiellement sa frontière sud</w:t>
      </w:r>
      <w:r w:rsidR="00B902A5">
        <w:rPr>
          <w:b/>
        </w:rPr>
        <w:t xml:space="preserve"> </w:t>
      </w:r>
      <w:r w:rsidR="004B320D">
        <w:rPr>
          <w:b/>
        </w:rPr>
        <w:t xml:space="preserve"> en janvier 2013</w:t>
      </w:r>
      <w:r w:rsidR="00B00723">
        <w:rPr>
          <w:b/>
        </w:rPr>
        <w:t xml:space="preserve"> pour se prémunir d’incursions d’islamistes qui auraient fui le Mali après l’intervention militaire française</w:t>
      </w:r>
      <w:r w:rsidRPr="00BD1053">
        <w:rPr>
          <w:b/>
        </w:rPr>
        <w:t xml:space="preserve">. </w:t>
      </w:r>
      <w:r>
        <w:rPr>
          <w:b/>
        </w:rPr>
        <w:t xml:space="preserve"> En outre, p</w:t>
      </w:r>
      <w:r w:rsidRPr="00E97492">
        <w:rPr>
          <w:rFonts w:cstheme="minorHAnsi"/>
          <w:b/>
          <w:lang w:bidi="ar-DZ"/>
        </w:rPr>
        <w:t>ar décision du conseil des ministres du 14 juillet 2013</w:t>
      </w:r>
      <w:r w:rsidR="001E687A">
        <w:rPr>
          <w:rFonts w:cstheme="minorHAnsi"/>
          <w:b/>
          <w:lang w:bidi="ar-DZ"/>
        </w:rPr>
        <w:t xml:space="preserve">, </w:t>
      </w:r>
      <w:r w:rsidRPr="00E97492">
        <w:rPr>
          <w:rFonts w:cstheme="minorHAnsi"/>
          <w:b/>
          <w:lang w:bidi="ar-DZ"/>
        </w:rPr>
        <w:t>des mesures ont été prises pour limiter la contrebande de carburant</w:t>
      </w:r>
      <w:r>
        <w:rPr>
          <w:rFonts w:cstheme="minorHAnsi"/>
          <w:b/>
          <w:lang w:bidi="ar-DZ"/>
        </w:rPr>
        <w:t>s</w:t>
      </w:r>
      <w:r w:rsidRPr="00E97492">
        <w:rPr>
          <w:rFonts w:cstheme="minorHAnsi"/>
          <w:b/>
          <w:lang w:bidi="ar-DZ"/>
        </w:rPr>
        <w:t xml:space="preserve"> aux frontières</w:t>
      </w:r>
      <w:r w:rsidR="00B00723">
        <w:rPr>
          <w:rFonts w:cstheme="minorHAnsi"/>
          <w:b/>
          <w:lang w:bidi="ar-DZ"/>
        </w:rPr>
        <w:t xml:space="preserve"> étant donné son ampleur dans tout le pays</w:t>
      </w:r>
      <w:r w:rsidRPr="00E97492">
        <w:rPr>
          <w:rFonts w:cstheme="minorHAnsi"/>
          <w:b/>
          <w:lang w:bidi="ar-DZ"/>
        </w:rPr>
        <w:t>.</w:t>
      </w:r>
      <w:r w:rsidRPr="00E97492">
        <w:rPr>
          <w:rFonts w:cstheme="minorHAnsi"/>
          <w:lang w:bidi="ar-DZ"/>
        </w:rPr>
        <w:t xml:space="preserve"> En plus des dispositions d'ordre opérationnel, les mesures</w:t>
      </w:r>
      <w:r w:rsidR="00B902A5">
        <w:rPr>
          <w:rFonts w:cstheme="minorHAnsi"/>
          <w:lang w:bidi="ar-DZ"/>
        </w:rPr>
        <w:t xml:space="preserve"> </w:t>
      </w:r>
      <w:r w:rsidRPr="00E97492">
        <w:rPr>
          <w:rFonts w:cstheme="minorHAnsi"/>
          <w:lang w:bidi="ar-DZ"/>
        </w:rPr>
        <w:t>adoptées</w:t>
      </w:r>
      <w:r w:rsidR="00B00723">
        <w:rPr>
          <w:rFonts w:cstheme="minorHAnsi"/>
          <w:lang w:bidi="ar-DZ"/>
        </w:rPr>
        <w:t>, toujours en vigueur,</w:t>
      </w:r>
      <w:r w:rsidRPr="00E97492">
        <w:rPr>
          <w:rFonts w:cstheme="minorHAnsi"/>
          <w:lang w:bidi="ar-DZ"/>
        </w:rPr>
        <w:t xml:space="preserve"> ont pour but de contrôler la distribution</w:t>
      </w:r>
      <w:r w:rsidR="00B902A5">
        <w:rPr>
          <w:rFonts w:cstheme="minorHAnsi"/>
          <w:lang w:bidi="ar-DZ"/>
        </w:rPr>
        <w:t xml:space="preserve"> </w:t>
      </w:r>
      <w:r w:rsidRPr="00E97492">
        <w:rPr>
          <w:rFonts w:cstheme="minorHAnsi"/>
          <w:lang w:bidi="ar-DZ"/>
        </w:rPr>
        <w:t>de carburant aux niveaux des stations essence par les actions suivantes:</w:t>
      </w:r>
    </w:p>
    <w:p w14:paraId="330FDB81" w14:textId="094C4226" w:rsidR="00BD1053" w:rsidRPr="00E97492" w:rsidRDefault="00BD1053" w:rsidP="00BD1053">
      <w:pPr>
        <w:pStyle w:val="ListParagraph"/>
        <w:numPr>
          <w:ilvl w:val="0"/>
          <w:numId w:val="9"/>
        </w:numPr>
        <w:spacing w:after="0"/>
        <w:jc w:val="both"/>
        <w:rPr>
          <w:rFonts w:cstheme="minorHAnsi"/>
          <w:lang w:bidi="ar-DZ"/>
        </w:rPr>
      </w:pPr>
      <w:r w:rsidRPr="00E97492">
        <w:rPr>
          <w:rFonts w:cstheme="minorHAnsi"/>
          <w:lang w:bidi="ar-DZ"/>
        </w:rPr>
        <w:t>Contrôle par les services de police de toutes les stations essence y compris celles à l'intérieur du pays;</w:t>
      </w:r>
    </w:p>
    <w:p w14:paraId="0264B76A" w14:textId="4D926F9D" w:rsidR="00BD1053" w:rsidRPr="00E97492" w:rsidRDefault="00BD1053" w:rsidP="00BD1053">
      <w:pPr>
        <w:pStyle w:val="ListParagraph"/>
        <w:numPr>
          <w:ilvl w:val="0"/>
          <w:numId w:val="9"/>
        </w:numPr>
        <w:spacing w:after="0"/>
        <w:jc w:val="both"/>
        <w:rPr>
          <w:rFonts w:cstheme="minorHAnsi"/>
          <w:lang w:bidi="ar-DZ"/>
        </w:rPr>
      </w:pPr>
      <w:r w:rsidRPr="00E97492">
        <w:rPr>
          <w:rFonts w:cstheme="minorHAnsi"/>
          <w:lang w:bidi="ar-DZ"/>
        </w:rPr>
        <w:t>Mise en place d'un système de signalement pour identifier les véhicules suspects</w:t>
      </w:r>
      <w:r w:rsidR="00B902A5">
        <w:rPr>
          <w:rFonts w:cstheme="minorHAnsi"/>
          <w:lang w:bidi="ar-DZ"/>
        </w:rPr>
        <w:t xml:space="preserve"> </w:t>
      </w:r>
      <w:r w:rsidRPr="00E97492">
        <w:rPr>
          <w:rFonts w:cstheme="minorHAnsi"/>
          <w:lang w:bidi="ar-DZ"/>
        </w:rPr>
        <w:t>procédant à des passages répétés ;</w:t>
      </w:r>
    </w:p>
    <w:p w14:paraId="6CDCFEEC" w14:textId="6BCDA435" w:rsidR="00BD1053" w:rsidRPr="00E97492" w:rsidRDefault="00BD1053" w:rsidP="00BD1053">
      <w:pPr>
        <w:pStyle w:val="ListParagraph"/>
        <w:numPr>
          <w:ilvl w:val="0"/>
          <w:numId w:val="9"/>
        </w:numPr>
        <w:spacing w:after="0"/>
        <w:jc w:val="both"/>
        <w:rPr>
          <w:rFonts w:cstheme="minorHAnsi"/>
          <w:lang w:bidi="ar-DZ"/>
        </w:rPr>
      </w:pPr>
      <w:r w:rsidRPr="00E97492">
        <w:rPr>
          <w:rFonts w:cstheme="minorHAnsi"/>
          <w:lang w:bidi="ar-DZ"/>
        </w:rPr>
        <w:t>Rationalisation et contrôle</w:t>
      </w:r>
      <w:r w:rsidR="00B902A5">
        <w:rPr>
          <w:rFonts w:cstheme="minorHAnsi"/>
          <w:lang w:bidi="ar-DZ"/>
        </w:rPr>
        <w:t xml:space="preserve"> </w:t>
      </w:r>
      <w:r w:rsidRPr="00E97492">
        <w:rPr>
          <w:rFonts w:cstheme="minorHAnsi"/>
          <w:lang w:bidi="ar-DZ"/>
        </w:rPr>
        <w:t>des dotations des Fellahs (agriculteurs) en carburant;</w:t>
      </w:r>
    </w:p>
    <w:p w14:paraId="752CA463" w14:textId="77777777" w:rsidR="00BD1053" w:rsidRPr="00E97492" w:rsidRDefault="00BD1053" w:rsidP="00BD1053">
      <w:pPr>
        <w:pStyle w:val="ListParagraph"/>
        <w:numPr>
          <w:ilvl w:val="0"/>
          <w:numId w:val="9"/>
        </w:numPr>
        <w:spacing w:after="0"/>
        <w:jc w:val="both"/>
        <w:rPr>
          <w:rFonts w:cstheme="minorHAnsi"/>
          <w:lang w:bidi="ar-DZ"/>
        </w:rPr>
      </w:pPr>
      <w:r w:rsidRPr="00E97492">
        <w:rPr>
          <w:rFonts w:cstheme="minorHAnsi"/>
          <w:lang w:bidi="ar-DZ"/>
        </w:rPr>
        <w:t>Interdiction de dotation au niveau des stations essence des personnes munies de jerricans, bidons ou autres récipients.</w:t>
      </w:r>
    </w:p>
    <w:p w14:paraId="4CAB5616" w14:textId="77777777" w:rsidR="00BD1053" w:rsidRPr="00312537" w:rsidRDefault="00BD1053" w:rsidP="008905E0">
      <w:pPr>
        <w:autoSpaceDE w:val="0"/>
        <w:autoSpaceDN w:val="0"/>
        <w:adjustRightInd w:val="0"/>
        <w:spacing w:after="0"/>
        <w:jc w:val="both"/>
        <w:rPr>
          <w:rFonts w:cstheme="minorHAnsi"/>
        </w:rPr>
      </w:pPr>
    </w:p>
    <w:p w14:paraId="64126806" w14:textId="0B48684A" w:rsidR="008905E0" w:rsidRPr="00372AA4" w:rsidRDefault="00372AA4" w:rsidP="008905E0">
      <w:pPr>
        <w:autoSpaceDE w:val="0"/>
        <w:autoSpaceDN w:val="0"/>
        <w:adjustRightInd w:val="0"/>
        <w:spacing w:after="0"/>
        <w:jc w:val="both"/>
        <w:rPr>
          <w:rFonts w:cstheme="minorHAnsi"/>
          <w:b/>
        </w:rPr>
      </w:pPr>
      <w:r w:rsidRPr="00372AA4">
        <w:rPr>
          <w:rFonts w:cstheme="minorHAnsi"/>
          <w:b/>
        </w:rPr>
        <w:t>La sous-</w:t>
      </w:r>
      <w:r w:rsidR="00BD1053">
        <w:rPr>
          <w:rFonts w:cstheme="minorHAnsi"/>
          <w:b/>
        </w:rPr>
        <w:t>région</w:t>
      </w:r>
      <w:r w:rsidRPr="00372AA4">
        <w:rPr>
          <w:rFonts w:cstheme="minorHAnsi"/>
          <w:b/>
        </w:rPr>
        <w:t xml:space="preserve"> </w:t>
      </w:r>
      <w:r w:rsidR="00BD1053">
        <w:rPr>
          <w:rFonts w:cstheme="minorHAnsi"/>
          <w:b/>
        </w:rPr>
        <w:t>a des accords</w:t>
      </w:r>
      <w:r w:rsidRPr="00372AA4">
        <w:rPr>
          <w:rFonts w:cstheme="minorHAnsi"/>
          <w:b/>
        </w:rPr>
        <w:t xml:space="preserve"> en matière d</w:t>
      </w:r>
      <w:r w:rsidR="00BD1053">
        <w:rPr>
          <w:rFonts w:cstheme="minorHAnsi"/>
          <w:b/>
        </w:rPr>
        <w:t xml:space="preserve">e gestion des frontières </w:t>
      </w:r>
      <w:r w:rsidRPr="00372AA4">
        <w:rPr>
          <w:rFonts w:cstheme="minorHAnsi"/>
          <w:b/>
        </w:rPr>
        <w:t xml:space="preserve">notamment par la création d’un comité bilatéral frontalier </w:t>
      </w:r>
      <w:proofErr w:type="spellStart"/>
      <w:r w:rsidRPr="00372AA4">
        <w:rPr>
          <w:rFonts w:cstheme="minorHAnsi"/>
          <w:b/>
        </w:rPr>
        <w:t>algéro</w:t>
      </w:r>
      <w:proofErr w:type="spellEnd"/>
      <w:r w:rsidRPr="00372AA4">
        <w:rPr>
          <w:rFonts w:cstheme="minorHAnsi"/>
          <w:b/>
        </w:rPr>
        <w:t xml:space="preserve">-nigérien et la commission mixte de sécurité </w:t>
      </w:r>
      <w:proofErr w:type="spellStart"/>
      <w:r w:rsidRPr="00372AA4">
        <w:rPr>
          <w:rFonts w:cstheme="minorHAnsi"/>
          <w:b/>
        </w:rPr>
        <w:t>algéro</w:t>
      </w:r>
      <w:proofErr w:type="spellEnd"/>
      <w:r w:rsidRPr="00372AA4">
        <w:rPr>
          <w:rFonts w:cstheme="minorHAnsi"/>
          <w:b/>
        </w:rPr>
        <w:t>-malienne.</w:t>
      </w:r>
      <w:r>
        <w:rPr>
          <w:rFonts w:cstheme="minorHAnsi"/>
          <w:b/>
        </w:rPr>
        <w:t xml:space="preserve"> </w:t>
      </w:r>
      <w:r w:rsidR="008905E0" w:rsidRPr="00312537">
        <w:rPr>
          <w:rFonts w:cstheme="minorHAnsi"/>
        </w:rPr>
        <w:lastRenderedPageBreak/>
        <w:t>L’application des résolutions de l’OUA a permis la conclusion, sans difficulté majeure, des accords de bornage des frontières avec le Niger le 5 janvier 1983</w:t>
      </w:r>
      <w:r w:rsidR="008905E0" w:rsidRPr="00312537">
        <w:rPr>
          <w:rStyle w:val="FootnoteReference"/>
          <w:rFonts w:cstheme="minorHAnsi"/>
        </w:rPr>
        <w:footnoteReference w:id="10"/>
      </w:r>
      <w:r w:rsidR="008905E0" w:rsidRPr="00312537">
        <w:rPr>
          <w:rFonts w:cstheme="minorHAnsi"/>
        </w:rPr>
        <w:t>, avec le Mali le 8 mai 1983</w:t>
      </w:r>
      <w:r w:rsidR="008905E0" w:rsidRPr="00312537">
        <w:rPr>
          <w:rStyle w:val="FootnoteReference"/>
          <w:rFonts w:cstheme="minorHAnsi"/>
        </w:rPr>
        <w:footnoteReference w:id="11"/>
      </w:r>
      <w:r w:rsidR="008905E0">
        <w:rPr>
          <w:rFonts w:cstheme="minorHAnsi"/>
        </w:rPr>
        <w:t>.</w:t>
      </w:r>
      <w:r w:rsidR="00B902A5">
        <w:rPr>
          <w:rFonts w:cstheme="minorHAnsi"/>
        </w:rPr>
        <w:t xml:space="preserve"> </w:t>
      </w:r>
      <w:r>
        <w:rPr>
          <w:rFonts w:cstheme="minorHAnsi"/>
          <w:b/>
        </w:rPr>
        <w:t xml:space="preserve"> </w:t>
      </w:r>
      <w:r w:rsidR="008905E0" w:rsidRPr="00312537">
        <w:rPr>
          <w:rFonts w:cstheme="minorHAnsi"/>
        </w:rPr>
        <w:t xml:space="preserve">La commission mixte de sécurité </w:t>
      </w:r>
      <w:proofErr w:type="spellStart"/>
      <w:r w:rsidR="008905E0" w:rsidRPr="00312537">
        <w:rPr>
          <w:rFonts w:cstheme="minorHAnsi"/>
        </w:rPr>
        <w:t>algéro</w:t>
      </w:r>
      <w:proofErr w:type="spellEnd"/>
      <w:r w:rsidR="008905E0" w:rsidRPr="00312537">
        <w:rPr>
          <w:rFonts w:cstheme="minorHAnsi"/>
        </w:rPr>
        <w:t>-malienne est un organe administratif et exécutif créé par l’Algérie et le Mali pour prendre en charge les différents aspects de la coopération en matière de sécurité dans les régions frontalières</w:t>
      </w:r>
      <w:r w:rsidR="00BE62D6">
        <w:rPr>
          <w:rFonts w:cstheme="minorHAnsi"/>
        </w:rPr>
        <w:t xml:space="preserve"> m</w:t>
      </w:r>
      <w:r w:rsidR="00C01E69">
        <w:rPr>
          <w:rFonts w:cstheme="minorHAnsi"/>
        </w:rPr>
        <w:t xml:space="preserve">ais qui </w:t>
      </w:r>
      <w:r w:rsidR="00BE62D6">
        <w:rPr>
          <w:rFonts w:cstheme="minorHAnsi"/>
        </w:rPr>
        <w:t>semble</w:t>
      </w:r>
      <w:r w:rsidR="00C01E69">
        <w:rPr>
          <w:rFonts w:cstheme="minorHAnsi"/>
        </w:rPr>
        <w:t xml:space="preserve"> ne se réunir qu’une fois tous les 3 ans et est donc virtuellement inexistante</w:t>
      </w:r>
      <w:r w:rsidR="008905E0" w:rsidRPr="00312537">
        <w:rPr>
          <w:rFonts w:cstheme="minorHAnsi"/>
        </w:rPr>
        <w:t>.</w:t>
      </w:r>
      <w:r w:rsidR="008905E0" w:rsidRPr="00312537">
        <w:rPr>
          <w:rStyle w:val="FootnoteReference"/>
          <w:rFonts w:cstheme="minorHAnsi"/>
        </w:rPr>
        <w:footnoteReference w:id="12"/>
      </w:r>
    </w:p>
    <w:p w14:paraId="312DACCF" w14:textId="77777777" w:rsidR="008905E0" w:rsidRPr="00312537" w:rsidRDefault="008905E0" w:rsidP="008905E0">
      <w:pPr>
        <w:autoSpaceDE w:val="0"/>
        <w:autoSpaceDN w:val="0"/>
        <w:adjustRightInd w:val="0"/>
        <w:spacing w:after="0"/>
        <w:jc w:val="both"/>
        <w:rPr>
          <w:rFonts w:cstheme="minorHAnsi"/>
        </w:rPr>
      </w:pPr>
    </w:p>
    <w:p w14:paraId="404B59FD" w14:textId="1D0E91D8" w:rsidR="008905E0" w:rsidRPr="00312537" w:rsidRDefault="00BD1053" w:rsidP="008905E0">
      <w:pPr>
        <w:autoSpaceDE w:val="0"/>
        <w:autoSpaceDN w:val="0"/>
        <w:adjustRightInd w:val="0"/>
        <w:spacing w:after="0"/>
        <w:jc w:val="both"/>
        <w:rPr>
          <w:rFonts w:cstheme="minorHAnsi"/>
        </w:rPr>
      </w:pPr>
      <w:r>
        <w:rPr>
          <w:rFonts w:cstheme="minorHAnsi"/>
          <w:b/>
        </w:rPr>
        <w:t>Mais c</w:t>
      </w:r>
      <w:r w:rsidR="008905E0" w:rsidRPr="00372AA4">
        <w:rPr>
          <w:rFonts w:cstheme="minorHAnsi"/>
          <w:b/>
        </w:rPr>
        <w:t>ette coopér</w:t>
      </w:r>
      <w:r>
        <w:rPr>
          <w:rFonts w:cstheme="minorHAnsi"/>
          <w:b/>
        </w:rPr>
        <w:t>ation supra</w:t>
      </w:r>
      <w:r w:rsidR="008905E0" w:rsidRPr="00372AA4">
        <w:rPr>
          <w:rFonts w:cstheme="minorHAnsi"/>
          <w:b/>
        </w:rPr>
        <w:t>nationale est com</w:t>
      </w:r>
      <w:r w:rsidR="00BE62D6" w:rsidRPr="00372AA4">
        <w:rPr>
          <w:rFonts w:cstheme="minorHAnsi"/>
          <w:b/>
        </w:rPr>
        <w:t>plétée par un renforcement du cô</w:t>
      </w:r>
      <w:r w:rsidR="008905E0" w:rsidRPr="00372AA4">
        <w:rPr>
          <w:rFonts w:cstheme="minorHAnsi"/>
          <w:b/>
        </w:rPr>
        <w:t>té algérien du dispositif juridique et opérationnel.</w:t>
      </w:r>
      <w:r w:rsidR="008905E0" w:rsidRPr="00312537">
        <w:rPr>
          <w:rFonts w:cstheme="minorHAnsi"/>
        </w:rPr>
        <w:t xml:space="preserve"> La stratégie de sécurité adoptée repose essentiellement sur le</w:t>
      </w:r>
      <w:r w:rsidR="00B902A5">
        <w:rPr>
          <w:rFonts w:cstheme="minorHAnsi"/>
        </w:rPr>
        <w:t xml:space="preserve"> </w:t>
      </w:r>
      <w:r w:rsidR="008905E0" w:rsidRPr="00312537">
        <w:rPr>
          <w:rFonts w:cstheme="minorHAnsi"/>
        </w:rPr>
        <w:t>contrôle et la surveillance du territoire. La gendarmerie dispose pour accomplir ces missions, à la fois militaire et de police, de</w:t>
      </w:r>
      <w:r w:rsidR="00B902A5">
        <w:rPr>
          <w:rFonts w:cstheme="minorHAnsi"/>
        </w:rPr>
        <w:t xml:space="preserve"> </w:t>
      </w:r>
      <w:r w:rsidR="008905E0" w:rsidRPr="00312537">
        <w:rPr>
          <w:rFonts w:cstheme="minorHAnsi"/>
        </w:rPr>
        <w:t>plus 120 000 gendarmes (niveau national) avec la création en 2010 de 299 nouvelles brigades, 11 cellules de recherche, 48 cellules de police technique et</w:t>
      </w:r>
      <w:r w:rsidR="00B902A5">
        <w:rPr>
          <w:rFonts w:cstheme="minorHAnsi"/>
        </w:rPr>
        <w:t xml:space="preserve"> </w:t>
      </w:r>
      <w:r w:rsidR="008905E0" w:rsidRPr="00312537">
        <w:rPr>
          <w:rFonts w:cstheme="minorHAnsi"/>
        </w:rPr>
        <w:t xml:space="preserve">le maintien du niveau de recrutement annuel. La participation de la gendarmerie nationale à la surveillance et au contrôle des frontières porte sur les frontières terrestres par </w:t>
      </w:r>
      <w:r w:rsidR="00D37F32">
        <w:rPr>
          <w:rFonts w:cstheme="minorHAnsi"/>
        </w:rPr>
        <w:t>le biais des brigades de gardes-</w:t>
      </w:r>
      <w:r w:rsidR="008905E0" w:rsidRPr="00312537">
        <w:rPr>
          <w:rFonts w:cstheme="minorHAnsi"/>
        </w:rPr>
        <w:t xml:space="preserve">frontières. </w:t>
      </w:r>
    </w:p>
    <w:p w14:paraId="25C8221E" w14:textId="77777777" w:rsidR="008905E0" w:rsidRPr="00312537" w:rsidRDefault="008905E0" w:rsidP="008905E0">
      <w:pPr>
        <w:autoSpaceDE w:val="0"/>
        <w:autoSpaceDN w:val="0"/>
        <w:adjustRightInd w:val="0"/>
        <w:spacing w:after="0"/>
        <w:jc w:val="both"/>
        <w:rPr>
          <w:rFonts w:cstheme="minorHAnsi"/>
        </w:rPr>
      </w:pPr>
    </w:p>
    <w:p w14:paraId="09D19F42" w14:textId="4A20A36A" w:rsidR="008905E0" w:rsidRPr="00312537" w:rsidRDefault="008905E0" w:rsidP="008905E0">
      <w:pPr>
        <w:autoSpaceDE w:val="0"/>
        <w:autoSpaceDN w:val="0"/>
        <w:adjustRightInd w:val="0"/>
        <w:spacing w:after="0"/>
        <w:jc w:val="both"/>
        <w:rPr>
          <w:rFonts w:cstheme="minorHAnsi"/>
        </w:rPr>
      </w:pPr>
      <w:r w:rsidRPr="00372AA4">
        <w:rPr>
          <w:rFonts w:cstheme="minorHAnsi"/>
          <w:b/>
        </w:rPr>
        <w:t>La douane algérienne a connu dans le cadre de son programme de modernisation (2007-2010) une large opération de recrutement avec un effectif de plus de 20 000 douaniers</w:t>
      </w:r>
      <w:r w:rsidR="00B734F7">
        <w:rPr>
          <w:rFonts w:cstheme="minorHAnsi"/>
          <w:b/>
        </w:rPr>
        <w:t xml:space="preserve"> en 2012</w:t>
      </w:r>
      <w:r w:rsidRPr="00372AA4">
        <w:rPr>
          <w:rFonts w:cstheme="minorHAnsi"/>
          <w:b/>
        </w:rPr>
        <w:t xml:space="preserve"> et</w:t>
      </w:r>
      <w:r w:rsidR="00B902A5">
        <w:rPr>
          <w:rFonts w:cstheme="minorHAnsi"/>
          <w:b/>
        </w:rPr>
        <w:t xml:space="preserve"> </w:t>
      </w:r>
      <w:r w:rsidRPr="00372AA4">
        <w:rPr>
          <w:rFonts w:cstheme="minorHAnsi"/>
          <w:b/>
        </w:rPr>
        <w:t>un maintien d’un niveau de recrutement pour les besoins de</w:t>
      </w:r>
      <w:r w:rsidR="00B902A5">
        <w:rPr>
          <w:rFonts w:cstheme="minorHAnsi"/>
          <w:b/>
        </w:rPr>
        <w:t xml:space="preserve"> </w:t>
      </w:r>
      <w:r w:rsidRPr="00372AA4">
        <w:rPr>
          <w:rFonts w:cstheme="minorHAnsi"/>
          <w:b/>
        </w:rPr>
        <w:t>surveillance dans les régions du sud.</w:t>
      </w:r>
      <w:r w:rsidRPr="00312537">
        <w:rPr>
          <w:rFonts w:cstheme="minorHAnsi"/>
        </w:rPr>
        <w:t xml:space="preserve"> Ce dispositif est renforcé par l’installation</w:t>
      </w:r>
      <w:r w:rsidR="00B902A5">
        <w:rPr>
          <w:rFonts w:cstheme="minorHAnsi"/>
        </w:rPr>
        <w:t xml:space="preserve"> </w:t>
      </w:r>
      <w:r w:rsidRPr="00312537">
        <w:rPr>
          <w:rFonts w:cstheme="minorHAnsi"/>
        </w:rPr>
        <w:t>des postes des frontières terrestres pour le contrôle du passage des voyageurs et des marchandises</w:t>
      </w:r>
      <w:r w:rsidRPr="00312537">
        <w:rPr>
          <w:rStyle w:val="FootnoteReference"/>
          <w:rFonts w:cstheme="minorHAnsi"/>
        </w:rPr>
        <w:footnoteReference w:id="13"/>
      </w:r>
      <w:r w:rsidRPr="00312537">
        <w:rPr>
          <w:rFonts w:cstheme="minorHAnsi"/>
        </w:rPr>
        <w:t xml:space="preserve"> avec 26 postes de douane répartis sur l’ensemble des frontières (8 postes au niveau des frontières Est, 14 bureaux au niveau des frontières Sud et 4 bureaux au niveau des frontières Ouest ainsi que</w:t>
      </w:r>
      <w:r w:rsidR="00B902A5">
        <w:rPr>
          <w:rFonts w:cstheme="minorHAnsi"/>
        </w:rPr>
        <w:t xml:space="preserve"> </w:t>
      </w:r>
      <w:r w:rsidRPr="00312537">
        <w:rPr>
          <w:rFonts w:cstheme="minorHAnsi"/>
        </w:rPr>
        <w:t>des postes de surveillance chargées exclusivement de la surveillance des zones frontalières</w:t>
      </w:r>
      <w:r w:rsidR="00D37F32">
        <w:rPr>
          <w:rFonts w:cstheme="minorHAnsi"/>
        </w:rPr>
        <w:t>)</w:t>
      </w:r>
      <w:r w:rsidRPr="00312537">
        <w:rPr>
          <w:rFonts w:cstheme="minorHAnsi"/>
        </w:rPr>
        <w:t>. Un autre projet vise à assurer dans les prochaines années le contrôle, par satellite, des frontières terrestres.</w:t>
      </w:r>
      <w:r w:rsidRPr="007013FB">
        <w:t xml:space="preserve"> </w:t>
      </w:r>
      <w:r w:rsidRPr="00312537">
        <w:rPr>
          <w:rFonts w:cstheme="minorHAnsi"/>
        </w:rPr>
        <w:t xml:space="preserve">L’utilisation de cette technologie se fera à titre expérimental, dans le suivi des déplacements des véhicules des brigades de la douane. </w:t>
      </w:r>
    </w:p>
    <w:p w14:paraId="49D76FF5" w14:textId="77777777" w:rsidR="008905E0" w:rsidRPr="00312537" w:rsidRDefault="008905E0" w:rsidP="008905E0">
      <w:pPr>
        <w:autoSpaceDE w:val="0"/>
        <w:autoSpaceDN w:val="0"/>
        <w:adjustRightInd w:val="0"/>
        <w:spacing w:after="0"/>
        <w:jc w:val="both"/>
        <w:rPr>
          <w:rFonts w:cstheme="minorHAnsi"/>
        </w:rPr>
      </w:pPr>
    </w:p>
    <w:p w14:paraId="68EEE0B2" w14:textId="6129EEA0" w:rsidR="008905E0" w:rsidRDefault="008905E0" w:rsidP="008905E0">
      <w:pPr>
        <w:autoSpaceDE w:val="0"/>
        <w:autoSpaceDN w:val="0"/>
        <w:adjustRightInd w:val="0"/>
        <w:spacing w:after="0"/>
        <w:jc w:val="both"/>
        <w:rPr>
          <w:rFonts w:cstheme="minorHAnsi"/>
        </w:rPr>
      </w:pPr>
      <w:r w:rsidRPr="00372AA4">
        <w:rPr>
          <w:rFonts w:cstheme="minorHAnsi"/>
          <w:b/>
        </w:rPr>
        <w:t>Ces mesures sont soutenues sur le plan juridique par l’adoption d’une loi spécifique sur la lutte contre la contrebande renforçant les sanctions contre toutes les formes de contrebande</w:t>
      </w:r>
      <w:r w:rsidRPr="00372AA4">
        <w:rPr>
          <w:rStyle w:val="FootnoteReference"/>
          <w:rFonts w:cstheme="minorHAnsi"/>
          <w:b/>
        </w:rPr>
        <w:footnoteReference w:id="14"/>
      </w:r>
      <w:r w:rsidRPr="00372AA4">
        <w:rPr>
          <w:rFonts w:cstheme="minorHAnsi"/>
          <w:b/>
        </w:rPr>
        <w:t xml:space="preserve">. </w:t>
      </w:r>
      <w:r w:rsidRPr="00312537">
        <w:rPr>
          <w:rFonts w:cstheme="minorHAnsi"/>
        </w:rPr>
        <w:t>Si ces sanctions sont justifiées contre les formes graves de contrebande (armes, stupéfiants, etc.), elles</w:t>
      </w:r>
      <w:r w:rsidR="00B902A5">
        <w:rPr>
          <w:rFonts w:cstheme="minorHAnsi"/>
        </w:rPr>
        <w:t xml:space="preserve"> </w:t>
      </w:r>
      <w:r w:rsidRPr="00312537">
        <w:rPr>
          <w:rFonts w:cstheme="minorHAnsi"/>
        </w:rPr>
        <w:t>restent toutefois disproportionnées pour les trafics des produits de consommation destinés au ravitaillement de</w:t>
      </w:r>
      <w:r w:rsidR="00372AA4">
        <w:rPr>
          <w:rFonts w:cstheme="minorHAnsi"/>
        </w:rPr>
        <w:t>s localités sahariennes</w:t>
      </w:r>
      <w:r w:rsidRPr="00312537">
        <w:rPr>
          <w:rFonts w:cstheme="minorHAnsi"/>
        </w:rPr>
        <w:t xml:space="preserve"> enclavées. Les peines applicables sont de 10 à 20 ans de prison et une amende égale à 10 fois la valeur cumulée des marchandises et du moyen de transport et leur confiscation (article 12). Cette politique de répres</w:t>
      </w:r>
      <w:r w:rsidR="000A3351">
        <w:rPr>
          <w:rFonts w:cstheme="minorHAnsi"/>
        </w:rPr>
        <w:t>sion qui se veut à l’origine dis</w:t>
      </w:r>
      <w:r w:rsidRPr="00312537">
        <w:rPr>
          <w:rFonts w:cstheme="minorHAnsi"/>
        </w:rPr>
        <w:t xml:space="preserve">suasive </w:t>
      </w:r>
      <w:r w:rsidRPr="00312537">
        <w:rPr>
          <w:rFonts w:cstheme="minorHAnsi"/>
        </w:rPr>
        <w:lastRenderedPageBreak/>
        <w:t xml:space="preserve">participe au renversement du rapport gain/risque et l’orientation des fraudeurs à des formes plus rentables de trafic. </w:t>
      </w:r>
    </w:p>
    <w:p w14:paraId="2F2EEC93" w14:textId="77777777" w:rsidR="00D76FA2" w:rsidRDefault="00D76FA2" w:rsidP="008905E0">
      <w:pPr>
        <w:autoSpaceDE w:val="0"/>
        <w:autoSpaceDN w:val="0"/>
        <w:adjustRightInd w:val="0"/>
        <w:spacing w:after="0"/>
        <w:jc w:val="both"/>
        <w:rPr>
          <w:rFonts w:cstheme="minorHAnsi"/>
        </w:rPr>
      </w:pPr>
    </w:p>
    <w:p w14:paraId="7546C3EC" w14:textId="7A97EE22" w:rsidR="00D76FA2" w:rsidRPr="00D76FA2" w:rsidRDefault="00F91338" w:rsidP="008A2C14">
      <w:pPr>
        <w:jc w:val="both"/>
        <w:rPr>
          <w:lang w:bidi="ar-DZ"/>
        </w:rPr>
      </w:pPr>
      <w:r>
        <w:rPr>
          <w:b/>
          <w:lang w:bidi="ar-DZ"/>
        </w:rPr>
        <w:t xml:space="preserve">Les postes de </w:t>
      </w:r>
      <w:proofErr w:type="spellStart"/>
      <w:r>
        <w:rPr>
          <w:b/>
          <w:lang w:bidi="ar-DZ"/>
        </w:rPr>
        <w:t>Timi</w:t>
      </w:r>
      <w:r w:rsidR="00D76FA2" w:rsidRPr="00D80E61">
        <w:rPr>
          <w:b/>
          <w:lang w:bidi="ar-DZ"/>
        </w:rPr>
        <w:t>aouin</w:t>
      </w:r>
      <w:r>
        <w:rPr>
          <w:b/>
          <w:lang w:bidi="ar-DZ"/>
        </w:rPr>
        <w:t>e</w:t>
      </w:r>
      <w:proofErr w:type="spellEnd"/>
      <w:r w:rsidR="006D0B72">
        <w:rPr>
          <w:b/>
          <w:lang w:bidi="ar-DZ"/>
        </w:rPr>
        <w:t xml:space="preserve"> et de Bordj </w:t>
      </w:r>
      <w:proofErr w:type="spellStart"/>
      <w:r w:rsidR="006D0B72">
        <w:rPr>
          <w:b/>
          <w:lang w:bidi="ar-DZ"/>
        </w:rPr>
        <w:t>Badj</w:t>
      </w:r>
      <w:proofErr w:type="spellEnd"/>
      <w:r w:rsidR="007013FB">
        <w:rPr>
          <w:b/>
          <w:lang w:bidi="ar-DZ"/>
        </w:rPr>
        <w:t xml:space="preserve"> </w:t>
      </w:r>
      <w:proofErr w:type="spellStart"/>
      <w:r w:rsidR="00D76FA2" w:rsidRPr="00D80E61">
        <w:rPr>
          <w:b/>
          <w:lang w:bidi="ar-DZ"/>
        </w:rPr>
        <w:t>Moktar</w:t>
      </w:r>
      <w:proofErr w:type="spellEnd"/>
      <w:r w:rsidR="00D76FA2" w:rsidRPr="00D80E61">
        <w:rPr>
          <w:b/>
          <w:lang w:bidi="ar-DZ"/>
        </w:rPr>
        <w:t xml:space="preserve"> sont frontaliers avec le Mali uniquement. Le </w:t>
      </w:r>
      <w:r w:rsidR="008A2C14">
        <w:rPr>
          <w:b/>
          <w:lang w:bidi="ar-DZ"/>
        </w:rPr>
        <w:t xml:space="preserve">Officiellement, le commerce de troc est en perte de vitesse depuis 2011, passant de 3,4 millions de dollars USD en 2011 à 3,1 millions à 700 000 USD en 2013. </w:t>
      </w:r>
    </w:p>
    <w:p w14:paraId="36D71E9C" w14:textId="77777777" w:rsidR="00F66505" w:rsidRDefault="00F66505" w:rsidP="00F66505">
      <w:pPr>
        <w:pStyle w:val="Heading2"/>
      </w:pPr>
      <w:bookmarkStart w:id="9" w:name="_Toc384903143"/>
      <w:r>
        <w:t>La réglementation par le troc et du contrôle des changes</w:t>
      </w:r>
      <w:bookmarkEnd w:id="9"/>
    </w:p>
    <w:p w14:paraId="75BE1378" w14:textId="480EC3C7" w:rsidR="00F66505" w:rsidRDefault="00F66505" w:rsidP="00F66505">
      <w:pPr>
        <w:autoSpaceDE w:val="0"/>
        <w:autoSpaceDN w:val="0"/>
        <w:adjustRightInd w:val="0"/>
        <w:spacing w:after="0"/>
        <w:jc w:val="both"/>
        <w:rPr>
          <w:rFonts w:cstheme="minorHAnsi"/>
        </w:rPr>
      </w:pPr>
      <w:r w:rsidRPr="00372AA4">
        <w:rPr>
          <w:rFonts w:cstheme="minorHAnsi"/>
          <w:b/>
        </w:rPr>
        <w:t>Plusieurs accords commerciaux</w:t>
      </w:r>
      <w:r w:rsidR="00B902A5">
        <w:rPr>
          <w:rFonts w:cstheme="minorHAnsi"/>
          <w:b/>
        </w:rPr>
        <w:t xml:space="preserve"> </w:t>
      </w:r>
      <w:r w:rsidRPr="00372AA4">
        <w:rPr>
          <w:rFonts w:cstheme="minorHAnsi"/>
          <w:b/>
        </w:rPr>
        <w:t xml:space="preserve">ont été signés entre l’Algérie et le </w:t>
      </w:r>
      <w:r w:rsidR="00820D37">
        <w:rPr>
          <w:rFonts w:cstheme="minorHAnsi"/>
          <w:b/>
        </w:rPr>
        <w:t>M</w:t>
      </w:r>
      <w:r w:rsidR="00820D37" w:rsidRPr="00372AA4">
        <w:rPr>
          <w:rFonts w:cstheme="minorHAnsi"/>
          <w:b/>
        </w:rPr>
        <w:t>ali</w:t>
      </w:r>
      <w:r w:rsidRPr="00372AA4">
        <w:rPr>
          <w:rStyle w:val="FootnoteReference"/>
          <w:rFonts w:cstheme="minorHAnsi"/>
          <w:b/>
        </w:rPr>
        <w:footnoteReference w:id="15"/>
      </w:r>
      <w:r w:rsidRPr="00372AA4">
        <w:rPr>
          <w:rFonts w:cstheme="minorHAnsi"/>
          <w:b/>
        </w:rPr>
        <w:t xml:space="preserve"> et entre l’Algérie et le Niger</w:t>
      </w:r>
      <w:r w:rsidRPr="00372AA4">
        <w:rPr>
          <w:rStyle w:val="FootnoteReference"/>
          <w:rFonts w:cstheme="minorHAnsi"/>
          <w:b/>
        </w:rPr>
        <w:footnoteReference w:id="16"/>
      </w:r>
      <w:r w:rsidRPr="00372AA4">
        <w:rPr>
          <w:rFonts w:cstheme="minorHAnsi"/>
          <w:b/>
        </w:rPr>
        <w:t>.</w:t>
      </w:r>
      <w:r w:rsidRPr="007944E2">
        <w:rPr>
          <w:rFonts w:cstheme="minorHAnsi"/>
        </w:rPr>
        <w:t xml:space="preserve"> La suspension en Algérie du régime de transit international terrestre depuis </w:t>
      </w:r>
      <w:r w:rsidR="00991972">
        <w:rPr>
          <w:rFonts w:cstheme="minorHAnsi"/>
        </w:rPr>
        <w:t>le début des années 90</w:t>
      </w:r>
      <w:r w:rsidRPr="007944E2">
        <w:rPr>
          <w:rFonts w:cstheme="minorHAnsi"/>
        </w:rPr>
        <w:t xml:space="preserve">, marque la fin de l’approvisionnement du Mali et du Niger par les ports algériens. </w:t>
      </w:r>
    </w:p>
    <w:p w14:paraId="17FDE9C4" w14:textId="77777777" w:rsidR="00F66505" w:rsidRPr="007944E2" w:rsidRDefault="00F66505" w:rsidP="00F66505">
      <w:pPr>
        <w:autoSpaceDE w:val="0"/>
        <w:autoSpaceDN w:val="0"/>
        <w:adjustRightInd w:val="0"/>
        <w:spacing w:after="0"/>
        <w:jc w:val="both"/>
        <w:rPr>
          <w:rFonts w:cstheme="minorHAnsi"/>
        </w:rPr>
      </w:pPr>
    </w:p>
    <w:p w14:paraId="582F2C71" w14:textId="0BCDC310" w:rsidR="00F66505" w:rsidRPr="007944E2" w:rsidRDefault="00F66505" w:rsidP="00F66505">
      <w:pPr>
        <w:autoSpaceDE w:val="0"/>
        <w:autoSpaceDN w:val="0"/>
        <w:adjustRightInd w:val="0"/>
        <w:spacing w:after="0"/>
        <w:jc w:val="both"/>
        <w:rPr>
          <w:rFonts w:cstheme="minorHAnsi"/>
        </w:rPr>
      </w:pPr>
      <w:r w:rsidRPr="00372AA4">
        <w:rPr>
          <w:rFonts w:cstheme="minorHAnsi"/>
          <w:b/>
        </w:rPr>
        <w:t>L’intervention institutionnel</w:t>
      </w:r>
      <w:r w:rsidR="00372AA4" w:rsidRPr="00372AA4">
        <w:rPr>
          <w:rFonts w:cstheme="minorHAnsi"/>
          <w:b/>
        </w:rPr>
        <w:t>le</w:t>
      </w:r>
      <w:r w:rsidR="00B902A5">
        <w:rPr>
          <w:rFonts w:cstheme="minorHAnsi"/>
          <w:b/>
        </w:rPr>
        <w:t xml:space="preserve"> </w:t>
      </w:r>
      <w:r w:rsidRPr="00372AA4">
        <w:rPr>
          <w:rFonts w:cstheme="minorHAnsi"/>
          <w:b/>
        </w:rPr>
        <w:t>est</w:t>
      </w:r>
      <w:r w:rsidR="00B902A5">
        <w:rPr>
          <w:rFonts w:cstheme="minorHAnsi"/>
          <w:b/>
        </w:rPr>
        <w:t xml:space="preserve"> </w:t>
      </w:r>
      <w:r w:rsidRPr="00372AA4">
        <w:rPr>
          <w:rFonts w:cstheme="minorHAnsi"/>
          <w:b/>
        </w:rPr>
        <w:t>essentiellement</w:t>
      </w:r>
      <w:r w:rsidR="00B902A5">
        <w:rPr>
          <w:rFonts w:cstheme="minorHAnsi"/>
          <w:b/>
        </w:rPr>
        <w:t xml:space="preserve"> </w:t>
      </w:r>
      <w:r w:rsidRPr="00372AA4">
        <w:rPr>
          <w:rFonts w:cstheme="minorHAnsi"/>
          <w:b/>
        </w:rPr>
        <w:t>basée sur la sécurisation des frontières</w:t>
      </w:r>
      <w:r w:rsidR="00721491">
        <w:rPr>
          <w:rFonts w:cstheme="minorHAnsi"/>
          <w:b/>
        </w:rPr>
        <w:t>,</w:t>
      </w:r>
      <w:r w:rsidRPr="00372AA4">
        <w:rPr>
          <w:rFonts w:cstheme="minorHAnsi"/>
          <w:b/>
        </w:rPr>
        <w:t xml:space="preserve"> </w:t>
      </w:r>
      <w:r w:rsidR="00372AA4">
        <w:rPr>
          <w:rFonts w:cstheme="minorHAnsi"/>
          <w:b/>
        </w:rPr>
        <w:t xml:space="preserve">la régulation et </w:t>
      </w:r>
      <w:r w:rsidR="00372AA4" w:rsidRPr="0019775A">
        <w:rPr>
          <w:b/>
        </w:rPr>
        <w:t>le contrôle du commerce de</w:t>
      </w:r>
      <w:r w:rsidRPr="0019775A">
        <w:rPr>
          <w:b/>
        </w:rPr>
        <w:t xml:space="preserve"> troc qui</w:t>
      </w:r>
      <w:r w:rsidR="00B902A5">
        <w:rPr>
          <w:rFonts w:cstheme="minorHAnsi"/>
          <w:b/>
        </w:rPr>
        <w:t xml:space="preserve"> </w:t>
      </w:r>
      <w:r w:rsidRPr="0019775A">
        <w:rPr>
          <w:b/>
        </w:rPr>
        <w:t>demeure opérationnel</w:t>
      </w:r>
      <w:r w:rsidR="00536A8C">
        <w:rPr>
          <w:b/>
        </w:rPr>
        <w:t xml:space="preserve"> </w:t>
      </w:r>
      <w:r w:rsidR="00B734F7" w:rsidRPr="0019775A">
        <w:rPr>
          <w:b/>
        </w:rPr>
        <w:t>(exclusivement avec le Niger)</w:t>
      </w:r>
      <w:r w:rsidRPr="0019775A">
        <w:rPr>
          <w:b/>
        </w:rPr>
        <w:t xml:space="preserve"> </w:t>
      </w:r>
      <w:r w:rsidRPr="00B734F7">
        <w:rPr>
          <w:rFonts w:cstheme="minorHAnsi"/>
          <w:b/>
        </w:rPr>
        <w:t>malgré la</w:t>
      </w:r>
      <w:r w:rsidRPr="00372AA4">
        <w:rPr>
          <w:rFonts w:cstheme="minorHAnsi"/>
          <w:b/>
        </w:rPr>
        <w:t xml:space="preserve"> fermeture des fronti</w:t>
      </w:r>
      <w:r w:rsidR="00372AA4">
        <w:rPr>
          <w:rFonts w:cstheme="minorHAnsi"/>
          <w:b/>
        </w:rPr>
        <w:t>ères par l’Etat algérien en 2013</w:t>
      </w:r>
      <w:r w:rsidRPr="00372AA4">
        <w:rPr>
          <w:rFonts w:cstheme="minorHAnsi"/>
          <w:b/>
        </w:rPr>
        <w:t>.</w:t>
      </w:r>
      <w:r w:rsidRPr="007944E2">
        <w:rPr>
          <w:rFonts w:cstheme="minorHAnsi"/>
        </w:rPr>
        <w:t xml:space="preserve"> A titre exceptionnel, les autorités algériennes procèdent</w:t>
      </w:r>
      <w:r w:rsidR="00536A8C">
        <w:rPr>
          <w:rFonts w:cstheme="minorHAnsi"/>
        </w:rPr>
        <w:t>, deux fois par mois,</w:t>
      </w:r>
      <w:r w:rsidRPr="007944E2">
        <w:rPr>
          <w:rFonts w:cstheme="minorHAnsi"/>
        </w:rPr>
        <w:t xml:space="preserve"> à l’ouverture des frontières pour le ravitaillement</w:t>
      </w:r>
      <w:r w:rsidR="00B902A5">
        <w:rPr>
          <w:rFonts w:cstheme="minorHAnsi"/>
        </w:rPr>
        <w:t xml:space="preserve"> </w:t>
      </w:r>
      <w:r w:rsidRPr="007944E2">
        <w:rPr>
          <w:rFonts w:cstheme="minorHAnsi"/>
        </w:rPr>
        <w:t>des populations locales par les échanges du troc.</w:t>
      </w:r>
    </w:p>
    <w:p w14:paraId="24C8DF91" w14:textId="77777777" w:rsidR="00F66505" w:rsidRPr="007944E2" w:rsidRDefault="00F66505" w:rsidP="00F66505">
      <w:pPr>
        <w:autoSpaceDE w:val="0"/>
        <w:autoSpaceDN w:val="0"/>
        <w:adjustRightInd w:val="0"/>
        <w:spacing w:after="0"/>
        <w:jc w:val="both"/>
        <w:rPr>
          <w:rFonts w:cstheme="minorHAnsi"/>
        </w:rPr>
      </w:pPr>
    </w:p>
    <w:p w14:paraId="49358276" w14:textId="125E7497" w:rsidR="00F66505" w:rsidRPr="007944E2" w:rsidRDefault="00F66505" w:rsidP="00F66505">
      <w:pPr>
        <w:autoSpaceDE w:val="0"/>
        <w:autoSpaceDN w:val="0"/>
        <w:adjustRightInd w:val="0"/>
        <w:spacing w:after="0"/>
        <w:jc w:val="both"/>
        <w:rPr>
          <w:rFonts w:cstheme="minorHAnsi"/>
        </w:rPr>
      </w:pPr>
      <w:r w:rsidRPr="00372AA4">
        <w:rPr>
          <w:rFonts w:cstheme="minorHAnsi"/>
          <w:b/>
        </w:rPr>
        <w:t xml:space="preserve">L‘inconvertibilité du dinar algérien instauré peu après l’indépendance a contraint les opérateurs à commercer sous forme de troc </w:t>
      </w:r>
      <w:r w:rsidRPr="007944E2">
        <w:rPr>
          <w:rFonts w:cstheme="minorHAnsi"/>
        </w:rPr>
        <w:t xml:space="preserve">: la somme dégagée sur la vente d’un produit permet l’achat d’un autre. Des filières fonctionnant par groupes de produits se sont ainsi constituées : dattes-produits agricoles, sel-bétail, matériaux de construction-produits de l’industrie nigériane, </w:t>
      </w:r>
      <w:proofErr w:type="spellStart"/>
      <w:r w:rsidRPr="007944E2">
        <w:rPr>
          <w:rFonts w:cstheme="minorHAnsi"/>
        </w:rPr>
        <w:t>etc</w:t>
      </w:r>
      <w:proofErr w:type="spellEnd"/>
      <w:r w:rsidR="00815798">
        <w:rPr>
          <w:rFonts w:cstheme="minorHAnsi"/>
        </w:rPr>
        <w:t xml:space="preserve"> (Grégoire 1998)</w:t>
      </w:r>
    </w:p>
    <w:p w14:paraId="24DAB8F8" w14:textId="4DA0BD08" w:rsidR="00F66505" w:rsidRPr="007944E2" w:rsidRDefault="00633C81" w:rsidP="00F66505">
      <w:pPr>
        <w:autoSpaceDE w:val="0"/>
        <w:autoSpaceDN w:val="0"/>
        <w:adjustRightInd w:val="0"/>
        <w:spacing w:after="0"/>
        <w:jc w:val="both"/>
        <w:rPr>
          <w:rFonts w:cstheme="minorHAnsi"/>
        </w:rPr>
      </w:pPr>
      <w:r w:rsidRPr="007944E2">
        <w:rPr>
          <w:rFonts w:cstheme="minorHAnsi"/>
        </w:rPr>
        <w:t xml:space="preserve"> </w:t>
      </w:r>
    </w:p>
    <w:p w14:paraId="75F6BC3C" w14:textId="2EBE87DC" w:rsidR="00F66505" w:rsidRPr="007944E2" w:rsidRDefault="00372AA4" w:rsidP="00F66505">
      <w:pPr>
        <w:autoSpaceDE w:val="0"/>
        <w:autoSpaceDN w:val="0"/>
        <w:adjustRightInd w:val="0"/>
        <w:spacing w:after="0"/>
        <w:jc w:val="both"/>
        <w:rPr>
          <w:rFonts w:cstheme="minorHAnsi"/>
        </w:rPr>
      </w:pPr>
      <w:r>
        <w:rPr>
          <w:rFonts w:cstheme="minorHAnsi"/>
          <w:b/>
        </w:rPr>
        <w:lastRenderedPageBreak/>
        <w:t>Le commerce de</w:t>
      </w:r>
      <w:r w:rsidR="00F66505" w:rsidRPr="00372AA4">
        <w:rPr>
          <w:rFonts w:cstheme="minorHAnsi"/>
          <w:b/>
        </w:rPr>
        <w:t xml:space="preserve"> troc est institué par une réglementation algérienne unilatérale</w:t>
      </w:r>
      <w:r w:rsidR="00F66505" w:rsidRPr="00372AA4">
        <w:rPr>
          <w:rStyle w:val="FootnoteReference"/>
          <w:rFonts w:cstheme="minorHAnsi"/>
          <w:b/>
        </w:rPr>
        <w:footnoteReference w:id="17"/>
      </w:r>
      <w:r w:rsidR="00F66505" w:rsidRPr="007944E2">
        <w:rPr>
          <w:rFonts w:cstheme="minorHAnsi"/>
        </w:rPr>
        <w:t>. Il s’agit</w:t>
      </w:r>
      <w:r>
        <w:rPr>
          <w:rFonts w:cstheme="minorHAnsi"/>
        </w:rPr>
        <w:t xml:space="preserve"> d’un dispositif</w:t>
      </w:r>
      <w:r w:rsidR="00F66505" w:rsidRPr="007944E2">
        <w:rPr>
          <w:rFonts w:cstheme="minorHAnsi"/>
        </w:rPr>
        <w:t xml:space="preserve"> mis en place par les autorités algériennes (ministère du commerce) pour</w:t>
      </w:r>
      <w:r w:rsidR="00B902A5">
        <w:rPr>
          <w:rFonts w:cstheme="minorHAnsi"/>
        </w:rPr>
        <w:t xml:space="preserve"> </w:t>
      </w:r>
      <w:r w:rsidR="00F66505" w:rsidRPr="007944E2">
        <w:rPr>
          <w:rFonts w:cstheme="minorHAnsi"/>
        </w:rPr>
        <w:t>tenter de « normaliser » une pratique « légitime » par son ancienneté datant de bien avant la période coloniale et la constitution de l’Etat algérien.</w:t>
      </w:r>
      <w:r w:rsidR="00B902A5">
        <w:rPr>
          <w:rFonts w:cstheme="minorHAnsi"/>
        </w:rPr>
        <w:t xml:space="preserve"> </w:t>
      </w:r>
    </w:p>
    <w:p w14:paraId="15A04834" w14:textId="77777777" w:rsidR="00F66505" w:rsidRPr="007944E2" w:rsidRDefault="00F66505" w:rsidP="00F66505">
      <w:pPr>
        <w:autoSpaceDE w:val="0"/>
        <w:autoSpaceDN w:val="0"/>
        <w:adjustRightInd w:val="0"/>
        <w:spacing w:after="0"/>
        <w:jc w:val="both"/>
        <w:rPr>
          <w:rFonts w:cstheme="minorHAnsi"/>
        </w:rPr>
      </w:pPr>
    </w:p>
    <w:p w14:paraId="40FEB6DA" w14:textId="7FFEA0B4" w:rsidR="00F66505" w:rsidRPr="007944E2" w:rsidRDefault="00F66505" w:rsidP="00F66505">
      <w:pPr>
        <w:autoSpaceDE w:val="0"/>
        <w:autoSpaceDN w:val="0"/>
        <w:adjustRightInd w:val="0"/>
        <w:spacing w:after="0"/>
        <w:jc w:val="both"/>
        <w:rPr>
          <w:rFonts w:cstheme="minorHAnsi"/>
        </w:rPr>
      </w:pPr>
      <w:r w:rsidRPr="00372AA4">
        <w:rPr>
          <w:rFonts w:cstheme="minorHAnsi"/>
          <w:b/>
        </w:rPr>
        <w:t xml:space="preserve">L’arrêté de 1994, principal texte qui régit le commerce de troc, souligne dans ces deux premiers articles </w:t>
      </w:r>
      <w:r w:rsidR="00C21719">
        <w:rPr>
          <w:rFonts w:cstheme="minorHAnsi"/>
          <w:b/>
        </w:rPr>
        <w:t xml:space="preserve">le </w:t>
      </w:r>
      <w:r w:rsidRPr="00372AA4">
        <w:rPr>
          <w:rFonts w:cstheme="minorHAnsi"/>
          <w:b/>
        </w:rPr>
        <w:t>carac</w:t>
      </w:r>
      <w:r w:rsidR="00372AA4">
        <w:rPr>
          <w:rFonts w:cstheme="minorHAnsi"/>
          <w:b/>
        </w:rPr>
        <w:t>tère exceptionnel du commerce de</w:t>
      </w:r>
      <w:r w:rsidRPr="00372AA4">
        <w:rPr>
          <w:rFonts w:cstheme="minorHAnsi"/>
          <w:b/>
        </w:rPr>
        <w:t xml:space="preserve"> troc</w:t>
      </w:r>
      <w:r w:rsidRPr="007944E2">
        <w:rPr>
          <w:rStyle w:val="FootnoteReference"/>
          <w:rFonts w:cstheme="minorHAnsi"/>
        </w:rPr>
        <w:footnoteReference w:id="18"/>
      </w:r>
      <w:r w:rsidRPr="007944E2">
        <w:rPr>
          <w:rFonts w:cstheme="minorHAnsi"/>
        </w:rPr>
        <w:t xml:space="preserve">. </w:t>
      </w:r>
      <w:r w:rsidRPr="00C21719">
        <w:rPr>
          <w:rFonts w:cstheme="minorHAnsi"/>
          <w:b/>
        </w:rPr>
        <w:t>Ce</w:t>
      </w:r>
      <w:r w:rsidR="00B902A5">
        <w:rPr>
          <w:rFonts w:cstheme="minorHAnsi"/>
          <w:b/>
        </w:rPr>
        <w:t xml:space="preserve"> </w:t>
      </w:r>
      <w:r w:rsidRPr="00C21719">
        <w:rPr>
          <w:rFonts w:cstheme="minorHAnsi"/>
          <w:b/>
        </w:rPr>
        <w:t>dispositif limite le cadre</w:t>
      </w:r>
      <w:r w:rsidR="00B902A5">
        <w:rPr>
          <w:rFonts w:cstheme="minorHAnsi"/>
          <w:b/>
        </w:rPr>
        <w:t xml:space="preserve"> </w:t>
      </w:r>
      <w:r w:rsidRPr="00C21719">
        <w:rPr>
          <w:rFonts w:cstheme="minorHAnsi"/>
          <w:b/>
        </w:rPr>
        <w:t xml:space="preserve">instituant le marché du troc tout en accordant un large pouvoir de gestion et de contrôle aux autorités administratives locales. </w:t>
      </w:r>
      <w:r w:rsidR="00C21719" w:rsidRPr="007944E2">
        <w:rPr>
          <w:rFonts w:cstheme="minorHAnsi"/>
        </w:rPr>
        <w:t>Selon ce même dispositif, un équilibre entre les valeurs des importations et des exportations effectués dans le cadre du troc doit être impérativement observé ; le produit de la vente des marchandises maliennes et nigériennes</w:t>
      </w:r>
      <w:r w:rsidR="00B902A5">
        <w:rPr>
          <w:rFonts w:cstheme="minorHAnsi"/>
        </w:rPr>
        <w:t xml:space="preserve"> </w:t>
      </w:r>
      <w:r w:rsidR="00C21719" w:rsidRPr="007944E2">
        <w:rPr>
          <w:rFonts w:cstheme="minorHAnsi"/>
        </w:rPr>
        <w:t>ne peut être affecté qu’à l’achat des marchandises algériennes figurant dans la liste et le montant de produits achetés en vue de l’exportation ne doit pas</w:t>
      </w:r>
      <w:r w:rsidR="00B902A5">
        <w:rPr>
          <w:rFonts w:cstheme="minorHAnsi"/>
        </w:rPr>
        <w:t xml:space="preserve"> </w:t>
      </w:r>
      <w:r w:rsidR="00C21719" w:rsidRPr="007944E2">
        <w:rPr>
          <w:rFonts w:cstheme="minorHAnsi"/>
        </w:rPr>
        <w:t>être supérieur à celui déclaré à l’entrée (article 8).</w:t>
      </w:r>
      <w:r w:rsidRPr="007944E2">
        <w:rPr>
          <w:rFonts w:cstheme="minorHAnsi"/>
        </w:rPr>
        <w:t>L’arrêté de 1994 fixe la liste des marchandises admises dans le cadre du troc en suspension des droits et taxes et</w:t>
      </w:r>
      <w:r w:rsidR="00B902A5">
        <w:rPr>
          <w:rFonts w:cstheme="minorHAnsi"/>
        </w:rPr>
        <w:t xml:space="preserve"> </w:t>
      </w:r>
      <w:r w:rsidRPr="007944E2">
        <w:rPr>
          <w:rFonts w:cstheme="minorHAnsi"/>
        </w:rPr>
        <w:t>son espace géographique fixé aux limites territoriales des wilayas d’Adra</w:t>
      </w:r>
      <w:r w:rsidR="00C21719">
        <w:rPr>
          <w:rFonts w:cstheme="minorHAnsi"/>
        </w:rPr>
        <w:t>r, de Tamanrasset</w:t>
      </w:r>
      <w:r w:rsidR="00B902A5">
        <w:rPr>
          <w:rFonts w:cstheme="minorHAnsi"/>
        </w:rPr>
        <w:t xml:space="preserve"> </w:t>
      </w:r>
      <w:r w:rsidR="00C21719">
        <w:rPr>
          <w:rFonts w:cstheme="minorHAnsi"/>
        </w:rPr>
        <w:t>et d’Illizi</w:t>
      </w:r>
      <w:r w:rsidRPr="007944E2">
        <w:rPr>
          <w:rFonts w:cstheme="minorHAnsi"/>
        </w:rPr>
        <w:t xml:space="preserve"> et étendu à la wilaya de</w:t>
      </w:r>
      <w:r w:rsidR="00B902A5">
        <w:rPr>
          <w:rFonts w:cstheme="minorHAnsi"/>
        </w:rPr>
        <w:t xml:space="preserve"> </w:t>
      </w:r>
      <w:r w:rsidRPr="007944E2">
        <w:rPr>
          <w:rFonts w:cstheme="minorHAnsi"/>
        </w:rPr>
        <w:t>Tindouf par arrêté de 1999</w:t>
      </w:r>
      <w:r w:rsidRPr="007944E2">
        <w:rPr>
          <w:rStyle w:val="FootnoteReference"/>
          <w:rFonts w:cstheme="minorHAnsi"/>
        </w:rPr>
        <w:footnoteReference w:id="19"/>
      </w:r>
      <w:r w:rsidRPr="007944E2">
        <w:rPr>
          <w:rFonts w:cstheme="minorHAnsi"/>
        </w:rPr>
        <w:t>.</w:t>
      </w:r>
      <w:r w:rsidR="00B902A5">
        <w:rPr>
          <w:rFonts w:cstheme="minorHAnsi"/>
        </w:rPr>
        <w:t xml:space="preserve"> </w:t>
      </w:r>
      <w:r w:rsidR="00C21719">
        <w:t xml:space="preserve">Les produits algériens autorisés pour le </w:t>
      </w:r>
      <w:r w:rsidR="00772F40">
        <w:t>troc</w:t>
      </w:r>
      <w:r w:rsidR="00C21719">
        <w:t xml:space="preserve"> sont</w:t>
      </w:r>
      <w:r w:rsidR="00C21719" w:rsidRPr="00C21719">
        <w:t xml:space="preserve"> : dattes communes ; dattes </w:t>
      </w:r>
      <w:proofErr w:type="spellStart"/>
      <w:r w:rsidR="00C21719" w:rsidRPr="00C21719">
        <w:t>frezza</w:t>
      </w:r>
      <w:proofErr w:type="spellEnd"/>
      <w:r w:rsidR="00C21719" w:rsidRPr="00C21719">
        <w:t xml:space="preserve">, à l’exclusion des autres variétés de dattes de </w:t>
      </w:r>
      <w:proofErr w:type="spellStart"/>
      <w:r w:rsidR="00C21719" w:rsidRPr="00C21719">
        <w:t>Degletnour</w:t>
      </w:r>
      <w:proofErr w:type="spellEnd"/>
      <w:r w:rsidR="00C21719" w:rsidRPr="00C21719">
        <w:t> ; sel domestique ; objets domestiques en plastique, en aluminium, en fonte, en fer, en acier ; couvertures ; artisanat local à l’exclu</w:t>
      </w:r>
      <w:r w:rsidR="00C21719">
        <w:t xml:space="preserve">sion des tapis de laine. </w:t>
      </w:r>
      <w:r w:rsidR="00C21719" w:rsidRPr="00C21719">
        <w:t xml:space="preserve">Les produits </w:t>
      </w:r>
      <w:r w:rsidR="00C21719">
        <w:t>autorisés en provenance du Mali et du N</w:t>
      </w:r>
      <w:r w:rsidR="00C21719" w:rsidRPr="00C21719">
        <w:t xml:space="preserve">iger sont : le cheptel vif ; henné ; thé vert ; épices ; tissu turban ; tissu </w:t>
      </w:r>
      <w:proofErr w:type="spellStart"/>
      <w:r w:rsidR="00C21719" w:rsidRPr="00C21719">
        <w:t>tarri</w:t>
      </w:r>
      <w:proofErr w:type="spellEnd"/>
      <w:r w:rsidR="00C21719" w:rsidRPr="00C21719">
        <w:t> ; mil ; beurre rance de consommation locale ; légumes secs ; riz ; mangue.</w:t>
      </w:r>
      <w:r w:rsidR="00C21719" w:rsidRPr="00C21719">
        <w:rPr>
          <w:rFonts w:cstheme="minorHAnsi"/>
        </w:rPr>
        <w:t xml:space="preserve"> </w:t>
      </w:r>
      <w:r w:rsidR="00536A8C">
        <w:rPr>
          <w:rFonts w:cstheme="minorHAnsi"/>
        </w:rPr>
        <w:t xml:space="preserve">Il est à noter que </w:t>
      </w:r>
      <w:r w:rsidR="00536A8C">
        <w:t>depuis la fermeture des frontières, seules les dattes sèches sont autorisées à l'exportation.</w:t>
      </w:r>
    </w:p>
    <w:p w14:paraId="06B9995F" w14:textId="77777777" w:rsidR="00C21719" w:rsidRDefault="00C21719" w:rsidP="00F66505">
      <w:pPr>
        <w:autoSpaceDE w:val="0"/>
        <w:autoSpaceDN w:val="0"/>
        <w:adjustRightInd w:val="0"/>
        <w:spacing w:after="0"/>
        <w:jc w:val="both"/>
        <w:rPr>
          <w:rFonts w:cstheme="minorHAnsi"/>
        </w:rPr>
      </w:pPr>
    </w:p>
    <w:p w14:paraId="193D92A1" w14:textId="1A93E9AA" w:rsidR="00F66505" w:rsidRDefault="00F66505" w:rsidP="00F66505">
      <w:pPr>
        <w:autoSpaceDE w:val="0"/>
        <w:autoSpaceDN w:val="0"/>
        <w:adjustRightInd w:val="0"/>
        <w:spacing w:after="0"/>
        <w:jc w:val="both"/>
        <w:rPr>
          <w:rFonts w:cstheme="minorHAnsi"/>
        </w:rPr>
      </w:pPr>
      <w:r w:rsidRPr="00C21719">
        <w:rPr>
          <w:rFonts w:cstheme="minorHAnsi"/>
          <w:b/>
        </w:rPr>
        <w:t>L’arrêté de 1994 exige pour l’octroi de l’autorisation d’exercer le commerce du troc que la personne physique ou morale soit immatriculée au registre de commerce algérien en qualité de grossiste et qu’elle dispose d’infrastructure de stockage et de moyens de transports de marchandises en propriété ou en location (article 4)</w:t>
      </w:r>
      <w:r w:rsidRPr="007944E2">
        <w:rPr>
          <w:rFonts w:cstheme="minorHAnsi"/>
        </w:rPr>
        <w:t>, une formalité non exigée dans les réglementations précédent</w:t>
      </w:r>
      <w:r w:rsidR="00B95A9F">
        <w:rPr>
          <w:rFonts w:cstheme="minorHAnsi"/>
        </w:rPr>
        <w:t>es de 1991. Cette mesure a</w:t>
      </w:r>
      <w:r w:rsidR="00B902A5">
        <w:rPr>
          <w:rFonts w:cstheme="minorHAnsi"/>
        </w:rPr>
        <w:t xml:space="preserve"> </w:t>
      </w:r>
      <w:r w:rsidR="00B95A9F">
        <w:rPr>
          <w:rFonts w:cstheme="minorHAnsi"/>
        </w:rPr>
        <w:t>créé</w:t>
      </w:r>
      <w:r w:rsidRPr="007944E2">
        <w:rPr>
          <w:rFonts w:cstheme="minorHAnsi"/>
        </w:rPr>
        <w:t xml:space="preserve"> un monopole des commerçants </w:t>
      </w:r>
      <w:r w:rsidRPr="007944E2">
        <w:rPr>
          <w:rFonts w:cstheme="minorHAnsi"/>
        </w:rPr>
        <w:lastRenderedPageBreak/>
        <w:t xml:space="preserve">algériens sur le commerce transfrontalier de gros obligeant les </w:t>
      </w:r>
      <w:r w:rsidR="00820D37">
        <w:rPr>
          <w:rFonts w:cstheme="minorHAnsi"/>
        </w:rPr>
        <w:t>M</w:t>
      </w:r>
      <w:r w:rsidRPr="007944E2">
        <w:rPr>
          <w:rFonts w:cstheme="minorHAnsi"/>
        </w:rPr>
        <w:t xml:space="preserve">aliens et les </w:t>
      </w:r>
      <w:r w:rsidR="00820D37">
        <w:rPr>
          <w:rFonts w:cstheme="minorHAnsi"/>
        </w:rPr>
        <w:t>N</w:t>
      </w:r>
      <w:r w:rsidRPr="007944E2">
        <w:rPr>
          <w:rFonts w:cstheme="minorHAnsi"/>
        </w:rPr>
        <w:t xml:space="preserve">igériens </w:t>
      </w:r>
      <w:r w:rsidR="00820D37">
        <w:rPr>
          <w:rFonts w:cstheme="minorHAnsi"/>
        </w:rPr>
        <w:t>à</w:t>
      </w:r>
      <w:r w:rsidRPr="007944E2">
        <w:rPr>
          <w:rFonts w:cstheme="minorHAnsi"/>
        </w:rPr>
        <w:t xml:space="preserve"> passer par ces intermédiaires </w:t>
      </w:r>
      <w:r w:rsidRPr="007944E2">
        <w:rPr>
          <w:rFonts w:cstheme="minorHAnsi"/>
          <w:color w:val="000000"/>
        </w:rPr>
        <w:t xml:space="preserve">(Scheele, 2011). </w:t>
      </w:r>
    </w:p>
    <w:p w14:paraId="6A2ED80B" w14:textId="77777777" w:rsidR="00C21719" w:rsidRPr="007944E2" w:rsidRDefault="00C21719" w:rsidP="00F66505">
      <w:pPr>
        <w:autoSpaceDE w:val="0"/>
        <w:autoSpaceDN w:val="0"/>
        <w:adjustRightInd w:val="0"/>
        <w:spacing w:after="0"/>
        <w:jc w:val="both"/>
        <w:rPr>
          <w:rFonts w:cstheme="minorHAnsi"/>
        </w:rPr>
      </w:pPr>
    </w:p>
    <w:p w14:paraId="2223089F" w14:textId="5AB02D47" w:rsidR="009D3E5F" w:rsidRDefault="00F66505" w:rsidP="00F66505">
      <w:pPr>
        <w:jc w:val="both"/>
        <w:rPr>
          <w:rFonts w:cstheme="minorHAnsi"/>
        </w:rPr>
      </w:pPr>
      <w:r w:rsidRPr="00C21719">
        <w:rPr>
          <w:rFonts w:cstheme="minorHAnsi"/>
          <w:b/>
        </w:rPr>
        <w:t>Les pro</w:t>
      </w:r>
      <w:r w:rsidR="00C21719" w:rsidRPr="00C21719">
        <w:rPr>
          <w:rFonts w:cstheme="minorHAnsi"/>
          <w:b/>
        </w:rPr>
        <w:t>cédures relatives au commerce de</w:t>
      </w:r>
      <w:r w:rsidRPr="00C21719">
        <w:rPr>
          <w:rFonts w:cstheme="minorHAnsi"/>
          <w:b/>
        </w:rPr>
        <w:t xml:space="preserve"> troc sont très largement décentralisées. </w:t>
      </w:r>
      <w:r w:rsidRPr="007944E2">
        <w:rPr>
          <w:rFonts w:cstheme="minorHAnsi"/>
        </w:rPr>
        <w:t>Le wali (préfet) dispose conformément à cet arrêté d’un grand pouvoir d’appréciation, en fonction de la situation locale, des quantités des marchandises admises à l’importation (article 3 paragraphe 2). Il fixe annuellement la liste des grossistes chargés de réaliser les opérations de troc frontalier (article 5) et peut également</w:t>
      </w:r>
      <w:r w:rsidR="00B902A5">
        <w:rPr>
          <w:rFonts w:cstheme="minorHAnsi"/>
        </w:rPr>
        <w:t xml:space="preserve"> </w:t>
      </w:r>
      <w:r w:rsidRPr="007944E2">
        <w:rPr>
          <w:rFonts w:cstheme="minorHAnsi"/>
        </w:rPr>
        <w:t>décider des</w:t>
      </w:r>
      <w:r w:rsidR="00B902A5">
        <w:rPr>
          <w:rFonts w:cstheme="minorHAnsi"/>
        </w:rPr>
        <w:t xml:space="preserve"> </w:t>
      </w:r>
      <w:r w:rsidRPr="007944E2">
        <w:rPr>
          <w:rFonts w:cstheme="minorHAnsi"/>
        </w:rPr>
        <w:t>retraits de ces autorisations aux commerçants opérant pour un tiers, ou</w:t>
      </w:r>
      <w:r w:rsidR="00B902A5">
        <w:rPr>
          <w:rFonts w:cstheme="minorHAnsi"/>
        </w:rPr>
        <w:t xml:space="preserve"> </w:t>
      </w:r>
      <w:r w:rsidRPr="007944E2">
        <w:rPr>
          <w:rFonts w:cstheme="minorHAnsi"/>
        </w:rPr>
        <w:t>transgressant la législation commerciale, douanière ou fiscale en vigueur ou n’ayant pas réalisé d’opérations d’importations ou d’exportation durant l’année (article 6).</w:t>
      </w:r>
      <w:r w:rsidR="00B902A5">
        <w:rPr>
          <w:rFonts w:cstheme="minorHAnsi"/>
        </w:rPr>
        <w:t xml:space="preserve"> </w:t>
      </w:r>
      <w:r w:rsidRPr="007944E2">
        <w:rPr>
          <w:rFonts w:cstheme="minorHAnsi"/>
        </w:rPr>
        <w:t xml:space="preserve">Les services locaux du commerce, de douane et des impôts sont chargés </w:t>
      </w:r>
      <w:r w:rsidRPr="00503AFB">
        <w:rPr>
          <w:rFonts w:cstheme="minorHAnsi"/>
        </w:rPr>
        <w:t>d’arrêter les fourchettes de prix</w:t>
      </w:r>
      <w:r w:rsidRPr="007944E2">
        <w:rPr>
          <w:rFonts w:cstheme="minorHAnsi"/>
        </w:rPr>
        <w:t xml:space="preserve"> et d’évaluer périodiquement les conditions de réalisation de l’activité (article 12). A l’occasion de la journée mondiale des douanes du 26 janvier 2012, un séminaire a été organisé à Tamanrasset par la Direction Générale des Douanes et le ministère du commerce auquel les représentants locaux ont été conviés pour examiner le dispositif du troc, jugé flou et inadapté selon les populations locales. </w:t>
      </w:r>
    </w:p>
    <w:p w14:paraId="350E8172" w14:textId="2D30B562" w:rsidR="00B2529C" w:rsidRDefault="00B2529C" w:rsidP="00F66505">
      <w:pPr>
        <w:jc w:val="both"/>
        <w:rPr>
          <w:rFonts w:cstheme="minorHAnsi"/>
        </w:rPr>
      </w:pPr>
      <w:r w:rsidRPr="00B2529C">
        <w:rPr>
          <w:rFonts w:cstheme="minorHAnsi"/>
          <w:b/>
          <w:lang w:bidi="ar-DZ"/>
        </w:rPr>
        <w:t>Afin d'assurer le respect de l'équilibre des échanges,</w:t>
      </w:r>
      <w:r w:rsidR="00B902A5">
        <w:rPr>
          <w:rFonts w:cstheme="minorHAnsi"/>
          <w:b/>
          <w:lang w:bidi="ar-DZ"/>
        </w:rPr>
        <w:t xml:space="preserve"> </w:t>
      </w:r>
      <w:r w:rsidRPr="00B2529C">
        <w:rPr>
          <w:rFonts w:cstheme="minorHAnsi"/>
          <w:b/>
          <w:lang w:bidi="ar-DZ"/>
        </w:rPr>
        <w:t>les services des douanes disposent d'une fiche de suivi des opérations effectuées par chaque commerçant</w:t>
      </w:r>
      <w:r w:rsidR="00B902A5">
        <w:rPr>
          <w:rFonts w:cstheme="minorHAnsi"/>
          <w:b/>
          <w:lang w:bidi="ar-DZ"/>
        </w:rPr>
        <w:t xml:space="preserve"> </w:t>
      </w:r>
      <w:r w:rsidRPr="00B2529C">
        <w:rPr>
          <w:rFonts w:cstheme="minorHAnsi"/>
          <w:b/>
          <w:lang w:bidi="ar-DZ"/>
        </w:rPr>
        <w:t>et s'assure à travers ce contrôle individualisé du respect de la réglementation en vigueur.</w:t>
      </w:r>
      <w:r w:rsidRPr="00951611">
        <w:rPr>
          <w:rFonts w:cstheme="minorHAnsi"/>
          <w:lang w:bidi="ar-DZ"/>
        </w:rPr>
        <w:t xml:space="preserve"> A la fin de l'année, chaque opérateur qui n'a pas respecté</w:t>
      </w:r>
      <w:r w:rsidR="00B902A5">
        <w:rPr>
          <w:rFonts w:cstheme="minorHAnsi"/>
          <w:lang w:bidi="ar-DZ"/>
        </w:rPr>
        <w:t xml:space="preserve"> </w:t>
      </w:r>
      <w:r w:rsidRPr="00951611">
        <w:rPr>
          <w:rFonts w:cstheme="minorHAnsi"/>
          <w:lang w:bidi="ar-DZ"/>
        </w:rPr>
        <w:t xml:space="preserve">cet équilibre de paiement est convié à procéder, lors de l'année suivante, à des opérations commerciales pour redresser l'écart sous peine de suspension. </w:t>
      </w:r>
    </w:p>
    <w:p w14:paraId="0888C969" w14:textId="64CEEECC" w:rsidR="00724D45" w:rsidRPr="007900EF" w:rsidRDefault="00FB67B3" w:rsidP="00F4269F">
      <w:pPr>
        <w:pStyle w:val="Heading1"/>
        <w:numPr>
          <w:ilvl w:val="0"/>
          <w:numId w:val="1"/>
        </w:numPr>
      </w:pPr>
      <w:bookmarkStart w:id="10" w:name="_Toc384903144"/>
      <w:bookmarkStart w:id="11" w:name="_Toc386104455"/>
      <w:r>
        <w:t>L</w:t>
      </w:r>
      <w:r w:rsidR="00815798">
        <w:t xml:space="preserve">es </w:t>
      </w:r>
      <w:r w:rsidR="008E2273">
        <w:t>faiblesse</w:t>
      </w:r>
      <w:r w:rsidR="006A1947">
        <w:t>s</w:t>
      </w:r>
      <w:r w:rsidR="007E78A8">
        <w:t xml:space="preserve"> et déséquilibre</w:t>
      </w:r>
      <w:r w:rsidR="00820D37">
        <w:t>s</w:t>
      </w:r>
      <w:r w:rsidR="008E2273">
        <w:t xml:space="preserve"> d</w:t>
      </w:r>
      <w:r w:rsidR="00DC43FD">
        <w:t>u commerce officiel</w:t>
      </w:r>
      <w:bookmarkEnd w:id="10"/>
      <w:bookmarkEnd w:id="11"/>
    </w:p>
    <w:p w14:paraId="6A0AE3E9" w14:textId="77777777" w:rsidR="006C49CC" w:rsidRDefault="006C49CC" w:rsidP="005F1B0E">
      <w:pPr>
        <w:pStyle w:val="ListParagraph"/>
        <w:ind w:left="0"/>
        <w:jc w:val="both"/>
        <w:rPr>
          <w:b/>
        </w:rPr>
      </w:pPr>
    </w:p>
    <w:p w14:paraId="02A37034" w14:textId="77777777" w:rsidR="005F1B0E" w:rsidRDefault="00182656" w:rsidP="005F1B0E">
      <w:pPr>
        <w:pStyle w:val="ListParagraph"/>
        <w:ind w:left="0"/>
        <w:jc w:val="both"/>
        <w:rPr>
          <w:b/>
        </w:rPr>
      </w:pPr>
      <w:r>
        <w:rPr>
          <w:b/>
        </w:rPr>
        <w:t>L</w:t>
      </w:r>
      <w:r w:rsidR="005F1B0E">
        <w:rPr>
          <w:b/>
        </w:rPr>
        <w:t xml:space="preserve">es flux de commerce enregistrés entre les deux pays sont extrêmement faibles ce qui indique soit peu de commerce soit beaucoup d’informel. </w:t>
      </w:r>
    </w:p>
    <w:p w14:paraId="53143110" w14:textId="76C76870" w:rsidR="002638E1" w:rsidRPr="00182656" w:rsidRDefault="00182656" w:rsidP="002638E1">
      <w:pPr>
        <w:jc w:val="both"/>
        <w:rPr>
          <w:rFonts w:cstheme="minorHAnsi"/>
          <w:b/>
        </w:rPr>
      </w:pPr>
      <w:r>
        <w:rPr>
          <w:rFonts w:cstheme="minorHAnsi"/>
          <w:b/>
        </w:rPr>
        <w:t>P</w:t>
      </w:r>
      <w:r w:rsidR="00AB7EE0">
        <w:rPr>
          <w:rFonts w:cstheme="minorHAnsi"/>
          <w:b/>
        </w:rPr>
        <w:t>ourtant, le commerce de troc</w:t>
      </w:r>
      <w:r w:rsidR="002638E1" w:rsidRPr="00182656">
        <w:rPr>
          <w:rFonts w:cstheme="minorHAnsi"/>
          <w:b/>
        </w:rPr>
        <w:t xml:space="preserve"> est passé de l’année 2000 à l’année 201</w:t>
      </w:r>
      <w:r>
        <w:rPr>
          <w:rFonts w:cstheme="minorHAnsi"/>
          <w:b/>
        </w:rPr>
        <w:t>0</w:t>
      </w:r>
      <w:r w:rsidR="00B902A5">
        <w:rPr>
          <w:rFonts w:cstheme="minorHAnsi"/>
          <w:b/>
        </w:rPr>
        <w:t xml:space="preserve"> </w:t>
      </w:r>
      <w:r>
        <w:rPr>
          <w:rFonts w:cstheme="minorHAnsi"/>
          <w:b/>
        </w:rPr>
        <w:t>de 1,46 million de dollars USD</w:t>
      </w:r>
      <w:r w:rsidR="002638E1" w:rsidRPr="00182656">
        <w:rPr>
          <w:rFonts w:cstheme="minorHAnsi"/>
          <w:b/>
        </w:rPr>
        <w:t xml:space="preserve"> à </w:t>
      </w:r>
      <w:r w:rsidRPr="00182656">
        <w:rPr>
          <w:rFonts w:cstheme="minorHAnsi"/>
          <w:b/>
        </w:rPr>
        <w:t>plus de 6 millions de dollars USD</w:t>
      </w:r>
      <w:r w:rsidR="002638E1" w:rsidRPr="00182656">
        <w:rPr>
          <w:rFonts w:cstheme="minorHAnsi"/>
          <w:b/>
        </w:rPr>
        <w:t xml:space="preserve"> à l’importation</w:t>
      </w:r>
      <w:r w:rsidRPr="00182656">
        <w:rPr>
          <w:rFonts w:cstheme="minorHAnsi"/>
          <w:b/>
        </w:rPr>
        <w:t xml:space="preserve"> et</w:t>
      </w:r>
      <w:r w:rsidR="00B902A5">
        <w:rPr>
          <w:rFonts w:cstheme="minorHAnsi"/>
          <w:b/>
        </w:rPr>
        <w:t xml:space="preserve"> </w:t>
      </w:r>
      <w:r w:rsidRPr="00182656">
        <w:rPr>
          <w:rFonts w:cstheme="minorHAnsi"/>
          <w:b/>
        </w:rPr>
        <w:t>de 742 000</w:t>
      </w:r>
      <w:r w:rsidR="002638E1" w:rsidRPr="00182656">
        <w:rPr>
          <w:rFonts w:cstheme="minorHAnsi"/>
          <w:b/>
        </w:rPr>
        <w:t xml:space="preserve"> dollars à p</w:t>
      </w:r>
      <w:r w:rsidRPr="00182656">
        <w:rPr>
          <w:rFonts w:cstheme="minorHAnsi"/>
          <w:b/>
        </w:rPr>
        <w:t>lus de 5 millions de dollars USD</w:t>
      </w:r>
      <w:r w:rsidR="00B902A5">
        <w:rPr>
          <w:rFonts w:cstheme="minorHAnsi"/>
          <w:b/>
        </w:rPr>
        <w:t xml:space="preserve"> </w:t>
      </w:r>
      <w:r w:rsidR="002638E1" w:rsidRPr="00182656">
        <w:rPr>
          <w:rFonts w:cstheme="minorHAnsi"/>
          <w:b/>
        </w:rPr>
        <w:t>à l’exportation</w:t>
      </w:r>
      <w:r w:rsidR="00191671">
        <w:rPr>
          <w:rFonts w:cstheme="minorHAnsi"/>
          <w:b/>
        </w:rPr>
        <w:t xml:space="preserve"> d’après les </w:t>
      </w:r>
      <w:r w:rsidR="00815798">
        <w:rPr>
          <w:rFonts w:cstheme="minorHAnsi"/>
          <w:b/>
        </w:rPr>
        <w:t xml:space="preserve">autorité </w:t>
      </w:r>
      <w:r w:rsidR="00191671">
        <w:rPr>
          <w:rFonts w:cstheme="minorHAnsi"/>
          <w:b/>
        </w:rPr>
        <w:t xml:space="preserve"> algériennes</w:t>
      </w:r>
      <w:r w:rsidR="00AB7EE0">
        <w:rPr>
          <w:rFonts w:cstheme="minorHAnsi"/>
          <w:b/>
        </w:rPr>
        <w:t xml:space="preserve"> (pour le Niger et le Mali)</w:t>
      </w:r>
      <w:r w:rsidR="002638E1" w:rsidRPr="00182656">
        <w:rPr>
          <w:rFonts w:cstheme="minorHAnsi"/>
          <w:b/>
        </w:rPr>
        <w:t xml:space="preserve">. </w:t>
      </w:r>
    </w:p>
    <w:p w14:paraId="66F155BE" w14:textId="18186634" w:rsidR="00191671" w:rsidRDefault="00815798" w:rsidP="00191671">
      <w:pPr>
        <w:jc w:val="both"/>
      </w:pPr>
      <w:r>
        <w:rPr>
          <w:rFonts w:cstheme="minorHAnsi"/>
          <w:b/>
        </w:rPr>
        <w:t>D</w:t>
      </w:r>
      <w:r w:rsidR="00191671" w:rsidRPr="00191671">
        <w:rPr>
          <w:rFonts w:cstheme="minorHAnsi"/>
          <w:b/>
        </w:rPr>
        <w:t xml:space="preserve">’après COMTRADE, les chiffres diffèrent. </w:t>
      </w:r>
      <w:r w:rsidR="00B30A2A">
        <w:rPr>
          <w:rFonts w:cstheme="minorHAnsi"/>
          <w:b/>
        </w:rPr>
        <w:t xml:space="preserve"> </w:t>
      </w:r>
      <w:r w:rsidR="00191671" w:rsidRPr="00191671">
        <w:rPr>
          <w:rFonts w:cstheme="minorHAnsi"/>
          <w:b/>
        </w:rPr>
        <w:t>L</w:t>
      </w:r>
      <w:r w:rsidR="00724D45" w:rsidRPr="00191671">
        <w:rPr>
          <w:b/>
        </w:rPr>
        <w:t>es données</w:t>
      </w:r>
      <w:r w:rsidR="00724D45" w:rsidRPr="007900EF">
        <w:rPr>
          <w:b/>
        </w:rPr>
        <w:t xml:space="preserve"> de commerce entre l</w:t>
      </w:r>
      <w:r w:rsidR="00724D45">
        <w:rPr>
          <w:b/>
        </w:rPr>
        <w:t>’Algérie et le Mali</w:t>
      </w:r>
      <w:r w:rsidR="00724D45" w:rsidRPr="007900EF">
        <w:rPr>
          <w:b/>
        </w:rPr>
        <w:t xml:space="preserve"> disponible</w:t>
      </w:r>
      <w:r w:rsidR="006A1947">
        <w:rPr>
          <w:b/>
        </w:rPr>
        <w:t>s</w:t>
      </w:r>
      <w:r w:rsidR="00724D45" w:rsidRPr="007900EF">
        <w:rPr>
          <w:b/>
        </w:rPr>
        <w:t xml:space="preserve"> </w:t>
      </w:r>
      <w:r w:rsidR="00191671">
        <w:rPr>
          <w:b/>
        </w:rPr>
        <w:t>sont donc fluctuantes et peu fiables</w:t>
      </w:r>
      <w:r w:rsidR="00724D45" w:rsidRPr="007900EF">
        <w:rPr>
          <w:b/>
        </w:rPr>
        <w:t xml:space="preserve">. </w:t>
      </w:r>
      <w:r w:rsidR="00191671">
        <w:rPr>
          <w:b/>
        </w:rPr>
        <w:t>Ainsi, l</w:t>
      </w:r>
      <w:r w:rsidR="001E6DDF" w:rsidRPr="00100447">
        <w:rPr>
          <w:b/>
        </w:rPr>
        <w:t>es valeurs des transactions enregistrées par les deux pays</w:t>
      </w:r>
      <w:r w:rsidR="001E6DDF">
        <w:rPr>
          <w:b/>
        </w:rPr>
        <w:t xml:space="preserve"> </w:t>
      </w:r>
      <w:r w:rsidR="006A1947">
        <w:rPr>
          <w:b/>
        </w:rPr>
        <w:t xml:space="preserve">sont </w:t>
      </w:r>
      <w:r w:rsidR="001E6DDF">
        <w:rPr>
          <w:b/>
        </w:rPr>
        <w:t xml:space="preserve">très différentes : </w:t>
      </w:r>
      <w:r w:rsidR="001E6DDF">
        <w:t>les autorités maliennes enregistrent des importations</w:t>
      </w:r>
      <w:r w:rsidR="00191671">
        <w:t xml:space="preserve"> pour une valeur de plus de 1,89 millions de dollars en 2011</w:t>
      </w:r>
      <w:r w:rsidR="001E6DDF">
        <w:t xml:space="preserve">, les autorités algériennes n’enregistrent une valeur </w:t>
      </w:r>
      <w:r w:rsidR="00191671">
        <w:t>que de 1,02 million de</w:t>
      </w:r>
      <w:r w:rsidR="001E6DDF">
        <w:t xml:space="preserve"> dollars</w:t>
      </w:r>
      <w:r w:rsidR="00B902A5">
        <w:t xml:space="preserve"> </w:t>
      </w:r>
      <w:r w:rsidR="001E6DDF">
        <w:t>po</w:t>
      </w:r>
      <w:r w:rsidR="00191671">
        <w:t xml:space="preserve">ur la même année. </w:t>
      </w:r>
      <w:r w:rsidR="00191671" w:rsidRPr="00191671">
        <w:t>De même, les</w:t>
      </w:r>
      <w:r w:rsidR="00191671">
        <w:t xml:space="preserve"> autorités maliennes enregistrent des exportations pour une valeur de plus de 11,5 millions de dollars en 2011, les autorités algériennes n’enregistrent une valeur que de 0,10 million dollars d’importations pour la même année. </w:t>
      </w:r>
    </w:p>
    <w:p w14:paraId="6B32D881" w14:textId="77777777" w:rsidR="004A0FAF" w:rsidRDefault="004A0FAF" w:rsidP="00191671">
      <w:pPr>
        <w:jc w:val="both"/>
        <w:rPr>
          <w:b/>
        </w:rPr>
      </w:pPr>
    </w:p>
    <w:p w14:paraId="18A8ABF3" w14:textId="77777777" w:rsidR="004A0FAF" w:rsidRDefault="004A0FAF" w:rsidP="00191671">
      <w:pPr>
        <w:jc w:val="both"/>
        <w:rPr>
          <w:b/>
        </w:rPr>
      </w:pPr>
    </w:p>
    <w:p w14:paraId="19D95016" w14:textId="77777777" w:rsidR="004A0FAF" w:rsidRDefault="004A0FAF" w:rsidP="00191671">
      <w:pPr>
        <w:jc w:val="both"/>
        <w:rPr>
          <w:b/>
        </w:rPr>
      </w:pPr>
    </w:p>
    <w:p w14:paraId="53735308" w14:textId="77777777" w:rsidR="00191671" w:rsidRPr="001C0C72" w:rsidRDefault="00191671" w:rsidP="00191671">
      <w:pPr>
        <w:jc w:val="both"/>
        <w:rPr>
          <w:b/>
        </w:rPr>
      </w:pPr>
      <w:r>
        <w:rPr>
          <w:b/>
        </w:rPr>
        <w:lastRenderedPageBreak/>
        <w:t>Le tableau suivant</w:t>
      </w:r>
      <w:r w:rsidRPr="001C0C72">
        <w:rPr>
          <w:b/>
        </w:rPr>
        <w:t xml:space="preserve"> propose un résumé des flux totaux de commerce entre l’Algérie et le Mali selon les déclarations douanières publiés auprès de COMTRADE :</w:t>
      </w:r>
    </w:p>
    <w:p w14:paraId="0A454129" w14:textId="77777777" w:rsidR="00191671" w:rsidRPr="003F2D5C" w:rsidRDefault="003F2D5C" w:rsidP="003F2D5C">
      <w:pPr>
        <w:pStyle w:val="Caption"/>
        <w:rPr>
          <w:color w:val="auto"/>
          <w:sz w:val="22"/>
          <w:szCs w:val="22"/>
        </w:rPr>
      </w:pPr>
      <w:bookmarkStart w:id="12" w:name="_Toc373155795"/>
      <w:r w:rsidRPr="003F2D5C">
        <w:rPr>
          <w:color w:val="auto"/>
          <w:sz w:val="22"/>
          <w:szCs w:val="22"/>
        </w:rPr>
        <w:t xml:space="preserve">Tableau </w:t>
      </w:r>
      <w:r w:rsidRPr="003F2D5C">
        <w:rPr>
          <w:color w:val="auto"/>
          <w:sz w:val="22"/>
          <w:szCs w:val="22"/>
        </w:rPr>
        <w:fldChar w:fldCharType="begin"/>
      </w:r>
      <w:r w:rsidRPr="003F2D5C">
        <w:rPr>
          <w:color w:val="auto"/>
          <w:sz w:val="22"/>
          <w:szCs w:val="22"/>
        </w:rPr>
        <w:instrText xml:space="preserve"> SEQ Tableau \* ARABIC </w:instrText>
      </w:r>
      <w:r w:rsidRPr="003F2D5C">
        <w:rPr>
          <w:color w:val="auto"/>
          <w:sz w:val="22"/>
          <w:szCs w:val="22"/>
        </w:rPr>
        <w:fldChar w:fldCharType="separate"/>
      </w:r>
      <w:r w:rsidR="008229BD">
        <w:rPr>
          <w:noProof/>
          <w:color w:val="auto"/>
          <w:sz w:val="22"/>
          <w:szCs w:val="22"/>
        </w:rPr>
        <w:t>1</w:t>
      </w:r>
      <w:r w:rsidRPr="003F2D5C">
        <w:rPr>
          <w:color w:val="auto"/>
          <w:sz w:val="22"/>
          <w:szCs w:val="22"/>
        </w:rPr>
        <w:fldChar w:fldCharType="end"/>
      </w:r>
      <w:r w:rsidRPr="003F2D5C">
        <w:rPr>
          <w:color w:val="auto"/>
          <w:sz w:val="22"/>
          <w:szCs w:val="22"/>
        </w:rPr>
        <w:t>.</w:t>
      </w:r>
      <w:r w:rsidR="00191671" w:rsidRPr="003F2D5C">
        <w:rPr>
          <w:color w:val="auto"/>
          <w:sz w:val="22"/>
          <w:szCs w:val="22"/>
        </w:rPr>
        <w:t xml:space="preserve"> Flux totaux enregistrés</w:t>
      </w:r>
      <w:bookmarkEnd w:id="12"/>
      <w:r w:rsidR="00191671" w:rsidRPr="003F2D5C">
        <w:rPr>
          <w:color w:val="auto"/>
          <w:sz w:val="22"/>
          <w:szCs w:val="22"/>
        </w:rPr>
        <w:t xml:space="preserve"> (en millions USD)</w:t>
      </w:r>
    </w:p>
    <w:tbl>
      <w:tblPr>
        <w:tblW w:w="7740" w:type="dxa"/>
        <w:tblInd w:w="93" w:type="dxa"/>
        <w:tblLook w:val="04A0" w:firstRow="1" w:lastRow="0" w:firstColumn="1" w:lastColumn="0" w:noHBand="0" w:noVBand="1"/>
      </w:tblPr>
      <w:tblGrid>
        <w:gridCol w:w="807"/>
        <w:gridCol w:w="1760"/>
        <w:gridCol w:w="1760"/>
        <w:gridCol w:w="1760"/>
        <w:gridCol w:w="1760"/>
      </w:tblGrid>
      <w:tr w:rsidR="00191671" w:rsidRPr="0047387E" w14:paraId="7AA42270" w14:textId="77777777" w:rsidTr="00435968">
        <w:trPr>
          <w:trHeight w:val="11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80E9" w14:textId="77777777" w:rsidR="00191671" w:rsidRPr="003F2D5C" w:rsidRDefault="00191671" w:rsidP="00435968">
            <w:pPr>
              <w:spacing w:after="0" w:line="240" w:lineRule="auto"/>
              <w:rPr>
                <w:rFonts w:ascii="Calibri" w:eastAsia="Times New Roman" w:hAnsi="Calibri" w:cs="Times New Roman"/>
                <w:b/>
                <w:bCs/>
                <w:color w:val="000000"/>
                <w:lang w:eastAsia="en-GB"/>
              </w:rPr>
            </w:pPr>
            <w:r w:rsidRPr="003F2D5C">
              <w:rPr>
                <w:rFonts w:ascii="Calibri" w:eastAsia="Times New Roman" w:hAnsi="Calibri" w:cs="Times New Roman"/>
                <w:b/>
                <w:bCs/>
                <w:color w:val="000000"/>
                <w:lang w:eastAsia="en-GB"/>
              </w:rPr>
              <w:t>Année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F1B3B44" w14:textId="7B15A22B" w:rsidR="00191671" w:rsidRPr="009F28D0" w:rsidRDefault="00191671" w:rsidP="00435968">
            <w:pPr>
              <w:spacing w:after="0" w:line="240" w:lineRule="auto"/>
              <w:rPr>
                <w:rFonts w:ascii="Calibri" w:eastAsia="Times New Roman" w:hAnsi="Calibri" w:cs="Times New Roman"/>
                <w:b/>
                <w:bCs/>
                <w:color w:val="000000"/>
                <w:lang w:eastAsia="en-GB"/>
              </w:rPr>
            </w:pPr>
            <w:r w:rsidRPr="009F28D0">
              <w:rPr>
                <w:rFonts w:ascii="Calibri" w:eastAsia="Times New Roman" w:hAnsi="Calibri" w:cs="Times New Roman"/>
                <w:b/>
                <w:bCs/>
                <w:color w:val="000000"/>
                <w:lang w:eastAsia="en-GB"/>
              </w:rPr>
              <w:t>Exportations Algériennes (Valeurs Enregistrées à l'entrée au</w:t>
            </w:r>
            <w:r w:rsidR="00B902A5">
              <w:rPr>
                <w:rFonts w:ascii="Calibri" w:eastAsia="Times New Roman" w:hAnsi="Calibri" w:cs="Times New Roman"/>
                <w:b/>
                <w:bCs/>
                <w:color w:val="000000"/>
                <w:lang w:eastAsia="en-GB"/>
              </w:rPr>
              <w:t xml:space="preserve"> </w:t>
            </w:r>
            <w:r w:rsidRPr="009F28D0">
              <w:rPr>
                <w:rFonts w:ascii="Calibri" w:eastAsia="Times New Roman" w:hAnsi="Calibri" w:cs="Times New Roman"/>
                <w:b/>
                <w:bCs/>
                <w:color w:val="000000"/>
                <w:lang w:eastAsia="en-GB"/>
              </w:rPr>
              <w:t>Mali)</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2BD8AA1" w14:textId="77777777" w:rsidR="00191671" w:rsidRPr="009F28D0" w:rsidRDefault="00191671" w:rsidP="00435968">
            <w:pPr>
              <w:spacing w:after="0" w:line="240" w:lineRule="auto"/>
              <w:rPr>
                <w:rFonts w:ascii="Calibri" w:eastAsia="Times New Roman" w:hAnsi="Calibri" w:cs="Times New Roman"/>
                <w:b/>
                <w:bCs/>
                <w:color w:val="000000"/>
                <w:lang w:eastAsia="en-GB"/>
              </w:rPr>
            </w:pPr>
            <w:r w:rsidRPr="009F28D0">
              <w:rPr>
                <w:rFonts w:ascii="Calibri" w:eastAsia="Times New Roman" w:hAnsi="Calibri" w:cs="Times New Roman"/>
                <w:b/>
                <w:bCs/>
                <w:color w:val="000000"/>
                <w:lang w:eastAsia="en-GB"/>
              </w:rPr>
              <w:t>Exportations Algériennes (Valeur Enregistrées à la sortie d'Algérie)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C7BFDC2" w14:textId="77777777" w:rsidR="00191671" w:rsidRPr="009F28D0" w:rsidRDefault="00191671" w:rsidP="00435968">
            <w:pPr>
              <w:spacing w:after="0" w:line="240" w:lineRule="auto"/>
              <w:rPr>
                <w:rFonts w:ascii="Calibri" w:eastAsia="Times New Roman" w:hAnsi="Calibri" w:cs="Times New Roman"/>
                <w:b/>
                <w:bCs/>
                <w:color w:val="000000"/>
                <w:lang w:eastAsia="en-GB"/>
              </w:rPr>
            </w:pPr>
            <w:r w:rsidRPr="009F28D0">
              <w:rPr>
                <w:rFonts w:ascii="Calibri" w:eastAsia="Times New Roman" w:hAnsi="Calibri" w:cs="Times New Roman"/>
                <w:b/>
                <w:bCs/>
                <w:color w:val="000000"/>
                <w:lang w:eastAsia="en-GB"/>
              </w:rPr>
              <w:t>Exportations Maliennes (Valeur Enregistrées à l'entrée en Algérie)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BC2C8F4" w14:textId="77777777" w:rsidR="00191671" w:rsidRPr="009F28D0" w:rsidRDefault="00191671" w:rsidP="00435968">
            <w:pPr>
              <w:spacing w:after="0" w:line="240" w:lineRule="auto"/>
              <w:rPr>
                <w:rFonts w:ascii="Calibri" w:eastAsia="Times New Roman" w:hAnsi="Calibri" w:cs="Times New Roman"/>
                <w:b/>
                <w:bCs/>
                <w:color w:val="000000"/>
                <w:lang w:eastAsia="en-GB"/>
              </w:rPr>
            </w:pPr>
            <w:r w:rsidRPr="009F28D0">
              <w:rPr>
                <w:rFonts w:ascii="Calibri" w:eastAsia="Times New Roman" w:hAnsi="Calibri" w:cs="Times New Roman"/>
                <w:b/>
                <w:bCs/>
                <w:color w:val="000000"/>
                <w:lang w:eastAsia="en-GB"/>
              </w:rPr>
              <w:t>Exportations Maliennes (Valeur Enregistrée à la sortie du Mali)</w:t>
            </w:r>
          </w:p>
        </w:tc>
      </w:tr>
      <w:tr w:rsidR="00191671" w:rsidRPr="0047387E" w14:paraId="01A87E88" w14:textId="77777777" w:rsidTr="0043596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CA0ED0" w14:textId="77777777" w:rsidR="00191671" w:rsidRPr="009F28D0" w:rsidRDefault="00191671" w:rsidP="00435968">
            <w:pPr>
              <w:spacing w:after="0" w:line="240" w:lineRule="auto"/>
              <w:jc w:val="both"/>
              <w:rPr>
                <w:rFonts w:ascii="Calibri" w:eastAsia="Times New Roman" w:hAnsi="Calibri" w:cs="Times New Roman"/>
                <w:i/>
                <w:iCs/>
                <w:color w:val="000000"/>
                <w:lang w:val="en-GB" w:eastAsia="en-GB"/>
              </w:rPr>
            </w:pPr>
            <w:r w:rsidRPr="009F28D0">
              <w:rPr>
                <w:rFonts w:ascii="Calibri" w:eastAsia="Times New Roman" w:hAnsi="Calibri" w:cs="Times New Roman"/>
                <w:i/>
                <w:iCs/>
                <w:color w:val="000000"/>
                <w:lang w:val="en-GB" w:eastAsia="en-GB"/>
              </w:rPr>
              <w:t>2007</w:t>
            </w:r>
          </w:p>
        </w:tc>
        <w:tc>
          <w:tcPr>
            <w:tcW w:w="1760" w:type="dxa"/>
            <w:tcBorders>
              <w:top w:val="nil"/>
              <w:left w:val="nil"/>
              <w:bottom w:val="single" w:sz="4" w:space="0" w:color="auto"/>
              <w:right w:val="single" w:sz="4" w:space="0" w:color="auto"/>
            </w:tcBorders>
            <w:shd w:val="clear" w:color="auto" w:fill="auto"/>
            <w:noWrap/>
            <w:vAlign w:val="bottom"/>
            <w:hideMark/>
          </w:tcPr>
          <w:p w14:paraId="33A6F93C"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1,32</w:t>
            </w:r>
          </w:p>
        </w:tc>
        <w:tc>
          <w:tcPr>
            <w:tcW w:w="1760" w:type="dxa"/>
            <w:tcBorders>
              <w:top w:val="nil"/>
              <w:left w:val="nil"/>
              <w:bottom w:val="single" w:sz="4" w:space="0" w:color="auto"/>
              <w:right w:val="single" w:sz="4" w:space="0" w:color="auto"/>
            </w:tcBorders>
            <w:shd w:val="clear" w:color="auto" w:fill="auto"/>
            <w:noWrap/>
            <w:vAlign w:val="bottom"/>
            <w:hideMark/>
          </w:tcPr>
          <w:p w14:paraId="27B44B10"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0,62</w:t>
            </w:r>
          </w:p>
        </w:tc>
        <w:tc>
          <w:tcPr>
            <w:tcW w:w="1760" w:type="dxa"/>
            <w:tcBorders>
              <w:top w:val="nil"/>
              <w:left w:val="nil"/>
              <w:bottom w:val="single" w:sz="4" w:space="0" w:color="auto"/>
              <w:right w:val="single" w:sz="4" w:space="0" w:color="auto"/>
            </w:tcBorders>
            <w:shd w:val="clear" w:color="auto" w:fill="auto"/>
            <w:noWrap/>
            <w:vAlign w:val="bottom"/>
            <w:hideMark/>
          </w:tcPr>
          <w:p w14:paraId="4AB07D9A"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0,16</w:t>
            </w:r>
          </w:p>
        </w:tc>
        <w:tc>
          <w:tcPr>
            <w:tcW w:w="1760" w:type="dxa"/>
            <w:tcBorders>
              <w:top w:val="nil"/>
              <w:left w:val="nil"/>
              <w:bottom w:val="single" w:sz="4" w:space="0" w:color="auto"/>
              <w:right w:val="single" w:sz="4" w:space="0" w:color="auto"/>
            </w:tcBorders>
            <w:shd w:val="clear" w:color="auto" w:fill="auto"/>
            <w:noWrap/>
            <w:vAlign w:val="bottom"/>
            <w:hideMark/>
          </w:tcPr>
          <w:p w14:paraId="6FCF6026"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1,95</w:t>
            </w:r>
          </w:p>
        </w:tc>
      </w:tr>
      <w:tr w:rsidR="00191671" w:rsidRPr="0047387E" w14:paraId="7EE3F435" w14:textId="77777777" w:rsidTr="0043596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0ACA19" w14:textId="77777777" w:rsidR="00191671" w:rsidRPr="009F28D0" w:rsidRDefault="00191671" w:rsidP="00435968">
            <w:pPr>
              <w:spacing w:after="0" w:line="240" w:lineRule="auto"/>
              <w:jc w:val="both"/>
              <w:rPr>
                <w:rFonts w:ascii="Calibri" w:eastAsia="Times New Roman" w:hAnsi="Calibri" w:cs="Times New Roman"/>
                <w:i/>
                <w:iCs/>
                <w:color w:val="000000"/>
                <w:lang w:val="en-GB" w:eastAsia="en-GB"/>
              </w:rPr>
            </w:pPr>
            <w:r w:rsidRPr="009F28D0">
              <w:rPr>
                <w:rFonts w:ascii="Calibri" w:eastAsia="Times New Roman" w:hAnsi="Calibri" w:cs="Times New Roman"/>
                <w:i/>
                <w:iCs/>
                <w:color w:val="000000"/>
                <w:lang w:val="en-GB" w:eastAsia="en-GB"/>
              </w:rPr>
              <w:t>2008</w:t>
            </w:r>
          </w:p>
        </w:tc>
        <w:tc>
          <w:tcPr>
            <w:tcW w:w="1760" w:type="dxa"/>
            <w:tcBorders>
              <w:top w:val="nil"/>
              <w:left w:val="nil"/>
              <w:bottom w:val="single" w:sz="4" w:space="0" w:color="auto"/>
              <w:right w:val="single" w:sz="4" w:space="0" w:color="auto"/>
            </w:tcBorders>
            <w:shd w:val="clear" w:color="auto" w:fill="auto"/>
            <w:noWrap/>
            <w:vAlign w:val="bottom"/>
            <w:hideMark/>
          </w:tcPr>
          <w:p w14:paraId="10F7FEBF"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4,94</w:t>
            </w:r>
          </w:p>
        </w:tc>
        <w:tc>
          <w:tcPr>
            <w:tcW w:w="1760" w:type="dxa"/>
            <w:tcBorders>
              <w:top w:val="nil"/>
              <w:left w:val="nil"/>
              <w:bottom w:val="single" w:sz="4" w:space="0" w:color="auto"/>
              <w:right w:val="single" w:sz="4" w:space="0" w:color="auto"/>
            </w:tcBorders>
            <w:shd w:val="clear" w:color="auto" w:fill="auto"/>
            <w:noWrap/>
            <w:vAlign w:val="bottom"/>
            <w:hideMark/>
          </w:tcPr>
          <w:p w14:paraId="14F4A647"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0,64</w:t>
            </w:r>
          </w:p>
        </w:tc>
        <w:tc>
          <w:tcPr>
            <w:tcW w:w="1760" w:type="dxa"/>
            <w:tcBorders>
              <w:top w:val="nil"/>
              <w:left w:val="nil"/>
              <w:bottom w:val="single" w:sz="4" w:space="0" w:color="auto"/>
              <w:right w:val="single" w:sz="4" w:space="0" w:color="auto"/>
            </w:tcBorders>
            <w:shd w:val="clear" w:color="auto" w:fill="auto"/>
            <w:noWrap/>
            <w:vAlign w:val="bottom"/>
            <w:hideMark/>
          </w:tcPr>
          <w:p w14:paraId="089BB0D0"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w:t>
            </w:r>
          </w:p>
        </w:tc>
        <w:tc>
          <w:tcPr>
            <w:tcW w:w="1760" w:type="dxa"/>
            <w:tcBorders>
              <w:top w:val="nil"/>
              <w:left w:val="nil"/>
              <w:bottom w:val="single" w:sz="4" w:space="0" w:color="auto"/>
              <w:right w:val="single" w:sz="4" w:space="0" w:color="auto"/>
            </w:tcBorders>
            <w:shd w:val="clear" w:color="auto" w:fill="auto"/>
            <w:noWrap/>
            <w:vAlign w:val="bottom"/>
            <w:hideMark/>
          </w:tcPr>
          <w:p w14:paraId="57DAC5D2"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2,39</w:t>
            </w:r>
          </w:p>
        </w:tc>
      </w:tr>
      <w:tr w:rsidR="00191671" w:rsidRPr="0047387E" w14:paraId="233F29B0" w14:textId="77777777" w:rsidTr="0043596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1C9D2D" w14:textId="77777777" w:rsidR="00191671" w:rsidRPr="009F28D0" w:rsidRDefault="00191671" w:rsidP="00435968">
            <w:pPr>
              <w:spacing w:after="0" w:line="240" w:lineRule="auto"/>
              <w:jc w:val="both"/>
              <w:rPr>
                <w:rFonts w:ascii="Calibri" w:eastAsia="Times New Roman" w:hAnsi="Calibri" w:cs="Times New Roman"/>
                <w:i/>
                <w:iCs/>
                <w:color w:val="000000"/>
                <w:lang w:val="en-GB" w:eastAsia="en-GB"/>
              </w:rPr>
            </w:pPr>
            <w:r w:rsidRPr="009F28D0">
              <w:rPr>
                <w:rFonts w:ascii="Calibri" w:eastAsia="Times New Roman" w:hAnsi="Calibri" w:cs="Times New Roman"/>
                <w:i/>
                <w:iCs/>
                <w:color w:val="000000"/>
                <w:lang w:val="en-GB" w:eastAsia="en-GB"/>
              </w:rPr>
              <w:t>2009</w:t>
            </w:r>
          </w:p>
        </w:tc>
        <w:tc>
          <w:tcPr>
            <w:tcW w:w="1760" w:type="dxa"/>
            <w:tcBorders>
              <w:top w:val="nil"/>
              <w:left w:val="nil"/>
              <w:bottom w:val="single" w:sz="4" w:space="0" w:color="auto"/>
              <w:right w:val="single" w:sz="4" w:space="0" w:color="auto"/>
            </w:tcBorders>
            <w:shd w:val="clear" w:color="auto" w:fill="auto"/>
            <w:noWrap/>
            <w:vAlign w:val="bottom"/>
            <w:hideMark/>
          </w:tcPr>
          <w:p w14:paraId="06C68DDC"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w:t>
            </w:r>
          </w:p>
        </w:tc>
        <w:tc>
          <w:tcPr>
            <w:tcW w:w="1760" w:type="dxa"/>
            <w:tcBorders>
              <w:top w:val="nil"/>
              <w:left w:val="nil"/>
              <w:bottom w:val="single" w:sz="4" w:space="0" w:color="auto"/>
              <w:right w:val="single" w:sz="4" w:space="0" w:color="auto"/>
            </w:tcBorders>
            <w:shd w:val="clear" w:color="auto" w:fill="auto"/>
            <w:noWrap/>
            <w:vAlign w:val="bottom"/>
            <w:hideMark/>
          </w:tcPr>
          <w:p w14:paraId="0A3CE17B"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2,65</w:t>
            </w:r>
          </w:p>
        </w:tc>
        <w:tc>
          <w:tcPr>
            <w:tcW w:w="1760" w:type="dxa"/>
            <w:tcBorders>
              <w:top w:val="nil"/>
              <w:left w:val="nil"/>
              <w:bottom w:val="single" w:sz="4" w:space="0" w:color="auto"/>
              <w:right w:val="single" w:sz="4" w:space="0" w:color="auto"/>
            </w:tcBorders>
            <w:shd w:val="clear" w:color="auto" w:fill="auto"/>
            <w:noWrap/>
            <w:vAlign w:val="bottom"/>
            <w:hideMark/>
          </w:tcPr>
          <w:p w14:paraId="5CA2D3C5"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w:t>
            </w:r>
          </w:p>
        </w:tc>
        <w:tc>
          <w:tcPr>
            <w:tcW w:w="1760" w:type="dxa"/>
            <w:tcBorders>
              <w:top w:val="nil"/>
              <w:left w:val="nil"/>
              <w:bottom w:val="single" w:sz="4" w:space="0" w:color="auto"/>
              <w:right w:val="single" w:sz="4" w:space="0" w:color="auto"/>
            </w:tcBorders>
            <w:shd w:val="clear" w:color="auto" w:fill="auto"/>
            <w:noWrap/>
            <w:vAlign w:val="bottom"/>
            <w:hideMark/>
          </w:tcPr>
          <w:p w14:paraId="6DA30D39"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w:t>
            </w:r>
          </w:p>
        </w:tc>
      </w:tr>
      <w:tr w:rsidR="00191671" w:rsidRPr="0047387E" w14:paraId="7A4286D8" w14:textId="77777777" w:rsidTr="0043596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2F00A8" w14:textId="77777777" w:rsidR="00191671" w:rsidRPr="009F28D0" w:rsidRDefault="00191671" w:rsidP="00435968">
            <w:pPr>
              <w:spacing w:after="0" w:line="240" w:lineRule="auto"/>
              <w:jc w:val="both"/>
              <w:rPr>
                <w:rFonts w:ascii="Calibri" w:eastAsia="Times New Roman" w:hAnsi="Calibri" w:cs="Times New Roman"/>
                <w:i/>
                <w:iCs/>
                <w:color w:val="000000"/>
                <w:lang w:val="en-GB" w:eastAsia="en-GB"/>
              </w:rPr>
            </w:pPr>
            <w:r w:rsidRPr="009F28D0">
              <w:rPr>
                <w:rFonts w:ascii="Calibri" w:eastAsia="Times New Roman" w:hAnsi="Calibri" w:cs="Times New Roman"/>
                <w:i/>
                <w:iCs/>
                <w:color w:val="000000"/>
                <w:lang w:val="en-GB" w:eastAsia="en-GB"/>
              </w:rPr>
              <w:t>2010</w:t>
            </w:r>
          </w:p>
        </w:tc>
        <w:tc>
          <w:tcPr>
            <w:tcW w:w="1760" w:type="dxa"/>
            <w:tcBorders>
              <w:top w:val="nil"/>
              <w:left w:val="nil"/>
              <w:bottom w:val="single" w:sz="4" w:space="0" w:color="auto"/>
              <w:right w:val="single" w:sz="4" w:space="0" w:color="auto"/>
            </w:tcBorders>
            <w:shd w:val="clear" w:color="auto" w:fill="auto"/>
            <w:noWrap/>
            <w:vAlign w:val="bottom"/>
            <w:hideMark/>
          </w:tcPr>
          <w:p w14:paraId="2B38FDF5"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1,54</w:t>
            </w:r>
          </w:p>
        </w:tc>
        <w:tc>
          <w:tcPr>
            <w:tcW w:w="1760" w:type="dxa"/>
            <w:tcBorders>
              <w:top w:val="nil"/>
              <w:left w:val="nil"/>
              <w:bottom w:val="single" w:sz="4" w:space="0" w:color="auto"/>
              <w:right w:val="single" w:sz="4" w:space="0" w:color="auto"/>
            </w:tcBorders>
            <w:shd w:val="clear" w:color="auto" w:fill="auto"/>
            <w:noWrap/>
            <w:vAlign w:val="bottom"/>
            <w:hideMark/>
          </w:tcPr>
          <w:p w14:paraId="44735A13"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0,27</w:t>
            </w:r>
          </w:p>
        </w:tc>
        <w:tc>
          <w:tcPr>
            <w:tcW w:w="1760" w:type="dxa"/>
            <w:tcBorders>
              <w:top w:val="nil"/>
              <w:left w:val="nil"/>
              <w:bottom w:val="single" w:sz="4" w:space="0" w:color="auto"/>
              <w:right w:val="single" w:sz="4" w:space="0" w:color="auto"/>
            </w:tcBorders>
            <w:shd w:val="clear" w:color="auto" w:fill="auto"/>
            <w:noWrap/>
            <w:vAlign w:val="bottom"/>
            <w:hideMark/>
          </w:tcPr>
          <w:p w14:paraId="18535BFA"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w:t>
            </w:r>
          </w:p>
        </w:tc>
        <w:tc>
          <w:tcPr>
            <w:tcW w:w="1760" w:type="dxa"/>
            <w:tcBorders>
              <w:top w:val="nil"/>
              <w:left w:val="nil"/>
              <w:bottom w:val="single" w:sz="4" w:space="0" w:color="auto"/>
              <w:right w:val="single" w:sz="4" w:space="0" w:color="auto"/>
            </w:tcBorders>
            <w:shd w:val="clear" w:color="auto" w:fill="auto"/>
            <w:noWrap/>
            <w:vAlign w:val="bottom"/>
            <w:hideMark/>
          </w:tcPr>
          <w:p w14:paraId="50FC4DD3"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3,11</w:t>
            </w:r>
          </w:p>
        </w:tc>
      </w:tr>
      <w:tr w:rsidR="00191671" w:rsidRPr="0047387E" w14:paraId="03B740F2" w14:textId="77777777" w:rsidTr="0043596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3BFB96" w14:textId="77777777" w:rsidR="00191671" w:rsidRPr="009F28D0" w:rsidRDefault="00191671" w:rsidP="00435968">
            <w:pPr>
              <w:spacing w:after="0" w:line="240" w:lineRule="auto"/>
              <w:jc w:val="both"/>
              <w:rPr>
                <w:rFonts w:ascii="Calibri" w:eastAsia="Times New Roman" w:hAnsi="Calibri" w:cs="Times New Roman"/>
                <w:i/>
                <w:iCs/>
                <w:color w:val="000000"/>
                <w:lang w:val="en-GB" w:eastAsia="en-GB"/>
              </w:rPr>
            </w:pPr>
            <w:r w:rsidRPr="009F28D0">
              <w:rPr>
                <w:rFonts w:ascii="Calibri" w:eastAsia="Times New Roman" w:hAnsi="Calibri" w:cs="Times New Roman"/>
                <w:i/>
                <w:iCs/>
                <w:color w:val="000000"/>
                <w:lang w:val="en-GB" w:eastAsia="en-GB"/>
              </w:rPr>
              <w:t>2011</w:t>
            </w:r>
          </w:p>
        </w:tc>
        <w:tc>
          <w:tcPr>
            <w:tcW w:w="1760" w:type="dxa"/>
            <w:tcBorders>
              <w:top w:val="nil"/>
              <w:left w:val="nil"/>
              <w:bottom w:val="single" w:sz="4" w:space="0" w:color="auto"/>
              <w:right w:val="single" w:sz="4" w:space="0" w:color="auto"/>
            </w:tcBorders>
            <w:shd w:val="clear" w:color="auto" w:fill="auto"/>
            <w:noWrap/>
            <w:vAlign w:val="bottom"/>
            <w:hideMark/>
          </w:tcPr>
          <w:p w14:paraId="492F91B8"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1,89</w:t>
            </w:r>
          </w:p>
        </w:tc>
        <w:tc>
          <w:tcPr>
            <w:tcW w:w="1760" w:type="dxa"/>
            <w:tcBorders>
              <w:top w:val="nil"/>
              <w:left w:val="nil"/>
              <w:bottom w:val="single" w:sz="4" w:space="0" w:color="auto"/>
              <w:right w:val="single" w:sz="4" w:space="0" w:color="auto"/>
            </w:tcBorders>
            <w:shd w:val="clear" w:color="auto" w:fill="auto"/>
            <w:noWrap/>
            <w:vAlign w:val="bottom"/>
            <w:hideMark/>
          </w:tcPr>
          <w:p w14:paraId="40F60CB8"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1,02</w:t>
            </w:r>
          </w:p>
        </w:tc>
        <w:tc>
          <w:tcPr>
            <w:tcW w:w="1760" w:type="dxa"/>
            <w:tcBorders>
              <w:top w:val="nil"/>
              <w:left w:val="nil"/>
              <w:bottom w:val="single" w:sz="4" w:space="0" w:color="auto"/>
              <w:right w:val="single" w:sz="4" w:space="0" w:color="auto"/>
            </w:tcBorders>
            <w:shd w:val="clear" w:color="auto" w:fill="auto"/>
            <w:noWrap/>
            <w:vAlign w:val="bottom"/>
            <w:hideMark/>
          </w:tcPr>
          <w:p w14:paraId="3A52D69F"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0,10</w:t>
            </w:r>
          </w:p>
        </w:tc>
        <w:tc>
          <w:tcPr>
            <w:tcW w:w="1760" w:type="dxa"/>
            <w:tcBorders>
              <w:top w:val="nil"/>
              <w:left w:val="nil"/>
              <w:bottom w:val="single" w:sz="4" w:space="0" w:color="auto"/>
              <w:right w:val="single" w:sz="4" w:space="0" w:color="auto"/>
            </w:tcBorders>
            <w:shd w:val="clear" w:color="auto" w:fill="auto"/>
            <w:noWrap/>
            <w:vAlign w:val="bottom"/>
            <w:hideMark/>
          </w:tcPr>
          <w:p w14:paraId="17005B32"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11,57</w:t>
            </w:r>
          </w:p>
        </w:tc>
      </w:tr>
      <w:tr w:rsidR="00191671" w:rsidRPr="0047387E" w14:paraId="1EC498E2" w14:textId="77777777" w:rsidTr="0043596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4324BC" w14:textId="77777777" w:rsidR="00191671" w:rsidRPr="009F28D0" w:rsidRDefault="00191671" w:rsidP="00435968">
            <w:pPr>
              <w:spacing w:after="0" w:line="240" w:lineRule="auto"/>
              <w:jc w:val="both"/>
              <w:rPr>
                <w:rFonts w:ascii="Calibri" w:eastAsia="Times New Roman" w:hAnsi="Calibri" w:cs="Times New Roman"/>
                <w:i/>
                <w:iCs/>
                <w:color w:val="000000"/>
                <w:lang w:val="en-GB" w:eastAsia="en-GB"/>
              </w:rPr>
            </w:pPr>
            <w:r w:rsidRPr="009F28D0">
              <w:rPr>
                <w:rFonts w:ascii="Calibri" w:eastAsia="Times New Roman" w:hAnsi="Calibri" w:cs="Times New Roman"/>
                <w:i/>
                <w:iCs/>
                <w:color w:val="000000"/>
                <w:lang w:val="en-GB" w:eastAsia="en-GB"/>
              </w:rPr>
              <w:t>2012</w:t>
            </w:r>
          </w:p>
        </w:tc>
        <w:tc>
          <w:tcPr>
            <w:tcW w:w="1760" w:type="dxa"/>
            <w:tcBorders>
              <w:top w:val="nil"/>
              <w:left w:val="nil"/>
              <w:bottom w:val="single" w:sz="4" w:space="0" w:color="auto"/>
              <w:right w:val="single" w:sz="4" w:space="0" w:color="auto"/>
            </w:tcBorders>
            <w:shd w:val="clear" w:color="auto" w:fill="auto"/>
            <w:noWrap/>
            <w:vAlign w:val="bottom"/>
            <w:hideMark/>
          </w:tcPr>
          <w:p w14:paraId="32E50934"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179EDF9E" w14:textId="77777777" w:rsidR="00191671" w:rsidRPr="009F28D0" w:rsidRDefault="00191671" w:rsidP="00435968">
            <w:pPr>
              <w:spacing w:after="0" w:line="240" w:lineRule="auto"/>
              <w:jc w:val="center"/>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0,58</w:t>
            </w:r>
          </w:p>
        </w:tc>
        <w:tc>
          <w:tcPr>
            <w:tcW w:w="1760" w:type="dxa"/>
            <w:tcBorders>
              <w:top w:val="nil"/>
              <w:left w:val="nil"/>
              <w:bottom w:val="single" w:sz="4" w:space="0" w:color="auto"/>
              <w:right w:val="single" w:sz="4" w:space="0" w:color="auto"/>
            </w:tcBorders>
            <w:shd w:val="clear" w:color="auto" w:fill="auto"/>
            <w:noWrap/>
            <w:vAlign w:val="bottom"/>
            <w:hideMark/>
          </w:tcPr>
          <w:p w14:paraId="44F56E10"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0,25</w:t>
            </w:r>
          </w:p>
        </w:tc>
        <w:tc>
          <w:tcPr>
            <w:tcW w:w="1760" w:type="dxa"/>
            <w:tcBorders>
              <w:top w:val="nil"/>
              <w:left w:val="nil"/>
              <w:bottom w:val="single" w:sz="4" w:space="0" w:color="auto"/>
              <w:right w:val="single" w:sz="4" w:space="0" w:color="auto"/>
            </w:tcBorders>
            <w:shd w:val="clear" w:color="auto" w:fill="auto"/>
            <w:noWrap/>
            <w:vAlign w:val="bottom"/>
            <w:hideMark/>
          </w:tcPr>
          <w:p w14:paraId="168C4876" w14:textId="77777777" w:rsidR="00191671" w:rsidRPr="009F28D0" w:rsidRDefault="00191671" w:rsidP="00435968">
            <w:pPr>
              <w:spacing w:after="0" w:line="240" w:lineRule="auto"/>
              <w:jc w:val="both"/>
              <w:rPr>
                <w:rFonts w:ascii="Calibri" w:eastAsia="Times New Roman" w:hAnsi="Calibri" w:cs="Times New Roman"/>
                <w:color w:val="000000"/>
                <w:lang w:val="en-GB" w:eastAsia="en-GB"/>
              </w:rPr>
            </w:pPr>
            <w:r w:rsidRPr="009F28D0">
              <w:rPr>
                <w:rFonts w:ascii="Calibri" w:eastAsia="Times New Roman" w:hAnsi="Calibri" w:cs="Times New Roman"/>
                <w:color w:val="000000"/>
                <w:lang w:val="en-GB" w:eastAsia="en-GB"/>
              </w:rPr>
              <w:t>1,85</w:t>
            </w:r>
          </w:p>
        </w:tc>
      </w:tr>
    </w:tbl>
    <w:p w14:paraId="7729CA8C" w14:textId="77777777" w:rsidR="00191671" w:rsidRDefault="00191671" w:rsidP="00191671">
      <w:pPr>
        <w:jc w:val="both"/>
      </w:pPr>
      <w:r>
        <w:t>Source de données : COMTRADE.</w:t>
      </w:r>
    </w:p>
    <w:p w14:paraId="1E331A9B" w14:textId="1226495C" w:rsidR="00B94D96" w:rsidRPr="00573801" w:rsidRDefault="001E6DDF" w:rsidP="00B94D96">
      <w:pPr>
        <w:jc w:val="both"/>
        <w:rPr>
          <w:b/>
        </w:rPr>
      </w:pPr>
      <w:r>
        <w:t>S</w:t>
      </w:r>
      <w:r w:rsidR="00724D45">
        <w:t>i les autorités maliennes enregistrent l’entrée de 13 types de biens différents en 2007, les autorités algériennes enregistrent la sortie de 141 types de biens différents pour la même an</w:t>
      </w:r>
      <w:r w:rsidR="001C0C72">
        <w:t xml:space="preserve">née. (Voir </w:t>
      </w:r>
      <w:r w:rsidR="005979EA">
        <w:t>Tableau</w:t>
      </w:r>
      <w:r w:rsidR="001C0C72">
        <w:t xml:space="preserve"> </w:t>
      </w:r>
      <w:r w:rsidR="00B94D96">
        <w:t>1</w:t>
      </w:r>
      <w:r w:rsidR="00724D45">
        <w:t>)</w:t>
      </w:r>
      <w:r w:rsidR="00B94D96">
        <w:t xml:space="preserve">. </w:t>
      </w:r>
      <w:r w:rsidR="00B94D96" w:rsidRPr="00B94D96">
        <w:t>Si on s’intéresse maintenant aux exportations maliennes en direction de l’Algérie, on remarque les faibles flux de commerce enregistrés existants.</w:t>
      </w:r>
      <w:r w:rsidR="00B94D96">
        <w:t xml:space="preserve"> L’année 2011 s’avère exceptionnelle avec 42 types d’exportations enregistrés côté malien et seulement 4 importations en provenance du mali enregistrés côté algérien. (Voir Tableau 2).</w:t>
      </w:r>
    </w:p>
    <w:p w14:paraId="227576BC" w14:textId="6A5F68A2" w:rsidR="001C0C72" w:rsidRPr="004D0483" w:rsidRDefault="003F2D5C" w:rsidP="003F2D5C">
      <w:pPr>
        <w:pStyle w:val="Caption"/>
        <w:rPr>
          <w:color w:val="auto"/>
          <w:sz w:val="22"/>
          <w:szCs w:val="22"/>
        </w:rPr>
      </w:pPr>
      <w:bookmarkStart w:id="13" w:name="_Toc373155790"/>
      <w:r w:rsidRPr="004D0483">
        <w:rPr>
          <w:color w:val="auto"/>
          <w:sz w:val="22"/>
          <w:szCs w:val="22"/>
        </w:rPr>
        <w:t xml:space="preserve">Tableau </w:t>
      </w:r>
      <w:r w:rsidRPr="004D0483">
        <w:rPr>
          <w:color w:val="auto"/>
          <w:sz w:val="22"/>
          <w:szCs w:val="22"/>
        </w:rPr>
        <w:fldChar w:fldCharType="begin"/>
      </w:r>
      <w:r w:rsidRPr="004D0483">
        <w:rPr>
          <w:color w:val="auto"/>
          <w:sz w:val="22"/>
          <w:szCs w:val="22"/>
        </w:rPr>
        <w:instrText xml:space="preserve"> SEQ Tableau \* ARABIC </w:instrText>
      </w:r>
      <w:r w:rsidRPr="004D0483">
        <w:rPr>
          <w:color w:val="auto"/>
          <w:sz w:val="22"/>
          <w:szCs w:val="22"/>
        </w:rPr>
        <w:fldChar w:fldCharType="separate"/>
      </w:r>
      <w:r w:rsidR="008229BD">
        <w:rPr>
          <w:noProof/>
          <w:color w:val="auto"/>
          <w:sz w:val="22"/>
          <w:szCs w:val="22"/>
        </w:rPr>
        <w:t>2</w:t>
      </w:r>
      <w:r w:rsidRPr="004D0483">
        <w:rPr>
          <w:color w:val="auto"/>
          <w:sz w:val="22"/>
          <w:szCs w:val="22"/>
        </w:rPr>
        <w:fldChar w:fldCharType="end"/>
      </w:r>
      <w:r w:rsidRPr="004D0483">
        <w:rPr>
          <w:color w:val="auto"/>
          <w:sz w:val="22"/>
          <w:szCs w:val="22"/>
        </w:rPr>
        <w:t>.</w:t>
      </w:r>
      <w:r w:rsidR="001C0C72" w:rsidRPr="004D0483">
        <w:rPr>
          <w:color w:val="auto"/>
          <w:sz w:val="22"/>
          <w:szCs w:val="22"/>
        </w:rPr>
        <w:t xml:space="preserve"> Variétés de biens échangés de l’Algérie vers le Mali</w:t>
      </w:r>
      <w:bookmarkEnd w:id="13"/>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228"/>
        <w:gridCol w:w="2292"/>
        <w:gridCol w:w="2292"/>
        <w:gridCol w:w="1938"/>
      </w:tblGrid>
      <w:tr w:rsidR="00B94D96" w:rsidRPr="00A960FD" w14:paraId="33429114" w14:textId="7266B3B8" w:rsidTr="00B94D96">
        <w:trPr>
          <w:trHeight w:val="1170"/>
        </w:trPr>
        <w:tc>
          <w:tcPr>
            <w:tcW w:w="853" w:type="dxa"/>
            <w:tcBorders>
              <w:right w:val="single" w:sz="18" w:space="0" w:color="auto"/>
            </w:tcBorders>
            <w:shd w:val="clear" w:color="auto" w:fill="auto"/>
            <w:vAlign w:val="center"/>
            <w:hideMark/>
          </w:tcPr>
          <w:p w14:paraId="0F58BE00" w14:textId="77777777" w:rsidR="00B94D96" w:rsidRPr="00B94D96" w:rsidRDefault="00B94D96" w:rsidP="00B94D96">
            <w:pPr>
              <w:spacing w:after="0" w:line="240" w:lineRule="auto"/>
              <w:jc w:val="center"/>
              <w:rPr>
                <w:rFonts w:ascii="Calibri" w:eastAsia="Times New Roman" w:hAnsi="Calibri" w:cs="Times New Roman"/>
                <w:b/>
                <w:color w:val="000000"/>
                <w:lang w:eastAsia="en-GB"/>
              </w:rPr>
            </w:pPr>
          </w:p>
        </w:tc>
        <w:tc>
          <w:tcPr>
            <w:tcW w:w="2228" w:type="dxa"/>
            <w:tcBorders>
              <w:top w:val="single" w:sz="18" w:space="0" w:color="auto"/>
              <w:left w:val="single" w:sz="18" w:space="0" w:color="auto"/>
              <w:bottom w:val="single" w:sz="6" w:space="0" w:color="auto"/>
              <w:right w:val="single" w:sz="6" w:space="0" w:color="auto"/>
            </w:tcBorders>
            <w:shd w:val="clear" w:color="auto" w:fill="auto"/>
            <w:vAlign w:val="center"/>
            <w:hideMark/>
          </w:tcPr>
          <w:p w14:paraId="5A7DC636" w14:textId="4A40F3B5" w:rsidR="00B94D96" w:rsidRPr="00B94D96" w:rsidRDefault="00B94D96" w:rsidP="00B94D96">
            <w:pPr>
              <w:spacing w:after="0" w:line="240" w:lineRule="auto"/>
              <w:jc w:val="center"/>
              <w:rPr>
                <w:rFonts w:ascii="Calibri" w:eastAsia="Times New Roman" w:hAnsi="Calibri" w:cs="Times New Roman"/>
                <w:b/>
                <w:color w:val="000000"/>
                <w:lang w:eastAsia="en-GB"/>
              </w:rPr>
            </w:pPr>
            <w:r w:rsidRPr="00B94D96">
              <w:rPr>
                <w:rFonts w:ascii="Calibri" w:eastAsia="Times New Roman" w:hAnsi="Calibri" w:cs="Times New Roman"/>
                <w:b/>
                <w:color w:val="000000"/>
                <w:lang w:eastAsia="en-GB"/>
              </w:rPr>
              <w:t>Nombre de variétés de biens importées enregistrés par les autorités maliennes</w:t>
            </w:r>
          </w:p>
        </w:tc>
        <w:tc>
          <w:tcPr>
            <w:tcW w:w="2292" w:type="dxa"/>
            <w:tcBorders>
              <w:top w:val="single" w:sz="18" w:space="0" w:color="auto"/>
              <w:left w:val="single" w:sz="18" w:space="0" w:color="auto"/>
              <w:bottom w:val="single" w:sz="6" w:space="0" w:color="auto"/>
              <w:right w:val="single" w:sz="18" w:space="0" w:color="auto"/>
            </w:tcBorders>
          </w:tcPr>
          <w:p w14:paraId="6910B42B" w14:textId="1FA9D086" w:rsidR="00B94D96" w:rsidRPr="00B94D96" w:rsidRDefault="00B94D96" w:rsidP="00B94D96">
            <w:pPr>
              <w:spacing w:after="0" w:line="240" w:lineRule="auto"/>
              <w:jc w:val="center"/>
              <w:rPr>
                <w:rFonts w:ascii="Calibri" w:eastAsia="Times New Roman" w:hAnsi="Calibri" w:cs="Times New Roman"/>
                <w:b/>
                <w:color w:val="000000"/>
                <w:lang w:eastAsia="en-GB"/>
              </w:rPr>
            </w:pPr>
            <w:r w:rsidRPr="00B94D96">
              <w:rPr>
                <w:rFonts w:ascii="Calibri" w:eastAsia="Times New Roman" w:hAnsi="Calibri" w:cs="Times New Roman"/>
                <w:b/>
                <w:color w:val="000000"/>
                <w:lang w:eastAsia="en-GB"/>
              </w:rPr>
              <w:t>Nombre de variétés de biens exportées enregistré par les autorités algériennes</w:t>
            </w:r>
          </w:p>
        </w:tc>
        <w:tc>
          <w:tcPr>
            <w:tcW w:w="2292" w:type="dxa"/>
            <w:tcBorders>
              <w:top w:val="single" w:sz="18" w:space="0" w:color="auto"/>
              <w:left w:val="single" w:sz="18" w:space="0" w:color="auto"/>
              <w:bottom w:val="single" w:sz="6" w:space="0" w:color="auto"/>
              <w:right w:val="single" w:sz="18" w:space="0" w:color="auto"/>
            </w:tcBorders>
            <w:vAlign w:val="center"/>
          </w:tcPr>
          <w:p w14:paraId="20C02371" w14:textId="0B505433" w:rsidR="00B94D96" w:rsidRPr="00B94D96" w:rsidRDefault="00B94D96" w:rsidP="00B94D96">
            <w:pPr>
              <w:spacing w:after="0" w:line="240" w:lineRule="auto"/>
              <w:jc w:val="center"/>
              <w:rPr>
                <w:rFonts w:ascii="Calibri" w:eastAsia="Times New Roman" w:hAnsi="Calibri" w:cs="Times New Roman"/>
                <w:b/>
                <w:color w:val="000000"/>
                <w:lang w:eastAsia="en-GB"/>
              </w:rPr>
            </w:pPr>
            <w:r w:rsidRPr="00B94D96">
              <w:rPr>
                <w:rFonts w:ascii="Calibri" w:eastAsia="Times New Roman" w:hAnsi="Calibri" w:cs="Times New Roman"/>
                <w:b/>
                <w:color w:val="000000"/>
                <w:lang w:eastAsia="en-GB"/>
              </w:rPr>
              <w:t>Nombre de lignes d'exportations maliennes enregistrées (vers l’Algérie)</w:t>
            </w:r>
          </w:p>
        </w:tc>
        <w:tc>
          <w:tcPr>
            <w:tcW w:w="1938" w:type="dxa"/>
            <w:tcBorders>
              <w:top w:val="single" w:sz="18" w:space="0" w:color="auto"/>
              <w:left w:val="single" w:sz="6" w:space="0" w:color="auto"/>
              <w:bottom w:val="single" w:sz="6" w:space="0" w:color="auto"/>
              <w:right w:val="single" w:sz="18" w:space="0" w:color="auto"/>
            </w:tcBorders>
            <w:vAlign w:val="center"/>
          </w:tcPr>
          <w:p w14:paraId="69099DB7" w14:textId="1541CC1C" w:rsidR="00B94D96" w:rsidRPr="00B94D96" w:rsidRDefault="00B94D96" w:rsidP="00B94D96">
            <w:pPr>
              <w:spacing w:after="0" w:line="240" w:lineRule="auto"/>
              <w:jc w:val="center"/>
              <w:rPr>
                <w:rFonts w:ascii="Calibri" w:eastAsia="Times New Roman" w:hAnsi="Calibri" w:cs="Times New Roman"/>
                <w:b/>
                <w:color w:val="000000"/>
                <w:lang w:eastAsia="en-GB"/>
              </w:rPr>
            </w:pPr>
            <w:r w:rsidRPr="00B94D96">
              <w:rPr>
                <w:rFonts w:ascii="Calibri" w:eastAsia="Times New Roman" w:hAnsi="Calibri" w:cs="Times New Roman"/>
                <w:b/>
                <w:color w:val="000000"/>
                <w:lang w:eastAsia="en-GB"/>
              </w:rPr>
              <w:t>Nombre de lignes d'importation algériennes enregistrées (en provenance du Mali)</w:t>
            </w:r>
          </w:p>
        </w:tc>
      </w:tr>
      <w:tr w:rsidR="00B94D96" w:rsidRPr="00A960FD" w14:paraId="78F6DF6A" w14:textId="30F469B2" w:rsidTr="00B94D96">
        <w:trPr>
          <w:trHeight w:val="300"/>
        </w:trPr>
        <w:tc>
          <w:tcPr>
            <w:tcW w:w="853" w:type="dxa"/>
            <w:tcBorders>
              <w:right w:val="single" w:sz="18" w:space="0" w:color="auto"/>
            </w:tcBorders>
            <w:shd w:val="clear" w:color="auto" w:fill="auto"/>
            <w:noWrap/>
            <w:vAlign w:val="bottom"/>
            <w:hideMark/>
          </w:tcPr>
          <w:p w14:paraId="1BC46D75" w14:textId="77777777" w:rsidR="00B94D96" w:rsidRPr="00A960FD" w:rsidRDefault="00B94D96" w:rsidP="00C10B28">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r w:rsidRPr="00A960FD">
              <w:rPr>
                <w:rFonts w:ascii="Calibri" w:eastAsia="Times New Roman" w:hAnsi="Calibri" w:cs="Times New Roman"/>
                <w:color w:val="000000"/>
                <w:lang w:val="en-GB" w:eastAsia="en-GB"/>
              </w:rPr>
              <w:t>007</w:t>
            </w:r>
          </w:p>
        </w:tc>
        <w:tc>
          <w:tcPr>
            <w:tcW w:w="2228"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9A7D607" w14:textId="7777777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13</w:t>
            </w:r>
          </w:p>
        </w:tc>
        <w:tc>
          <w:tcPr>
            <w:tcW w:w="2292" w:type="dxa"/>
            <w:tcBorders>
              <w:top w:val="single" w:sz="6" w:space="0" w:color="auto"/>
              <w:left w:val="single" w:sz="18" w:space="0" w:color="auto"/>
              <w:bottom w:val="single" w:sz="6" w:space="0" w:color="auto"/>
              <w:right w:val="single" w:sz="18" w:space="0" w:color="auto"/>
            </w:tcBorders>
            <w:vAlign w:val="bottom"/>
          </w:tcPr>
          <w:p w14:paraId="701E32B0" w14:textId="39B2F79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141</w:t>
            </w:r>
          </w:p>
        </w:tc>
        <w:tc>
          <w:tcPr>
            <w:tcW w:w="2292" w:type="dxa"/>
            <w:tcBorders>
              <w:top w:val="single" w:sz="6" w:space="0" w:color="auto"/>
              <w:left w:val="single" w:sz="18" w:space="0" w:color="auto"/>
              <w:bottom w:val="single" w:sz="6" w:space="0" w:color="auto"/>
              <w:right w:val="single" w:sz="18" w:space="0" w:color="auto"/>
            </w:tcBorders>
            <w:vAlign w:val="bottom"/>
          </w:tcPr>
          <w:p w14:paraId="09FC5233" w14:textId="23BAD21D"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2</w:t>
            </w:r>
          </w:p>
        </w:tc>
        <w:tc>
          <w:tcPr>
            <w:tcW w:w="1938" w:type="dxa"/>
            <w:tcBorders>
              <w:top w:val="single" w:sz="6" w:space="0" w:color="auto"/>
              <w:left w:val="single" w:sz="6" w:space="0" w:color="auto"/>
              <w:bottom w:val="single" w:sz="6" w:space="0" w:color="auto"/>
              <w:right w:val="single" w:sz="18" w:space="0" w:color="auto"/>
            </w:tcBorders>
            <w:vAlign w:val="bottom"/>
          </w:tcPr>
          <w:p w14:paraId="2B87A0F1" w14:textId="20E48FD6"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7</w:t>
            </w:r>
          </w:p>
        </w:tc>
      </w:tr>
      <w:tr w:rsidR="00B94D96" w:rsidRPr="00A960FD" w14:paraId="2FCC46EC" w14:textId="0D35F7C6" w:rsidTr="00B94D96">
        <w:trPr>
          <w:trHeight w:val="300"/>
        </w:trPr>
        <w:tc>
          <w:tcPr>
            <w:tcW w:w="853" w:type="dxa"/>
            <w:tcBorders>
              <w:right w:val="single" w:sz="18" w:space="0" w:color="auto"/>
            </w:tcBorders>
            <w:shd w:val="clear" w:color="auto" w:fill="auto"/>
            <w:noWrap/>
            <w:vAlign w:val="bottom"/>
            <w:hideMark/>
          </w:tcPr>
          <w:p w14:paraId="31E5DF58" w14:textId="77777777" w:rsidR="00B94D96" w:rsidRPr="00A960FD" w:rsidRDefault="00B94D96" w:rsidP="00C10B28">
            <w:pPr>
              <w:spacing w:after="0" w:line="240" w:lineRule="auto"/>
              <w:jc w:val="right"/>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2008</w:t>
            </w:r>
          </w:p>
        </w:tc>
        <w:tc>
          <w:tcPr>
            <w:tcW w:w="2228"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AB5F3C8" w14:textId="7777777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149</w:t>
            </w:r>
          </w:p>
        </w:tc>
        <w:tc>
          <w:tcPr>
            <w:tcW w:w="2292" w:type="dxa"/>
            <w:tcBorders>
              <w:top w:val="single" w:sz="6" w:space="0" w:color="auto"/>
              <w:left w:val="single" w:sz="18" w:space="0" w:color="auto"/>
              <w:bottom w:val="single" w:sz="6" w:space="0" w:color="auto"/>
              <w:right w:val="single" w:sz="18" w:space="0" w:color="auto"/>
            </w:tcBorders>
            <w:vAlign w:val="bottom"/>
          </w:tcPr>
          <w:p w14:paraId="6F8A6C7B" w14:textId="21D1201E"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21</w:t>
            </w:r>
          </w:p>
        </w:tc>
        <w:tc>
          <w:tcPr>
            <w:tcW w:w="2292" w:type="dxa"/>
            <w:tcBorders>
              <w:top w:val="single" w:sz="6" w:space="0" w:color="auto"/>
              <w:left w:val="single" w:sz="18" w:space="0" w:color="auto"/>
              <w:bottom w:val="single" w:sz="6" w:space="0" w:color="auto"/>
              <w:right w:val="single" w:sz="18" w:space="0" w:color="auto"/>
            </w:tcBorders>
            <w:vAlign w:val="bottom"/>
          </w:tcPr>
          <w:p w14:paraId="44B70B92" w14:textId="511B751B"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8</w:t>
            </w:r>
          </w:p>
        </w:tc>
        <w:tc>
          <w:tcPr>
            <w:tcW w:w="1938" w:type="dxa"/>
            <w:tcBorders>
              <w:top w:val="single" w:sz="6" w:space="0" w:color="auto"/>
              <w:left w:val="single" w:sz="6" w:space="0" w:color="auto"/>
              <w:bottom w:val="single" w:sz="6" w:space="0" w:color="auto"/>
              <w:right w:val="single" w:sz="18" w:space="0" w:color="auto"/>
            </w:tcBorders>
            <w:vAlign w:val="bottom"/>
          </w:tcPr>
          <w:p w14:paraId="6A6F1F93" w14:textId="7B6ED29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1</w:t>
            </w:r>
          </w:p>
        </w:tc>
      </w:tr>
      <w:tr w:rsidR="00B94D96" w:rsidRPr="00A960FD" w14:paraId="787AC4DE" w14:textId="441B3088" w:rsidTr="00B94D96">
        <w:trPr>
          <w:trHeight w:val="300"/>
        </w:trPr>
        <w:tc>
          <w:tcPr>
            <w:tcW w:w="853" w:type="dxa"/>
            <w:tcBorders>
              <w:right w:val="single" w:sz="18" w:space="0" w:color="auto"/>
            </w:tcBorders>
            <w:shd w:val="clear" w:color="auto" w:fill="auto"/>
            <w:noWrap/>
            <w:vAlign w:val="bottom"/>
            <w:hideMark/>
          </w:tcPr>
          <w:p w14:paraId="4AC98FEB" w14:textId="77777777" w:rsidR="00B94D96" w:rsidRPr="00A960FD" w:rsidRDefault="00B94D96" w:rsidP="00C10B28">
            <w:pPr>
              <w:spacing w:after="0" w:line="240" w:lineRule="auto"/>
              <w:jc w:val="right"/>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2009</w:t>
            </w:r>
          </w:p>
        </w:tc>
        <w:tc>
          <w:tcPr>
            <w:tcW w:w="2228"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1A30F73" w14:textId="7777777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0</w:t>
            </w:r>
          </w:p>
        </w:tc>
        <w:tc>
          <w:tcPr>
            <w:tcW w:w="2292" w:type="dxa"/>
            <w:tcBorders>
              <w:top w:val="single" w:sz="6" w:space="0" w:color="auto"/>
              <w:left w:val="single" w:sz="18" w:space="0" w:color="auto"/>
              <w:bottom w:val="single" w:sz="6" w:space="0" w:color="auto"/>
              <w:right w:val="single" w:sz="18" w:space="0" w:color="auto"/>
            </w:tcBorders>
            <w:vAlign w:val="bottom"/>
          </w:tcPr>
          <w:p w14:paraId="7675D95F" w14:textId="6EC9E494"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30</w:t>
            </w:r>
          </w:p>
        </w:tc>
        <w:tc>
          <w:tcPr>
            <w:tcW w:w="2292" w:type="dxa"/>
            <w:tcBorders>
              <w:top w:val="single" w:sz="6" w:space="0" w:color="auto"/>
              <w:left w:val="single" w:sz="18" w:space="0" w:color="auto"/>
              <w:bottom w:val="single" w:sz="6" w:space="0" w:color="auto"/>
              <w:right w:val="single" w:sz="18" w:space="0" w:color="auto"/>
            </w:tcBorders>
            <w:vAlign w:val="bottom"/>
          </w:tcPr>
          <w:p w14:paraId="680B57C2" w14:textId="25686D18"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0</w:t>
            </w:r>
          </w:p>
        </w:tc>
        <w:tc>
          <w:tcPr>
            <w:tcW w:w="1938" w:type="dxa"/>
            <w:tcBorders>
              <w:top w:val="single" w:sz="6" w:space="0" w:color="auto"/>
              <w:left w:val="single" w:sz="6" w:space="0" w:color="auto"/>
              <w:bottom w:val="single" w:sz="6" w:space="0" w:color="auto"/>
              <w:right w:val="single" w:sz="18" w:space="0" w:color="auto"/>
            </w:tcBorders>
            <w:vAlign w:val="bottom"/>
          </w:tcPr>
          <w:p w14:paraId="62219AFC" w14:textId="6591E07E"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4</w:t>
            </w:r>
          </w:p>
        </w:tc>
      </w:tr>
      <w:tr w:rsidR="00B94D96" w:rsidRPr="00A960FD" w14:paraId="4E60E8B0" w14:textId="3E439D9F" w:rsidTr="00B94D96">
        <w:trPr>
          <w:trHeight w:val="300"/>
        </w:trPr>
        <w:tc>
          <w:tcPr>
            <w:tcW w:w="853" w:type="dxa"/>
            <w:tcBorders>
              <w:right w:val="single" w:sz="18" w:space="0" w:color="auto"/>
            </w:tcBorders>
            <w:shd w:val="clear" w:color="auto" w:fill="auto"/>
            <w:noWrap/>
            <w:vAlign w:val="bottom"/>
            <w:hideMark/>
          </w:tcPr>
          <w:p w14:paraId="18DF7F13" w14:textId="77777777" w:rsidR="00B94D96" w:rsidRPr="00A960FD" w:rsidRDefault="00B94D96" w:rsidP="00C10B28">
            <w:pPr>
              <w:spacing w:after="0" w:line="240" w:lineRule="auto"/>
              <w:jc w:val="right"/>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2010</w:t>
            </w:r>
          </w:p>
        </w:tc>
        <w:tc>
          <w:tcPr>
            <w:tcW w:w="2228"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11AAA22" w14:textId="7777777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35</w:t>
            </w:r>
          </w:p>
        </w:tc>
        <w:tc>
          <w:tcPr>
            <w:tcW w:w="2292" w:type="dxa"/>
            <w:tcBorders>
              <w:top w:val="single" w:sz="6" w:space="0" w:color="auto"/>
              <w:left w:val="single" w:sz="18" w:space="0" w:color="auto"/>
              <w:bottom w:val="single" w:sz="6" w:space="0" w:color="auto"/>
              <w:right w:val="single" w:sz="18" w:space="0" w:color="auto"/>
            </w:tcBorders>
            <w:vAlign w:val="bottom"/>
          </w:tcPr>
          <w:p w14:paraId="675E65EC" w14:textId="5252FF1F"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27</w:t>
            </w:r>
          </w:p>
        </w:tc>
        <w:tc>
          <w:tcPr>
            <w:tcW w:w="2292" w:type="dxa"/>
            <w:tcBorders>
              <w:top w:val="single" w:sz="6" w:space="0" w:color="auto"/>
              <w:left w:val="single" w:sz="18" w:space="0" w:color="auto"/>
              <w:bottom w:val="single" w:sz="6" w:space="0" w:color="auto"/>
              <w:right w:val="single" w:sz="18" w:space="0" w:color="auto"/>
            </w:tcBorders>
            <w:vAlign w:val="bottom"/>
          </w:tcPr>
          <w:p w14:paraId="2BBD3D41" w14:textId="322DF4DB"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6</w:t>
            </w:r>
          </w:p>
        </w:tc>
        <w:tc>
          <w:tcPr>
            <w:tcW w:w="1938" w:type="dxa"/>
            <w:tcBorders>
              <w:top w:val="single" w:sz="6" w:space="0" w:color="auto"/>
              <w:left w:val="single" w:sz="6" w:space="0" w:color="auto"/>
              <w:bottom w:val="single" w:sz="6" w:space="0" w:color="auto"/>
              <w:right w:val="single" w:sz="18" w:space="0" w:color="auto"/>
            </w:tcBorders>
            <w:vAlign w:val="bottom"/>
          </w:tcPr>
          <w:p w14:paraId="4302C211" w14:textId="285E225C"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0</w:t>
            </w:r>
          </w:p>
        </w:tc>
      </w:tr>
      <w:tr w:rsidR="00B94D96" w:rsidRPr="00A960FD" w14:paraId="07A84DDB" w14:textId="5BDBCFD4" w:rsidTr="00B94D96">
        <w:trPr>
          <w:trHeight w:val="300"/>
        </w:trPr>
        <w:tc>
          <w:tcPr>
            <w:tcW w:w="853" w:type="dxa"/>
            <w:tcBorders>
              <w:right w:val="single" w:sz="18" w:space="0" w:color="auto"/>
            </w:tcBorders>
            <w:shd w:val="clear" w:color="auto" w:fill="auto"/>
            <w:noWrap/>
            <w:vAlign w:val="bottom"/>
            <w:hideMark/>
          </w:tcPr>
          <w:p w14:paraId="76CB824C" w14:textId="77777777" w:rsidR="00B94D96" w:rsidRPr="00A960FD" w:rsidRDefault="00B94D96" w:rsidP="00C10B28">
            <w:pPr>
              <w:spacing w:after="0" w:line="240" w:lineRule="auto"/>
              <w:jc w:val="right"/>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2011</w:t>
            </w:r>
          </w:p>
        </w:tc>
        <w:tc>
          <w:tcPr>
            <w:tcW w:w="2228"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852A00E" w14:textId="7777777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52</w:t>
            </w:r>
          </w:p>
        </w:tc>
        <w:tc>
          <w:tcPr>
            <w:tcW w:w="2292" w:type="dxa"/>
            <w:tcBorders>
              <w:top w:val="single" w:sz="6" w:space="0" w:color="auto"/>
              <w:left w:val="single" w:sz="18" w:space="0" w:color="auto"/>
              <w:bottom w:val="single" w:sz="6" w:space="0" w:color="auto"/>
              <w:right w:val="single" w:sz="18" w:space="0" w:color="auto"/>
            </w:tcBorders>
            <w:vAlign w:val="bottom"/>
          </w:tcPr>
          <w:p w14:paraId="59C9B233" w14:textId="55121DC1"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31</w:t>
            </w:r>
          </w:p>
        </w:tc>
        <w:tc>
          <w:tcPr>
            <w:tcW w:w="2292" w:type="dxa"/>
            <w:tcBorders>
              <w:top w:val="single" w:sz="6" w:space="0" w:color="auto"/>
              <w:left w:val="single" w:sz="18" w:space="0" w:color="auto"/>
              <w:bottom w:val="single" w:sz="6" w:space="0" w:color="auto"/>
              <w:right w:val="single" w:sz="18" w:space="0" w:color="auto"/>
            </w:tcBorders>
            <w:vAlign w:val="bottom"/>
          </w:tcPr>
          <w:p w14:paraId="5B330CA4" w14:textId="281745CF"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42</w:t>
            </w:r>
          </w:p>
        </w:tc>
        <w:tc>
          <w:tcPr>
            <w:tcW w:w="1938" w:type="dxa"/>
            <w:tcBorders>
              <w:top w:val="single" w:sz="6" w:space="0" w:color="auto"/>
              <w:left w:val="single" w:sz="6" w:space="0" w:color="auto"/>
              <w:bottom w:val="single" w:sz="6" w:space="0" w:color="auto"/>
              <w:right w:val="single" w:sz="18" w:space="0" w:color="auto"/>
            </w:tcBorders>
            <w:vAlign w:val="bottom"/>
          </w:tcPr>
          <w:p w14:paraId="1AC0E710" w14:textId="3E58DC11"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4</w:t>
            </w:r>
          </w:p>
        </w:tc>
      </w:tr>
      <w:tr w:rsidR="00B94D96" w:rsidRPr="00A960FD" w14:paraId="04A31079" w14:textId="756D0BA1" w:rsidTr="00B94D96">
        <w:trPr>
          <w:trHeight w:val="300"/>
        </w:trPr>
        <w:tc>
          <w:tcPr>
            <w:tcW w:w="853" w:type="dxa"/>
            <w:tcBorders>
              <w:right w:val="single" w:sz="18" w:space="0" w:color="auto"/>
            </w:tcBorders>
            <w:shd w:val="clear" w:color="auto" w:fill="auto"/>
            <w:noWrap/>
            <w:vAlign w:val="bottom"/>
            <w:hideMark/>
          </w:tcPr>
          <w:p w14:paraId="5EBF8081" w14:textId="77777777" w:rsidR="00B94D96" w:rsidRPr="00A960FD" w:rsidRDefault="00B94D96" w:rsidP="00C10B28">
            <w:pPr>
              <w:spacing w:after="0" w:line="240" w:lineRule="auto"/>
              <w:jc w:val="right"/>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2012</w:t>
            </w:r>
          </w:p>
        </w:tc>
        <w:tc>
          <w:tcPr>
            <w:tcW w:w="2228"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73B1CCAC" w14:textId="77777777"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59</w:t>
            </w:r>
          </w:p>
        </w:tc>
        <w:tc>
          <w:tcPr>
            <w:tcW w:w="2292" w:type="dxa"/>
            <w:tcBorders>
              <w:top w:val="single" w:sz="6" w:space="0" w:color="auto"/>
              <w:left w:val="single" w:sz="18" w:space="0" w:color="auto"/>
              <w:bottom w:val="single" w:sz="18" w:space="0" w:color="auto"/>
              <w:right w:val="single" w:sz="18" w:space="0" w:color="auto"/>
            </w:tcBorders>
            <w:vAlign w:val="bottom"/>
          </w:tcPr>
          <w:p w14:paraId="35ADA5CA" w14:textId="330C589F"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A960FD">
              <w:rPr>
                <w:rFonts w:ascii="Calibri" w:eastAsia="Times New Roman" w:hAnsi="Calibri" w:cs="Times New Roman"/>
                <w:color w:val="000000"/>
                <w:lang w:val="en-GB" w:eastAsia="en-GB"/>
              </w:rPr>
              <w:t>70</w:t>
            </w:r>
          </w:p>
        </w:tc>
        <w:tc>
          <w:tcPr>
            <w:tcW w:w="2292" w:type="dxa"/>
            <w:tcBorders>
              <w:top w:val="single" w:sz="6" w:space="0" w:color="auto"/>
              <w:left w:val="single" w:sz="18" w:space="0" w:color="auto"/>
              <w:bottom w:val="single" w:sz="18" w:space="0" w:color="auto"/>
              <w:right w:val="single" w:sz="18" w:space="0" w:color="auto"/>
            </w:tcBorders>
            <w:vAlign w:val="bottom"/>
          </w:tcPr>
          <w:p w14:paraId="485A76EF" w14:textId="1FDDDE48"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6</w:t>
            </w:r>
          </w:p>
        </w:tc>
        <w:tc>
          <w:tcPr>
            <w:tcW w:w="1938" w:type="dxa"/>
            <w:tcBorders>
              <w:top w:val="single" w:sz="6" w:space="0" w:color="auto"/>
              <w:left w:val="single" w:sz="6" w:space="0" w:color="auto"/>
              <w:bottom w:val="single" w:sz="18" w:space="0" w:color="auto"/>
              <w:right w:val="single" w:sz="18" w:space="0" w:color="auto"/>
            </w:tcBorders>
            <w:vAlign w:val="bottom"/>
          </w:tcPr>
          <w:p w14:paraId="73640FE1" w14:textId="71FF5E4D" w:rsidR="00B94D96" w:rsidRPr="00A960FD" w:rsidRDefault="00B94D96" w:rsidP="00610EF0">
            <w:pPr>
              <w:spacing w:after="0" w:line="240" w:lineRule="auto"/>
              <w:jc w:val="center"/>
              <w:rPr>
                <w:rFonts w:ascii="Calibri" w:eastAsia="Times New Roman" w:hAnsi="Calibri" w:cs="Times New Roman"/>
                <w:color w:val="000000"/>
                <w:lang w:val="en-GB" w:eastAsia="en-GB"/>
              </w:rPr>
            </w:pPr>
            <w:r w:rsidRPr="00361B65">
              <w:rPr>
                <w:rFonts w:ascii="Calibri" w:eastAsia="Times New Roman" w:hAnsi="Calibri" w:cs="Times New Roman"/>
                <w:color w:val="000000"/>
                <w:lang w:val="en-GB" w:eastAsia="en-GB"/>
              </w:rPr>
              <w:t>4</w:t>
            </w:r>
          </w:p>
        </w:tc>
      </w:tr>
    </w:tbl>
    <w:p w14:paraId="7EBB9638" w14:textId="77777777" w:rsidR="00724D45" w:rsidRDefault="00724D45" w:rsidP="00724D45">
      <w:pPr>
        <w:jc w:val="both"/>
      </w:pPr>
    </w:p>
    <w:p w14:paraId="4F27BC5F" w14:textId="7C3EF494" w:rsidR="00724D45" w:rsidRDefault="00724D45" w:rsidP="00724D45">
      <w:pPr>
        <w:jc w:val="both"/>
      </w:pPr>
      <w:r w:rsidRPr="007900EF">
        <w:rPr>
          <w:b/>
        </w:rPr>
        <w:t xml:space="preserve">Pour les flux </w:t>
      </w:r>
      <w:r>
        <w:rPr>
          <w:b/>
        </w:rPr>
        <w:t xml:space="preserve">où ils existent une correspondance entre les biens </w:t>
      </w:r>
      <w:r w:rsidRPr="007900EF">
        <w:rPr>
          <w:b/>
        </w:rPr>
        <w:t xml:space="preserve">reportés par les autorités </w:t>
      </w:r>
      <w:r>
        <w:rPr>
          <w:b/>
        </w:rPr>
        <w:t>algériennes</w:t>
      </w:r>
      <w:r w:rsidR="00104617">
        <w:rPr>
          <w:b/>
        </w:rPr>
        <w:t xml:space="preserve"> </w:t>
      </w:r>
      <w:r>
        <w:rPr>
          <w:b/>
        </w:rPr>
        <w:t>à</w:t>
      </w:r>
      <w:r w:rsidR="00104617">
        <w:rPr>
          <w:b/>
        </w:rPr>
        <w:t xml:space="preserve"> </w:t>
      </w:r>
      <w:r>
        <w:rPr>
          <w:b/>
        </w:rPr>
        <w:t xml:space="preserve"> l’</w:t>
      </w:r>
      <w:r w:rsidR="00CA6782">
        <w:rPr>
          <w:b/>
        </w:rPr>
        <w:t>exportation</w:t>
      </w:r>
      <w:r>
        <w:rPr>
          <w:b/>
        </w:rPr>
        <w:t xml:space="preserve"> et maliennes à l’</w:t>
      </w:r>
      <w:r w:rsidR="00CA6782">
        <w:rPr>
          <w:b/>
        </w:rPr>
        <w:t>importation</w:t>
      </w:r>
      <w:r w:rsidRPr="007900EF">
        <w:rPr>
          <w:b/>
        </w:rPr>
        <w:t xml:space="preserve"> de larges disparités </w:t>
      </w:r>
      <w:r w:rsidR="001C0C72">
        <w:rPr>
          <w:b/>
        </w:rPr>
        <w:t xml:space="preserve">peuvent exister (voir </w:t>
      </w:r>
      <w:r w:rsidR="00D40F56">
        <w:rPr>
          <w:b/>
        </w:rPr>
        <w:t>annexe</w:t>
      </w:r>
      <w:r w:rsidR="00944675">
        <w:rPr>
          <w:b/>
        </w:rPr>
        <w:t>3</w:t>
      </w:r>
      <w:r>
        <w:rPr>
          <w:b/>
        </w:rPr>
        <w:t>)</w:t>
      </w:r>
      <w:r w:rsidRPr="007900EF">
        <w:rPr>
          <w:b/>
        </w:rPr>
        <w:t xml:space="preserve">. </w:t>
      </w:r>
      <w:r>
        <w:t>Les dates représentent par exemple le plus gros volume d’affaires avec une valeur importée en 2011 de plus 947</w:t>
      </w:r>
      <w:r w:rsidR="00F31F76">
        <w:t xml:space="preserve"> 000 USD</w:t>
      </w:r>
      <w:r>
        <w:t xml:space="preserve"> soit environ 9 foi</w:t>
      </w:r>
      <w:r w:rsidR="00F31F76">
        <w:t>s la valeur à l’</w:t>
      </w:r>
      <w:r w:rsidR="00CA6782">
        <w:t>exportation</w:t>
      </w:r>
      <w:r w:rsidR="00F31F76">
        <w:t xml:space="preserve"> (107 840 USD</w:t>
      </w:r>
      <w:r>
        <w:t xml:space="preserve">). Cependant c’est au niveau de l’eau minérale et des équipements nécessaires à la purification de l’eau que l’on trouve les plus grands écarts de commerce en 2011. L’écart de commerce correspond </w:t>
      </w:r>
      <w:r>
        <w:lastRenderedPageBreak/>
        <w:t>à plus de 120 fois la valeur à l’</w:t>
      </w:r>
      <w:r w:rsidR="00CA6782">
        <w:t>importation</w:t>
      </w:r>
      <w:r>
        <w:t xml:space="preserve"> pour ce qui est de l’eau minéral</w:t>
      </w:r>
      <w:r w:rsidR="00D40F56">
        <w:t>e</w:t>
      </w:r>
      <w:r>
        <w:t xml:space="preserve"> et 880 fois la valeur à l’</w:t>
      </w:r>
      <w:r w:rsidR="00CA6782">
        <w:t>importation</w:t>
      </w:r>
      <w:r>
        <w:t xml:space="preserve"> pour le matériel de purification</w:t>
      </w:r>
      <w:r w:rsidR="003A779A">
        <w:rPr>
          <w:rStyle w:val="FootnoteReference"/>
        </w:rPr>
        <w:footnoteReference w:id="20"/>
      </w:r>
      <w:r>
        <w:t xml:space="preserve">. </w:t>
      </w:r>
    </w:p>
    <w:p w14:paraId="42727742" w14:textId="4338E8D7" w:rsidR="00573801" w:rsidRDefault="00573801" w:rsidP="00573801">
      <w:pPr>
        <w:jc w:val="both"/>
      </w:pPr>
      <w:r>
        <w:rPr>
          <w:b/>
        </w:rPr>
        <w:t xml:space="preserve">Finalement nous </w:t>
      </w:r>
      <w:r w:rsidR="00D40F56">
        <w:rPr>
          <w:b/>
        </w:rPr>
        <w:t>nous sommes intéressés aux biens</w:t>
      </w:r>
      <w:r>
        <w:rPr>
          <w:b/>
        </w:rPr>
        <w:t xml:space="preserve"> les plus souvent exportés de l’Algérie vers le Mali. </w:t>
      </w:r>
      <w:r w:rsidRPr="0096216C">
        <w:t>Selon les autorités algériennes le</w:t>
      </w:r>
      <w:r>
        <w:t>s biens les plus souvent exporté</w:t>
      </w:r>
      <w:r w:rsidRPr="0096216C">
        <w:t>s sont les aiguilles médicales et a</w:t>
      </w:r>
      <w:r w:rsidR="00191671">
        <w:t>utres matières organiques (</w:t>
      </w:r>
      <w:r w:rsidRPr="0096216C">
        <w:t>HS6 294200) suivi</w:t>
      </w:r>
      <w:r>
        <w:t>s</w:t>
      </w:r>
      <w:r w:rsidRPr="0096216C">
        <w:t xml:space="preserve"> des machines d’épuration d’eau, du sel</w:t>
      </w:r>
      <w:r w:rsidR="00191671">
        <w:t xml:space="preserve"> et des graisses végétales (HS </w:t>
      </w:r>
      <w:r w:rsidRPr="0096216C">
        <w:t>151590 et 151790)</w:t>
      </w:r>
      <w:r>
        <w:t xml:space="preserve"> présent</w:t>
      </w:r>
      <w:r w:rsidR="00C22F9B">
        <w:t>s</w:t>
      </w:r>
      <w:r>
        <w:t xml:space="preserve"> 5 années sur 6. Pour les autorités maliennes</w:t>
      </w:r>
      <w:r w:rsidR="00D40F56">
        <w:t>,</w:t>
      </w:r>
      <w:r>
        <w:t xml:space="preserve"> les biens les plus souvent importés sont les dat</w:t>
      </w:r>
      <w:r w:rsidR="00C6477F">
        <w:t>t</w:t>
      </w:r>
      <w:r>
        <w:t xml:space="preserve">es et les pneumatiques présents 5 années sur 6. </w:t>
      </w:r>
    </w:p>
    <w:p w14:paraId="3C55E449" w14:textId="0F067F56" w:rsidR="00573801" w:rsidRDefault="00D40F56" w:rsidP="00573801">
      <w:pPr>
        <w:jc w:val="both"/>
      </w:pPr>
      <w:r>
        <w:rPr>
          <w:b/>
        </w:rPr>
        <w:t>Le</w:t>
      </w:r>
      <w:r w:rsidR="00573801" w:rsidRPr="00573801">
        <w:rPr>
          <w:b/>
        </w:rPr>
        <w:t xml:space="preserve"> </w:t>
      </w:r>
      <w:r>
        <w:rPr>
          <w:b/>
        </w:rPr>
        <w:t>t</w:t>
      </w:r>
      <w:r w:rsidR="005979EA">
        <w:rPr>
          <w:b/>
        </w:rPr>
        <w:t>ableau</w:t>
      </w:r>
      <w:r>
        <w:rPr>
          <w:b/>
        </w:rPr>
        <w:t xml:space="preserve"> suivant propose une focalisation</w:t>
      </w:r>
      <w:r w:rsidR="00573801" w:rsidRPr="00573801">
        <w:rPr>
          <w:b/>
        </w:rPr>
        <w:t xml:space="preserve"> sur certains biens de consommation algériens courants que l’on sait consommés au Mali</w:t>
      </w:r>
      <w:r>
        <w:rPr>
          <w:b/>
        </w:rPr>
        <w:t>, à savoir couscous et dattes</w:t>
      </w:r>
      <w:r w:rsidR="00573801" w:rsidRPr="00573801">
        <w:rPr>
          <w:b/>
        </w:rPr>
        <w:t>.</w:t>
      </w:r>
      <w:r w:rsidR="00573801">
        <w:t xml:space="preserve"> Les autorités maliennes enregistrent des volumes et des valeurs d’</w:t>
      </w:r>
      <w:r w:rsidR="00CA6782">
        <w:t>importations</w:t>
      </w:r>
      <w:r w:rsidR="00573801">
        <w:t xml:space="preserve"> pour ces biens supérieurs à leurs homologues algériens. On peut aussi remarquer que l’Algérie est largement le principal fournisseur de dat</w:t>
      </w:r>
      <w:r w:rsidR="00C6477F">
        <w:t>t</w:t>
      </w:r>
      <w:r w:rsidR="00573801">
        <w:t>es au Mali</w:t>
      </w:r>
      <w:r>
        <w:t xml:space="preserve">, ce qui peut s’expliquer par le régime de troc, décrit dans une section </w:t>
      </w:r>
      <w:r w:rsidR="00104617">
        <w:t>précédente</w:t>
      </w:r>
      <w:r>
        <w:t>.</w:t>
      </w:r>
    </w:p>
    <w:p w14:paraId="46239F08" w14:textId="77777777" w:rsidR="00573801" w:rsidRPr="004D0483" w:rsidRDefault="003F2D5C" w:rsidP="003F2D5C">
      <w:pPr>
        <w:pStyle w:val="Caption"/>
        <w:rPr>
          <w:color w:val="auto"/>
          <w:sz w:val="22"/>
          <w:szCs w:val="22"/>
        </w:rPr>
      </w:pPr>
      <w:bookmarkStart w:id="14" w:name="_Toc373155792"/>
      <w:r w:rsidRPr="004D0483">
        <w:rPr>
          <w:color w:val="auto"/>
          <w:sz w:val="22"/>
          <w:szCs w:val="22"/>
        </w:rPr>
        <w:t xml:space="preserve">Tableau </w:t>
      </w:r>
      <w:r w:rsidRPr="004D0483">
        <w:rPr>
          <w:color w:val="auto"/>
          <w:sz w:val="22"/>
          <w:szCs w:val="22"/>
        </w:rPr>
        <w:fldChar w:fldCharType="begin"/>
      </w:r>
      <w:r w:rsidRPr="004D0483">
        <w:rPr>
          <w:color w:val="auto"/>
          <w:sz w:val="22"/>
          <w:szCs w:val="22"/>
        </w:rPr>
        <w:instrText xml:space="preserve"> SEQ Tableau \* ARABIC </w:instrText>
      </w:r>
      <w:r w:rsidRPr="004D0483">
        <w:rPr>
          <w:color w:val="auto"/>
          <w:sz w:val="22"/>
          <w:szCs w:val="22"/>
        </w:rPr>
        <w:fldChar w:fldCharType="separate"/>
      </w:r>
      <w:r w:rsidR="008229BD">
        <w:rPr>
          <w:noProof/>
          <w:color w:val="auto"/>
          <w:sz w:val="22"/>
          <w:szCs w:val="22"/>
        </w:rPr>
        <w:t>3</w:t>
      </w:r>
      <w:r w:rsidRPr="004D0483">
        <w:rPr>
          <w:color w:val="auto"/>
          <w:sz w:val="22"/>
          <w:szCs w:val="22"/>
        </w:rPr>
        <w:fldChar w:fldCharType="end"/>
      </w:r>
      <w:r w:rsidRPr="004D0483">
        <w:rPr>
          <w:color w:val="auto"/>
          <w:sz w:val="22"/>
          <w:szCs w:val="22"/>
        </w:rPr>
        <w:t>.</w:t>
      </w:r>
      <w:r w:rsidR="00573801" w:rsidRPr="004D0483">
        <w:rPr>
          <w:color w:val="auto"/>
          <w:sz w:val="22"/>
          <w:szCs w:val="22"/>
        </w:rPr>
        <w:t>Bien</w:t>
      </w:r>
      <w:r w:rsidRPr="004D0483">
        <w:rPr>
          <w:color w:val="auto"/>
          <w:sz w:val="22"/>
          <w:szCs w:val="22"/>
        </w:rPr>
        <w:t>s</w:t>
      </w:r>
      <w:r w:rsidR="00573801" w:rsidRPr="004D0483">
        <w:rPr>
          <w:color w:val="auto"/>
          <w:sz w:val="22"/>
          <w:szCs w:val="22"/>
        </w:rPr>
        <w:t xml:space="preserve"> de c</w:t>
      </w:r>
      <w:r w:rsidRPr="004D0483">
        <w:rPr>
          <w:color w:val="auto"/>
          <w:sz w:val="22"/>
          <w:szCs w:val="22"/>
        </w:rPr>
        <w:t>onsommations courantes algériens consommés</w:t>
      </w:r>
      <w:r w:rsidR="00573801" w:rsidRPr="004D0483">
        <w:rPr>
          <w:color w:val="auto"/>
          <w:sz w:val="22"/>
          <w:szCs w:val="22"/>
        </w:rPr>
        <w:t xml:space="preserve"> au Mali</w:t>
      </w:r>
      <w:bookmarkEnd w:id="14"/>
    </w:p>
    <w:tbl>
      <w:tblPr>
        <w:tblW w:w="9966" w:type="dxa"/>
        <w:tblInd w:w="-162" w:type="dxa"/>
        <w:tblLook w:val="04A0" w:firstRow="1" w:lastRow="0" w:firstColumn="1" w:lastColumn="0" w:noHBand="0" w:noVBand="1"/>
      </w:tblPr>
      <w:tblGrid>
        <w:gridCol w:w="800"/>
        <w:gridCol w:w="1091"/>
        <w:gridCol w:w="1091"/>
        <w:gridCol w:w="1074"/>
        <w:gridCol w:w="1074"/>
        <w:gridCol w:w="1091"/>
        <w:gridCol w:w="1091"/>
        <w:gridCol w:w="1327"/>
        <w:gridCol w:w="1803"/>
      </w:tblGrid>
      <w:tr w:rsidR="00573801" w:rsidRPr="003F2D5C" w14:paraId="1BFEB3A1" w14:textId="77777777" w:rsidTr="003F2D5C">
        <w:trPr>
          <w:trHeight w:val="930"/>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98DFEE" w14:textId="77777777" w:rsidR="00573801" w:rsidRPr="003F2D5C" w:rsidRDefault="00573801" w:rsidP="008E2273">
            <w:pPr>
              <w:spacing w:after="0" w:line="240" w:lineRule="auto"/>
              <w:rPr>
                <w:rFonts w:eastAsia="Times New Roman" w:cs="Times New Roman"/>
                <w:color w:val="000000"/>
                <w:sz w:val="18"/>
                <w:szCs w:val="18"/>
                <w:lang w:val="en-GB" w:eastAsia="en-GB"/>
              </w:rPr>
            </w:pPr>
            <w:proofErr w:type="spellStart"/>
            <w:r w:rsidRPr="003F2D5C">
              <w:rPr>
                <w:rFonts w:eastAsia="Times New Roman" w:cs="Times New Roman"/>
                <w:color w:val="000000"/>
                <w:sz w:val="18"/>
                <w:szCs w:val="18"/>
                <w:lang w:val="en-GB" w:eastAsia="en-GB"/>
              </w:rPr>
              <w:t>Année</w:t>
            </w:r>
            <w:proofErr w:type="spellEnd"/>
          </w:p>
        </w:tc>
        <w:tc>
          <w:tcPr>
            <w:tcW w:w="1091" w:type="dxa"/>
            <w:tcBorders>
              <w:top w:val="single" w:sz="8" w:space="0" w:color="auto"/>
              <w:left w:val="nil"/>
              <w:bottom w:val="single" w:sz="4" w:space="0" w:color="auto"/>
              <w:right w:val="single" w:sz="4" w:space="0" w:color="auto"/>
            </w:tcBorders>
            <w:shd w:val="clear" w:color="auto" w:fill="auto"/>
            <w:vAlign w:val="center"/>
            <w:hideMark/>
          </w:tcPr>
          <w:p w14:paraId="06D38821" w14:textId="074FD273"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Tonnage </w:t>
            </w:r>
            <w:r w:rsidR="00CA6782" w:rsidRPr="003F2D5C">
              <w:rPr>
                <w:rFonts w:eastAsia="Times New Roman" w:cs="Times New Roman"/>
                <w:color w:val="000000"/>
                <w:sz w:val="18"/>
                <w:szCs w:val="18"/>
                <w:lang w:val="en-GB" w:eastAsia="en-GB"/>
              </w:rPr>
              <w:t>importation</w:t>
            </w:r>
            <w:r w:rsidRPr="003F2D5C">
              <w:rPr>
                <w:rFonts w:eastAsia="Times New Roman" w:cs="Times New Roman"/>
                <w:color w:val="000000"/>
                <w:sz w:val="18"/>
                <w:szCs w:val="18"/>
                <w:lang w:val="en-GB" w:eastAsia="en-GB"/>
              </w:rPr>
              <w:t xml:space="preserve"> </w:t>
            </w:r>
            <w:proofErr w:type="spellStart"/>
            <w:r w:rsidRPr="003F2D5C">
              <w:rPr>
                <w:rFonts w:eastAsia="Times New Roman" w:cs="Times New Roman"/>
                <w:color w:val="000000"/>
                <w:sz w:val="18"/>
                <w:szCs w:val="18"/>
                <w:lang w:val="en-GB" w:eastAsia="en-GB"/>
              </w:rPr>
              <w:t>Algérie</w:t>
            </w:r>
            <w:proofErr w:type="spellEnd"/>
          </w:p>
        </w:tc>
        <w:tc>
          <w:tcPr>
            <w:tcW w:w="1091" w:type="dxa"/>
            <w:tcBorders>
              <w:top w:val="single" w:sz="8" w:space="0" w:color="auto"/>
              <w:left w:val="nil"/>
              <w:bottom w:val="single" w:sz="4" w:space="0" w:color="auto"/>
              <w:right w:val="single" w:sz="4" w:space="0" w:color="auto"/>
            </w:tcBorders>
            <w:shd w:val="clear" w:color="auto" w:fill="auto"/>
            <w:vAlign w:val="center"/>
            <w:hideMark/>
          </w:tcPr>
          <w:p w14:paraId="7C1A0538" w14:textId="3E96B643" w:rsidR="00573801" w:rsidRPr="003F2D5C" w:rsidRDefault="001F50DA" w:rsidP="008E2273">
            <w:pPr>
              <w:spacing w:after="0" w:line="240" w:lineRule="auto"/>
              <w:rPr>
                <w:rFonts w:eastAsia="Times New Roman" w:cs="Times New Roman"/>
                <w:color w:val="000000"/>
                <w:sz w:val="18"/>
                <w:szCs w:val="18"/>
                <w:lang w:val="en-GB" w:eastAsia="en-GB"/>
              </w:rPr>
            </w:pPr>
            <w:proofErr w:type="spellStart"/>
            <w:r w:rsidRPr="003F2D5C">
              <w:rPr>
                <w:rFonts w:eastAsia="Times New Roman" w:cs="Times New Roman"/>
                <w:color w:val="000000"/>
                <w:sz w:val="18"/>
                <w:szCs w:val="18"/>
                <w:lang w:val="en-GB" w:eastAsia="en-GB"/>
              </w:rPr>
              <w:t>V</w:t>
            </w:r>
            <w:r w:rsidR="00573801" w:rsidRPr="003F2D5C">
              <w:rPr>
                <w:rFonts w:eastAsia="Times New Roman" w:cs="Times New Roman"/>
                <w:color w:val="000000"/>
                <w:sz w:val="18"/>
                <w:szCs w:val="18"/>
                <w:lang w:val="en-GB" w:eastAsia="en-GB"/>
              </w:rPr>
              <w:t>aleur</w:t>
            </w:r>
            <w:proofErr w:type="spellEnd"/>
            <w:r w:rsidR="00573801" w:rsidRPr="003F2D5C">
              <w:rPr>
                <w:rFonts w:eastAsia="Times New Roman" w:cs="Times New Roman"/>
                <w:color w:val="000000"/>
                <w:sz w:val="18"/>
                <w:szCs w:val="18"/>
                <w:lang w:val="en-GB" w:eastAsia="en-GB"/>
              </w:rPr>
              <w:t xml:space="preserve"> </w:t>
            </w:r>
            <w:r w:rsidR="00CA6782" w:rsidRPr="003F2D5C">
              <w:rPr>
                <w:rFonts w:eastAsia="Times New Roman" w:cs="Times New Roman"/>
                <w:color w:val="000000"/>
                <w:sz w:val="18"/>
                <w:szCs w:val="18"/>
                <w:lang w:val="en-GB" w:eastAsia="en-GB"/>
              </w:rPr>
              <w:t>importation</w:t>
            </w:r>
            <w:r w:rsidR="00573801" w:rsidRPr="003F2D5C">
              <w:rPr>
                <w:rFonts w:eastAsia="Times New Roman" w:cs="Times New Roman"/>
                <w:color w:val="000000"/>
                <w:sz w:val="18"/>
                <w:szCs w:val="18"/>
                <w:lang w:val="en-GB" w:eastAsia="en-GB"/>
              </w:rPr>
              <w:t xml:space="preserve"> </w:t>
            </w:r>
            <w:proofErr w:type="spellStart"/>
            <w:r w:rsidR="00573801" w:rsidRPr="003F2D5C">
              <w:rPr>
                <w:rFonts w:eastAsia="Times New Roman" w:cs="Times New Roman"/>
                <w:color w:val="000000"/>
                <w:sz w:val="18"/>
                <w:szCs w:val="18"/>
                <w:lang w:val="en-GB" w:eastAsia="en-GB"/>
              </w:rPr>
              <w:t>Algérie</w:t>
            </w:r>
            <w:proofErr w:type="spellEnd"/>
          </w:p>
        </w:tc>
        <w:tc>
          <w:tcPr>
            <w:tcW w:w="1074" w:type="dxa"/>
            <w:tcBorders>
              <w:top w:val="single" w:sz="8" w:space="0" w:color="auto"/>
              <w:left w:val="nil"/>
              <w:bottom w:val="single" w:sz="4" w:space="0" w:color="auto"/>
              <w:right w:val="single" w:sz="4" w:space="0" w:color="auto"/>
            </w:tcBorders>
            <w:shd w:val="clear" w:color="auto" w:fill="auto"/>
            <w:vAlign w:val="center"/>
            <w:hideMark/>
          </w:tcPr>
          <w:p w14:paraId="0D472E22"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Tonnage </w:t>
            </w:r>
            <w:r w:rsidR="00CA6782" w:rsidRPr="003F2D5C">
              <w:rPr>
                <w:rFonts w:eastAsia="Times New Roman" w:cs="Times New Roman"/>
                <w:color w:val="000000"/>
                <w:sz w:val="18"/>
                <w:szCs w:val="18"/>
                <w:lang w:val="en-GB" w:eastAsia="en-GB"/>
              </w:rPr>
              <w:t>exportation</w:t>
            </w:r>
            <w:r w:rsidRPr="003F2D5C">
              <w:rPr>
                <w:rFonts w:eastAsia="Times New Roman" w:cs="Times New Roman"/>
                <w:color w:val="000000"/>
                <w:sz w:val="18"/>
                <w:szCs w:val="18"/>
                <w:lang w:val="en-GB" w:eastAsia="en-GB"/>
              </w:rPr>
              <w:t xml:space="preserve"> Mali</w:t>
            </w:r>
          </w:p>
        </w:tc>
        <w:tc>
          <w:tcPr>
            <w:tcW w:w="1074" w:type="dxa"/>
            <w:tcBorders>
              <w:top w:val="single" w:sz="8" w:space="0" w:color="auto"/>
              <w:left w:val="nil"/>
              <w:bottom w:val="single" w:sz="4" w:space="0" w:color="auto"/>
              <w:right w:val="single" w:sz="4" w:space="0" w:color="auto"/>
            </w:tcBorders>
            <w:shd w:val="clear" w:color="auto" w:fill="auto"/>
            <w:vAlign w:val="center"/>
            <w:hideMark/>
          </w:tcPr>
          <w:p w14:paraId="7EC17A55" w14:textId="36DAFF1C" w:rsidR="00573801" w:rsidRPr="003F2D5C" w:rsidRDefault="001F50DA" w:rsidP="008E2273">
            <w:pPr>
              <w:spacing w:after="0" w:line="240" w:lineRule="auto"/>
              <w:rPr>
                <w:rFonts w:eastAsia="Times New Roman" w:cs="Times New Roman"/>
                <w:color w:val="000000"/>
                <w:sz w:val="18"/>
                <w:szCs w:val="18"/>
                <w:lang w:val="en-GB" w:eastAsia="en-GB"/>
              </w:rPr>
            </w:pPr>
            <w:proofErr w:type="spellStart"/>
            <w:r w:rsidRPr="003F2D5C">
              <w:rPr>
                <w:rFonts w:eastAsia="Times New Roman" w:cs="Times New Roman"/>
                <w:color w:val="000000"/>
                <w:sz w:val="18"/>
                <w:szCs w:val="18"/>
                <w:lang w:val="en-GB" w:eastAsia="en-GB"/>
              </w:rPr>
              <w:t>V</w:t>
            </w:r>
            <w:r w:rsidR="00573801" w:rsidRPr="003F2D5C">
              <w:rPr>
                <w:rFonts w:eastAsia="Times New Roman" w:cs="Times New Roman"/>
                <w:color w:val="000000"/>
                <w:sz w:val="18"/>
                <w:szCs w:val="18"/>
                <w:lang w:val="en-GB" w:eastAsia="en-GB"/>
              </w:rPr>
              <w:t>aleur</w:t>
            </w:r>
            <w:proofErr w:type="spellEnd"/>
            <w:r w:rsidR="00573801" w:rsidRPr="003F2D5C">
              <w:rPr>
                <w:rFonts w:eastAsia="Times New Roman" w:cs="Times New Roman"/>
                <w:color w:val="000000"/>
                <w:sz w:val="18"/>
                <w:szCs w:val="18"/>
                <w:lang w:val="en-GB" w:eastAsia="en-GB"/>
              </w:rPr>
              <w:t xml:space="preserve"> </w:t>
            </w:r>
            <w:r w:rsidR="00CA6782" w:rsidRPr="003F2D5C">
              <w:rPr>
                <w:rFonts w:eastAsia="Times New Roman" w:cs="Times New Roman"/>
                <w:color w:val="000000"/>
                <w:sz w:val="18"/>
                <w:szCs w:val="18"/>
                <w:lang w:val="en-GB" w:eastAsia="en-GB"/>
              </w:rPr>
              <w:t>exportation</w:t>
            </w:r>
            <w:r w:rsidR="00573801" w:rsidRPr="003F2D5C">
              <w:rPr>
                <w:rFonts w:eastAsia="Times New Roman" w:cs="Times New Roman"/>
                <w:color w:val="000000"/>
                <w:sz w:val="18"/>
                <w:szCs w:val="18"/>
                <w:lang w:val="en-GB" w:eastAsia="en-GB"/>
              </w:rPr>
              <w:t xml:space="preserve"> Mali</w:t>
            </w:r>
          </w:p>
        </w:tc>
        <w:tc>
          <w:tcPr>
            <w:tcW w:w="1091" w:type="dxa"/>
            <w:tcBorders>
              <w:top w:val="single" w:sz="8" w:space="0" w:color="auto"/>
              <w:left w:val="nil"/>
              <w:bottom w:val="single" w:sz="4" w:space="0" w:color="auto"/>
              <w:right w:val="single" w:sz="4" w:space="0" w:color="auto"/>
            </w:tcBorders>
            <w:shd w:val="clear" w:color="auto" w:fill="auto"/>
            <w:vAlign w:val="center"/>
            <w:hideMark/>
          </w:tcPr>
          <w:p w14:paraId="5F7F009E"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Tonnage </w:t>
            </w:r>
            <w:r w:rsidR="00CA6782" w:rsidRPr="003F2D5C">
              <w:rPr>
                <w:rFonts w:eastAsia="Times New Roman" w:cs="Times New Roman"/>
                <w:color w:val="000000"/>
                <w:sz w:val="18"/>
                <w:szCs w:val="18"/>
                <w:lang w:val="en-GB" w:eastAsia="en-GB"/>
              </w:rPr>
              <w:t>importation</w:t>
            </w:r>
            <w:r w:rsidRPr="003F2D5C">
              <w:rPr>
                <w:rFonts w:eastAsia="Times New Roman" w:cs="Times New Roman"/>
                <w:color w:val="000000"/>
                <w:sz w:val="18"/>
                <w:szCs w:val="18"/>
                <w:lang w:val="en-GB" w:eastAsia="en-GB"/>
              </w:rPr>
              <w:t xml:space="preserve"> Monde</w:t>
            </w:r>
          </w:p>
        </w:tc>
        <w:tc>
          <w:tcPr>
            <w:tcW w:w="1091" w:type="dxa"/>
            <w:tcBorders>
              <w:top w:val="single" w:sz="8" w:space="0" w:color="auto"/>
              <w:left w:val="nil"/>
              <w:bottom w:val="single" w:sz="4" w:space="0" w:color="auto"/>
              <w:right w:val="single" w:sz="4" w:space="0" w:color="auto"/>
            </w:tcBorders>
            <w:shd w:val="clear" w:color="auto" w:fill="auto"/>
            <w:vAlign w:val="center"/>
            <w:hideMark/>
          </w:tcPr>
          <w:p w14:paraId="2647A343" w14:textId="0A7995B0" w:rsidR="00573801" w:rsidRPr="003F2D5C" w:rsidRDefault="001F50DA" w:rsidP="008E2273">
            <w:pPr>
              <w:spacing w:after="0" w:line="240" w:lineRule="auto"/>
              <w:rPr>
                <w:rFonts w:eastAsia="Times New Roman" w:cs="Times New Roman"/>
                <w:color w:val="000000"/>
                <w:sz w:val="18"/>
                <w:szCs w:val="18"/>
                <w:lang w:val="en-GB" w:eastAsia="en-GB"/>
              </w:rPr>
            </w:pPr>
            <w:proofErr w:type="spellStart"/>
            <w:r w:rsidRPr="003F2D5C">
              <w:rPr>
                <w:rFonts w:eastAsia="Times New Roman" w:cs="Times New Roman"/>
                <w:color w:val="000000"/>
                <w:sz w:val="18"/>
                <w:szCs w:val="18"/>
                <w:lang w:val="en-GB" w:eastAsia="en-GB"/>
              </w:rPr>
              <w:t>V</w:t>
            </w:r>
            <w:r w:rsidR="00573801" w:rsidRPr="003F2D5C">
              <w:rPr>
                <w:rFonts w:eastAsia="Times New Roman" w:cs="Times New Roman"/>
                <w:color w:val="000000"/>
                <w:sz w:val="18"/>
                <w:szCs w:val="18"/>
                <w:lang w:val="en-GB" w:eastAsia="en-GB"/>
              </w:rPr>
              <w:t>aleur</w:t>
            </w:r>
            <w:proofErr w:type="spellEnd"/>
            <w:r w:rsidR="00573801" w:rsidRPr="003F2D5C">
              <w:rPr>
                <w:rFonts w:eastAsia="Times New Roman" w:cs="Times New Roman"/>
                <w:color w:val="000000"/>
                <w:sz w:val="18"/>
                <w:szCs w:val="18"/>
                <w:lang w:val="en-GB" w:eastAsia="en-GB"/>
              </w:rPr>
              <w:t xml:space="preserve"> </w:t>
            </w:r>
            <w:r w:rsidR="00CA6782" w:rsidRPr="003F2D5C">
              <w:rPr>
                <w:rFonts w:eastAsia="Times New Roman" w:cs="Times New Roman"/>
                <w:color w:val="000000"/>
                <w:sz w:val="18"/>
                <w:szCs w:val="18"/>
                <w:lang w:val="en-GB" w:eastAsia="en-GB"/>
              </w:rPr>
              <w:t>importation</w:t>
            </w:r>
            <w:r w:rsidR="00573801" w:rsidRPr="003F2D5C">
              <w:rPr>
                <w:rFonts w:eastAsia="Times New Roman" w:cs="Times New Roman"/>
                <w:color w:val="000000"/>
                <w:sz w:val="18"/>
                <w:szCs w:val="18"/>
                <w:lang w:val="en-GB" w:eastAsia="en-GB"/>
              </w:rPr>
              <w:t xml:space="preserve"> Monde</w:t>
            </w:r>
          </w:p>
        </w:tc>
        <w:tc>
          <w:tcPr>
            <w:tcW w:w="1327" w:type="dxa"/>
            <w:tcBorders>
              <w:top w:val="single" w:sz="8" w:space="0" w:color="auto"/>
              <w:left w:val="nil"/>
              <w:bottom w:val="single" w:sz="4" w:space="0" w:color="auto"/>
              <w:right w:val="single" w:sz="4" w:space="0" w:color="auto"/>
            </w:tcBorders>
            <w:shd w:val="clear" w:color="auto" w:fill="auto"/>
            <w:vAlign w:val="center"/>
            <w:hideMark/>
          </w:tcPr>
          <w:p w14:paraId="254F1077"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Ratio Tonnage </w:t>
            </w:r>
            <w:proofErr w:type="spellStart"/>
            <w:r w:rsidRPr="003F2D5C">
              <w:rPr>
                <w:rFonts w:eastAsia="Times New Roman" w:cs="Times New Roman"/>
                <w:color w:val="000000"/>
                <w:sz w:val="18"/>
                <w:szCs w:val="18"/>
                <w:lang w:val="en-GB" w:eastAsia="en-GB"/>
              </w:rPr>
              <w:t>Algérie</w:t>
            </w:r>
            <w:proofErr w:type="spellEnd"/>
            <w:r w:rsidRPr="003F2D5C">
              <w:rPr>
                <w:rFonts w:eastAsia="Times New Roman" w:cs="Times New Roman"/>
                <w:color w:val="000000"/>
                <w:sz w:val="18"/>
                <w:szCs w:val="18"/>
                <w:lang w:val="en-GB" w:eastAsia="en-GB"/>
              </w:rPr>
              <w:t>/Monde</w:t>
            </w:r>
          </w:p>
        </w:tc>
        <w:tc>
          <w:tcPr>
            <w:tcW w:w="1327" w:type="dxa"/>
            <w:tcBorders>
              <w:top w:val="single" w:sz="8" w:space="0" w:color="auto"/>
              <w:left w:val="nil"/>
              <w:bottom w:val="single" w:sz="4" w:space="0" w:color="auto"/>
              <w:right w:val="single" w:sz="8" w:space="0" w:color="auto"/>
            </w:tcBorders>
            <w:shd w:val="clear" w:color="auto" w:fill="auto"/>
            <w:vAlign w:val="center"/>
            <w:hideMark/>
          </w:tcPr>
          <w:p w14:paraId="653777E0" w14:textId="75704379"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Ratio </w:t>
            </w:r>
            <w:proofErr w:type="spellStart"/>
            <w:r w:rsidRPr="003F2D5C">
              <w:rPr>
                <w:rFonts w:eastAsia="Times New Roman" w:cs="Times New Roman"/>
                <w:color w:val="000000"/>
                <w:sz w:val="18"/>
                <w:szCs w:val="18"/>
                <w:lang w:val="en-GB" w:eastAsia="en-GB"/>
              </w:rPr>
              <w:t>ValeurAlgérie</w:t>
            </w:r>
            <w:proofErr w:type="spellEnd"/>
            <w:r w:rsidRPr="003F2D5C">
              <w:rPr>
                <w:rFonts w:eastAsia="Times New Roman" w:cs="Times New Roman"/>
                <w:color w:val="000000"/>
                <w:sz w:val="18"/>
                <w:szCs w:val="18"/>
                <w:lang w:val="en-GB" w:eastAsia="en-GB"/>
              </w:rPr>
              <w:t>/Monde</w:t>
            </w:r>
          </w:p>
        </w:tc>
      </w:tr>
      <w:tr w:rsidR="00466254" w:rsidRPr="003F2D5C" w14:paraId="02C0B37D" w14:textId="77777777" w:rsidTr="007013FB">
        <w:trPr>
          <w:trHeight w:val="222"/>
        </w:trPr>
        <w:tc>
          <w:tcPr>
            <w:tcW w:w="9966" w:type="dxa"/>
            <w:gridSpan w:val="9"/>
            <w:tcBorders>
              <w:top w:val="single" w:sz="4" w:space="0" w:color="auto"/>
              <w:left w:val="single" w:sz="8" w:space="0" w:color="auto"/>
              <w:bottom w:val="single" w:sz="4" w:space="0" w:color="auto"/>
              <w:right w:val="single" w:sz="8" w:space="0" w:color="000000"/>
            </w:tcBorders>
            <w:shd w:val="clear" w:color="000000" w:fill="000000"/>
            <w:vAlign w:val="center"/>
            <w:hideMark/>
          </w:tcPr>
          <w:p w14:paraId="153DE682" w14:textId="77777777" w:rsidR="00573801" w:rsidRPr="003F2D5C" w:rsidRDefault="00573801" w:rsidP="008E2273">
            <w:pPr>
              <w:spacing w:after="0" w:line="240" w:lineRule="auto"/>
              <w:rPr>
                <w:rFonts w:eastAsia="Times New Roman" w:cs="Times New Roman"/>
                <w:color w:val="FFFFFF"/>
                <w:sz w:val="18"/>
                <w:szCs w:val="18"/>
                <w:lang w:val="en-GB" w:eastAsia="en-GB"/>
              </w:rPr>
            </w:pPr>
            <w:r w:rsidRPr="003F2D5C">
              <w:rPr>
                <w:rFonts w:eastAsia="Times New Roman" w:cs="Times New Roman"/>
                <w:color w:val="FFFFFF"/>
                <w:sz w:val="18"/>
                <w:szCs w:val="18"/>
                <w:lang w:val="en-GB" w:eastAsia="en-GB"/>
              </w:rPr>
              <w:t>Couscous</w:t>
            </w:r>
          </w:p>
        </w:tc>
      </w:tr>
      <w:tr w:rsidR="005D2EA3" w:rsidRPr="003F2D5C" w14:paraId="55D0284D" w14:textId="77777777" w:rsidTr="003F2D5C">
        <w:trPr>
          <w:trHeight w:val="222"/>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35B286F8"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2011</w:t>
            </w:r>
          </w:p>
        </w:tc>
        <w:tc>
          <w:tcPr>
            <w:tcW w:w="1091" w:type="dxa"/>
            <w:tcBorders>
              <w:top w:val="nil"/>
              <w:left w:val="nil"/>
              <w:bottom w:val="single" w:sz="4" w:space="0" w:color="auto"/>
              <w:right w:val="single" w:sz="4" w:space="0" w:color="auto"/>
            </w:tcBorders>
            <w:shd w:val="clear" w:color="auto" w:fill="auto"/>
            <w:noWrap/>
            <w:vAlign w:val="bottom"/>
            <w:hideMark/>
          </w:tcPr>
          <w:p w14:paraId="1CF0B9A8"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5A0F192D"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14:paraId="1045C791"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14:paraId="6005AE96"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55079113"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124299</w:t>
            </w:r>
          </w:p>
        </w:tc>
        <w:tc>
          <w:tcPr>
            <w:tcW w:w="1091" w:type="dxa"/>
            <w:tcBorders>
              <w:top w:val="nil"/>
              <w:left w:val="nil"/>
              <w:bottom w:val="single" w:sz="4" w:space="0" w:color="auto"/>
              <w:right w:val="single" w:sz="4" w:space="0" w:color="auto"/>
            </w:tcBorders>
            <w:shd w:val="clear" w:color="auto" w:fill="auto"/>
            <w:noWrap/>
            <w:vAlign w:val="bottom"/>
            <w:hideMark/>
          </w:tcPr>
          <w:p w14:paraId="1E5564EA"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76479</w:t>
            </w:r>
          </w:p>
        </w:tc>
        <w:tc>
          <w:tcPr>
            <w:tcW w:w="1327" w:type="dxa"/>
            <w:tcBorders>
              <w:top w:val="nil"/>
              <w:left w:val="nil"/>
              <w:bottom w:val="single" w:sz="4" w:space="0" w:color="auto"/>
              <w:right w:val="single" w:sz="4" w:space="0" w:color="auto"/>
            </w:tcBorders>
            <w:shd w:val="clear" w:color="auto" w:fill="auto"/>
            <w:noWrap/>
            <w:vAlign w:val="bottom"/>
            <w:hideMark/>
          </w:tcPr>
          <w:p w14:paraId="4D0D24C5"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327" w:type="dxa"/>
            <w:tcBorders>
              <w:top w:val="nil"/>
              <w:left w:val="nil"/>
              <w:bottom w:val="single" w:sz="4" w:space="0" w:color="auto"/>
              <w:right w:val="single" w:sz="8" w:space="0" w:color="auto"/>
            </w:tcBorders>
            <w:shd w:val="clear" w:color="auto" w:fill="auto"/>
            <w:noWrap/>
            <w:vAlign w:val="bottom"/>
            <w:hideMark/>
          </w:tcPr>
          <w:p w14:paraId="0C488983"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r>
      <w:tr w:rsidR="005D2EA3" w:rsidRPr="003F2D5C" w14:paraId="50F02DFA" w14:textId="77777777" w:rsidTr="003F2D5C">
        <w:trPr>
          <w:trHeight w:val="222"/>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2DA6F747"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2012</w:t>
            </w:r>
          </w:p>
        </w:tc>
        <w:tc>
          <w:tcPr>
            <w:tcW w:w="1091" w:type="dxa"/>
            <w:tcBorders>
              <w:top w:val="nil"/>
              <w:left w:val="nil"/>
              <w:bottom w:val="single" w:sz="4" w:space="0" w:color="auto"/>
              <w:right w:val="single" w:sz="4" w:space="0" w:color="auto"/>
            </w:tcBorders>
            <w:shd w:val="clear" w:color="auto" w:fill="auto"/>
            <w:noWrap/>
            <w:vAlign w:val="bottom"/>
            <w:hideMark/>
          </w:tcPr>
          <w:p w14:paraId="79692872"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643460</w:t>
            </w:r>
          </w:p>
        </w:tc>
        <w:tc>
          <w:tcPr>
            <w:tcW w:w="1091" w:type="dxa"/>
            <w:tcBorders>
              <w:top w:val="nil"/>
              <w:left w:val="nil"/>
              <w:bottom w:val="single" w:sz="4" w:space="0" w:color="auto"/>
              <w:right w:val="single" w:sz="4" w:space="0" w:color="auto"/>
            </w:tcBorders>
            <w:shd w:val="clear" w:color="auto" w:fill="auto"/>
            <w:noWrap/>
            <w:vAlign w:val="bottom"/>
            <w:hideMark/>
          </w:tcPr>
          <w:p w14:paraId="52418C75"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229277</w:t>
            </w:r>
          </w:p>
        </w:tc>
        <w:tc>
          <w:tcPr>
            <w:tcW w:w="1074" w:type="dxa"/>
            <w:tcBorders>
              <w:top w:val="nil"/>
              <w:left w:val="nil"/>
              <w:bottom w:val="single" w:sz="4" w:space="0" w:color="auto"/>
              <w:right w:val="single" w:sz="4" w:space="0" w:color="auto"/>
            </w:tcBorders>
            <w:shd w:val="clear" w:color="auto" w:fill="auto"/>
            <w:noWrap/>
            <w:vAlign w:val="bottom"/>
            <w:hideMark/>
          </w:tcPr>
          <w:p w14:paraId="37B645B0"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5000</w:t>
            </w:r>
          </w:p>
        </w:tc>
        <w:tc>
          <w:tcPr>
            <w:tcW w:w="1074" w:type="dxa"/>
            <w:tcBorders>
              <w:top w:val="nil"/>
              <w:left w:val="nil"/>
              <w:bottom w:val="single" w:sz="4" w:space="0" w:color="auto"/>
              <w:right w:val="single" w:sz="4" w:space="0" w:color="auto"/>
            </w:tcBorders>
            <w:shd w:val="clear" w:color="auto" w:fill="auto"/>
            <w:noWrap/>
            <w:vAlign w:val="bottom"/>
            <w:hideMark/>
          </w:tcPr>
          <w:p w14:paraId="669C3AF7"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1901</w:t>
            </w:r>
          </w:p>
        </w:tc>
        <w:tc>
          <w:tcPr>
            <w:tcW w:w="1091" w:type="dxa"/>
            <w:tcBorders>
              <w:top w:val="nil"/>
              <w:left w:val="nil"/>
              <w:bottom w:val="single" w:sz="4" w:space="0" w:color="auto"/>
              <w:right w:val="single" w:sz="4" w:space="0" w:color="auto"/>
            </w:tcBorders>
            <w:shd w:val="clear" w:color="auto" w:fill="auto"/>
            <w:noWrap/>
            <w:vAlign w:val="bottom"/>
            <w:hideMark/>
          </w:tcPr>
          <w:p w14:paraId="128F014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813353</w:t>
            </w:r>
          </w:p>
        </w:tc>
        <w:tc>
          <w:tcPr>
            <w:tcW w:w="1091" w:type="dxa"/>
            <w:tcBorders>
              <w:top w:val="nil"/>
              <w:left w:val="nil"/>
              <w:bottom w:val="single" w:sz="4" w:space="0" w:color="auto"/>
              <w:right w:val="single" w:sz="4" w:space="0" w:color="auto"/>
            </w:tcBorders>
            <w:shd w:val="clear" w:color="auto" w:fill="auto"/>
            <w:noWrap/>
            <w:vAlign w:val="bottom"/>
            <w:hideMark/>
          </w:tcPr>
          <w:p w14:paraId="132FE73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293409</w:t>
            </w:r>
          </w:p>
        </w:tc>
        <w:tc>
          <w:tcPr>
            <w:tcW w:w="1327" w:type="dxa"/>
            <w:tcBorders>
              <w:top w:val="nil"/>
              <w:left w:val="nil"/>
              <w:bottom w:val="single" w:sz="4" w:space="0" w:color="auto"/>
              <w:right w:val="single" w:sz="4" w:space="0" w:color="auto"/>
            </w:tcBorders>
            <w:shd w:val="clear" w:color="auto" w:fill="auto"/>
            <w:noWrap/>
            <w:vAlign w:val="bottom"/>
            <w:hideMark/>
          </w:tcPr>
          <w:p w14:paraId="2FC50EB4"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79.11%</w:t>
            </w:r>
          </w:p>
        </w:tc>
        <w:tc>
          <w:tcPr>
            <w:tcW w:w="1327" w:type="dxa"/>
            <w:tcBorders>
              <w:top w:val="nil"/>
              <w:left w:val="nil"/>
              <w:bottom w:val="single" w:sz="4" w:space="0" w:color="auto"/>
              <w:right w:val="single" w:sz="8" w:space="0" w:color="auto"/>
            </w:tcBorders>
            <w:shd w:val="clear" w:color="auto" w:fill="auto"/>
            <w:noWrap/>
            <w:vAlign w:val="bottom"/>
            <w:hideMark/>
          </w:tcPr>
          <w:p w14:paraId="35D1E94E"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78.14%</w:t>
            </w:r>
          </w:p>
        </w:tc>
      </w:tr>
      <w:tr w:rsidR="005D2EA3" w:rsidRPr="003F2D5C" w14:paraId="4670CB32" w14:textId="77777777" w:rsidTr="003F2D5C">
        <w:trPr>
          <w:trHeight w:val="222"/>
        </w:trPr>
        <w:tc>
          <w:tcPr>
            <w:tcW w:w="800" w:type="dxa"/>
            <w:tcBorders>
              <w:top w:val="nil"/>
              <w:left w:val="single" w:sz="8" w:space="0" w:color="auto"/>
              <w:bottom w:val="single" w:sz="4" w:space="0" w:color="auto"/>
              <w:right w:val="single" w:sz="4" w:space="0" w:color="auto"/>
            </w:tcBorders>
            <w:shd w:val="clear" w:color="000000" w:fill="C5D9F1"/>
            <w:noWrap/>
            <w:vAlign w:val="bottom"/>
            <w:hideMark/>
          </w:tcPr>
          <w:p w14:paraId="2920A517"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Total</w:t>
            </w:r>
          </w:p>
        </w:tc>
        <w:tc>
          <w:tcPr>
            <w:tcW w:w="1091" w:type="dxa"/>
            <w:tcBorders>
              <w:top w:val="nil"/>
              <w:left w:val="nil"/>
              <w:bottom w:val="single" w:sz="4" w:space="0" w:color="auto"/>
              <w:right w:val="single" w:sz="4" w:space="0" w:color="auto"/>
            </w:tcBorders>
            <w:shd w:val="clear" w:color="000000" w:fill="C5D9F1"/>
            <w:noWrap/>
            <w:vAlign w:val="bottom"/>
            <w:hideMark/>
          </w:tcPr>
          <w:p w14:paraId="646A31F4"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643460</w:t>
            </w:r>
          </w:p>
        </w:tc>
        <w:tc>
          <w:tcPr>
            <w:tcW w:w="1091" w:type="dxa"/>
            <w:tcBorders>
              <w:top w:val="nil"/>
              <w:left w:val="nil"/>
              <w:bottom w:val="single" w:sz="4" w:space="0" w:color="auto"/>
              <w:right w:val="single" w:sz="4" w:space="0" w:color="auto"/>
            </w:tcBorders>
            <w:shd w:val="clear" w:color="000000" w:fill="C5D9F1"/>
            <w:noWrap/>
            <w:vAlign w:val="bottom"/>
            <w:hideMark/>
          </w:tcPr>
          <w:p w14:paraId="590B4C3C"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229277</w:t>
            </w:r>
          </w:p>
        </w:tc>
        <w:tc>
          <w:tcPr>
            <w:tcW w:w="1074" w:type="dxa"/>
            <w:tcBorders>
              <w:top w:val="nil"/>
              <w:left w:val="nil"/>
              <w:bottom w:val="single" w:sz="4" w:space="0" w:color="auto"/>
              <w:right w:val="single" w:sz="4" w:space="0" w:color="auto"/>
            </w:tcBorders>
            <w:shd w:val="clear" w:color="000000" w:fill="C5D9F1"/>
            <w:noWrap/>
            <w:vAlign w:val="bottom"/>
            <w:hideMark/>
          </w:tcPr>
          <w:p w14:paraId="21787789"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79000</w:t>
            </w:r>
          </w:p>
        </w:tc>
        <w:tc>
          <w:tcPr>
            <w:tcW w:w="1074" w:type="dxa"/>
            <w:tcBorders>
              <w:top w:val="nil"/>
              <w:left w:val="nil"/>
              <w:bottom w:val="single" w:sz="4" w:space="0" w:color="auto"/>
              <w:right w:val="single" w:sz="4" w:space="0" w:color="auto"/>
            </w:tcBorders>
            <w:shd w:val="clear" w:color="000000" w:fill="C5D9F1"/>
            <w:noWrap/>
            <w:vAlign w:val="bottom"/>
            <w:hideMark/>
          </w:tcPr>
          <w:p w14:paraId="258E7F2A"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43931</w:t>
            </w:r>
          </w:p>
        </w:tc>
        <w:tc>
          <w:tcPr>
            <w:tcW w:w="1091" w:type="dxa"/>
            <w:tcBorders>
              <w:top w:val="nil"/>
              <w:left w:val="nil"/>
              <w:bottom w:val="single" w:sz="4" w:space="0" w:color="auto"/>
              <w:right w:val="single" w:sz="4" w:space="0" w:color="auto"/>
            </w:tcBorders>
            <w:shd w:val="clear" w:color="000000" w:fill="C5D9F1"/>
            <w:noWrap/>
            <w:vAlign w:val="bottom"/>
            <w:hideMark/>
          </w:tcPr>
          <w:p w14:paraId="66B1312B"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1863174</w:t>
            </w:r>
          </w:p>
        </w:tc>
        <w:tc>
          <w:tcPr>
            <w:tcW w:w="1091" w:type="dxa"/>
            <w:tcBorders>
              <w:top w:val="nil"/>
              <w:left w:val="nil"/>
              <w:bottom w:val="single" w:sz="4" w:space="0" w:color="auto"/>
              <w:right w:val="single" w:sz="4" w:space="0" w:color="auto"/>
            </w:tcBorders>
            <w:shd w:val="clear" w:color="000000" w:fill="C5D9F1"/>
            <w:noWrap/>
            <w:vAlign w:val="bottom"/>
            <w:hideMark/>
          </w:tcPr>
          <w:p w14:paraId="36B82054"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821662</w:t>
            </w:r>
          </w:p>
        </w:tc>
        <w:tc>
          <w:tcPr>
            <w:tcW w:w="1327" w:type="dxa"/>
            <w:tcBorders>
              <w:top w:val="nil"/>
              <w:left w:val="nil"/>
              <w:bottom w:val="single" w:sz="4" w:space="0" w:color="auto"/>
              <w:right w:val="single" w:sz="4" w:space="0" w:color="auto"/>
            </w:tcBorders>
            <w:shd w:val="clear" w:color="000000" w:fill="C5D9F1"/>
            <w:noWrap/>
            <w:vAlign w:val="bottom"/>
            <w:hideMark/>
          </w:tcPr>
          <w:p w14:paraId="50BD0AF6"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327" w:type="dxa"/>
            <w:tcBorders>
              <w:top w:val="nil"/>
              <w:left w:val="nil"/>
              <w:bottom w:val="single" w:sz="4" w:space="0" w:color="auto"/>
              <w:right w:val="single" w:sz="8" w:space="0" w:color="auto"/>
            </w:tcBorders>
            <w:shd w:val="clear" w:color="000000" w:fill="C5D9F1"/>
            <w:noWrap/>
            <w:vAlign w:val="bottom"/>
            <w:hideMark/>
          </w:tcPr>
          <w:p w14:paraId="7F5A4E0A"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r>
      <w:tr w:rsidR="00466254" w:rsidRPr="003F2D5C" w14:paraId="7FE9934A" w14:textId="77777777" w:rsidTr="007013FB">
        <w:trPr>
          <w:trHeight w:val="222"/>
        </w:trPr>
        <w:tc>
          <w:tcPr>
            <w:tcW w:w="9966" w:type="dxa"/>
            <w:gridSpan w:val="9"/>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703016DA" w14:textId="77777777" w:rsidR="00573801" w:rsidRPr="003F2D5C" w:rsidRDefault="00573801" w:rsidP="008E2273">
            <w:pPr>
              <w:spacing w:after="0" w:line="240" w:lineRule="auto"/>
              <w:rPr>
                <w:rFonts w:eastAsia="Times New Roman" w:cs="Times New Roman"/>
                <w:color w:val="FFFFFF"/>
                <w:sz w:val="18"/>
                <w:szCs w:val="18"/>
                <w:lang w:val="en-GB" w:eastAsia="en-GB"/>
              </w:rPr>
            </w:pPr>
            <w:r w:rsidRPr="003F2D5C">
              <w:rPr>
                <w:rFonts w:eastAsia="Times New Roman" w:cs="Times New Roman"/>
                <w:color w:val="FFFFFF"/>
                <w:sz w:val="18"/>
                <w:szCs w:val="18"/>
                <w:lang w:val="en-GB" w:eastAsia="en-GB"/>
              </w:rPr>
              <w:t>Dates, fresh or dried</w:t>
            </w:r>
          </w:p>
        </w:tc>
      </w:tr>
      <w:tr w:rsidR="005D2EA3" w:rsidRPr="003F2D5C" w14:paraId="40B39975" w14:textId="77777777" w:rsidTr="003F2D5C">
        <w:trPr>
          <w:trHeight w:val="222"/>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3EC485E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2011</w:t>
            </w:r>
          </w:p>
        </w:tc>
        <w:tc>
          <w:tcPr>
            <w:tcW w:w="1091" w:type="dxa"/>
            <w:tcBorders>
              <w:top w:val="nil"/>
              <w:left w:val="nil"/>
              <w:bottom w:val="single" w:sz="4" w:space="0" w:color="auto"/>
              <w:right w:val="single" w:sz="4" w:space="0" w:color="auto"/>
            </w:tcBorders>
            <w:shd w:val="clear" w:color="auto" w:fill="auto"/>
            <w:noWrap/>
            <w:vAlign w:val="bottom"/>
            <w:hideMark/>
          </w:tcPr>
          <w:p w14:paraId="1450D64B"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6386960</w:t>
            </w:r>
          </w:p>
        </w:tc>
        <w:tc>
          <w:tcPr>
            <w:tcW w:w="1091" w:type="dxa"/>
            <w:tcBorders>
              <w:top w:val="nil"/>
              <w:left w:val="nil"/>
              <w:bottom w:val="single" w:sz="4" w:space="0" w:color="auto"/>
              <w:right w:val="single" w:sz="4" w:space="0" w:color="auto"/>
            </w:tcBorders>
            <w:shd w:val="clear" w:color="auto" w:fill="auto"/>
            <w:noWrap/>
            <w:vAlign w:val="bottom"/>
            <w:hideMark/>
          </w:tcPr>
          <w:p w14:paraId="7C39AEA5"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947290</w:t>
            </w:r>
          </w:p>
        </w:tc>
        <w:tc>
          <w:tcPr>
            <w:tcW w:w="1074" w:type="dxa"/>
            <w:tcBorders>
              <w:top w:val="nil"/>
              <w:left w:val="nil"/>
              <w:bottom w:val="single" w:sz="4" w:space="0" w:color="auto"/>
              <w:right w:val="single" w:sz="4" w:space="0" w:color="auto"/>
            </w:tcBorders>
            <w:shd w:val="clear" w:color="auto" w:fill="auto"/>
            <w:noWrap/>
            <w:vAlign w:val="bottom"/>
            <w:hideMark/>
          </w:tcPr>
          <w:p w14:paraId="4BEDE102"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98600</w:t>
            </w:r>
          </w:p>
        </w:tc>
        <w:tc>
          <w:tcPr>
            <w:tcW w:w="1074" w:type="dxa"/>
            <w:tcBorders>
              <w:top w:val="nil"/>
              <w:left w:val="nil"/>
              <w:bottom w:val="single" w:sz="4" w:space="0" w:color="auto"/>
              <w:right w:val="single" w:sz="4" w:space="0" w:color="auto"/>
            </w:tcBorders>
            <w:shd w:val="clear" w:color="auto" w:fill="auto"/>
            <w:noWrap/>
            <w:vAlign w:val="bottom"/>
            <w:hideMark/>
          </w:tcPr>
          <w:p w14:paraId="7FDDE74F"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107840</w:t>
            </w:r>
          </w:p>
        </w:tc>
        <w:tc>
          <w:tcPr>
            <w:tcW w:w="1091" w:type="dxa"/>
            <w:tcBorders>
              <w:top w:val="nil"/>
              <w:left w:val="nil"/>
              <w:bottom w:val="single" w:sz="4" w:space="0" w:color="auto"/>
              <w:right w:val="single" w:sz="4" w:space="0" w:color="auto"/>
            </w:tcBorders>
            <w:shd w:val="clear" w:color="auto" w:fill="auto"/>
            <w:noWrap/>
            <w:vAlign w:val="bottom"/>
            <w:hideMark/>
          </w:tcPr>
          <w:p w14:paraId="7EFFBCE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6507016</w:t>
            </w:r>
          </w:p>
        </w:tc>
        <w:tc>
          <w:tcPr>
            <w:tcW w:w="1091" w:type="dxa"/>
            <w:tcBorders>
              <w:top w:val="nil"/>
              <w:left w:val="nil"/>
              <w:bottom w:val="single" w:sz="4" w:space="0" w:color="auto"/>
              <w:right w:val="single" w:sz="4" w:space="0" w:color="auto"/>
            </w:tcBorders>
            <w:shd w:val="clear" w:color="auto" w:fill="auto"/>
            <w:noWrap/>
            <w:vAlign w:val="bottom"/>
            <w:hideMark/>
          </w:tcPr>
          <w:p w14:paraId="33FDF54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1119321</w:t>
            </w:r>
          </w:p>
        </w:tc>
        <w:tc>
          <w:tcPr>
            <w:tcW w:w="1327" w:type="dxa"/>
            <w:tcBorders>
              <w:top w:val="nil"/>
              <w:left w:val="nil"/>
              <w:bottom w:val="single" w:sz="4" w:space="0" w:color="auto"/>
              <w:right w:val="single" w:sz="4" w:space="0" w:color="auto"/>
            </w:tcBorders>
            <w:shd w:val="clear" w:color="auto" w:fill="auto"/>
            <w:noWrap/>
            <w:vAlign w:val="bottom"/>
            <w:hideMark/>
          </w:tcPr>
          <w:p w14:paraId="30B69FA6"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98.15%</w:t>
            </w:r>
          </w:p>
        </w:tc>
        <w:tc>
          <w:tcPr>
            <w:tcW w:w="1327" w:type="dxa"/>
            <w:tcBorders>
              <w:top w:val="nil"/>
              <w:left w:val="nil"/>
              <w:bottom w:val="single" w:sz="4" w:space="0" w:color="auto"/>
              <w:right w:val="single" w:sz="8" w:space="0" w:color="auto"/>
            </w:tcBorders>
            <w:shd w:val="clear" w:color="auto" w:fill="auto"/>
            <w:noWrap/>
            <w:vAlign w:val="bottom"/>
            <w:hideMark/>
          </w:tcPr>
          <w:p w14:paraId="69175F65"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84.63%</w:t>
            </w:r>
          </w:p>
        </w:tc>
      </w:tr>
      <w:tr w:rsidR="005D2EA3" w:rsidRPr="003F2D5C" w14:paraId="7994FA6D" w14:textId="77777777" w:rsidTr="003F2D5C">
        <w:trPr>
          <w:trHeight w:val="222"/>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4512E955"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2012</w:t>
            </w:r>
          </w:p>
        </w:tc>
        <w:tc>
          <w:tcPr>
            <w:tcW w:w="1091" w:type="dxa"/>
            <w:tcBorders>
              <w:top w:val="nil"/>
              <w:left w:val="nil"/>
              <w:bottom w:val="single" w:sz="4" w:space="0" w:color="auto"/>
              <w:right w:val="single" w:sz="4" w:space="0" w:color="auto"/>
            </w:tcBorders>
            <w:shd w:val="clear" w:color="auto" w:fill="auto"/>
            <w:noWrap/>
            <w:vAlign w:val="bottom"/>
            <w:hideMark/>
          </w:tcPr>
          <w:p w14:paraId="018E34D4"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5839559</w:t>
            </w:r>
          </w:p>
        </w:tc>
        <w:tc>
          <w:tcPr>
            <w:tcW w:w="1091" w:type="dxa"/>
            <w:tcBorders>
              <w:top w:val="nil"/>
              <w:left w:val="nil"/>
              <w:bottom w:val="single" w:sz="4" w:space="0" w:color="auto"/>
              <w:right w:val="single" w:sz="4" w:space="0" w:color="auto"/>
            </w:tcBorders>
            <w:shd w:val="clear" w:color="auto" w:fill="auto"/>
            <w:noWrap/>
            <w:vAlign w:val="bottom"/>
            <w:hideMark/>
          </w:tcPr>
          <w:p w14:paraId="478D5F6A"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841058</w:t>
            </w:r>
          </w:p>
        </w:tc>
        <w:tc>
          <w:tcPr>
            <w:tcW w:w="1074" w:type="dxa"/>
            <w:tcBorders>
              <w:top w:val="nil"/>
              <w:left w:val="nil"/>
              <w:bottom w:val="single" w:sz="4" w:space="0" w:color="auto"/>
              <w:right w:val="single" w:sz="4" w:space="0" w:color="auto"/>
            </w:tcBorders>
            <w:shd w:val="clear" w:color="auto" w:fill="auto"/>
            <w:noWrap/>
            <w:vAlign w:val="bottom"/>
            <w:hideMark/>
          </w:tcPr>
          <w:p w14:paraId="15923A68"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14:paraId="25D75F01"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52647E2E"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5878457</w:t>
            </w:r>
          </w:p>
        </w:tc>
        <w:tc>
          <w:tcPr>
            <w:tcW w:w="1091" w:type="dxa"/>
            <w:tcBorders>
              <w:top w:val="nil"/>
              <w:left w:val="nil"/>
              <w:bottom w:val="single" w:sz="4" w:space="0" w:color="auto"/>
              <w:right w:val="single" w:sz="4" w:space="0" w:color="auto"/>
            </w:tcBorders>
            <w:shd w:val="clear" w:color="auto" w:fill="auto"/>
            <w:noWrap/>
            <w:vAlign w:val="bottom"/>
            <w:hideMark/>
          </w:tcPr>
          <w:p w14:paraId="74499C39"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870580</w:t>
            </w:r>
          </w:p>
        </w:tc>
        <w:tc>
          <w:tcPr>
            <w:tcW w:w="1327" w:type="dxa"/>
            <w:tcBorders>
              <w:top w:val="nil"/>
              <w:left w:val="nil"/>
              <w:bottom w:val="single" w:sz="4" w:space="0" w:color="auto"/>
              <w:right w:val="single" w:sz="4" w:space="0" w:color="auto"/>
            </w:tcBorders>
            <w:shd w:val="clear" w:color="auto" w:fill="auto"/>
            <w:noWrap/>
            <w:vAlign w:val="bottom"/>
            <w:hideMark/>
          </w:tcPr>
          <w:p w14:paraId="46FB3E07"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99.34%</w:t>
            </w:r>
          </w:p>
        </w:tc>
        <w:tc>
          <w:tcPr>
            <w:tcW w:w="1327" w:type="dxa"/>
            <w:tcBorders>
              <w:top w:val="nil"/>
              <w:left w:val="nil"/>
              <w:bottom w:val="single" w:sz="4" w:space="0" w:color="auto"/>
              <w:right w:val="single" w:sz="8" w:space="0" w:color="auto"/>
            </w:tcBorders>
            <w:shd w:val="clear" w:color="auto" w:fill="auto"/>
            <w:noWrap/>
            <w:vAlign w:val="bottom"/>
            <w:hideMark/>
          </w:tcPr>
          <w:p w14:paraId="2F876E08"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96.61%</w:t>
            </w:r>
          </w:p>
        </w:tc>
      </w:tr>
      <w:tr w:rsidR="005D2EA3" w:rsidRPr="003F2D5C" w14:paraId="6FDE1D4B" w14:textId="77777777" w:rsidTr="003F2D5C">
        <w:trPr>
          <w:trHeight w:val="222"/>
        </w:trPr>
        <w:tc>
          <w:tcPr>
            <w:tcW w:w="800" w:type="dxa"/>
            <w:tcBorders>
              <w:top w:val="nil"/>
              <w:left w:val="single" w:sz="8" w:space="0" w:color="auto"/>
              <w:bottom w:val="single" w:sz="4" w:space="0" w:color="auto"/>
              <w:right w:val="single" w:sz="4" w:space="0" w:color="auto"/>
            </w:tcBorders>
            <w:shd w:val="clear" w:color="000000" w:fill="C5D9F1"/>
            <w:noWrap/>
            <w:vAlign w:val="bottom"/>
            <w:hideMark/>
          </w:tcPr>
          <w:p w14:paraId="63581969" w14:textId="77777777" w:rsidR="00573801" w:rsidRPr="003F2D5C" w:rsidRDefault="00573801" w:rsidP="008E2273">
            <w:pPr>
              <w:spacing w:after="0" w:line="240" w:lineRule="auto"/>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Total</w:t>
            </w:r>
          </w:p>
        </w:tc>
        <w:tc>
          <w:tcPr>
            <w:tcW w:w="1091" w:type="dxa"/>
            <w:tcBorders>
              <w:top w:val="nil"/>
              <w:left w:val="nil"/>
              <w:bottom w:val="single" w:sz="4" w:space="0" w:color="auto"/>
              <w:right w:val="single" w:sz="4" w:space="0" w:color="auto"/>
            </w:tcBorders>
            <w:shd w:val="clear" w:color="000000" w:fill="C5D9F1"/>
            <w:noWrap/>
            <w:vAlign w:val="bottom"/>
            <w:hideMark/>
          </w:tcPr>
          <w:p w14:paraId="45D3CE0D"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30774706</w:t>
            </w:r>
          </w:p>
        </w:tc>
        <w:tc>
          <w:tcPr>
            <w:tcW w:w="1091" w:type="dxa"/>
            <w:tcBorders>
              <w:top w:val="nil"/>
              <w:left w:val="nil"/>
              <w:bottom w:val="single" w:sz="4" w:space="0" w:color="auto"/>
              <w:right w:val="single" w:sz="4" w:space="0" w:color="auto"/>
            </w:tcBorders>
            <w:shd w:val="clear" w:color="000000" w:fill="C5D9F1"/>
            <w:noWrap/>
            <w:vAlign w:val="bottom"/>
            <w:hideMark/>
          </w:tcPr>
          <w:p w14:paraId="69949AB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4561126</w:t>
            </w:r>
          </w:p>
        </w:tc>
        <w:tc>
          <w:tcPr>
            <w:tcW w:w="1074" w:type="dxa"/>
            <w:tcBorders>
              <w:top w:val="nil"/>
              <w:left w:val="nil"/>
              <w:bottom w:val="single" w:sz="4" w:space="0" w:color="auto"/>
              <w:right w:val="single" w:sz="4" w:space="0" w:color="auto"/>
            </w:tcBorders>
            <w:shd w:val="clear" w:color="000000" w:fill="C5D9F1"/>
            <w:noWrap/>
            <w:vAlign w:val="bottom"/>
            <w:hideMark/>
          </w:tcPr>
          <w:p w14:paraId="04FF6D91"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98600</w:t>
            </w:r>
          </w:p>
        </w:tc>
        <w:tc>
          <w:tcPr>
            <w:tcW w:w="1074" w:type="dxa"/>
            <w:tcBorders>
              <w:top w:val="nil"/>
              <w:left w:val="nil"/>
              <w:bottom w:val="single" w:sz="4" w:space="0" w:color="auto"/>
              <w:right w:val="single" w:sz="4" w:space="0" w:color="auto"/>
            </w:tcBorders>
            <w:shd w:val="clear" w:color="000000" w:fill="C5D9F1"/>
            <w:noWrap/>
            <w:vAlign w:val="bottom"/>
            <w:hideMark/>
          </w:tcPr>
          <w:p w14:paraId="561B116A"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107840</w:t>
            </w:r>
          </w:p>
        </w:tc>
        <w:tc>
          <w:tcPr>
            <w:tcW w:w="1091" w:type="dxa"/>
            <w:tcBorders>
              <w:top w:val="nil"/>
              <w:left w:val="nil"/>
              <w:bottom w:val="single" w:sz="4" w:space="0" w:color="auto"/>
              <w:right w:val="single" w:sz="4" w:space="0" w:color="auto"/>
            </w:tcBorders>
            <w:shd w:val="clear" w:color="000000" w:fill="C5D9F1"/>
            <w:noWrap/>
            <w:vAlign w:val="bottom"/>
            <w:hideMark/>
          </w:tcPr>
          <w:p w14:paraId="6778031F"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31179688</w:t>
            </w:r>
          </w:p>
        </w:tc>
        <w:tc>
          <w:tcPr>
            <w:tcW w:w="1091" w:type="dxa"/>
            <w:tcBorders>
              <w:top w:val="nil"/>
              <w:left w:val="nil"/>
              <w:bottom w:val="single" w:sz="4" w:space="0" w:color="auto"/>
              <w:right w:val="single" w:sz="4" w:space="0" w:color="auto"/>
            </w:tcBorders>
            <w:shd w:val="clear" w:color="000000" w:fill="C5D9F1"/>
            <w:noWrap/>
            <w:vAlign w:val="bottom"/>
            <w:hideMark/>
          </w:tcPr>
          <w:p w14:paraId="021CA085"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5008978</w:t>
            </w:r>
          </w:p>
        </w:tc>
        <w:tc>
          <w:tcPr>
            <w:tcW w:w="1327" w:type="dxa"/>
            <w:tcBorders>
              <w:top w:val="nil"/>
              <w:left w:val="nil"/>
              <w:bottom w:val="single" w:sz="4" w:space="0" w:color="auto"/>
              <w:right w:val="single" w:sz="4" w:space="0" w:color="auto"/>
            </w:tcBorders>
            <w:shd w:val="clear" w:color="000000" w:fill="C5D9F1"/>
            <w:noWrap/>
            <w:vAlign w:val="bottom"/>
            <w:hideMark/>
          </w:tcPr>
          <w:p w14:paraId="1F46C325"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98.70%</w:t>
            </w:r>
          </w:p>
        </w:tc>
        <w:tc>
          <w:tcPr>
            <w:tcW w:w="1327" w:type="dxa"/>
            <w:tcBorders>
              <w:top w:val="nil"/>
              <w:left w:val="nil"/>
              <w:bottom w:val="single" w:sz="4" w:space="0" w:color="auto"/>
              <w:right w:val="single" w:sz="8" w:space="0" w:color="auto"/>
            </w:tcBorders>
            <w:shd w:val="clear" w:color="000000" w:fill="C5D9F1"/>
            <w:noWrap/>
            <w:vAlign w:val="bottom"/>
            <w:hideMark/>
          </w:tcPr>
          <w:p w14:paraId="78B91817" w14:textId="77777777" w:rsidR="00573801" w:rsidRPr="003F2D5C" w:rsidRDefault="00573801" w:rsidP="008E2273">
            <w:pPr>
              <w:spacing w:after="0" w:line="240" w:lineRule="auto"/>
              <w:jc w:val="right"/>
              <w:rPr>
                <w:rFonts w:eastAsia="Times New Roman" w:cs="Times New Roman"/>
                <w:color w:val="000000"/>
                <w:sz w:val="18"/>
                <w:szCs w:val="18"/>
                <w:lang w:val="en-GB" w:eastAsia="en-GB"/>
              </w:rPr>
            </w:pPr>
            <w:r w:rsidRPr="003F2D5C">
              <w:rPr>
                <w:rFonts w:eastAsia="Times New Roman" w:cs="Times New Roman"/>
                <w:color w:val="000000"/>
                <w:sz w:val="18"/>
                <w:szCs w:val="18"/>
                <w:lang w:val="en-GB" w:eastAsia="en-GB"/>
              </w:rPr>
              <w:t>91.06%</w:t>
            </w:r>
          </w:p>
        </w:tc>
      </w:tr>
    </w:tbl>
    <w:p w14:paraId="3716B883" w14:textId="77777777" w:rsidR="00573801" w:rsidRDefault="00573801" w:rsidP="00573801">
      <w:pPr>
        <w:spacing w:line="240" w:lineRule="auto"/>
        <w:jc w:val="both"/>
        <w:rPr>
          <w:sz w:val="18"/>
        </w:rPr>
      </w:pPr>
      <w:r>
        <w:rPr>
          <w:sz w:val="18"/>
        </w:rPr>
        <w:t>*- indique une valeur manquante</w:t>
      </w:r>
    </w:p>
    <w:p w14:paraId="7DB15393" w14:textId="09A9EFCB" w:rsidR="005F1B0E" w:rsidRDefault="0041090B" w:rsidP="005F1B0E">
      <w:pPr>
        <w:jc w:val="both"/>
      </w:pPr>
      <w:r>
        <w:rPr>
          <w:b/>
        </w:rPr>
        <w:t>L</w:t>
      </w:r>
      <w:r w:rsidR="005F1B0E">
        <w:rPr>
          <w:b/>
        </w:rPr>
        <w:t xml:space="preserve">es </w:t>
      </w:r>
      <w:r w:rsidR="00CA6782">
        <w:rPr>
          <w:b/>
        </w:rPr>
        <w:t>exportations</w:t>
      </w:r>
      <w:r w:rsidR="005F1B0E">
        <w:rPr>
          <w:b/>
        </w:rPr>
        <w:t xml:space="preserve"> malien</w:t>
      </w:r>
      <w:r>
        <w:rPr>
          <w:b/>
        </w:rPr>
        <w:t>ne</w:t>
      </w:r>
      <w:r w:rsidR="005F1B0E">
        <w:rPr>
          <w:b/>
        </w:rPr>
        <w:t>s selon les autorité</w:t>
      </w:r>
      <w:r>
        <w:rPr>
          <w:b/>
        </w:rPr>
        <w:t>s maliennes semblent être dominée</w:t>
      </w:r>
      <w:r w:rsidR="005F1B0E">
        <w:rPr>
          <w:b/>
        </w:rPr>
        <w:t>s par l’exportation de fruits, goyave et mangue (plus haute valeur à l’</w:t>
      </w:r>
      <w:r w:rsidR="00CA6782">
        <w:rPr>
          <w:b/>
        </w:rPr>
        <w:t>exportation</w:t>
      </w:r>
      <w:r w:rsidR="005F1B0E">
        <w:rPr>
          <w:b/>
        </w:rPr>
        <w:t xml:space="preserve"> entre 2007 et 2012 avec une valeur de plus 2 millions de </w:t>
      </w:r>
      <w:r w:rsidR="00BC594E">
        <w:rPr>
          <w:b/>
        </w:rPr>
        <w:t>USD</w:t>
      </w:r>
      <w:r w:rsidR="005F1B0E">
        <w:rPr>
          <w:b/>
        </w:rPr>
        <w:t xml:space="preserve"> en 2011, cette exportation est présente 3 années consécutivement),</w:t>
      </w:r>
      <w:r w:rsidR="00B902A5">
        <w:rPr>
          <w:b/>
        </w:rPr>
        <w:t xml:space="preserve"> </w:t>
      </w:r>
      <w:r w:rsidR="005F1B0E">
        <w:rPr>
          <w:b/>
        </w:rPr>
        <w:t xml:space="preserve">et de moutons vivants (HS 10410) (seule exportation malienne présente sur 5 année parmi les 6 étudiées). </w:t>
      </w:r>
      <w:r w:rsidR="005F1B0E">
        <w:t xml:space="preserve">Les autorités algériennes reportent quant à elle le coton (HS 520100) comme principal </w:t>
      </w:r>
      <w:r w:rsidR="00CA6782">
        <w:t>exportation</w:t>
      </w:r>
      <w:r w:rsidR="005F1B0E">
        <w:t xml:space="preserve"> malien sur la période étudiée avec une valeur de 2,5 millions de dollars</w:t>
      </w:r>
      <w:r>
        <w:t xml:space="preserve"> en 2012. </w:t>
      </w:r>
    </w:p>
    <w:p w14:paraId="16E03461" w14:textId="1FB7B4A4" w:rsidR="00B96A6A" w:rsidRDefault="00573801" w:rsidP="007B0AE7">
      <w:pPr>
        <w:jc w:val="both"/>
      </w:pPr>
      <w:r>
        <w:t xml:space="preserve">Dans les statistiques officielles le commerce de carburant n’apparait que de manière parcellaire et dans des valeurs faibles. Les Algériens déclarent exporter de l’essence (HS code 271000) en 2007 et 2010 pour des valeurs respectivement de 14238 </w:t>
      </w:r>
      <w:r w:rsidR="00BC594E">
        <w:t>USD</w:t>
      </w:r>
      <w:r>
        <w:t xml:space="preserve"> et 7105 </w:t>
      </w:r>
      <w:r w:rsidR="00BC594E">
        <w:t>USD</w:t>
      </w:r>
      <w:r>
        <w:t xml:space="preserve">. Les maliens déclarent importer de l’essence en 2011 (HS code 271000) pour une valeur de 19064 </w:t>
      </w:r>
      <w:r w:rsidR="00BC594E">
        <w:t>USD</w:t>
      </w:r>
      <w:r>
        <w:t xml:space="preserve">, et du gaz (HS code 271129) </w:t>
      </w:r>
      <w:r>
        <w:lastRenderedPageBreak/>
        <w:t xml:space="preserve">en 2008 pour une valeur 623 </w:t>
      </w:r>
      <w:r w:rsidR="00BC594E">
        <w:t>USD</w:t>
      </w:r>
      <w:r>
        <w:t>.</w:t>
      </w:r>
      <w:r w:rsidR="00FA4209">
        <w:t xml:space="preserve"> Aucune exportation de cigarettes en provenance </w:t>
      </w:r>
      <w:r w:rsidR="0063500A">
        <w:t xml:space="preserve">d’Algérie n’est enregistrée. </w:t>
      </w:r>
      <w:r w:rsidR="0063500A" w:rsidRPr="0063500A">
        <w:rPr>
          <w:highlight w:val="yellow"/>
        </w:rPr>
        <w:t>L’annexe XX</w:t>
      </w:r>
      <w:r w:rsidR="00FA4209">
        <w:t xml:space="preserve"> montre </w:t>
      </w:r>
      <w:r w:rsidR="00D84529">
        <w:t xml:space="preserve">les origines des </w:t>
      </w:r>
      <w:r w:rsidR="00CA6782">
        <w:t>importations</w:t>
      </w:r>
      <w:r w:rsidR="00D84529">
        <w:t xml:space="preserve"> malien</w:t>
      </w:r>
      <w:r w:rsidR="0041090B">
        <w:t>ne</w:t>
      </w:r>
      <w:r w:rsidR="00D84529">
        <w:t>s de cigarettes et d’essence dans les statistiques officielle ainsi que leur valeur et tonnage totaux.</w:t>
      </w:r>
    </w:p>
    <w:p w14:paraId="32461806" w14:textId="77777777" w:rsidR="004B4371" w:rsidRDefault="00DB7122" w:rsidP="00DB7122">
      <w:pPr>
        <w:pStyle w:val="Heading1"/>
        <w:numPr>
          <w:ilvl w:val="0"/>
          <w:numId w:val="1"/>
        </w:numPr>
      </w:pPr>
      <w:bookmarkStart w:id="15" w:name="_Toc384903145"/>
      <w:bookmarkStart w:id="16" w:name="_Toc386104456"/>
      <w:r>
        <w:t xml:space="preserve">La réalité : </w:t>
      </w:r>
      <w:r w:rsidR="001B6F91">
        <w:t xml:space="preserve">la contrebande, une normalité du </w:t>
      </w:r>
      <w:r w:rsidR="00AF3227">
        <w:t>Nord</w:t>
      </w:r>
      <w:bookmarkEnd w:id="15"/>
      <w:bookmarkEnd w:id="16"/>
    </w:p>
    <w:p w14:paraId="46146D27" w14:textId="52436183" w:rsidR="005061CE" w:rsidRDefault="005061CE" w:rsidP="00AF3227">
      <w:pPr>
        <w:jc w:val="both"/>
      </w:pPr>
      <w:r>
        <w:t xml:space="preserve">Malgré la fermeture des frontières, </w:t>
      </w:r>
      <w:r w:rsidR="005A4554">
        <w:t xml:space="preserve">la contrebande continue entre l’Algérie et le Mali (même si les volumes ont fortement baissé depuis 2011). </w:t>
      </w:r>
      <w:r w:rsidR="00D25DDA">
        <w:t>Ceci peut s’expliquer car économiquement l’intégration du nord Mali à l’Algérie est économiquement rationnelle.</w:t>
      </w:r>
    </w:p>
    <w:p w14:paraId="781C19AB" w14:textId="77777777" w:rsidR="00D85252" w:rsidRDefault="00D85252" w:rsidP="00D85252">
      <w:pPr>
        <w:pStyle w:val="Heading2"/>
        <w:rPr>
          <w:lang w:bidi="ar-DZ"/>
        </w:rPr>
      </w:pPr>
      <w:bookmarkStart w:id="17" w:name="_Toc384903158"/>
      <w:r>
        <w:rPr>
          <w:lang w:bidi="ar-DZ"/>
        </w:rPr>
        <w:t>Une intégration économique du nord Mali à l’Algérie</w:t>
      </w:r>
      <w:bookmarkEnd w:id="17"/>
    </w:p>
    <w:p w14:paraId="67C1FEC2" w14:textId="77777777" w:rsidR="00D85252" w:rsidRDefault="00D85252" w:rsidP="00D85252">
      <w:pPr>
        <w:jc w:val="both"/>
        <w:rPr>
          <w:rFonts w:cstheme="minorHAnsi"/>
          <w:b/>
          <w:lang w:bidi="ar-DZ"/>
        </w:rPr>
      </w:pPr>
      <w:r w:rsidRPr="00F123E4">
        <w:rPr>
          <w:rFonts w:cstheme="minorHAnsi"/>
          <w:lang w:bidi="ar-DZ"/>
        </w:rPr>
        <w:t xml:space="preserve">Economiquement, même sans tenir compte des subventions </w:t>
      </w:r>
      <w:r>
        <w:rPr>
          <w:rFonts w:cstheme="minorHAnsi"/>
          <w:lang w:bidi="ar-DZ"/>
        </w:rPr>
        <w:t>algériennes de transport et sur les produits, il est légitime que Kidal, voire Gao soient tournés vers l’Algérie car les temps de transport sont de 7 à 8 jours d’Alger contre au minimum 17 jours par Dakar ou la voie sud (voir tableau XX) étant donné la qualité des infrastructures en Algérie.</w:t>
      </w:r>
    </w:p>
    <w:p w14:paraId="18574E6B" w14:textId="77777777" w:rsidR="00D85252" w:rsidRPr="00253FD5" w:rsidRDefault="00D85252" w:rsidP="00D85252">
      <w:pPr>
        <w:pStyle w:val="Caption"/>
        <w:rPr>
          <w:rFonts w:cstheme="minorHAnsi"/>
          <w:b w:val="0"/>
          <w:color w:val="auto"/>
          <w:sz w:val="22"/>
          <w:szCs w:val="22"/>
          <w:lang w:bidi="ar-DZ"/>
        </w:rPr>
      </w:pPr>
      <w:r w:rsidRPr="00253FD5">
        <w:rPr>
          <w:color w:val="auto"/>
          <w:sz w:val="22"/>
          <w:szCs w:val="22"/>
        </w:rPr>
        <w:t xml:space="preserve">Tableau </w:t>
      </w:r>
      <w:r w:rsidRPr="00253FD5">
        <w:rPr>
          <w:color w:val="auto"/>
          <w:sz w:val="22"/>
          <w:szCs w:val="22"/>
        </w:rPr>
        <w:fldChar w:fldCharType="begin"/>
      </w:r>
      <w:r w:rsidRPr="00253FD5">
        <w:rPr>
          <w:color w:val="auto"/>
          <w:sz w:val="22"/>
          <w:szCs w:val="22"/>
        </w:rPr>
        <w:instrText xml:space="preserve"> SEQ Tableau \* ARABIC </w:instrText>
      </w:r>
      <w:r w:rsidRPr="00253FD5">
        <w:rPr>
          <w:color w:val="auto"/>
          <w:sz w:val="22"/>
          <w:szCs w:val="22"/>
        </w:rPr>
        <w:fldChar w:fldCharType="separate"/>
      </w:r>
      <w:r w:rsidR="00D25DDA">
        <w:rPr>
          <w:noProof/>
          <w:color w:val="auto"/>
          <w:sz w:val="22"/>
          <w:szCs w:val="22"/>
        </w:rPr>
        <w:t>4</w:t>
      </w:r>
      <w:r w:rsidRPr="00253FD5">
        <w:rPr>
          <w:color w:val="auto"/>
          <w:sz w:val="22"/>
          <w:szCs w:val="22"/>
        </w:rPr>
        <w:fldChar w:fldCharType="end"/>
      </w:r>
      <w:r w:rsidRPr="00253FD5">
        <w:rPr>
          <w:color w:val="auto"/>
          <w:sz w:val="22"/>
          <w:szCs w:val="22"/>
        </w:rPr>
        <w:t> : Comparaison des distances et des temps moyens de transport pour Kidal, Gao et Bamako</w:t>
      </w:r>
      <w:r>
        <w:rPr>
          <w:color w:val="auto"/>
          <w:sz w:val="22"/>
          <w:szCs w:val="22"/>
        </w:rPr>
        <w:t xml:space="preserve"> et Alger, Dakar, Abidjan et Tema</w:t>
      </w:r>
    </w:p>
    <w:tbl>
      <w:tblPr>
        <w:tblStyle w:val="TableGrid"/>
        <w:tblW w:w="0" w:type="auto"/>
        <w:tblLook w:val="04A0" w:firstRow="1" w:lastRow="0" w:firstColumn="1" w:lastColumn="0" w:noHBand="0" w:noVBand="1"/>
      </w:tblPr>
      <w:tblGrid>
        <w:gridCol w:w="1848"/>
        <w:gridCol w:w="1848"/>
        <w:gridCol w:w="1848"/>
        <w:gridCol w:w="1849"/>
      </w:tblGrid>
      <w:tr w:rsidR="00D85252" w:rsidRPr="00F70FDE" w14:paraId="40E5E7C7" w14:textId="77777777" w:rsidTr="007127C1">
        <w:tc>
          <w:tcPr>
            <w:tcW w:w="1848" w:type="dxa"/>
          </w:tcPr>
          <w:p w14:paraId="68680E99" w14:textId="77777777" w:rsidR="00D85252" w:rsidRPr="00F70FDE" w:rsidRDefault="00D85252" w:rsidP="007127C1">
            <w:pPr>
              <w:jc w:val="both"/>
              <w:rPr>
                <w:rFonts w:cstheme="minorHAnsi"/>
                <w:b/>
                <w:lang w:bidi="ar-DZ"/>
              </w:rPr>
            </w:pPr>
          </w:p>
        </w:tc>
        <w:tc>
          <w:tcPr>
            <w:tcW w:w="1848" w:type="dxa"/>
          </w:tcPr>
          <w:p w14:paraId="7B04F878" w14:textId="77777777" w:rsidR="00D85252" w:rsidRPr="00F70FDE" w:rsidRDefault="00D85252" w:rsidP="007127C1">
            <w:pPr>
              <w:jc w:val="center"/>
              <w:rPr>
                <w:rFonts w:cstheme="minorHAnsi"/>
                <w:b/>
                <w:lang w:bidi="ar-DZ"/>
              </w:rPr>
            </w:pPr>
            <w:r w:rsidRPr="00F70FDE">
              <w:rPr>
                <w:rFonts w:cstheme="minorHAnsi"/>
                <w:b/>
                <w:lang w:bidi="ar-DZ"/>
              </w:rPr>
              <w:t>Kidal</w:t>
            </w:r>
          </w:p>
        </w:tc>
        <w:tc>
          <w:tcPr>
            <w:tcW w:w="1848" w:type="dxa"/>
          </w:tcPr>
          <w:p w14:paraId="08BCFB39" w14:textId="77777777" w:rsidR="00D85252" w:rsidRPr="00F70FDE" w:rsidRDefault="00D85252" w:rsidP="007127C1">
            <w:pPr>
              <w:jc w:val="center"/>
              <w:rPr>
                <w:rFonts w:cstheme="minorHAnsi"/>
                <w:b/>
                <w:lang w:bidi="ar-DZ"/>
              </w:rPr>
            </w:pPr>
            <w:r w:rsidRPr="00F70FDE">
              <w:rPr>
                <w:rFonts w:cstheme="minorHAnsi"/>
                <w:b/>
                <w:lang w:bidi="ar-DZ"/>
              </w:rPr>
              <w:t>Gao</w:t>
            </w:r>
          </w:p>
        </w:tc>
        <w:tc>
          <w:tcPr>
            <w:tcW w:w="1849" w:type="dxa"/>
          </w:tcPr>
          <w:p w14:paraId="54FE7546" w14:textId="77777777" w:rsidR="00D85252" w:rsidRPr="00F70FDE" w:rsidRDefault="00D85252" w:rsidP="007127C1">
            <w:pPr>
              <w:jc w:val="center"/>
              <w:rPr>
                <w:rFonts w:cstheme="minorHAnsi"/>
                <w:b/>
                <w:lang w:bidi="ar-DZ"/>
              </w:rPr>
            </w:pPr>
            <w:r w:rsidRPr="00F70FDE">
              <w:rPr>
                <w:rFonts w:cstheme="minorHAnsi"/>
                <w:b/>
                <w:lang w:bidi="ar-DZ"/>
              </w:rPr>
              <w:t>Bamako</w:t>
            </w:r>
          </w:p>
        </w:tc>
      </w:tr>
      <w:tr w:rsidR="00D85252" w14:paraId="5A60EB6A" w14:textId="77777777" w:rsidTr="007127C1">
        <w:tc>
          <w:tcPr>
            <w:tcW w:w="7393" w:type="dxa"/>
            <w:gridSpan w:val="4"/>
          </w:tcPr>
          <w:p w14:paraId="4EF9A5F8" w14:textId="77777777" w:rsidR="00D85252" w:rsidRDefault="00D85252" w:rsidP="007127C1">
            <w:pPr>
              <w:jc w:val="center"/>
              <w:rPr>
                <w:rFonts w:cstheme="minorHAnsi"/>
                <w:lang w:bidi="ar-DZ"/>
              </w:rPr>
            </w:pPr>
            <w:r>
              <w:rPr>
                <w:rFonts w:cstheme="minorHAnsi"/>
                <w:lang w:bidi="ar-DZ"/>
              </w:rPr>
              <w:t>distance (en kms)</w:t>
            </w:r>
          </w:p>
        </w:tc>
      </w:tr>
      <w:tr w:rsidR="00D85252" w14:paraId="7BB50925" w14:textId="77777777" w:rsidTr="007127C1">
        <w:tc>
          <w:tcPr>
            <w:tcW w:w="1848" w:type="dxa"/>
          </w:tcPr>
          <w:p w14:paraId="533436EB" w14:textId="77777777" w:rsidR="00D85252" w:rsidRDefault="00D85252" w:rsidP="007127C1">
            <w:pPr>
              <w:jc w:val="both"/>
              <w:rPr>
                <w:rFonts w:cstheme="minorHAnsi"/>
                <w:lang w:bidi="ar-DZ"/>
              </w:rPr>
            </w:pPr>
            <w:r>
              <w:rPr>
                <w:rFonts w:cstheme="minorHAnsi"/>
                <w:lang w:bidi="ar-DZ"/>
              </w:rPr>
              <w:t>Alger</w:t>
            </w:r>
          </w:p>
        </w:tc>
        <w:tc>
          <w:tcPr>
            <w:tcW w:w="1848" w:type="dxa"/>
          </w:tcPr>
          <w:p w14:paraId="152BC76A" w14:textId="77777777" w:rsidR="00D85252" w:rsidRPr="009400EE" w:rsidRDefault="00D85252" w:rsidP="007127C1">
            <w:pPr>
              <w:jc w:val="center"/>
              <w:rPr>
                <w:rFonts w:cstheme="minorHAnsi"/>
                <w:b/>
                <w:lang w:bidi="ar-DZ"/>
              </w:rPr>
            </w:pPr>
            <w:r w:rsidRPr="009400EE">
              <w:rPr>
                <w:rFonts w:cstheme="minorHAnsi"/>
                <w:b/>
                <w:lang w:bidi="ar-DZ"/>
              </w:rPr>
              <w:t>2297</w:t>
            </w:r>
          </w:p>
        </w:tc>
        <w:tc>
          <w:tcPr>
            <w:tcW w:w="1848" w:type="dxa"/>
          </w:tcPr>
          <w:p w14:paraId="4B8DF284" w14:textId="77777777" w:rsidR="00D85252" w:rsidRDefault="00D85252" w:rsidP="007127C1">
            <w:pPr>
              <w:jc w:val="center"/>
              <w:rPr>
                <w:rFonts w:cstheme="minorHAnsi"/>
                <w:lang w:bidi="ar-DZ"/>
              </w:rPr>
            </w:pPr>
            <w:r>
              <w:rPr>
                <w:rFonts w:cstheme="minorHAnsi"/>
                <w:lang w:bidi="ar-DZ"/>
              </w:rPr>
              <w:t>2597</w:t>
            </w:r>
          </w:p>
        </w:tc>
        <w:tc>
          <w:tcPr>
            <w:tcW w:w="1849" w:type="dxa"/>
          </w:tcPr>
          <w:p w14:paraId="1F9D96F5" w14:textId="77777777" w:rsidR="00D85252" w:rsidRDefault="00D85252" w:rsidP="007127C1">
            <w:pPr>
              <w:jc w:val="center"/>
              <w:rPr>
                <w:rFonts w:cstheme="minorHAnsi"/>
                <w:lang w:bidi="ar-DZ"/>
              </w:rPr>
            </w:pPr>
            <w:r>
              <w:rPr>
                <w:rFonts w:cstheme="minorHAnsi"/>
                <w:lang w:bidi="ar-DZ"/>
              </w:rPr>
              <w:t>4193</w:t>
            </w:r>
          </w:p>
        </w:tc>
      </w:tr>
      <w:tr w:rsidR="00D85252" w14:paraId="399BDFFA" w14:textId="77777777" w:rsidTr="007127C1">
        <w:tc>
          <w:tcPr>
            <w:tcW w:w="1848" w:type="dxa"/>
          </w:tcPr>
          <w:p w14:paraId="6B2CCFF8" w14:textId="77777777" w:rsidR="00D85252" w:rsidRDefault="00D85252" w:rsidP="007127C1">
            <w:pPr>
              <w:jc w:val="both"/>
              <w:rPr>
                <w:rFonts w:cstheme="minorHAnsi"/>
                <w:lang w:bidi="ar-DZ"/>
              </w:rPr>
            </w:pPr>
            <w:r>
              <w:rPr>
                <w:rFonts w:cstheme="minorHAnsi"/>
                <w:lang w:bidi="ar-DZ"/>
              </w:rPr>
              <w:t>Dakar</w:t>
            </w:r>
          </w:p>
        </w:tc>
        <w:tc>
          <w:tcPr>
            <w:tcW w:w="1848" w:type="dxa"/>
          </w:tcPr>
          <w:p w14:paraId="31333CC7" w14:textId="77777777" w:rsidR="00D85252" w:rsidRDefault="00D85252" w:rsidP="007127C1">
            <w:pPr>
              <w:jc w:val="center"/>
              <w:rPr>
                <w:rFonts w:cstheme="minorHAnsi"/>
                <w:lang w:bidi="ar-DZ"/>
              </w:rPr>
            </w:pPr>
            <w:r>
              <w:rPr>
                <w:rFonts w:cstheme="minorHAnsi"/>
                <w:lang w:bidi="ar-DZ"/>
              </w:rPr>
              <w:t>2950</w:t>
            </w:r>
          </w:p>
        </w:tc>
        <w:tc>
          <w:tcPr>
            <w:tcW w:w="1848" w:type="dxa"/>
          </w:tcPr>
          <w:p w14:paraId="15AF767D" w14:textId="77777777" w:rsidR="00D85252" w:rsidRDefault="00D85252" w:rsidP="007127C1">
            <w:pPr>
              <w:jc w:val="center"/>
              <w:rPr>
                <w:rFonts w:cstheme="minorHAnsi"/>
                <w:lang w:bidi="ar-DZ"/>
              </w:rPr>
            </w:pPr>
            <w:r>
              <w:rPr>
                <w:rFonts w:cstheme="minorHAnsi"/>
                <w:lang w:bidi="ar-DZ"/>
              </w:rPr>
              <w:t>2650</w:t>
            </w:r>
          </w:p>
        </w:tc>
        <w:tc>
          <w:tcPr>
            <w:tcW w:w="1849" w:type="dxa"/>
          </w:tcPr>
          <w:p w14:paraId="076144DF" w14:textId="77777777" w:rsidR="00D85252" w:rsidRPr="009400EE" w:rsidRDefault="00D85252" w:rsidP="007127C1">
            <w:pPr>
              <w:jc w:val="center"/>
              <w:rPr>
                <w:rFonts w:cstheme="minorHAnsi"/>
                <w:b/>
                <w:lang w:bidi="ar-DZ"/>
              </w:rPr>
            </w:pPr>
            <w:r w:rsidRPr="009400EE">
              <w:rPr>
                <w:rFonts w:cstheme="minorHAnsi"/>
                <w:b/>
                <w:lang w:bidi="ar-DZ"/>
              </w:rPr>
              <w:t>1400</w:t>
            </w:r>
          </w:p>
        </w:tc>
      </w:tr>
      <w:tr w:rsidR="00D85252" w14:paraId="570EA9E3" w14:textId="77777777" w:rsidTr="007127C1">
        <w:tc>
          <w:tcPr>
            <w:tcW w:w="1848" w:type="dxa"/>
          </w:tcPr>
          <w:p w14:paraId="2BEC3FCE" w14:textId="77777777" w:rsidR="00D85252" w:rsidRDefault="00D85252" w:rsidP="007127C1">
            <w:pPr>
              <w:jc w:val="both"/>
              <w:rPr>
                <w:rFonts w:cstheme="minorHAnsi"/>
                <w:lang w:bidi="ar-DZ"/>
              </w:rPr>
            </w:pPr>
            <w:r>
              <w:rPr>
                <w:rFonts w:cstheme="minorHAnsi"/>
                <w:lang w:bidi="ar-DZ"/>
              </w:rPr>
              <w:t>Abidjan</w:t>
            </w:r>
          </w:p>
        </w:tc>
        <w:tc>
          <w:tcPr>
            <w:tcW w:w="1848" w:type="dxa"/>
          </w:tcPr>
          <w:p w14:paraId="21588E57" w14:textId="77777777" w:rsidR="00D85252" w:rsidRDefault="00D85252" w:rsidP="007127C1">
            <w:pPr>
              <w:jc w:val="center"/>
              <w:rPr>
                <w:rFonts w:cstheme="minorHAnsi"/>
                <w:lang w:bidi="ar-DZ"/>
              </w:rPr>
            </w:pPr>
            <w:r>
              <w:rPr>
                <w:rFonts w:cstheme="minorHAnsi"/>
                <w:lang w:bidi="ar-DZ"/>
              </w:rPr>
              <w:t>2400</w:t>
            </w:r>
          </w:p>
        </w:tc>
        <w:tc>
          <w:tcPr>
            <w:tcW w:w="1848" w:type="dxa"/>
          </w:tcPr>
          <w:p w14:paraId="5D59648A" w14:textId="77777777" w:rsidR="00D85252" w:rsidRPr="009400EE" w:rsidRDefault="00D85252" w:rsidP="007127C1">
            <w:pPr>
              <w:jc w:val="center"/>
              <w:rPr>
                <w:rFonts w:cstheme="minorHAnsi"/>
                <w:b/>
                <w:lang w:bidi="ar-DZ"/>
              </w:rPr>
            </w:pPr>
            <w:r w:rsidRPr="009400EE">
              <w:rPr>
                <w:rFonts w:cstheme="minorHAnsi"/>
                <w:b/>
                <w:lang w:bidi="ar-DZ"/>
              </w:rPr>
              <w:t>2050</w:t>
            </w:r>
          </w:p>
        </w:tc>
        <w:tc>
          <w:tcPr>
            <w:tcW w:w="1849" w:type="dxa"/>
          </w:tcPr>
          <w:p w14:paraId="4972E02B" w14:textId="77777777" w:rsidR="00D85252" w:rsidRPr="009400EE" w:rsidRDefault="00D85252" w:rsidP="007127C1">
            <w:pPr>
              <w:jc w:val="center"/>
              <w:rPr>
                <w:rFonts w:cstheme="minorHAnsi"/>
                <w:b/>
                <w:lang w:bidi="ar-DZ"/>
              </w:rPr>
            </w:pPr>
            <w:r w:rsidRPr="009400EE">
              <w:rPr>
                <w:rFonts w:cstheme="minorHAnsi"/>
                <w:b/>
                <w:lang w:bidi="ar-DZ"/>
              </w:rPr>
              <w:t>1150</w:t>
            </w:r>
          </w:p>
        </w:tc>
      </w:tr>
      <w:tr w:rsidR="00D85252" w14:paraId="4BABDC36" w14:textId="77777777" w:rsidTr="007127C1">
        <w:tc>
          <w:tcPr>
            <w:tcW w:w="1848" w:type="dxa"/>
          </w:tcPr>
          <w:p w14:paraId="68984241" w14:textId="77777777" w:rsidR="00D85252" w:rsidRDefault="00D85252" w:rsidP="007127C1">
            <w:pPr>
              <w:jc w:val="both"/>
              <w:rPr>
                <w:rFonts w:cstheme="minorHAnsi"/>
                <w:lang w:bidi="ar-DZ"/>
              </w:rPr>
            </w:pPr>
            <w:r>
              <w:rPr>
                <w:rFonts w:cstheme="minorHAnsi"/>
                <w:lang w:bidi="ar-DZ"/>
              </w:rPr>
              <w:t>Tema</w:t>
            </w:r>
          </w:p>
        </w:tc>
        <w:tc>
          <w:tcPr>
            <w:tcW w:w="1848" w:type="dxa"/>
          </w:tcPr>
          <w:p w14:paraId="34329AD2" w14:textId="77777777" w:rsidR="00D85252" w:rsidRPr="009400EE" w:rsidRDefault="00D85252" w:rsidP="007127C1">
            <w:pPr>
              <w:jc w:val="center"/>
              <w:rPr>
                <w:rFonts w:cstheme="minorHAnsi"/>
                <w:b/>
                <w:lang w:bidi="ar-DZ"/>
              </w:rPr>
            </w:pPr>
            <w:r w:rsidRPr="009400EE">
              <w:rPr>
                <w:rFonts w:cstheme="minorHAnsi"/>
                <w:b/>
                <w:lang w:bidi="ar-DZ"/>
              </w:rPr>
              <w:t>2250</w:t>
            </w:r>
          </w:p>
        </w:tc>
        <w:tc>
          <w:tcPr>
            <w:tcW w:w="1848" w:type="dxa"/>
          </w:tcPr>
          <w:p w14:paraId="146A30A6" w14:textId="77777777" w:rsidR="00D85252" w:rsidRPr="009400EE" w:rsidRDefault="00D85252" w:rsidP="007127C1">
            <w:pPr>
              <w:jc w:val="center"/>
              <w:rPr>
                <w:rFonts w:cstheme="minorHAnsi"/>
                <w:b/>
                <w:lang w:bidi="ar-DZ"/>
              </w:rPr>
            </w:pPr>
            <w:r w:rsidRPr="009400EE">
              <w:rPr>
                <w:rFonts w:cstheme="minorHAnsi"/>
                <w:b/>
                <w:lang w:bidi="ar-DZ"/>
              </w:rPr>
              <w:t>1900</w:t>
            </w:r>
          </w:p>
        </w:tc>
        <w:tc>
          <w:tcPr>
            <w:tcW w:w="1849" w:type="dxa"/>
          </w:tcPr>
          <w:p w14:paraId="48D91949" w14:textId="77777777" w:rsidR="00D85252" w:rsidRDefault="00D85252" w:rsidP="007127C1">
            <w:pPr>
              <w:jc w:val="center"/>
              <w:rPr>
                <w:rFonts w:cstheme="minorHAnsi"/>
                <w:lang w:bidi="ar-DZ"/>
              </w:rPr>
            </w:pPr>
            <w:r>
              <w:rPr>
                <w:rFonts w:cstheme="minorHAnsi"/>
                <w:lang w:bidi="ar-DZ"/>
              </w:rPr>
              <w:t>2000</w:t>
            </w:r>
          </w:p>
        </w:tc>
      </w:tr>
      <w:tr w:rsidR="00D85252" w:rsidRPr="00F70FDE" w14:paraId="6F42532E" w14:textId="77777777" w:rsidTr="007127C1">
        <w:tc>
          <w:tcPr>
            <w:tcW w:w="1848" w:type="dxa"/>
          </w:tcPr>
          <w:p w14:paraId="1B2BE387" w14:textId="77777777" w:rsidR="00D85252" w:rsidRPr="00F70FDE" w:rsidRDefault="00D85252" w:rsidP="007127C1">
            <w:pPr>
              <w:jc w:val="both"/>
              <w:rPr>
                <w:rFonts w:cstheme="minorHAnsi"/>
                <w:b/>
                <w:lang w:bidi="ar-DZ"/>
              </w:rPr>
            </w:pPr>
          </w:p>
        </w:tc>
        <w:tc>
          <w:tcPr>
            <w:tcW w:w="1848" w:type="dxa"/>
          </w:tcPr>
          <w:p w14:paraId="7DC478B2" w14:textId="77777777" w:rsidR="00D85252" w:rsidRPr="00F70FDE" w:rsidRDefault="00D85252" w:rsidP="007127C1">
            <w:pPr>
              <w:jc w:val="center"/>
              <w:rPr>
                <w:rFonts w:cstheme="minorHAnsi"/>
                <w:b/>
                <w:lang w:bidi="ar-DZ"/>
              </w:rPr>
            </w:pPr>
            <w:r w:rsidRPr="00F70FDE">
              <w:rPr>
                <w:rFonts w:cstheme="minorHAnsi"/>
                <w:b/>
                <w:lang w:bidi="ar-DZ"/>
              </w:rPr>
              <w:t>Kidal</w:t>
            </w:r>
          </w:p>
        </w:tc>
        <w:tc>
          <w:tcPr>
            <w:tcW w:w="1848" w:type="dxa"/>
          </w:tcPr>
          <w:p w14:paraId="75574FE1" w14:textId="77777777" w:rsidR="00D85252" w:rsidRPr="00F70FDE" w:rsidRDefault="00D85252" w:rsidP="007127C1">
            <w:pPr>
              <w:jc w:val="center"/>
              <w:rPr>
                <w:rFonts w:cstheme="minorHAnsi"/>
                <w:b/>
                <w:lang w:bidi="ar-DZ"/>
              </w:rPr>
            </w:pPr>
            <w:r w:rsidRPr="00F70FDE">
              <w:rPr>
                <w:rFonts w:cstheme="minorHAnsi"/>
                <w:b/>
                <w:lang w:bidi="ar-DZ"/>
              </w:rPr>
              <w:t>Gao</w:t>
            </w:r>
          </w:p>
        </w:tc>
        <w:tc>
          <w:tcPr>
            <w:tcW w:w="1849" w:type="dxa"/>
          </w:tcPr>
          <w:p w14:paraId="31A05750" w14:textId="77777777" w:rsidR="00D85252" w:rsidRPr="00F70FDE" w:rsidRDefault="00D85252" w:rsidP="007127C1">
            <w:pPr>
              <w:jc w:val="center"/>
              <w:rPr>
                <w:rFonts w:cstheme="minorHAnsi"/>
                <w:b/>
                <w:lang w:bidi="ar-DZ"/>
              </w:rPr>
            </w:pPr>
            <w:r w:rsidRPr="00F70FDE">
              <w:rPr>
                <w:rFonts w:cstheme="minorHAnsi"/>
                <w:b/>
                <w:lang w:bidi="ar-DZ"/>
              </w:rPr>
              <w:t>Bamako</w:t>
            </w:r>
          </w:p>
        </w:tc>
      </w:tr>
      <w:tr w:rsidR="00D85252" w:rsidRPr="00F70FDE" w14:paraId="20AAEF13" w14:textId="77777777" w:rsidTr="007127C1">
        <w:tc>
          <w:tcPr>
            <w:tcW w:w="7393" w:type="dxa"/>
            <w:gridSpan w:val="4"/>
          </w:tcPr>
          <w:p w14:paraId="5E7DF19D" w14:textId="77777777" w:rsidR="00D85252" w:rsidRPr="00253FD5" w:rsidRDefault="00D85252" w:rsidP="007127C1">
            <w:pPr>
              <w:jc w:val="center"/>
              <w:rPr>
                <w:rFonts w:cstheme="minorHAnsi"/>
                <w:lang w:bidi="ar-DZ"/>
              </w:rPr>
            </w:pPr>
            <w:r w:rsidRPr="00253FD5">
              <w:rPr>
                <w:rFonts w:cstheme="minorHAnsi"/>
                <w:lang w:bidi="ar-DZ"/>
              </w:rPr>
              <w:t>(temps moyen de transport, en jours)</w:t>
            </w:r>
          </w:p>
        </w:tc>
      </w:tr>
      <w:tr w:rsidR="00D85252" w14:paraId="36EEDBE2" w14:textId="77777777" w:rsidTr="007127C1">
        <w:tc>
          <w:tcPr>
            <w:tcW w:w="1848" w:type="dxa"/>
          </w:tcPr>
          <w:p w14:paraId="58A279FA" w14:textId="77777777" w:rsidR="00D85252" w:rsidRDefault="00D85252" w:rsidP="007127C1">
            <w:pPr>
              <w:jc w:val="both"/>
              <w:rPr>
                <w:rFonts w:cstheme="minorHAnsi"/>
                <w:lang w:bidi="ar-DZ"/>
              </w:rPr>
            </w:pPr>
            <w:r>
              <w:rPr>
                <w:rFonts w:cstheme="minorHAnsi"/>
                <w:lang w:bidi="ar-DZ"/>
              </w:rPr>
              <w:t>Alger</w:t>
            </w:r>
          </w:p>
        </w:tc>
        <w:tc>
          <w:tcPr>
            <w:tcW w:w="1848" w:type="dxa"/>
          </w:tcPr>
          <w:p w14:paraId="6C2E4FFF" w14:textId="77777777" w:rsidR="00D85252" w:rsidRPr="00253FD5" w:rsidRDefault="00D85252" w:rsidP="007127C1">
            <w:pPr>
              <w:jc w:val="center"/>
              <w:rPr>
                <w:rFonts w:cstheme="minorHAnsi"/>
                <w:b/>
                <w:lang w:bidi="ar-DZ"/>
              </w:rPr>
            </w:pPr>
            <w:r w:rsidRPr="00253FD5">
              <w:rPr>
                <w:rFonts w:cstheme="minorHAnsi"/>
                <w:b/>
                <w:lang w:bidi="ar-DZ"/>
              </w:rPr>
              <w:t>7</w:t>
            </w:r>
          </w:p>
        </w:tc>
        <w:tc>
          <w:tcPr>
            <w:tcW w:w="1848" w:type="dxa"/>
          </w:tcPr>
          <w:p w14:paraId="47BFE438" w14:textId="77777777" w:rsidR="00D85252" w:rsidRPr="00253FD5" w:rsidRDefault="00D85252" w:rsidP="007127C1">
            <w:pPr>
              <w:jc w:val="center"/>
              <w:rPr>
                <w:rFonts w:cstheme="minorHAnsi"/>
                <w:b/>
                <w:lang w:bidi="ar-DZ"/>
              </w:rPr>
            </w:pPr>
            <w:r w:rsidRPr="00253FD5">
              <w:rPr>
                <w:rFonts w:cstheme="minorHAnsi"/>
                <w:b/>
                <w:lang w:bidi="ar-DZ"/>
              </w:rPr>
              <w:t>8</w:t>
            </w:r>
          </w:p>
        </w:tc>
        <w:tc>
          <w:tcPr>
            <w:tcW w:w="1849" w:type="dxa"/>
          </w:tcPr>
          <w:p w14:paraId="27A3187B" w14:textId="77777777" w:rsidR="00D85252" w:rsidRDefault="00D85252" w:rsidP="007127C1">
            <w:pPr>
              <w:jc w:val="center"/>
              <w:rPr>
                <w:rFonts w:cstheme="minorHAnsi"/>
                <w:lang w:bidi="ar-DZ"/>
              </w:rPr>
            </w:pPr>
            <w:r>
              <w:rPr>
                <w:rFonts w:cstheme="minorHAnsi"/>
                <w:lang w:bidi="ar-DZ"/>
              </w:rPr>
              <w:t>20</w:t>
            </w:r>
          </w:p>
        </w:tc>
      </w:tr>
      <w:tr w:rsidR="00D85252" w14:paraId="52C00BCF" w14:textId="77777777" w:rsidTr="007127C1">
        <w:tc>
          <w:tcPr>
            <w:tcW w:w="1848" w:type="dxa"/>
          </w:tcPr>
          <w:p w14:paraId="04764599" w14:textId="77777777" w:rsidR="00D85252" w:rsidRDefault="00D85252" w:rsidP="007127C1">
            <w:pPr>
              <w:jc w:val="both"/>
              <w:rPr>
                <w:rFonts w:cstheme="minorHAnsi"/>
                <w:lang w:bidi="ar-DZ"/>
              </w:rPr>
            </w:pPr>
            <w:r>
              <w:rPr>
                <w:rFonts w:cstheme="minorHAnsi"/>
                <w:lang w:bidi="ar-DZ"/>
              </w:rPr>
              <w:t>Dakar</w:t>
            </w:r>
          </w:p>
        </w:tc>
        <w:tc>
          <w:tcPr>
            <w:tcW w:w="1848" w:type="dxa"/>
          </w:tcPr>
          <w:p w14:paraId="48589F8D" w14:textId="77777777" w:rsidR="00D85252" w:rsidRDefault="00D85252" w:rsidP="007127C1">
            <w:pPr>
              <w:jc w:val="center"/>
              <w:rPr>
                <w:rFonts w:cstheme="minorHAnsi"/>
                <w:lang w:bidi="ar-DZ"/>
              </w:rPr>
            </w:pPr>
            <w:r>
              <w:rPr>
                <w:rFonts w:cstheme="minorHAnsi"/>
                <w:lang w:bidi="ar-DZ"/>
              </w:rPr>
              <w:t>18</w:t>
            </w:r>
          </w:p>
        </w:tc>
        <w:tc>
          <w:tcPr>
            <w:tcW w:w="1848" w:type="dxa"/>
          </w:tcPr>
          <w:p w14:paraId="0AEDBB11" w14:textId="77777777" w:rsidR="00D85252" w:rsidRDefault="00D85252" w:rsidP="007127C1">
            <w:pPr>
              <w:jc w:val="center"/>
              <w:rPr>
                <w:rFonts w:cstheme="minorHAnsi"/>
                <w:lang w:bidi="ar-DZ"/>
              </w:rPr>
            </w:pPr>
            <w:r>
              <w:rPr>
                <w:rFonts w:cstheme="minorHAnsi"/>
                <w:lang w:bidi="ar-DZ"/>
              </w:rPr>
              <w:t>17</w:t>
            </w:r>
          </w:p>
        </w:tc>
        <w:tc>
          <w:tcPr>
            <w:tcW w:w="1849" w:type="dxa"/>
          </w:tcPr>
          <w:p w14:paraId="5D2E42A8" w14:textId="77777777" w:rsidR="00D85252" w:rsidRPr="00253FD5" w:rsidRDefault="00D85252" w:rsidP="007127C1">
            <w:pPr>
              <w:jc w:val="center"/>
              <w:rPr>
                <w:rFonts w:cstheme="minorHAnsi"/>
                <w:b/>
                <w:lang w:bidi="ar-DZ"/>
              </w:rPr>
            </w:pPr>
            <w:r w:rsidRPr="00253FD5">
              <w:rPr>
                <w:rFonts w:cstheme="minorHAnsi"/>
                <w:b/>
                <w:lang w:bidi="ar-DZ"/>
              </w:rPr>
              <w:t>13</w:t>
            </w:r>
          </w:p>
        </w:tc>
      </w:tr>
      <w:tr w:rsidR="00D85252" w14:paraId="7AA4AFCB" w14:textId="77777777" w:rsidTr="007127C1">
        <w:tc>
          <w:tcPr>
            <w:tcW w:w="1848" w:type="dxa"/>
          </w:tcPr>
          <w:p w14:paraId="2C91E9CE" w14:textId="77777777" w:rsidR="00D85252" w:rsidRDefault="00D85252" w:rsidP="007127C1">
            <w:pPr>
              <w:jc w:val="both"/>
              <w:rPr>
                <w:rFonts w:cstheme="minorHAnsi"/>
                <w:lang w:bidi="ar-DZ"/>
              </w:rPr>
            </w:pPr>
            <w:r>
              <w:rPr>
                <w:rFonts w:cstheme="minorHAnsi"/>
                <w:lang w:bidi="ar-DZ"/>
              </w:rPr>
              <w:t>Abidjan</w:t>
            </w:r>
          </w:p>
        </w:tc>
        <w:tc>
          <w:tcPr>
            <w:tcW w:w="1848" w:type="dxa"/>
          </w:tcPr>
          <w:p w14:paraId="74C342FF" w14:textId="77777777" w:rsidR="00D85252" w:rsidRDefault="00D85252" w:rsidP="007127C1">
            <w:pPr>
              <w:jc w:val="center"/>
              <w:rPr>
                <w:rFonts w:cstheme="minorHAnsi"/>
                <w:lang w:bidi="ar-DZ"/>
              </w:rPr>
            </w:pPr>
            <w:r>
              <w:rPr>
                <w:rFonts w:cstheme="minorHAnsi"/>
                <w:lang w:bidi="ar-DZ"/>
              </w:rPr>
              <w:t>23</w:t>
            </w:r>
          </w:p>
        </w:tc>
        <w:tc>
          <w:tcPr>
            <w:tcW w:w="1848" w:type="dxa"/>
          </w:tcPr>
          <w:p w14:paraId="01EE3590" w14:textId="77777777" w:rsidR="00D85252" w:rsidRDefault="00D85252" w:rsidP="007127C1">
            <w:pPr>
              <w:jc w:val="center"/>
              <w:rPr>
                <w:rFonts w:cstheme="minorHAnsi"/>
                <w:lang w:bidi="ar-DZ"/>
              </w:rPr>
            </w:pPr>
            <w:r>
              <w:rPr>
                <w:rFonts w:cstheme="minorHAnsi"/>
                <w:lang w:bidi="ar-DZ"/>
              </w:rPr>
              <w:t>22</w:t>
            </w:r>
          </w:p>
        </w:tc>
        <w:tc>
          <w:tcPr>
            <w:tcW w:w="1849" w:type="dxa"/>
          </w:tcPr>
          <w:p w14:paraId="2A8991A2" w14:textId="77777777" w:rsidR="00D85252" w:rsidRDefault="00D85252" w:rsidP="007127C1">
            <w:pPr>
              <w:jc w:val="center"/>
              <w:rPr>
                <w:rFonts w:cstheme="minorHAnsi"/>
                <w:lang w:bidi="ar-DZ"/>
              </w:rPr>
            </w:pPr>
            <w:r>
              <w:rPr>
                <w:rFonts w:cstheme="minorHAnsi"/>
                <w:lang w:bidi="ar-DZ"/>
              </w:rPr>
              <w:t>19</w:t>
            </w:r>
          </w:p>
        </w:tc>
      </w:tr>
      <w:tr w:rsidR="00D85252" w14:paraId="49CA5C8E" w14:textId="77777777" w:rsidTr="007127C1">
        <w:tc>
          <w:tcPr>
            <w:tcW w:w="1848" w:type="dxa"/>
          </w:tcPr>
          <w:p w14:paraId="1AF8FB94" w14:textId="77777777" w:rsidR="00D85252" w:rsidRDefault="00D85252" w:rsidP="007127C1">
            <w:pPr>
              <w:jc w:val="both"/>
              <w:rPr>
                <w:rFonts w:cstheme="minorHAnsi"/>
                <w:lang w:bidi="ar-DZ"/>
              </w:rPr>
            </w:pPr>
            <w:r>
              <w:rPr>
                <w:rFonts w:cstheme="minorHAnsi"/>
                <w:lang w:bidi="ar-DZ"/>
              </w:rPr>
              <w:t>Tema</w:t>
            </w:r>
          </w:p>
        </w:tc>
        <w:tc>
          <w:tcPr>
            <w:tcW w:w="1848" w:type="dxa"/>
          </w:tcPr>
          <w:p w14:paraId="5CD827C4" w14:textId="77777777" w:rsidR="00D85252" w:rsidRDefault="00D85252" w:rsidP="007127C1">
            <w:pPr>
              <w:jc w:val="center"/>
              <w:rPr>
                <w:rFonts w:cstheme="minorHAnsi"/>
                <w:lang w:bidi="ar-DZ"/>
              </w:rPr>
            </w:pPr>
            <w:r>
              <w:rPr>
                <w:rFonts w:cstheme="minorHAnsi"/>
                <w:lang w:bidi="ar-DZ"/>
              </w:rPr>
              <w:t>24</w:t>
            </w:r>
          </w:p>
        </w:tc>
        <w:tc>
          <w:tcPr>
            <w:tcW w:w="1848" w:type="dxa"/>
          </w:tcPr>
          <w:p w14:paraId="6B7A8396" w14:textId="77777777" w:rsidR="00D85252" w:rsidRDefault="00D85252" w:rsidP="007127C1">
            <w:pPr>
              <w:jc w:val="center"/>
              <w:rPr>
                <w:rFonts w:cstheme="minorHAnsi"/>
                <w:lang w:bidi="ar-DZ"/>
              </w:rPr>
            </w:pPr>
            <w:r>
              <w:rPr>
                <w:rFonts w:cstheme="minorHAnsi"/>
                <w:lang w:bidi="ar-DZ"/>
              </w:rPr>
              <w:t>23</w:t>
            </w:r>
          </w:p>
        </w:tc>
        <w:tc>
          <w:tcPr>
            <w:tcW w:w="1849" w:type="dxa"/>
          </w:tcPr>
          <w:p w14:paraId="5616F539" w14:textId="77777777" w:rsidR="00D85252" w:rsidRDefault="00D85252" w:rsidP="007127C1">
            <w:pPr>
              <w:jc w:val="center"/>
              <w:rPr>
                <w:rFonts w:cstheme="minorHAnsi"/>
                <w:lang w:bidi="ar-DZ"/>
              </w:rPr>
            </w:pPr>
            <w:r>
              <w:rPr>
                <w:rFonts w:cstheme="minorHAnsi"/>
                <w:lang w:bidi="ar-DZ"/>
              </w:rPr>
              <w:t>22</w:t>
            </w:r>
          </w:p>
        </w:tc>
      </w:tr>
    </w:tbl>
    <w:p w14:paraId="734D8D0C" w14:textId="77777777" w:rsidR="00D85252" w:rsidRDefault="00D85252" w:rsidP="00D85252">
      <w:pPr>
        <w:jc w:val="both"/>
        <w:rPr>
          <w:rFonts w:cstheme="minorHAnsi"/>
          <w:lang w:bidi="ar-DZ"/>
        </w:rPr>
      </w:pPr>
      <w:r>
        <w:rPr>
          <w:rFonts w:cstheme="minorHAnsi"/>
          <w:lang w:bidi="ar-DZ"/>
        </w:rPr>
        <w:t xml:space="preserve">Source : </w:t>
      </w:r>
      <w:r>
        <w:rPr>
          <w:rFonts w:cs="Times New Roman"/>
          <w:bCs/>
          <w:sz w:val="24"/>
          <w:szCs w:val="24"/>
        </w:rPr>
        <w:t>Comité de liaison de la r</w:t>
      </w:r>
      <w:r w:rsidRPr="000C3C98">
        <w:rPr>
          <w:rFonts w:cs="Times New Roman"/>
          <w:bCs/>
          <w:sz w:val="24"/>
          <w:szCs w:val="24"/>
        </w:rPr>
        <w:t>oute Transsaharienne</w:t>
      </w:r>
      <w:r>
        <w:rPr>
          <w:rFonts w:cs="Times New Roman"/>
          <w:bCs/>
          <w:sz w:val="24"/>
          <w:szCs w:val="24"/>
        </w:rPr>
        <w:t xml:space="preserve"> (2009).</w:t>
      </w:r>
    </w:p>
    <w:p w14:paraId="012900EC" w14:textId="17230698" w:rsidR="00D85252" w:rsidRPr="009400EE" w:rsidRDefault="00D85252" w:rsidP="00D85252">
      <w:pPr>
        <w:autoSpaceDE w:val="0"/>
        <w:autoSpaceDN w:val="0"/>
        <w:adjustRightInd w:val="0"/>
        <w:spacing w:after="0" w:line="240" w:lineRule="auto"/>
        <w:jc w:val="both"/>
        <w:rPr>
          <w:rFonts w:cstheme="minorHAnsi"/>
          <w:lang w:bidi="ar-DZ"/>
        </w:rPr>
      </w:pPr>
      <w:r w:rsidRPr="009400EE">
        <w:rPr>
          <w:rFonts w:cs="Arial"/>
          <w:bCs/>
        </w:rPr>
        <w:t>En outre, le transport maritime est bien plus faible pour les ports maghrébins que pour les ports d’Afrique de l’</w:t>
      </w:r>
      <w:r>
        <w:rPr>
          <w:rFonts w:cs="Arial"/>
          <w:bCs/>
        </w:rPr>
        <w:t>O</w:t>
      </w:r>
      <w:r w:rsidRPr="009400EE">
        <w:rPr>
          <w:rFonts w:cs="Arial"/>
          <w:bCs/>
        </w:rPr>
        <w:t>uest : il existe un rapport inférieur de 2 à 3 en moyenne</w:t>
      </w:r>
      <w:r w:rsidR="00DE60D8">
        <w:rPr>
          <w:rFonts w:cs="Arial"/>
          <w:bCs/>
        </w:rPr>
        <w:t>, ce qui explique le prix de transport total en provenance d’Europe soit bien moins onéreux pour le nord Mali d’Alger que du golfe de Guinée</w:t>
      </w:r>
      <w:r w:rsidRPr="009400EE">
        <w:rPr>
          <w:rFonts w:cs="Arial"/>
          <w:bCs/>
        </w:rPr>
        <w:t xml:space="preserve">. </w:t>
      </w:r>
    </w:p>
    <w:p w14:paraId="18AC5C3E" w14:textId="6599B29F" w:rsidR="001B6F91" w:rsidRDefault="001B6F91" w:rsidP="001B6F91">
      <w:pPr>
        <w:pStyle w:val="Heading2"/>
      </w:pPr>
      <w:bookmarkStart w:id="18" w:name="_Toc384903146"/>
      <w:r>
        <w:t>Une estimation du volume de commerce informel</w:t>
      </w:r>
      <w:bookmarkEnd w:id="18"/>
    </w:p>
    <w:p w14:paraId="275B7FA8" w14:textId="3CD08F79" w:rsidR="007A5B86" w:rsidRPr="001062B7" w:rsidRDefault="001062B7" w:rsidP="007B5E6D">
      <w:pPr>
        <w:jc w:val="both"/>
      </w:pPr>
      <w:r w:rsidRPr="001062B7">
        <w:t xml:space="preserve">Le </w:t>
      </w:r>
      <w:r w:rsidR="00AF3227">
        <w:t>nord</w:t>
      </w:r>
      <w:r w:rsidRPr="001062B7">
        <w:t xml:space="preserve"> du Mali vit largement</w:t>
      </w:r>
      <w:r w:rsidR="007A5B86" w:rsidRPr="001062B7">
        <w:t xml:space="preserve"> du commerce informel, qualifié de contrebande mais largement toléré pour l’ensemble des produits exception faite du carburant et des produits de trafic (armes, drogues…). </w:t>
      </w:r>
      <w:r w:rsidR="007B5E6D">
        <w:t>Le seul commerce autorisé entre l’Algérie et le Mali est celui des dattes</w:t>
      </w:r>
      <w:r w:rsidR="006F4D3D">
        <w:t>, tous les autres éta</w:t>
      </w:r>
      <w:r w:rsidR="007B5E6D">
        <w:t>nt qualifié</w:t>
      </w:r>
      <w:r w:rsidR="00C22F9B">
        <w:t>s</w:t>
      </w:r>
      <w:r w:rsidR="006F4D3D">
        <w:t xml:space="preserve"> </w:t>
      </w:r>
      <w:r w:rsidR="007B5E6D">
        <w:t xml:space="preserve"> de contrebande</w:t>
      </w:r>
      <w:r w:rsidR="008F7B6F">
        <w:t>.</w:t>
      </w:r>
      <w:r w:rsidR="007B5E6D">
        <w:t xml:space="preserve"> </w:t>
      </w:r>
      <w:r w:rsidR="007A5B86" w:rsidRPr="001062B7">
        <w:t xml:space="preserve">Si la </w:t>
      </w:r>
      <w:r w:rsidR="00EC21A7" w:rsidRPr="001062B7">
        <w:t>quasi-totalité</w:t>
      </w:r>
      <w:r w:rsidR="007A5B86" w:rsidRPr="001062B7">
        <w:t xml:space="preserve"> des produits </w:t>
      </w:r>
      <w:r w:rsidR="004F19A9">
        <w:t>consomm</w:t>
      </w:r>
      <w:r w:rsidR="004F19A9">
        <w:rPr>
          <w:rFonts w:ascii="Arial Narrow" w:hAnsi="Arial Narrow"/>
        </w:rPr>
        <w:t>é</w:t>
      </w:r>
      <w:r w:rsidR="004F19A9">
        <w:t>s au nord du Mali</w:t>
      </w:r>
      <w:r w:rsidR="007A5B86" w:rsidRPr="001062B7">
        <w:t xml:space="preserve"> viennent de l’Algérie, surtout pour la région de Kidal, des produits viennent également de la Mauritanie pour la région de Tombouctou (le sucre ou les tapis) et du Niger (</w:t>
      </w:r>
      <w:r w:rsidR="000F5D70" w:rsidRPr="001062B7">
        <w:t>essence</w:t>
      </w:r>
      <w:r w:rsidR="007A5B86" w:rsidRPr="001062B7">
        <w:t xml:space="preserve"> de contrebande). Une partie non négligeable des produits de contrebande est acheminée jusqu’à Bamako, notamment la farine, les p</w:t>
      </w:r>
      <w:r w:rsidR="00C85198">
        <w:t>â</w:t>
      </w:r>
      <w:r w:rsidR="007A5B86" w:rsidRPr="001062B7">
        <w:t xml:space="preserve">tes, l’huile ou l’électroménager. </w:t>
      </w:r>
    </w:p>
    <w:p w14:paraId="5B23BB80" w14:textId="77777777" w:rsidR="00CE522F" w:rsidRDefault="006D0B72" w:rsidP="00CE522F">
      <w:pPr>
        <w:jc w:val="both"/>
        <w:rPr>
          <w:rFonts w:ascii="Calibri" w:hAnsi="Calibri" w:cs="Helvetica"/>
        </w:rPr>
      </w:pPr>
      <w:r>
        <w:rPr>
          <w:rFonts w:cs="Helvetica"/>
        </w:rPr>
        <w:lastRenderedPageBreak/>
        <w:t>On estime dans cette section le chiffre d’affaires annuel du commerce informel (avec une focalisation sur les flux entrant au Mali).</w:t>
      </w:r>
      <w:r w:rsidR="00CE522F">
        <w:rPr>
          <w:rFonts w:cs="Helvetica"/>
        </w:rPr>
        <w:t> </w:t>
      </w:r>
      <w:r w:rsidR="00CE522F" w:rsidRPr="0040730B">
        <w:rPr>
          <w:rFonts w:ascii="Calibri" w:hAnsi="Calibri" w:cs="Helvetica"/>
        </w:rPr>
        <w:t xml:space="preserve">L’estimation des volumes </w:t>
      </w:r>
      <w:r w:rsidR="00CE522F">
        <w:rPr>
          <w:rFonts w:ascii="Calibri" w:hAnsi="Calibri" w:cs="Helvetica"/>
        </w:rPr>
        <w:t>(</w:t>
      </w:r>
      <w:r w:rsidR="00CE522F" w:rsidRPr="0040730B">
        <w:rPr>
          <w:rFonts w:ascii="Calibri" w:hAnsi="Calibri" w:cs="Helvetica"/>
        </w:rPr>
        <w:t>et des profits</w:t>
      </w:r>
      <w:r w:rsidR="00CE522F">
        <w:rPr>
          <w:rFonts w:ascii="Calibri" w:hAnsi="Calibri" w:cs="Helvetica"/>
        </w:rPr>
        <w:t>)</w:t>
      </w:r>
      <w:r w:rsidR="00CE522F" w:rsidRPr="0040730B">
        <w:rPr>
          <w:rFonts w:ascii="Calibri" w:hAnsi="Calibri" w:cs="Helvetica"/>
        </w:rPr>
        <w:t xml:space="preserve"> comporte nécessairement une marge d’erreur du fait de l’absence de données de base disponibles.</w:t>
      </w:r>
      <w:r w:rsidR="00CE522F">
        <w:rPr>
          <w:rFonts w:ascii="Calibri" w:hAnsi="Calibri" w:cs="Helvetica"/>
        </w:rPr>
        <w:t xml:space="preserve"> </w:t>
      </w:r>
    </w:p>
    <w:p w14:paraId="352655DC" w14:textId="04DD07AD" w:rsidR="0047033A" w:rsidRPr="00B734F7" w:rsidRDefault="00CE522F" w:rsidP="00CE522F">
      <w:pPr>
        <w:jc w:val="both"/>
        <w:rPr>
          <w:rFonts w:cs="Helvetica"/>
          <w:highlight w:val="yellow"/>
        </w:rPr>
      </w:pPr>
      <w:r w:rsidRPr="00CE522F">
        <w:rPr>
          <w:rFonts w:cs="Helvetica"/>
          <w:b/>
        </w:rPr>
        <w:t>Méthodologiquement, l</w:t>
      </w:r>
      <w:r w:rsidR="006D0B72" w:rsidRPr="00CE522F">
        <w:rPr>
          <w:rFonts w:cs="Helvetica"/>
          <w:b/>
        </w:rPr>
        <w:t xml:space="preserve">e calcul s’appuie sur </w:t>
      </w:r>
      <w:r w:rsidR="004F19A9" w:rsidRPr="00CE522F">
        <w:rPr>
          <w:rFonts w:cs="Helvetica"/>
          <w:b/>
        </w:rPr>
        <w:t xml:space="preserve">les </w:t>
      </w:r>
      <w:r w:rsidRPr="00CE522F">
        <w:rPr>
          <w:rFonts w:cs="Helvetica"/>
          <w:b/>
        </w:rPr>
        <w:t>déclarations  d’une dizaine de</w:t>
      </w:r>
      <w:r w:rsidR="00F07F39" w:rsidRPr="00CE522F">
        <w:rPr>
          <w:rFonts w:cs="Helvetica"/>
          <w:b/>
        </w:rPr>
        <w:t xml:space="preserve"> </w:t>
      </w:r>
      <w:r w:rsidR="006D0B72" w:rsidRPr="00CE522F">
        <w:rPr>
          <w:rFonts w:cs="Helvetica"/>
          <w:b/>
        </w:rPr>
        <w:t xml:space="preserve">commerçants et douaniers </w:t>
      </w:r>
      <w:r w:rsidR="00F07F39" w:rsidRPr="00CE522F">
        <w:rPr>
          <w:rFonts w:cs="Helvetica"/>
          <w:b/>
        </w:rPr>
        <w:t>interrogés sur le nombre de véhicules</w:t>
      </w:r>
      <w:r w:rsidR="006D0B72" w:rsidRPr="00CE522F">
        <w:rPr>
          <w:rFonts w:cs="Helvetica"/>
          <w:b/>
        </w:rPr>
        <w:t xml:space="preserve"> traversant la frontière</w:t>
      </w:r>
      <w:r w:rsidR="00F07F39" w:rsidRPr="00CE522F">
        <w:rPr>
          <w:rFonts w:cs="Helvetica"/>
          <w:b/>
        </w:rPr>
        <w:t xml:space="preserve"> par semaine</w:t>
      </w:r>
      <w:r w:rsidRPr="00CE522F">
        <w:rPr>
          <w:rFonts w:cs="Helvetica"/>
          <w:b/>
        </w:rPr>
        <w:t xml:space="preserve"> en 2011 et 2014, leur destination et les prix de vente dans les différentes villes</w:t>
      </w:r>
      <w:r w:rsidR="0047033A" w:rsidRPr="00CE522F">
        <w:rPr>
          <w:rFonts w:cs="Helvetica"/>
          <w:b/>
        </w:rPr>
        <w:t>.</w:t>
      </w:r>
      <w:r w:rsidR="0047033A" w:rsidRPr="00CE522F">
        <w:rPr>
          <w:rFonts w:cs="Helvetica"/>
        </w:rPr>
        <w:t xml:space="preserve"> </w:t>
      </w:r>
      <w:r w:rsidRPr="00CE522F">
        <w:rPr>
          <w:rFonts w:cs="Helvetica"/>
        </w:rPr>
        <w:t xml:space="preserve"> Des moyennes ont ensuite été calculées </w:t>
      </w:r>
      <w:r w:rsidR="0047033A" w:rsidRPr="00CE522F">
        <w:rPr>
          <w:rFonts w:cs="Helvetica"/>
        </w:rPr>
        <w:t xml:space="preserve">(en donnant plus de </w:t>
      </w:r>
      <w:r w:rsidRPr="00CE522F">
        <w:rPr>
          <w:rFonts w:cs="Helvetica"/>
        </w:rPr>
        <w:t>poids aux interlocuteurs jugés les plus fia</w:t>
      </w:r>
      <w:r w:rsidR="0047033A" w:rsidRPr="00CE522F">
        <w:rPr>
          <w:rFonts w:cs="Helvetica"/>
        </w:rPr>
        <w:t>bles</w:t>
      </w:r>
      <w:r w:rsidRPr="00CE522F">
        <w:rPr>
          <w:rFonts w:cs="Helvetica"/>
        </w:rPr>
        <w:t>, les plus impliqués dans le commerce</w:t>
      </w:r>
      <w:r w:rsidR="0047033A" w:rsidRPr="00CE522F">
        <w:rPr>
          <w:rFonts w:cs="Helvetica"/>
        </w:rPr>
        <w:t xml:space="preserve">). </w:t>
      </w:r>
      <w:r w:rsidRPr="00CE522F">
        <w:rPr>
          <w:rFonts w:cs="Helvetica"/>
        </w:rPr>
        <w:t>Tiré des entretiens sur les modes de transport, des hypothèses ont été faites sur les tonnages unitaires et les surcharges. On a ainsi pu calculer des chiffres d’affaires par produit/ville par semaine et par an.</w:t>
      </w:r>
    </w:p>
    <w:p w14:paraId="1C8C25C2" w14:textId="76042EFE" w:rsidR="00CE522F" w:rsidRDefault="00CE522F" w:rsidP="00CE522F">
      <w:pPr>
        <w:jc w:val="both"/>
      </w:pPr>
      <w:r w:rsidRPr="00CE522F">
        <w:rPr>
          <w:rFonts w:ascii="Calibri" w:hAnsi="Calibri" w:cs="Helvetica"/>
          <w:b/>
        </w:rPr>
        <w:t xml:space="preserve">D’après les entretiens, </w:t>
      </w:r>
      <w:r w:rsidR="0040730B" w:rsidRPr="00CE522F">
        <w:rPr>
          <w:rFonts w:ascii="Calibri" w:hAnsi="Calibri" w:cs="Helvetica"/>
          <w:b/>
        </w:rPr>
        <w:t xml:space="preserve">180 camions par semaine « en temps normal », c’est-à-dire pour l’année 2011, étaient considérés traverser la frontière </w:t>
      </w:r>
      <w:proofErr w:type="spellStart"/>
      <w:r w:rsidR="0040730B" w:rsidRPr="00CE522F">
        <w:rPr>
          <w:rFonts w:ascii="Calibri" w:hAnsi="Calibri" w:cs="Helvetica"/>
          <w:b/>
        </w:rPr>
        <w:t>algéro</w:t>
      </w:r>
      <w:proofErr w:type="spellEnd"/>
      <w:r w:rsidR="0040730B" w:rsidRPr="00CE522F">
        <w:rPr>
          <w:rFonts w:ascii="Calibri" w:hAnsi="Calibri" w:cs="Helvetica"/>
          <w:b/>
        </w:rPr>
        <w:t>-malienne.</w:t>
      </w:r>
      <w:r>
        <w:rPr>
          <w:rFonts w:cs="Helvetica"/>
          <w:b/>
        </w:rPr>
        <w:t xml:space="preserve"> </w:t>
      </w:r>
      <w:r w:rsidRPr="00CE522F">
        <w:rPr>
          <w:b/>
        </w:rPr>
        <w:t>La répartition des flu</w:t>
      </w:r>
      <w:r>
        <w:rPr>
          <w:b/>
        </w:rPr>
        <w:t>x commerciaux</w:t>
      </w:r>
      <w:r w:rsidRPr="00CE522F">
        <w:rPr>
          <w:b/>
        </w:rPr>
        <w:t xml:space="preserve"> selon les villes desservies et la catégorie des camions utilisés était la suivante</w:t>
      </w:r>
      <w:r w:rsidRPr="003A198A">
        <w:t> : Tombouctou : 20 camions  (10</w:t>
      </w:r>
      <w:r>
        <w:t xml:space="preserve"> </w:t>
      </w:r>
      <w:r w:rsidRPr="003A198A">
        <w:t>t uniquement) ; Kidal: 35 camions (20</w:t>
      </w:r>
      <w:r>
        <w:t xml:space="preserve"> </w:t>
      </w:r>
      <w:r w:rsidRPr="003A198A">
        <w:t>t à 70%) ; Gao: 35 camions (20 t à 70%) ; Bamako: 30 camions (20</w:t>
      </w:r>
      <w:r>
        <w:t xml:space="preserve"> </w:t>
      </w:r>
      <w:r w:rsidRPr="003A198A">
        <w:t>t principalement) ; Niger et Nigeria : 60 camions (40</w:t>
      </w:r>
      <w:r>
        <w:t xml:space="preserve"> </w:t>
      </w:r>
      <w:r w:rsidRPr="003A198A">
        <w:t xml:space="preserve">t à 80%) 1920 ; </w:t>
      </w:r>
    </w:p>
    <w:p w14:paraId="0A1D2E76" w14:textId="52F88A42" w:rsidR="00CE522F" w:rsidRPr="00CE522F" w:rsidRDefault="00CE522F" w:rsidP="00CE522F">
      <w:pPr>
        <w:jc w:val="both"/>
        <w:rPr>
          <w:rFonts w:cs="Helvetica"/>
          <w:b/>
        </w:rPr>
      </w:pPr>
      <w:r w:rsidRPr="00CE522F">
        <w:rPr>
          <w:b/>
        </w:rPr>
        <w:t>La répartition par biens est la suivante</w:t>
      </w:r>
      <w:r w:rsidRPr="003A198A">
        <w:t> : 35 camions de farine, 30 camions de pates, 25 camions de semoule, 20 camions d'autres produits de première nécessité (huile, boissons, sucre, lait en poudre...), 30 camions d'essence, 30 camions de dattes, 5 camions d'électroménager et 5 camions d’autres produits.</w:t>
      </w:r>
    </w:p>
    <w:p w14:paraId="763D91DA" w14:textId="3D932046" w:rsidR="00CE522F" w:rsidRDefault="00CE522F" w:rsidP="003A198A">
      <w:pPr>
        <w:jc w:val="both"/>
      </w:pPr>
      <w:r>
        <w:rPr>
          <w:b/>
        </w:rPr>
        <w:t>Etant donné les volumes unitaires, l</w:t>
      </w:r>
      <w:r w:rsidR="003A198A" w:rsidRPr="00CE522F">
        <w:rPr>
          <w:b/>
        </w:rPr>
        <w:t>es marchandises commercées entre l’Algérie et le Mali représentaient u</w:t>
      </w:r>
      <w:r>
        <w:rPr>
          <w:b/>
        </w:rPr>
        <w:t>n volume hebdomadaire de</w:t>
      </w:r>
      <w:r w:rsidR="003A198A" w:rsidRPr="00CE522F">
        <w:rPr>
          <w:b/>
        </w:rPr>
        <w:t xml:space="preserve"> 4640 tonnes</w:t>
      </w:r>
      <w:r w:rsidR="003A198A" w:rsidRPr="003A198A">
        <w:t> : 750 tonnes pour la région de Kidal, 930 tonnes pour la région de Gao, 200 tonnes pour la région de Tombouctou, 770 tonnes pour Bamako et 1990 tonnes destinés au Niger et au Nigeria. Il convient d’ajouter 25% en moyenne en raison de la surcharge des camions, un camion de 10 tonnes va transporter jusqu’à 13 tonnes</w:t>
      </w:r>
      <w:r w:rsidR="00FE318A">
        <w:t xml:space="preserve"> (le tableau 5 donne le détail des prix et quantités par biens et villes avec une dernière colonne sur le total en tonnes par produit</w:t>
      </w:r>
      <w:r w:rsidR="003A198A" w:rsidRPr="003A198A">
        <w:t xml:space="preserve">. </w:t>
      </w:r>
    </w:p>
    <w:p w14:paraId="42382478" w14:textId="342B1239" w:rsidR="001A327B" w:rsidRPr="00A62B3A" w:rsidRDefault="001A327B" w:rsidP="001A327B">
      <w:pPr>
        <w:pStyle w:val="Caption"/>
        <w:rPr>
          <w:color w:val="auto"/>
          <w:sz w:val="22"/>
          <w:szCs w:val="22"/>
        </w:rPr>
      </w:pPr>
      <w:bookmarkStart w:id="19" w:name="_Toc384903174"/>
      <w:r w:rsidRPr="00A62B3A">
        <w:rPr>
          <w:color w:val="auto"/>
          <w:sz w:val="22"/>
          <w:szCs w:val="22"/>
        </w:rPr>
        <w:t xml:space="preserve">Tableau </w:t>
      </w:r>
      <w:r w:rsidRPr="00A62B3A">
        <w:rPr>
          <w:color w:val="auto"/>
          <w:sz w:val="22"/>
          <w:szCs w:val="22"/>
        </w:rPr>
        <w:fldChar w:fldCharType="begin"/>
      </w:r>
      <w:r w:rsidRPr="00A62B3A">
        <w:rPr>
          <w:color w:val="auto"/>
          <w:sz w:val="22"/>
          <w:szCs w:val="22"/>
        </w:rPr>
        <w:instrText xml:space="preserve"> SEQ Tableau \* ARABIC </w:instrText>
      </w:r>
      <w:r w:rsidRPr="00A62B3A">
        <w:rPr>
          <w:color w:val="auto"/>
          <w:sz w:val="22"/>
          <w:szCs w:val="22"/>
        </w:rPr>
        <w:fldChar w:fldCharType="separate"/>
      </w:r>
      <w:r w:rsidR="008229BD" w:rsidRPr="00A62B3A">
        <w:rPr>
          <w:noProof/>
          <w:color w:val="auto"/>
          <w:sz w:val="22"/>
          <w:szCs w:val="22"/>
        </w:rPr>
        <w:t>5</w:t>
      </w:r>
      <w:r w:rsidRPr="00A62B3A">
        <w:rPr>
          <w:color w:val="auto"/>
          <w:sz w:val="22"/>
          <w:szCs w:val="22"/>
        </w:rPr>
        <w:fldChar w:fldCharType="end"/>
      </w:r>
      <w:r w:rsidRPr="00A62B3A">
        <w:rPr>
          <w:color w:val="auto"/>
          <w:sz w:val="22"/>
          <w:szCs w:val="22"/>
        </w:rPr>
        <w:t> : Prix et quantités hebdomadaires par villes.</w:t>
      </w:r>
      <w:bookmarkEnd w:id="19"/>
    </w:p>
    <w:tbl>
      <w:tblPr>
        <w:tblStyle w:val="TableGrid"/>
        <w:tblW w:w="10080" w:type="dxa"/>
        <w:tblInd w:w="-792" w:type="dxa"/>
        <w:tblLayout w:type="fixed"/>
        <w:tblLook w:val="04A0" w:firstRow="1" w:lastRow="0" w:firstColumn="1" w:lastColumn="0" w:noHBand="0" w:noVBand="1"/>
      </w:tblPr>
      <w:tblGrid>
        <w:gridCol w:w="1440"/>
        <w:gridCol w:w="900"/>
        <w:gridCol w:w="828"/>
        <w:gridCol w:w="567"/>
        <w:gridCol w:w="567"/>
        <w:gridCol w:w="468"/>
        <w:gridCol w:w="1092"/>
        <w:gridCol w:w="567"/>
        <w:gridCol w:w="708"/>
        <w:gridCol w:w="567"/>
        <w:gridCol w:w="709"/>
        <w:gridCol w:w="567"/>
        <w:gridCol w:w="1100"/>
      </w:tblGrid>
      <w:tr w:rsidR="001A327B" w:rsidRPr="00CD124C" w14:paraId="444F4AF7" w14:textId="77777777" w:rsidTr="007127C1">
        <w:trPr>
          <w:trHeight w:val="999"/>
        </w:trPr>
        <w:tc>
          <w:tcPr>
            <w:tcW w:w="1440" w:type="dxa"/>
            <w:vMerge w:val="restart"/>
            <w:vAlign w:val="center"/>
          </w:tcPr>
          <w:p w14:paraId="5612B36F" w14:textId="77777777" w:rsidR="001A327B" w:rsidRPr="00CD124C" w:rsidRDefault="001A327B" w:rsidP="007127C1">
            <w:pPr>
              <w:jc w:val="center"/>
              <w:rPr>
                <w:rFonts w:ascii="Helvetica" w:hAnsi="Helvetica" w:cs="Helvetica"/>
                <w:b/>
                <w:sz w:val="14"/>
                <w:szCs w:val="14"/>
              </w:rPr>
            </w:pPr>
            <w:r>
              <w:br w:type="page"/>
            </w:r>
            <w:r w:rsidRPr="00CD124C">
              <w:rPr>
                <w:rFonts w:ascii="Helvetica" w:hAnsi="Helvetica" w:cs="Helvetica"/>
                <w:b/>
                <w:sz w:val="14"/>
                <w:szCs w:val="14"/>
              </w:rPr>
              <w:t xml:space="preserve">  Produits</w:t>
            </w:r>
          </w:p>
        </w:tc>
        <w:tc>
          <w:tcPr>
            <w:tcW w:w="900" w:type="dxa"/>
            <w:vMerge w:val="restart"/>
          </w:tcPr>
          <w:p w14:paraId="267A9167" w14:textId="77777777" w:rsidR="001A327B" w:rsidRPr="00CD124C" w:rsidRDefault="001A327B" w:rsidP="007127C1">
            <w:pPr>
              <w:jc w:val="center"/>
              <w:rPr>
                <w:rFonts w:ascii="Helvetica" w:hAnsi="Helvetica" w:cs="Helvetica"/>
                <w:b/>
                <w:sz w:val="16"/>
                <w:szCs w:val="16"/>
              </w:rPr>
            </w:pPr>
            <w:r w:rsidRPr="00CD124C">
              <w:rPr>
                <w:rFonts w:ascii="Helvetica" w:hAnsi="Helvetica" w:cs="Helvetica"/>
                <w:b/>
                <w:sz w:val="16"/>
                <w:szCs w:val="16"/>
              </w:rPr>
              <w:t xml:space="preserve">Prix à </w:t>
            </w:r>
            <w:proofErr w:type="spellStart"/>
            <w:r w:rsidRPr="00CD124C">
              <w:rPr>
                <w:rFonts w:ascii="Helvetica" w:hAnsi="Helvetica" w:cs="Helvetica"/>
                <w:b/>
                <w:sz w:val="16"/>
                <w:szCs w:val="16"/>
              </w:rPr>
              <w:t>Borj</w:t>
            </w:r>
            <w:proofErr w:type="spellEnd"/>
            <w:r w:rsidRPr="00CD124C">
              <w:rPr>
                <w:rFonts w:ascii="Helvetica" w:hAnsi="Helvetica" w:cs="Helvetica"/>
                <w:b/>
                <w:sz w:val="16"/>
                <w:szCs w:val="16"/>
              </w:rPr>
              <w:t xml:space="preserve"> (par tonne)</w:t>
            </w:r>
          </w:p>
        </w:tc>
        <w:tc>
          <w:tcPr>
            <w:tcW w:w="1395" w:type="dxa"/>
            <w:gridSpan w:val="2"/>
            <w:vAlign w:val="center"/>
          </w:tcPr>
          <w:p w14:paraId="4728DB5C" w14:textId="77777777" w:rsidR="001A327B" w:rsidRPr="00CD124C" w:rsidRDefault="001A327B" w:rsidP="007127C1">
            <w:pPr>
              <w:jc w:val="center"/>
              <w:rPr>
                <w:rFonts w:ascii="Helvetica" w:hAnsi="Helvetica" w:cs="Helvetica"/>
                <w:b/>
                <w:sz w:val="20"/>
                <w:szCs w:val="20"/>
              </w:rPr>
            </w:pPr>
            <w:r w:rsidRPr="00CD124C">
              <w:rPr>
                <w:rFonts w:ascii="Helvetica" w:hAnsi="Helvetica" w:cs="Helvetica"/>
                <w:b/>
                <w:sz w:val="20"/>
                <w:szCs w:val="20"/>
              </w:rPr>
              <w:t>Kidal</w:t>
            </w:r>
          </w:p>
        </w:tc>
        <w:tc>
          <w:tcPr>
            <w:tcW w:w="1035" w:type="dxa"/>
            <w:gridSpan w:val="2"/>
            <w:vAlign w:val="center"/>
          </w:tcPr>
          <w:p w14:paraId="05742215" w14:textId="77777777" w:rsidR="001A327B" w:rsidRPr="00CD124C" w:rsidRDefault="001A327B" w:rsidP="007127C1">
            <w:pPr>
              <w:jc w:val="center"/>
              <w:rPr>
                <w:rFonts w:ascii="Helvetica" w:hAnsi="Helvetica" w:cs="Helvetica"/>
                <w:b/>
                <w:sz w:val="20"/>
                <w:szCs w:val="20"/>
              </w:rPr>
            </w:pPr>
            <w:r w:rsidRPr="00CD124C">
              <w:rPr>
                <w:rFonts w:ascii="Helvetica" w:hAnsi="Helvetica" w:cs="Helvetica"/>
                <w:b/>
                <w:sz w:val="20"/>
                <w:szCs w:val="20"/>
              </w:rPr>
              <w:t>Gao</w:t>
            </w:r>
          </w:p>
        </w:tc>
        <w:tc>
          <w:tcPr>
            <w:tcW w:w="1659" w:type="dxa"/>
            <w:gridSpan w:val="2"/>
            <w:vAlign w:val="center"/>
          </w:tcPr>
          <w:p w14:paraId="534C21F2" w14:textId="77777777" w:rsidR="001A327B" w:rsidRPr="00CD124C" w:rsidRDefault="001A327B" w:rsidP="007127C1">
            <w:pPr>
              <w:jc w:val="center"/>
              <w:rPr>
                <w:rFonts w:ascii="Helvetica" w:hAnsi="Helvetica" w:cs="Helvetica"/>
                <w:b/>
                <w:sz w:val="20"/>
                <w:szCs w:val="20"/>
              </w:rPr>
            </w:pPr>
            <w:r w:rsidRPr="00CD124C">
              <w:rPr>
                <w:rFonts w:ascii="Helvetica" w:hAnsi="Helvetica" w:cs="Helvetica"/>
                <w:b/>
                <w:sz w:val="20"/>
                <w:szCs w:val="20"/>
              </w:rPr>
              <w:t>Tombouctou</w:t>
            </w:r>
          </w:p>
        </w:tc>
        <w:tc>
          <w:tcPr>
            <w:tcW w:w="1275" w:type="dxa"/>
            <w:gridSpan w:val="2"/>
            <w:vAlign w:val="center"/>
          </w:tcPr>
          <w:p w14:paraId="2ABF2219" w14:textId="77777777" w:rsidR="001A327B" w:rsidRPr="00CD124C" w:rsidRDefault="001A327B" w:rsidP="007127C1">
            <w:pPr>
              <w:jc w:val="center"/>
              <w:rPr>
                <w:rFonts w:ascii="Helvetica" w:hAnsi="Helvetica" w:cs="Helvetica"/>
                <w:b/>
                <w:sz w:val="20"/>
                <w:szCs w:val="20"/>
              </w:rPr>
            </w:pPr>
            <w:r w:rsidRPr="00CD124C">
              <w:rPr>
                <w:rFonts w:ascii="Helvetica" w:hAnsi="Helvetica" w:cs="Helvetica"/>
                <w:b/>
                <w:sz w:val="20"/>
                <w:szCs w:val="20"/>
              </w:rPr>
              <w:t>Bamako</w:t>
            </w:r>
          </w:p>
        </w:tc>
        <w:tc>
          <w:tcPr>
            <w:tcW w:w="1276" w:type="dxa"/>
            <w:gridSpan w:val="2"/>
            <w:vAlign w:val="center"/>
          </w:tcPr>
          <w:p w14:paraId="018BE31E" w14:textId="77777777" w:rsidR="001A327B" w:rsidRPr="00CD124C" w:rsidRDefault="001A327B" w:rsidP="007127C1">
            <w:pPr>
              <w:jc w:val="center"/>
              <w:rPr>
                <w:rFonts w:ascii="Helvetica" w:hAnsi="Helvetica" w:cs="Helvetica"/>
                <w:b/>
                <w:sz w:val="20"/>
                <w:szCs w:val="20"/>
              </w:rPr>
            </w:pPr>
            <w:r w:rsidRPr="00CD124C">
              <w:rPr>
                <w:rFonts w:ascii="Helvetica" w:hAnsi="Helvetica" w:cs="Helvetica"/>
                <w:b/>
                <w:sz w:val="20"/>
                <w:szCs w:val="20"/>
              </w:rPr>
              <w:t>Niger (Tahoua/ Agadez…)</w:t>
            </w:r>
          </w:p>
        </w:tc>
        <w:tc>
          <w:tcPr>
            <w:tcW w:w="1100" w:type="dxa"/>
            <w:vAlign w:val="center"/>
          </w:tcPr>
          <w:p w14:paraId="6E9494B1" w14:textId="77777777" w:rsidR="001A327B" w:rsidRDefault="001A327B" w:rsidP="007127C1">
            <w:pPr>
              <w:jc w:val="center"/>
              <w:rPr>
                <w:rFonts w:ascii="Helvetica" w:hAnsi="Helvetica" w:cs="Helvetica"/>
                <w:b/>
                <w:sz w:val="20"/>
                <w:szCs w:val="20"/>
              </w:rPr>
            </w:pPr>
            <w:r w:rsidRPr="00CD124C">
              <w:rPr>
                <w:rFonts w:ascii="Helvetica" w:hAnsi="Helvetica" w:cs="Helvetica"/>
                <w:b/>
                <w:sz w:val="20"/>
                <w:szCs w:val="20"/>
              </w:rPr>
              <w:t>Total</w:t>
            </w:r>
          </w:p>
          <w:p w14:paraId="55193D3E" w14:textId="77777777" w:rsidR="001A327B" w:rsidRPr="00CD124C" w:rsidRDefault="001A327B" w:rsidP="007127C1">
            <w:pPr>
              <w:jc w:val="center"/>
              <w:rPr>
                <w:rFonts w:ascii="Helvetica" w:hAnsi="Helvetica" w:cs="Helvetica"/>
                <w:b/>
                <w:sz w:val="20"/>
                <w:szCs w:val="20"/>
              </w:rPr>
            </w:pPr>
            <w:r>
              <w:rPr>
                <w:rFonts w:ascii="Helvetica" w:hAnsi="Helvetica" w:cs="Helvetica"/>
                <w:b/>
                <w:sz w:val="20"/>
                <w:szCs w:val="20"/>
              </w:rPr>
              <w:t>(en tonnes)</w:t>
            </w:r>
          </w:p>
        </w:tc>
      </w:tr>
      <w:tr w:rsidR="001A327B" w:rsidRPr="0011096D" w14:paraId="21339011" w14:textId="77777777" w:rsidTr="007127C1">
        <w:trPr>
          <w:trHeight w:val="559"/>
        </w:trPr>
        <w:tc>
          <w:tcPr>
            <w:tcW w:w="1440" w:type="dxa"/>
            <w:vMerge/>
            <w:vAlign w:val="center"/>
          </w:tcPr>
          <w:p w14:paraId="30FBBE99" w14:textId="77777777" w:rsidR="001A327B" w:rsidRPr="00CD124C" w:rsidRDefault="001A327B" w:rsidP="007127C1">
            <w:pPr>
              <w:jc w:val="center"/>
              <w:rPr>
                <w:rFonts w:ascii="Helvetica" w:hAnsi="Helvetica" w:cs="Helvetica"/>
                <w:sz w:val="14"/>
                <w:szCs w:val="14"/>
              </w:rPr>
            </w:pPr>
          </w:p>
        </w:tc>
        <w:tc>
          <w:tcPr>
            <w:tcW w:w="900" w:type="dxa"/>
            <w:vMerge/>
          </w:tcPr>
          <w:p w14:paraId="44CBB764" w14:textId="77777777" w:rsidR="001A327B" w:rsidRPr="00CD124C" w:rsidRDefault="001A327B" w:rsidP="007127C1">
            <w:pPr>
              <w:jc w:val="center"/>
              <w:rPr>
                <w:rFonts w:ascii="Helvetica" w:hAnsi="Helvetica" w:cs="Helvetica"/>
                <w:sz w:val="20"/>
                <w:szCs w:val="20"/>
              </w:rPr>
            </w:pPr>
          </w:p>
        </w:tc>
        <w:tc>
          <w:tcPr>
            <w:tcW w:w="828" w:type="dxa"/>
            <w:vAlign w:val="center"/>
          </w:tcPr>
          <w:p w14:paraId="56475FED"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Prix (par t)</w:t>
            </w:r>
          </w:p>
        </w:tc>
        <w:tc>
          <w:tcPr>
            <w:tcW w:w="567" w:type="dxa"/>
            <w:vAlign w:val="center"/>
          </w:tcPr>
          <w:p w14:paraId="0B37F6D2"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Quantité totale (t)</w:t>
            </w:r>
          </w:p>
        </w:tc>
        <w:tc>
          <w:tcPr>
            <w:tcW w:w="567" w:type="dxa"/>
            <w:vAlign w:val="center"/>
          </w:tcPr>
          <w:p w14:paraId="7D048318"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Prix</w:t>
            </w:r>
          </w:p>
        </w:tc>
        <w:tc>
          <w:tcPr>
            <w:tcW w:w="468" w:type="dxa"/>
            <w:vAlign w:val="center"/>
          </w:tcPr>
          <w:p w14:paraId="31262163"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Quantité totale (t)</w:t>
            </w:r>
          </w:p>
        </w:tc>
        <w:tc>
          <w:tcPr>
            <w:tcW w:w="1092" w:type="dxa"/>
            <w:vAlign w:val="center"/>
          </w:tcPr>
          <w:p w14:paraId="1EDB9B93"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Prix</w:t>
            </w:r>
          </w:p>
        </w:tc>
        <w:tc>
          <w:tcPr>
            <w:tcW w:w="567" w:type="dxa"/>
            <w:vAlign w:val="center"/>
          </w:tcPr>
          <w:p w14:paraId="69EC0A40"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Quantité</w:t>
            </w:r>
          </w:p>
        </w:tc>
        <w:tc>
          <w:tcPr>
            <w:tcW w:w="708" w:type="dxa"/>
            <w:vAlign w:val="center"/>
          </w:tcPr>
          <w:p w14:paraId="1F522DC4"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Prix</w:t>
            </w:r>
          </w:p>
        </w:tc>
        <w:tc>
          <w:tcPr>
            <w:tcW w:w="567" w:type="dxa"/>
            <w:vAlign w:val="center"/>
          </w:tcPr>
          <w:p w14:paraId="2EB27CFD"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Quantité</w:t>
            </w:r>
          </w:p>
        </w:tc>
        <w:tc>
          <w:tcPr>
            <w:tcW w:w="709" w:type="dxa"/>
            <w:vAlign w:val="center"/>
          </w:tcPr>
          <w:p w14:paraId="1071C603"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Prix</w:t>
            </w:r>
          </w:p>
        </w:tc>
        <w:tc>
          <w:tcPr>
            <w:tcW w:w="567" w:type="dxa"/>
            <w:vAlign w:val="center"/>
          </w:tcPr>
          <w:p w14:paraId="77C61B3B"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Quantité</w:t>
            </w:r>
          </w:p>
        </w:tc>
        <w:tc>
          <w:tcPr>
            <w:tcW w:w="1100" w:type="dxa"/>
            <w:vAlign w:val="center"/>
          </w:tcPr>
          <w:p w14:paraId="060FA4D7" w14:textId="77777777" w:rsidR="001A327B" w:rsidRPr="0011096D" w:rsidRDefault="001A327B" w:rsidP="007127C1">
            <w:pPr>
              <w:jc w:val="center"/>
              <w:rPr>
                <w:rFonts w:ascii="Helvetica" w:hAnsi="Helvetica" w:cs="Helvetica"/>
                <w:b/>
                <w:sz w:val="16"/>
                <w:szCs w:val="16"/>
              </w:rPr>
            </w:pPr>
          </w:p>
        </w:tc>
      </w:tr>
      <w:tr w:rsidR="001A327B" w:rsidRPr="0011096D" w14:paraId="1D68FEBC" w14:textId="77777777" w:rsidTr="007127C1">
        <w:tc>
          <w:tcPr>
            <w:tcW w:w="1440" w:type="dxa"/>
            <w:vAlign w:val="center"/>
          </w:tcPr>
          <w:p w14:paraId="522AAC59"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Farine</w:t>
            </w:r>
          </w:p>
        </w:tc>
        <w:tc>
          <w:tcPr>
            <w:tcW w:w="900" w:type="dxa"/>
            <w:vAlign w:val="center"/>
          </w:tcPr>
          <w:p w14:paraId="4A22B9CF"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170 000</w:t>
            </w:r>
          </w:p>
        </w:tc>
        <w:tc>
          <w:tcPr>
            <w:tcW w:w="828" w:type="dxa"/>
            <w:vAlign w:val="center"/>
          </w:tcPr>
          <w:p w14:paraId="313F0E1F"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230 000</w:t>
            </w:r>
          </w:p>
        </w:tc>
        <w:tc>
          <w:tcPr>
            <w:tcW w:w="567" w:type="dxa"/>
            <w:vAlign w:val="center"/>
          </w:tcPr>
          <w:p w14:paraId="5B0D7F85"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107</w:t>
            </w:r>
          </w:p>
        </w:tc>
        <w:tc>
          <w:tcPr>
            <w:tcW w:w="567" w:type="dxa"/>
            <w:vAlign w:val="center"/>
          </w:tcPr>
          <w:p w14:paraId="2FE1FD5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280 000</w:t>
            </w:r>
          </w:p>
        </w:tc>
        <w:tc>
          <w:tcPr>
            <w:tcW w:w="468" w:type="dxa"/>
            <w:vAlign w:val="center"/>
          </w:tcPr>
          <w:p w14:paraId="0BC1AFC8"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195</w:t>
            </w:r>
          </w:p>
        </w:tc>
        <w:tc>
          <w:tcPr>
            <w:tcW w:w="1092" w:type="dxa"/>
            <w:vAlign w:val="center"/>
          </w:tcPr>
          <w:p w14:paraId="20813AB7"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320 000</w:t>
            </w:r>
          </w:p>
        </w:tc>
        <w:tc>
          <w:tcPr>
            <w:tcW w:w="567" w:type="dxa"/>
            <w:vAlign w:val="center"/>
          </w:tcPr>
          <w:p w14:paraId="18B634A8"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w:t>
            </w:r>
          </w:p>
        </w:tc>
        <w:tc>
          <w:tcPr>
            <w:tcW w:w="708" w:type="dxa"/>
            <w:vAlign w:val="center"/>
          </w:tcPr>
          <w:p w14:paraId="210ED106"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480 000</w:t>
            </w:r>
          </w:p>
        </w:tc>
        <w:tc>
          <w:tcPr>
            <w:tcW w:w="567" w:type="dxa"/>
            <w:vAlign w:val="center"/>
          </w:tcPr>
          <w:p w14:paraId="50758B4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200</w:t>
            </w:r>
          </w:p>
        </w:tc>
        <w:tc>
          <w:tcPr>
            <w:tcW w:w="709" w:type="dxa"/>
            <w:vAlign w:val="center"/>
          </w:tcPr>
          <w:p w14:paraId="486DE4AF"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470 000 (Niamey) / 360 000 (Tahoua)</w:t>
            </w:r>
          </w:p>
        </w:tc>
        <w:tc>
          <w:tcPr>
            <w:tcW w:w="567" w:type="dxa"/>
            <w:vAlign w:val="center"/>
          </w:tcPr>
          <w:p w14:paraId="3AEAF40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500</w:t>
            </w:r>
          </w:p>
        </w:tc>
        <w:tc>
          <w:tcPr>
            <w:tcW w:w="1100" w:type="dxa"/>
            <w:vAlign w:val="center"/>
          </w:tcPr>
          <w:p w14:paraId="629F8973"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1042</w:t>
            </w:r>
          </w:p>
        </w:tc>
      </w:tr>
      <w:tr w:rsidR="001A327B" w:rsidRPr="0011096D" w14:paraId="672252FF" w14:textId="77777777" w:rsidTr="007127C1">
        <w:tc>
          <w:tcPr>
            <w:tcW w:w="1440" w:type="dxa"/>
            <w:vAlign w:val="center"/>
          </w:tcPr>
          <w:p w14:paraId="600132BC"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Pates</w:t>
            </w:r>
          </w:p>
        </w:tc>
        <w:tc>
          <w:tcPr>
            <w:tcW w:w="900" w:type="dxa"/>
            <w:vAlign w:val="center"/>
          </w:tcPr>
          <w:p w14:paraId="2904383B"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270 000</w:t>
            </w:r>
          </w:p>
        </w:tc>
        <w:tc>
          <w:tcPr>
            <w:tcW w:w="828" w:type="dxa"/>
            <w:vAlign w:val="center"/>
          </w:tcPr>
          <w:p w14:paraId="21EDF26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350 000</w:t>
            </w:r>
          </w:p>
        </w:tc>
        <w:tc>
          <w:tcPr>
            <w:tcW w:w="567" w:type="dxa"/>
            <w:vAlign w:val="center"/>
          </w:tcPr>
          <w:p w14:paraId="4079DB8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140</w:t>
            </w:r>
          </w:p>
        </w:tc>
        <w:tc>
          <w:tcPr>
            <w:tcW w:w="567" w:type="dxa"/>
            <w:vAlign w:val="center"/>
          </w:tcPr>
          <w:p w14:paraId="1DE85A2F"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420 000</w:t>
            </w:r>
          </w:p>
        </w:tc>
        <w:tc>
          <w:tcPr>
            <w:tcW w:w="468" w:type="dxa"/>
            <w:vAlign w:val="center"/>
          </w:tcPr>
          <w:p w14:paraId="75D88C1F"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170</w:t>
            </w:r>
          </w:p>
        </w:tc>
        <w:tc>
          <w:tcPr>
            <w:tcW w:w="1092" w:type="dxa"/>
            <w:vAlign w:val="center"/>
          </w:tcPr>
          <w:p w14:paraId="0F84734E"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450 000</w:t>
            </w:r>
          </w:p>
        </w:tc>
        <w:tc>
          <w:tcPr>
            <w:tcW w:w="567" w:type="dxa"/>
            <w:vAlign w:val="center"/>
          </w:tcPr>
          <w:p w14:paraId="67483C58"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30</w:t>
            </w:r>
          </w:p>
        </w:tc>
        <w:tc>
          <w:tcPr>
            <w:tcW w:w="708" w:type="dxa"/>
            <w:tcBorders>
              <w:bottom w:val="single" w:sz="4" w:space="0" w:color="000000" w:themeColor="text1"/>
            </w:tcBorders>
            <w:vAlign w:val="center"/>
          </w:tcPr>
          <w:p w14:paraId="593FE0F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560 000</w:t>
            </w:r>
          </w:p>
        </w:tc>
        <w:tc>
          <w:tcPr>
            <w:tcW w:w="567" w:type="dxa"/>
            <w:vAlign w:val="center"/>
          </w:tcPr>
          <w:p w14:paraId="02A6849B"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100</w:t>
            </w:r>
          </w:p>
        </w:tc>
        <w:tc>
          <w:tcPr>
            <w:tcW w:w="709" w:type="dxa"/>
            <w:tcBorders>
              <w:bottom w:val="single" w:sz="4" w:space="0" w:color="000000" w:themeColor="text1"/>
            </w:tcBorders>
            <w:vAlign w:val="center"/>
          </w:tcPr>
          <w:p w14:paraId="4939E11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460 000</w:t>
            </w:r>
          </w:p>
        </w:tc>
        <w:tc>
          <w:tcPr>
            <w:tcW w:w="567" w:type="dxa"/>
            <w:vAlign w:val="center"/>
          </w:tcPr>
          <w:p w14:paraId="4C7DCEDB"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640</w:t>
            </w:r>
          </w:p>
        </w:tc>
        <w:tc>
          <w:tcPr>
            <w:tcW w:w="1100" w:type="dxa"/>
            <w:vAlign w:val="center"/>
          </w:tcPr>
          <w:p w14:paraId="117596AE"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1080</w:t>
            </w:r>
          </w:p>
        </w:tc>
      </w:tr>
      <w:tr w:rsidR="001A327B" w:rsidRPr="0011096D" w14:paraId="0DBDA164" w14:textId="77777777" w:rsidTr="007127C1">
        <w:trPr>
          <w:trHeight w:val="725"/>
        </w:trPr>
        <w:tc>
          <w:tcPr>
            <w:tcW w:w="1440" w:type="dxa"/>
            <w:vAlign w:val="center"/>
          </w:tcPr>
          <w:p w14:paraId="2AD6ECE9"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 xml:space="preserve">Semoule de blé </w:t>
            </w:r>
          </w:p>
        </w:tc>
        <w:tc>
          <w:tcPr>
            <w:tcW w:w="900" w:type="dxa"/>
            <w:vAlign w:val="center"/>
          </w:tcPr>
          <w:p w14:paraId="124B6C2E"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120 000</w:t>
            </w:r>
          </w:p>
        </w:tc>
        <w:tc>
          <w:tcPr>
            <w:tcW w:w="828" w:type="dxa"/>
            <w:vAlign w:val="center"/>
          </w:tcPr>
          <w:p w14:paraId="7281E9C3"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160 000</w:t>
            </w:r>
          </w:p>
        </w:tc>
        <w:tc>
          <w:tcPr>
            <w:tcW w:w="567" w:type="dxa"/>
            <w:vAlign w:val="center"/>
          </w:tcPr>
          <w:p w14:paraId="7CF1E1D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170</w:t>
            </w:r>
          </w:p>
        </w:tc>
        <w:tc>
          <w:tcPr>
            <w:tcW w:w="567" w:type="dxa"/>
            <w:vAlign w:val="center"/>
          </w:tcPr>
          <w:p w14:paraId="6672B712"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200 000</w:t>
            </w:r>
          </w:p>
        </w:tc>
        <w:tc>
          <w:tcPr>
            <w:tcW w:w="468" w:type="dxa"/>
            <w:vAlign w:val="center"/>
          </w:tcPr>
          <w:p w14:paraId="59E61B02"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215</w:t>
            </w:r>
          </w:p>
        </w:tc>
        <w:tc>
          <w:tcPr>
            <w:tcW w:w="1092" w:type="dxa"/>
            <w:vAlign w:val="center"/>
          </w:tcPr>
          <w:p w14:paraId="6BA70406"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240 000</w:t>
            </w:r>
          </w:p>
        </w:tc>
        <w:tc>
          <w:tcPr>
            <w:tcW w:w="567" w:type="dxa"/>
            <w:vAlign w:val="center"/>
          </w:tcPr>
          <w:p w14:paraId="01525464"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w:t>
            </w:r>
          </w:p>
        </w:tc>
        <w:tc>
          <w:tcPr>
            <w:tcW w:w="708" w:type="dxa"/>
            <w:tcBorders>
              <w:bottom w:val="single" w:sz="4" w:space="0" w:color="000000" w:themeColor="text1"/>
            </w:tcBorders>
            <w:shd w:val="clear" w:color="auto" w:fill="FFFFFF"/>
            <w:vAlign w:val="center"/>
          </w:tcPr>
          <w:p w14:paraId="4E7C3DB2"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350 000</w:t>
            </w:r>
          </w:p>
        </w:tc>
        <w:tc>
          <w:tcPr>
            <w:tcW w:w="567" w:type="dxa"/>
            <w:vAlign w:val="center"/>
          </w:tcPr>
          <w:p w14:paraId="0F57A671"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70</w:t>
            </w:r>
          </w:p>
        </w:tc>
        <w:tc>
          <w:tcPr>
            <w:tcW w:w="709" w:type="dxa"/>
            <w:shd w:val="clear" w:color="auto" w:fill="FFFFFF"/>
            <w:vAlign w:val="center"/>
          </w:tcPr>
          <w:p w14:paraId="3098F4A6"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240 000</w:t>
            </w:r>
          </w:p>
        </w:tc>
        <w:tc>
          <w:tcPr>
            <w:tcW w:w="567" w:type="dxa"/>
            <w:vAlign w:val="center"/>
          </w:tcPr>
          <w:p w14:paraId="76EE559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330</w:t>
            </w:r>
          </w:p>
        </w:tc>
        <w:tc>
          <w:tcPr>
            <w:tcW w:w="1100" w:type="dxa"/>
            <w:vAlign w:val="center"/>
          </w:tcPr>
          <w:p w14:paraId="3056D1DC"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825</w:t>
            </w:r>
          </w:p>
        </w:tc>
      </w:tr>
      <w:tr w:rsidR="001A327B" w:rsidRPr="0011096D" w14:paraId="0D458E13" w14:textId="77777777" w:rsidTr="007127C1">
        <w:trPr>
          <w:trHeight w:val="296"/>
        </w:trPr>
        <w:tc>
          <w:tcPr>
            <w:tcW w:w="1440" w:type="dxa"/>
            <w:vAlign w:val="center"/>
          </w:tcPr>
          <w:p w14:paraId="3EE54335"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 xml:space="preserve">Gasoil </w:t>
            </w:r>
          </w:p>
        </w:tc>
        <w:tc>
          <w:tcPr>
            <w:tcW w:w="900" w:type="dxa"/>
            <w:vAlign w:val="center"/>
          </w:tcPr>
          <w:p w14:paraId="7C5025D6"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200.000</w:t>
            </w:r>
          </w:p>
        </w:tc>
        <w:tc>
          <w:tcPr>
            <w:tcW w:w="828" w:type="dxa"/>
            <w:vAlign w:val="center"/>
          </w:tcPr>
          <w:p w14:paraId="29C87DE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 xml:space="preserve">250 000 </w:t>
            </w:r>
          </w:p>
        </w:tc>
        <w:tc>
          <w:tcPr>
            <w:tcW w:w="567" w:type="dxa"/>
            <w:vAlign w:val="center"/>
          </w:tcPr>
          <w:p w14:paraId="0B93B841"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143</w:t>
            </w:r>
          </w:p>
        </w:tc>
        <w:tc>
          <w:tcPr>
            <w:tcW w:w="567" w:type="dxa"/>
            <w:vAlign w:val="center"/>
          </w:tcPr>
          <w:p w14:paraId="3D105035"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 xml:space="preserve">300 000 </w:t>
            </w:r>
          </w:p>
        </w:tc>
        <w:tc>
          <w:tcPr>
            <w:tcW w:w="468" w:type="dxa"/>
            <w:vAlign w:val="center"/>
          </w:tcPr>
          <w:p w14:paraId="35E1DCBE"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100</w:t>
            </w:r>
          </w:p>
        </w:tc>
        <w:tc>
          <w:tcPr>
            <w:tcW w:w="1092" w:type="dxa"/>
            <w:vAlign w:val="center"/>
          </w:tcPr>
          <w:p w14:paraId="34DE368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350 000</w:t>
            </w:r>
          </w:p>
        </w:tc>
        <w:tc>
          <w:tcPr>
            <w:tcW w:w="567" w:type="dxa"/>
            <w:vAlign w:val="center"/>
          </w:tcPr>
          <w:p w14:paraId="4BDF645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w:t>
            </w:r>
          </w:p>
        </w:tc>
        <w:tc>
          <w:tcPr>
            <w:tcW w:w="708" w:type="dxa"/>
            <w:shd w:val="clear" w:color="auto" w:fill="FFFFFF"/>
            <w:vAlign w:val="center"/>
          </w:tcPr>
          <w:p w14:paraId="54182787"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350.000 (Région de Mopti)</w:t>
            </w:r>
          </w:p>
        </w:tc>
        <w:tc>
          <w:tcPr>
            <w:tcW w:w="567" w:type="dxa"/>
            <w:vAlign w:val="center"/>
          </w:tcPr>
          <w:p w14:paraId="3DB1576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100</w:t>
            </w:r>
          </w:p>
        </w:tc>
        <w:tc>
          <w:tcPr>
            <w:tcW w:w="709" w:type="dxa"/>
            <w:vAlign w:val="center"/>
          </w:tcPr>
          <w:p w14:paraId="57732A2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 xml:space="preserve">360 000 </w:t>
            </w:r>
          </w:p>
        </w:tc>
        <w:tc>
          <w:tcPr>
            <w:tcW w:w="567" w:type="dxa"/>
            <w:vAlign w:val="center"/>
          </w:tcPr>
          <w:p w14:paraId="782570F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100</w:t>
            </w:r>
          </w:p>
        </w:tc>
        <w:tc>
          <w:tcPr>
            <w:tcW w:w="1100" w:type="dxa"/>
            <w:vMerge w:val="restart"/>
            <w:vAlign w:val="center"/>
          </w:tcPr>
          <w:p w14:paraId="4F6C6AAF"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583</w:t>
            </w:r>
          </w:p>
        </w:tc>
      </w:tr>
      <w:tr w:rsidR="001A327B" w:rsidRPr="0011096D" w14:paraId="248A5045" w14:textId="77777777" w:rsidTr="007127C1">
        <w:trPr>
          <w:trHeight w:val="296"/>
        </w:trPr>
        <w:tc>
          <w:tcPr>
            <w:tcW w:w="1440" w:type="dxa"/>
            <w:vAlign w:val="center"/>
          </w:tcPr>
          <w:p w14:paraId="406821DB"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 xml:space="preserve">Essence </w:t>
            </w:r>
          </w:p>
        </w:tc>
        <w:tc>
          <w:tcPr>
            <w:tcW w:w="900" w:type="dxa"/>
            <w:vAlign w:val="center"/>
          </w:tcPr>
          <w:p w14:paraId="75E795D0"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400.000</w:t>
            </w:r>
          </w:p>
        </w:tc>
        <w:tc>
          <w:tcPr>
            <w:tcW w:w="828" w:type="dxa"/>
            <w:vAlign w:val="center"/>
          </w:tcPr>
          <w:p w14:paraId="506B42C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525.000</w:t>
            </w:r>
          </w:p>
        </w:tc>
        <w:tc>
          <w:tcPr>
            <w:tcW w:w="567" w:type="dxa"/>
            <w:vAlign w:val="center"/>
          </w:tcPr>
          <w:p w14:paraId="3DEE7E13"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100</w:t>
            </w:r>
          </w:p>
        </w:tc>
        <w:tc>
          <w:tcPr>
            <w:tcW w:w="567" w:type="dxa"/>
            <w:vAlign w:val="center"/>
          </w:tcPr>
          <w:p w14:paraId="0167834F"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 xml:space="preserve">Importé du </w:t>
            </w:r>
            <w:r w:rsidRPr="00CD124C">
              <w:rPr>
                <w:rFonts w:ascii="Helvetica" w:hAnsi="Helvetica" w:cs="Helvetica"/>
                <w:sz w:val="12"/>
                <w:szCs w:val="12"/>
              </w:rPr>
              <w:lastRenderedPageBreak/>
              <w:t>Niger</w:t>
            </w:r>
          </w:p>
        </w:tc>
        <w:tc>
          <w:tcPr>
            <w:tcW w:w="468" w:type="dxa"/>
            <w:vAlign w:val="center"/>
          </w:tcPr>
          <w:p w14:paraId="7B253075"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lastRenderedPageBreak/>
              <w:t>0</w:t>
            </w:r>
          </w:p>
        </w:tc>
        <w:tc>
          <w:tcPr>
            <w:tcW w:w="1092" w:type="dxa"/>
            <w:vAlign w:val="center"/>
          </w:tcPr>
          <w:p w14:paraId="5CC0F2A3"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w:t>
            </w:r>
          </w:p>
        </w:tc>
        <w:tc>
          <w:tcPr>
            <w:tcW w:w="567" w:type="dxa"/>
            <w:vAlign w:val="center"/>
          </w:tcPr>
          <w:p w14:paraId="71293F7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708" w:type="dxa"/>
            <w:shd w:val="clear" w:color="auto" w:fill="FFFFFF"/>
            <w:vAlign w:val="center"/>
          </w:tcPr>
          <w:p w14:paraId="56739EE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w:t>
            </w:r>
          </w:p>
        </w:tc>
        <w:tc>
          <w:tcPr>
            <w:tcW w:w="567" w:type="dxa"/>
            <w:vAlign w:val="center"/>
          </w:tcPr>
          <w:p w14:paraId="2CA4D1E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709" w:type="dxa"/>
            <w:vAlign w:val="center"/>
          </w:tcPr>
          <w:p w14:paraId="4A1447CE" w14:textId="77777777" w:rsidR="001A327B" w:rsidRPr="00CD124C" w:rsidRDefault="001A327B" w:rsidP="007127C1">
            <w:pPr>
              <w:jc w:val="center"/>
              <w:rPr>
                <w:rFonts w:ascii="Helvetica" w:hAnsi="Helvetica" w:cs="Helvetica"/>
                <w:sz w:val="12"/>
                <w:szCs w:val="12"/>
              </w:rPr>
            </w:pPr>
          </w:p>
        </w:tc>
        <w:tc>
          <w:tcPr>
            <w:tcW w:w="567" w:type="dxa"/>
            <w:vAlign w:val="center"/>
          </w:tcPr>
          <w:p w14:paraId="071383FA" w14:textId="77777777" w:rsidR="001A327B" w:rsidRPr="00CD124C" w:rsidRDefault="001A327B" w:rsidP="007127C1">
            <w:pPr>
              <w:jc w:val="center"/>
              <w:rPr>
                <w:rFonts w:ascii="Helvetica" w:hAnsi="Helvetica" w:cs="Helvetica"/>
                <w:sz w:val="12"/>
                <w:szCs w:val="12"/>
              </w:rPr>
            </w:pPr>
          </w:p>
        </w:tc>
        <w:tc>
          <w:tcPr>
            <w:tcW w:w="1100" w:type="dxa"/>
            <w:vMerge/>
            <w:vAlign w:val="center"/>
          </w:tcPr>
          <w:p w14:paraId="12BAD501" w14:textId="77777777" w:rsidR="001A327B" w:rsidRPr="0011096D" w:rsidRDefault="001A327B" w:rsidP="007127C1">
            <w:pPr>
              <w:jc w:val="center"/>
              <w:rPr>
                <w:rFonts w:ascii="Helvetica" w:hAnsi="Helvetica" w:cs="Helvetica"/>
                <w:b/>
                <w:sz w:val="16"/>
                <w:szCs w:val="16"/>
              </w:rPr>
            </w:pPr>
          </w:p>
        </w:tc>
      </w:tr>
      <w:tr w:rsidR="001A327B" w:rsidRPr="0011096D" w14:paraId="7CF9C667" w14:textId="77777777" w:rsidTr="007127C1">
        <w:tc>
          <w:tcPr>
            <w:tcW w:w="1440" w:type="dxa"/>
            <w:vAlign w:val="center"/>
          </w:tcPr>
          <w:p w14:paraId="693636CA"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lastRenderedPageBreak/>
              <w:t>Sucre</w:t>
            </w:r>
          </w:p>
        </w:tc>
        <w:tc>
          <w:tcPr>
            <w:tcW w:w="900" w:type="dxa"/>
            <w:vAlign w:val="center"/>
          </w:tcPr>
          <w:p w14:paraId="5FE0C769"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310 000</w:t>
            </w:r>
          </w:p>
        </w:tc>
        <w:tc>
          <w:tcPr>
            <w:tcW w:w="828" w:type="dxa"/>
            <w:vAlign w:val="center"/>
          </w:tcPr>
          <w:p w14:paraId="4D4EF3C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350 000</w:t>
            </w:r>
          </w:p>
        </w:tc>
        <w:tc>
          <w:tcPr>
            <w:tcW w:w="567" w:type="dxa"/>
            <w:vAlign w:val="center"/>
          </w:tcPr>
          <w:p w14:paraId="68EB74C1"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30</w:t>
            </w:r>
          </w:p>
        </w:tc>
        <w:tc>
          <w:tcPr>
            <w:tcW w:w="567" w:type="dxa"/>
            <w:vAlign w:val="center"/>
          </w:tcPr>
          <w:p w14:paraId="2BEB114B"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400.000</w:t>
            </w:r>
          </w:p>
        </w:tc>
        <w:tc>
          <w:tcPr>
            <w:tcW w:w="468" w:type="dxa"/>
            <w:vAlign w:val="center"/>
          </w:tcPr>
          <w:p w14:paraId="7403236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70</w:t>
            </w:r>
          </w:p>
        </w:tc>
        <w:tc>
          <w:tcPr>
            <w:tcW w:w="1092" w:type="dxa"/>
            <w:vAlign w:val="center"/>
          </w:tcPr>
          <w:p w14:paraId="37728A0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400 000 (vient de Mauritanie)</w:t>
            </w:r>
          </w:p>
        </w:tc>
        <w:tc>
          <w:tcPr>
            <w:tcW w:w="567" w:type="dxa"/>
            <w:vAlign w:val="center"/>
          </w:tcPr>
          <w:p w14:paraId="4026E7D2"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708" w:type="dxa"/>
            <w:vAlign w:val="center"/>
          </w:tcPr>
          <w:p w14:paraId="2F9827A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600.000</w:t>
            </w:r>
          </w:p>
        </w:tc>
        <w:tc>
          <w:tcPr>
            <w:tcW w:w="567" w:type="dxa"/>
            <w:vAlign w:val="center"/>
          </w:tcPr>
          <w:p w14:paraId="7B34F1C6"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709" w:type="dxa"/>
            <w:tcBorders>
              <w:bottom w:val="single" w:sz="4" w:space="0" w:color="000000" w:themeColor="text1"/>
            </w:tcBorders>
            <w:vAlign w:val="center"/>
          </w:tcPr>
          <w:p w14:paraId="392C322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540.000</w:t>
            </w:r>
          </w:p>
        </w:tc>
        <w:tc>
          <w:tcPr>
            <w:tcW w:w="567" w:type="dxa"/>
            <w:tcBorders>
              <w:bottom w:val="single" w:sz="4" w:space="0" w:color="000000" w:themeColor="text1"/>
            </w:tcBorders>
            <w:vAlign w:val="center"/>
          </w:tcPr>
          <w:p w14:paraId="6F8D4B0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80</w:t>
            </w:r>
          </w:p>
        </w:tc>
        <w:tc>
          <w:tcPr>
            <w:tcW w:w="1100" w:type="dxa"/>
            <w:vAlign w:val="center"/>
          </w:tcPr>
          <w:p w14:paraId="1A850ABD"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180</w:t>
            </w:r>
          </w:p>
        </w:tc>
      </w:tr>
      <w:tr w:rsidR="001A327B" w:rsidRPr="0011096D" w14:paraId="47C1991C" w14:textId="77777777" w:rsidTr="007127C1">
        <w:tc>
          <w:tcPr>
            <w:tcW w:w="1440" w:type="dxa"/>
            <w:vAlign w:val="center"/>
          </w:tcPr>
          <w:p w14:paraId="153D6424"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Lait</w:t>
            </w:r>
          </w:p>
        </w:tc>
        <w:tc>
          <w:tcPr>
            <w:tcW w:w="900" w:type="dxa"/>
            <w:vAlign w:val="center"/>
          </w:tcPr>
          <w:p w14:paraId="6F37832E"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1.400.000</w:t>
            </w:r>
          </w:p>
        </w:tc>
        <w:tc>
          <w:tcPr>
            <w:tcW w:w="828" w:type="dxa"/>
            <w:tcBorders>
              <w:bottom w:val="single" w:sz="4" w:space="0" w:color="000000" w:themeColor="text1"/>
            </w:tcBorders>
            <w:vAlign w:val="center"/>
          </w:tcPr>
          <w:p w14:paraId="3FB06E34"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1.583. 000</w:t>
            </w:r>
          </w:p>
        </w:tc>
        <w:tc>
          <w:tcPr>
            <w:tcW w:w="567" w:type="dxa"/>
            <w:vAlign w:val="center"/>
          </w:tcPr>
          <w:p w14:paraId="6E808958"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w:t>
            </w:r>
          </w:p>
        </w:tc>
        <w:tc>
          <w:tcPr>
            <w:tcW w:w="567" w:type="dxa"/>
            <w:vAlign w:val="center"/>
          </w:tcPr>
          <w:p w14:paraId="5421E79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1.900.000</w:t>
            </w:r>
          </w:p>
        </w:tc>
        <w:tc>
          <w:tcPr>
            <w:tcW w:w="468" w:type="dxa"/>
            <w:vAlign w:val="center"/>
          </w:tcPr>
          <w:p w14:paraId="33BF2211"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w:t>
            </w:r>
          </w:p>
        </w:tc>
        <w:tc>
          <w:tcPr>
            <w:tcW w:w="1092" w:type="dxa"/>
            <w:tcBorders>
              <w:bottom w:val="single" w:sz="4" w:space="0" w:color="000000" w:themeColor="text1"/>
            </w:tcBorders>
            <w:vAlign w:val="center"/>
          </w:tcPr>
          <w:p w14:paraId="468AAA36"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2.100. 000</w:t>
            </w:r>
          </w:p>
        </w:tc>
        <w:tc>
          <w:tcPr>
            <w:tcW w:w="567" w:type="dxa"/>
            <w:vAlign w:val="center"/>
          </w:tcPr>
          <w:p w14:paraId="50B0B0C2"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708" w:type="dxa"/>
            <w:vAlign w:val="center"/>
          </w:tcPr>
          <w:p w14:paraId="2579E5D5"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2.500.000</w:t>
            </w:r>
          </w:p>
        </w:tc>
        <w:tc>
          <w:tcPr>
            <w:tcW w:w="567" w:type="dxa"/>
            <w:vAlign w:val="center"/>
          </w:tcPr>
          <w:p w14:paraId="5072F0A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30</w:t>
            </w:r>
          </w:p>
        </w:tc>
        <w:tc>
          <w:tcPr>
            <w:tcW w:w="709" w:type="dxa"/>
            <w:shd w:val="clear" w:color="auto" w:fill="8C8C8C"/>
            <w:vAlign w:val="center"/>
          </w:tcPr>
          <w:p w14:paraId="6487DD95" w14:textId="77777777" w:rsidR="001A327B" w:rsidRPr="00CD124C" w:rsidRDefault="001A327B" w:rsidP="007127C1">
            <w:pPr>
              <w:jc w:val="center"/>
              <w:rPr>
                <w:rFonts w:ascii="Helvetica" w:hAnsi="Helvetica" w:cs="Helvetica"/>
                <w:sz w:val="12"/>
                <w:szCs w:val="12"/>
              </w:rPr>
            </w:pPr>
          </w:p>
        </w:tc>
        <w:tc>
          <w:tcPr>
            <w:tcW w:w="567" w:type="dxa"/>
            <w:shd w:val="clear" w:color="auto" w:fill="8C8C8C"/>
            <w:vAlign w:val="center"/>
          </w:tcPr>
          <w:p w14:paraId="4B4C9AEF" w14:textId="77777777" w:rsidR="001A327B" w:rsidRPr="00CD124C" w:rsidRDefault="001A327B" w:rsidP="007127C1">
            <w:pPr>
              <w:jc w:val="center"/>
              <w:rPr>
                <w:rFonts w:ascii="Helvetica" w:hAnsi="Helvetica" w:cs="Helvetica"/>
                <w:sz w:val="12"/>
                <w:szCs w:val="12"/>
              </w:rPr>
            </w:pPr>
          </w:p>
        </w:tc>
        <w:tc>
          <w:tcPr>
            <w:tcW w:w="1100" w:type="dxa"/>
            <w:vAlign w:val="center"/>
          </w:tcPr>
          <w:p w14:paraId="54E09BB0"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80</w:t>
            </w:r>
          </w:p>
        </w:tc>
      </w:tr>
      <w:tr w:rsidR="001A327B" w:rsidRPr="0011096D" w14:paraId="3F1D799D" w14:textId="77777777" w:rsidTr="007127C1">
        <w:trPr>
          <w:trHeight w:val="78"/>
        </w:trPr>
        <w:tc>
          <w:tcPr>
            <w:tcW w:w="1440" w:type="dxa"/>
            <w:vAlign w:val="center"/>
          </w:tcPr>
          <w:p w14:paraId="691BAFC5"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Dattes</w:t>
            </w:r>
          </w:p>
        </w:tc>
        <w:tc>
          <w:tcPr>
            <w:tcW w:w="900" w:type="dxa"/>
            <w:vAlign w:val="center"/>
          </w:tcPr>
          <w:p w14:paraId="66330848"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270.000</w:t>
            </w:r>
          </w:p>
        </w:tc>
        <w:tc>
          <w:tcPr>
            <w:tcW w:w="828" w:type="dxa"/>
            <w:shd w:val="clear" w:color="auto" w:fill="8C8C8C"/>
            <w:vAlign w:val="center"/>
          </w:tcPr>
          <w:p w14:paraId="4ED1ABB0" w14:textId="77777777" w:rsidR="001A327B" w:rsidRPr="00CD124C" w:rsidRDefault="001A327B" w:rsidP="007127C1">
            <w:pPr>
              <w:jc w:val="center"/>
              <w:rPr>
                <w:rFonts w:ascii="Helvetica" w:hAnsi="Helvetica" w:cs="Helvetica"/>
                <w:sz w:val="12"/>
                <w:szCs w:val="12"/>
              </w:rPr>
            </w:pPr>
          </w:p>
        </w:tc>
        <w:tc>
          <w:tcPr>
            <w:tcW w:w="567" w:type="dxa"/>
            <w:vAlign w:val="center"/>
          </w:tcPr>
          <w:p w14:paraId="5CB4709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567" w:type="dxa"/>
            <w:vAlign w:val="center"/>
          </w:tcPr>
          <w:p w14:paraId="1150B2D8"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486.000</w:t>
            </w:r>
          </w:p>
        </w:tc>
        <w:tc>
          <w:tcPr>
            <w:tcW w:w="468" w:type="dxa"/>
            <w:vAlign w:val="center"/>
          </w:tcPr>
          <w:p w14:paraId="5FE9B55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60</w:t>
            </w:r>
          </w:p>
        </w:tc>
        <w:tc>
          <w:tcPr>
            <w:tcW w:w="1092" w:type="dxa"/>
            <w:shd w:val="clear" w:color="auto" w:fill="8C8C8C"/>
            <w:vAlign w:val="center"/>
          </w:tcPr>
          <w:p w14:paraId="23DF0FF8" w14:textId="77777777" w:rsidR="001A327B" w:rsidRPr="00CD124C" w:rsidRDefault="001A327B" w:rsidP="007127C1">
            <w:pPr>
              <w:jc w:val="center"/>
              <w:rPr>
                <w:rFonts w:ascii="Helvetica" w:hAnsi="Helvetica" w:cs="Helvetica"/>
                <w:sz w:val="12"/>
                <w:szCs w:val="12"/>
              </w:rPr>
            </w:pPr>
          </w:p>
        </w:tc>
        <w:tc>
          <w:tcPr>
            <w:tcW w:w="567" w:type="dxa"/>
            <w:vAlign w:val="center"/>
          </w:tcPr>
          <w:p w14:paraId="3F746181"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0</w:t>
            </w:r>
          </w:p>
        </w:tc>
        <w:tc>
          <w:tcPr>
            <w:tcW w:w="708" w:type="dxa"/>
            <w:vAlign w:val="center"/>
          </w:tcPr>
          <w:p w14:paraId="6ECD657B"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700.000</w:t>
            </w:r>
          </w:p>
        </w:tc>
        <w:tc>
          <w:tcPr>
            <w:tcW w:w="567" w:type="dxa"/>
            <w:vAlign w:val="center"/>
          </w:tcPr>
          <w:p w14:paraId="58BB14C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200</w:t>
            </w:r>
          </w:p>
        </w:tc>
        <w:tc>
          <w:tcPr>
            <w:tcW w:w="709" w:type="dxa"/>
            <w:tcBorders>
              <w:bottom w:val="single" w:sz="4" w:space="0" w:color="000000" w:themeColor="text1"/>
            </w:tcBorders>
            <w:vAlign w:val="center"/>
          </w:tcPr>
          <w:p w14:paraId="1C19AC5B"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500.000</w:t>
            </w:r>
          </w:p>
        </w:tc>
        <w:tc>
          <w:tcPr>
            <w:tcW w:w="567" w:type="dxa"/>
            <w:tcBorders>
              <w:bottom w:val="single" w:sz="4" w:space="0" w:color="000000" w:themeColor="text1"/>
            </w:tcBorders>
            <w:vAlign w:val="center"/>
          </w:tcPr>
          <w:p w14:paraId="1FF5D52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340</w:t>
            </w:r>
          </w:p>
        </w:tc>
        <w:tc>
          <w:tcPr>
            <w:tcW w:w="1100" w:type="dxa"/>
            <w:vAlign w:val="center"/>
          </w:tcPr>
          <w:p w14:paraId="34FF3EEA"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600</w:t>
            </w:r>
          </w:p>
        </w:tc>
      </w:tr>
      <w:tr w:rsidR="001A327B" w:rsidRPr="0011096D" w14:paraId="53BE02B4" w14:textId="77777777" w:rsidTr="007127C1">
        <w:trPr>
          <w:trHeight w:val="77"/>
        </w:trPr>
        <w:tc>
          <w:tcPr>
            <w:tcW w:w="1440" w:type="dxa"/>
            <w:vAlign w:val="center"/>
          </w:tcPr>
          <w:p w14:paraId="68CF575F"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Electroménager</w:t>
            </w:r>
          </w:p>
        </w:tc>
        <w:tc>
          <w:tcPr>
            <w:tcW w:w="900" w:type="dxa"/>
            <w:vAlign w:val="center"/>
          </w:tcPr>
          <w:p w14:paraId="7557C175"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150.000</w:t>
            </w:r>
          </w:p>
        </w:tc>
        <w:tc>
          <w:tcPr>
            <w:tcW w:w="828" w:type="dxa"/>
            <w:vAlign w:val="center"/>
          </w:tcPr>
          <w:p w14:paraId="42A59F9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190.000</w:t>
            </w:r>
          </w:p>
        </w:tc>
        <w:tc>
          <w:tcPr>
            <w:tcW w:w="567" w:type="dxa"/>
            <w:vAlign w:val="center"/>
          </w:tcPr>
          <w:p w14:paraId="66E72D1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10</w:t>
            </w:r>
          </w:p>
        </w:tc>
        <w:tc>
          <w:tcPr>
            <w:tcW w:w="567" w:type="dxa"/>
            <w:vAlign w:val="center"/>
          </w:tcPr>
          <w:p w14:paraId="4DBA3DD3"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230.000</w:t>
            </w:r>
          </w:p>
        </w:tc>
        <w:tc>
          <w:tcPr>
            <w:tcW w:w="468" w:type="dxa"/>
            <w:vAlign w:val="center"/>
          </w:tcPr>
          <w:p w14:paraId="7CE29965"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30</w:t>
            </w:r>
          </w:p>
        </w:tc>
        <w:tc>
          <w:tcPr>
            <w:tcW w:w="1092" w:type="dxa"/>
            <w:vAlign w:val="center"/>
          </w:tcPr>
          <w:p w14:paraId="1C23BE6A"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280.000</w:t>
            </w:r>
          </w:p>
        </w:tc>
        <w:tc>
          <w:tcPr>
            <w:tcW w:w="567" w:type="dxa"/>
            <w:vAlign w:val="center"/>
          </w:tcPr>
          <w:p w14:paraId="224CB29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30</w:t>
            </w:r>
          </w:p>
        </w:tc>
        <w:tc>
          <w:tcPr>
            <w:tcW w:w="708" w:type="dxa"/>
            <w:vAlign w:val="center"/>
          </w:tcPr>
          <w:p w14:paraId="736CFD2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588.000</w:t>
            </w:r>
          </w:p>
        </w:tc>
        <w:tc>
          <w:tcPr>
            <w:tcW w:w="567" w:type="dxa"/>
            <w:vAlign w:val="center"/>
          </w:tcPr>
          <w:p w14:paraId="3738FCB7"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w:t>
            </w:r>
          </w:p>
        </w:tc>
        <w:tc>
          <w:tcPr>
            <w:tcW w:w="709" w:type="dxa"/>
            <w:tcBorders>
              <w:bottom w:val="single" w:sz="4" w:space="0" w:color="000000" w:themeColor="text1"/>
            </w:tcBorders>
            <w:shd w:val="clear" w:color="auto" w:fill="8C8C8C"/>
            <w:vAlign w:val="center"/>
          </w:tcPr>
          <w:p w14:paraId="2043C4D6" w14:textId="77777777" w:rsidR="001A327B" w:rsidRPr="00CD124C" w:rsidRDefault="001A327B" w:rsidP="007127C1">
            <w:pPr>
              <w:jc w:val="center"/>
              <w:rPr>
                <w:rFonts w:ascii="Helvetica" w:hAnsi="Helvetica" w:cs="Helvetica"/>
                <w:sz w:val="12"/>
                <w:szCs w:val="12"/>
              </w:rPr>
            </w:pPr>
          </w:p>
        </w:tc>
        <w:tc>
          <w:tcPr>
            <w:tcW w:w="567" w:type="dxa"/>
            <w:tcBorders>
              <w:bottom w:val="single" w:sz="4" w:space="0" w:color="000000" w:themeColor="text1"/>
            </w:tcBorders>
            <w:shd w:val="clear" w:color="auto" w:fill="8C8C8C"/>
            <w:vAlign w:val="center"/>
          </w:tcPr>
          <w:p w14:paraId="62E2FCBD" w14:textId="77777777" w:rsidR="001A327B" w:rsidRPr="00CD124C" w:rsidRDefault="001A327B" w:rsidP="007127C1">
            <w:pPr>
              <w:jc w:val="center"/>
              <w:rPr>
                <w:rFonts w:ascii="Helvetica" w:hAnsi="Helvetica" w:cs="Helvetica"/>
                <w:sz w:val="12"/>
                <w:szCs w:val="12"/>
              </w:rPr>
            </w:pPr>
          </w:p>
        </w:tc>
        <w:tc>
          <w:tcPr>
            <w:tcW w:w="1100" w:type="dxa"/>
            <w:vAlign w:val="center"/>
          </w:tcPr>
          <w:p w14:paraId="3906C4F0"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110</w:t>
            </w:r>
          </w:p>
        </w:tc>
      </w:tr>
      <w:tr w:rsidR="001A327B" w:rsidRPr="0011096D" w14:paraId="24098BE0" w14:textId="77777777" w:rsidTr="007127C1">
        <w:trPr>
          <w:trHeight w:val="77"/>
        </w:trPr>
        <w:tc>
          <w:tcPr>
            <w:tcW w:w="1440" w:type="dxa"/>
            <w:vAlign w:val="center"/>
          </w:tcPr>
          <w:p w14:paraId="3B7A9339" w14:textId="77777777" w:rsidR="001A327B" w:rsidRPr="00CD124C" w:rsidRDefault="001A327B" w:rsidP="007127C1">
            <w:pPr>
              <w:jc w:val="center"/>
              <w:rPr>
                <w:rFonts w:ascii="Helvetica" w:hAnsi="Helvetica" w:cs="Helvetica"/>
                <w:b/>
                <w:sz w:val="14"/>
                <w:szCs w:val="14"/>
              </w:rPr>
            </w:pPr>
            <w:r w:rsidRPr="00CD124C">
              <w:rPr>
                <w:rFonts w:ascii="Helvetica" w:hAnsi="Helvetica" w:cs="Helvetica"/>
                <w:b/>
                <w:sz w:val="14"/>
                <w:szCs w:val="14"/>
              </w:rPr>
              <w:t>Autres produits</w:t>
            </w:r>
          </w:p>
        </w:tc>
        <w:tc>
          <w:tcPr>
            <w:tcW w:w="900" w:type="dxa"/>
            <w:vAlign w:val="center"/>
          </w:tcPr>
          <w:p w14:paraId="686ED7C2"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400.000</w:t>
            </w:r>
          </w:p>
        </w:tc>
        <w:tc>
          <w:tcPr>
            <w:tcW w:w="828" w:type="dxa"/>
            <w:tcBorders>
              <w:bottom w:val="single" w:sz="4" w:space="0" w:color="000000" w:themeColor="text1"/>
            </w:tcBorders>
            <w:vAlign w:val="center"/>
          </w:tcPr>
          <w:p w14:paraId="7F581673"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440.000</w:t>
            </w:r>
          </w:p>
        </w:tc>
        <w:tc>
          <w:tcPr>
            <w:tcW w:w="567" w:type="dxa"/>
            <w:vAlign w:val="center"/>
          </w:tcPr>
          <w:p w14:paraId="716225F9"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40</w:t>
            </w:r>
          </w:p>
        </w:tc>
        <w:tc>
          <w:tcPr>
            <w:tcW w:w="567" w:type="dxa"/>
            <w:tcBorders>
              <w:bottom w:val="single" w:sz="4" w:space="0" w:color="000000" w:themeColor="text1"/>
            </w:tcBorders>
            <w:vAlign w:val="center"/>
          </w:tcPr>
          <w:p w14:paraId="5D57A662"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480.000</w:t>
            </w:r>
          </w:p>
        </w:tc>
        <w:tc>
          <w:tcPr>
            <w:tcW w:w="468" w:type="dxa"/>
            <w:vAlign w:val="center"/>
          </w:tcPr>
          <w:p w14:paraId="0696F138"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50</w:t>
            </w:r>
          </w:p>
        </w:tc>
        <w:tc>
          <w:tcPr>
            <w:tcW w:w="1092" w:type="dxa"/>
            <w:tcBorders>
              <w:bottom w:val="single" w:sz="4" w:space="0" w:color="000000" w:themeColor="text1"/>
            </w:tcBorders>
            <w:vAlign w:val="center"/>
          </w:tcPr>
          <w:p w14:paraId="67B0AF3C"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550.000</w:t>
            </w:r>
          </w:p>
        </w:tc>
        <w:tc>
          <w:tcPr>
            <w:tcW w:w="567" w:type="dxa"/>
            <w:vAlign w:val="center"/>
          </w:tcPr>
          <w:p w14:paraId="003F6BFD"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20</w:t>
            </w:r>
          </w:p>
        </w:tc>
        <w:tc>
          <w:tcPr>
            <w:tcW w:w="708" w:type="dxa"/>
            <w:tcBorders>
              <w:bottom w:val="single" w:sz="4" w:space="0" w:color="000000" w:themeColor="text1"/>
            </w:tcBorders>
            <w:vAlign w:val="center"/>
          </w:tcPr>
          <w:p w14:paraId="1C1E7E90"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600.000</w:t>
            </w:r>
          </w:p>
        </w:tc>
        <w:tc>
          <w:tcPr>
            <w:tcW w:w="567" w:type="dxa"/>
            <w:vAlign w:val="center"/>
          </w:tcPr>
          <w:p w14:paraId="58EA0FE3" w14:textId="77777777" w:rsidR="001A327B" w:rsidRPr="00CD124C" w:rsidRDefault="001A327B" w:rsidP="007127C1">
            <w:pPr>
              <w:jc w:val="center"/>
              <w:rPr>
                <w:rFonts w:ascii="Helvetica" w:hAnsi="Helvetica" w:cs="Helvetica"/>
                <w:sz w:val="12"/>
                <w:szCs w:val="12"/>
              </w:rPr>
            </w:pPr>
            <w:r w:rsidRPr="00CD124C">
              <w:rPr>
                <w:rFonts w:ascii="Helvetica" w:hAnsi="Helvetica" w:cs="Helvetica"/>
                <w:sz w:val="12"/>
                <w:szCs w:val="12"/>
              </w:rPr>
              <w:t>30</w:t>
            </w:r>
          </w:p>
        </w:tc>
        <w:tc>
          <w:tcPr>
            <w:tcW w:w="709" w:type="dxa"/>
            <w:tcBorders>
              <w:bottom w:val="single" w:sz="4" w:space="0" w:color="000000" w:themeColor="text1"/>
            </w:tcBorders>
            <w:shd w:val="clear" w:color="auto" w:fill="8C8C8C"/>
            <w:vAlign w:val="center"/>
          </w:tcPr>
          <w:p w14:paraId="26705AD2" w14:textId="77777777" w:rsidR="001A327B" w:rsidRPr="00CD124C" w:rsidRDefault="001A327B" w:rsidP="007127C1">
            <w:pPr>
              <w:jc w:val="center"/>
              <w:rPr>
                <w:rFonts w:ascii="Helvetica" w:hAnsi="Helvetica" w:cs="Helvetica"/>
                <w:sz w:val="12"/>
                <w:szCs w:val="12"/>
              </w:rPr>
            </w:pPr>
          </w:p>
        </w:tc>
        <w:tc>
          <w:tcPr>
            <w:tcW w:w="567" w:type="dxa"/>
            <w:shd w:val="clear" w:color="auto" w:fill="8C8C8C"/>
            <w:vAlign w:val="center"/>
          </w:tcPr>
          <w:p w14:paraId="3F58FE95" w14:textId="77777777" w:rsidR="001A327B" w:rsidRPr="00CD124C" w:rsidRDefault="001A327B" w:rsidP="007127C1">
            <w:pPr>
              <w:jc w:val="center"/>
              <w:rPr>
                <w:rFonts w:ascii="Helvetica" w:hAnsi="Helvetica" w:cs="Helvetica"/>
                <w:sz w:val="12"/>
                <w:szCs w:val="12"/>
              </w:rPr>
            </w:pPr>
          </w:p>
        </w:tc>
        <w:tc>
          <w:tcPr>
            <w:tcW w:w="1100" w:type="dxa"/>
            <w:vAlign w:val="center"/>
          </w:tcPr>
          <w:p w14:paraId="542B813B"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140</w:t>
            </w:r>
          </w:p>
        </w:tc>
      </w:tr>
      <w:tr w:rsidR="001A327B" w:rsidRPr="0011096D" w14:paraId="3C802184" w14:textId="77777777" w:rsidTr="007127C1">
        <w:tc>
          <w:tcPr>
            <w:tcW w:w="2340" w:type="dxa"/>
            <w:gridSpan w:val="2"/>
            <w:vAlign w:val="center"/>
          </w:tcPr>
          <w:p w14:paraId="1D47E93E"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4"/>
                <w:szCs w:val="14"/>
              </w:rPr>
              <w:t>Total</w:t>
            </w:r>
          </w:p>
        </w:tc>
        <w:tc>
          <w:tcPr>
            <w:tcW w:w="828" w:type="dxa"/>
            <w:shd w:val="clear" w:color="auto" w:fill="808080"/>
            <w:vAlign w:val="center"/>
          </w:tcPr>
          <w:p w14:paraId="6ACBB355" w14:textId="77777777" w:rsidR="001A327B" w:rsidRPr="00CD124C" w:rsidRDefault="001A327B" w:rsidP="007127C1">
            <w:pPr>
              <w:jc w:val="center"/>
              <w:rPr>
                <w:rFonts w:ascii="Helvetica" w:hAnsi="Helvetica" w:cs="Helvetica"/>
                <w:b/>
                <w:sz w:val="12"/>
                <w:szCs w:val="12"/>
              </w:rPr>
            </w:pPr>
          </w:p>
        </w:tc>
        <w:tc>
          <w:tcPr>
            <w:tcW w:w="567" w:type="dxa"/>
            <w:vAlign w:val="center"/>
          </w:tcPr>
          <w:p w14:paraId="23ABAC7B"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750</w:t>
            </w:r>
          </w:p>
        </w:tc>
        <w:tc>
          <w:tcPr>
            <w:tcW w:w="567" w:type="dxa"/>
            <w:shd w:val="clear" w:color="auto" w:fill="8C8C8C"/>
            <w:vAlign w:val="center"/>
          </w:tcPr>
          <w:p w14:paraId="0C04B40B" w14:textId="77777777" w:rsidR="001A327B" w:rsidRPr="00CD124C" w:rsidRDefault="001A327B" w:rsidP="007127C1">
            <w:pPr>
              <w:rPr>
                <w:rFonts w:ascii="Helvetica" w:hAnsi="Helvetica" w:cs="Helvetica"/>
                <w:b/>
                <w:sz w:val="12"/>
                <w:szCs w:val="12"/>
              </w:rPr>
            </w:pPr>
          </w:p>
        </w:tc>
        <w:tc>
          <w:tcPr>
            <w:tcW w:w="468" w:type="dxa"/>
            <w:vAlign w:val="center"/>
          </w:tcPr>
          <w:p w14:paraId="2B7BB6CE"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930</w:t>
            </w:r>
          </w:p>
        </w:tc>
        <w:tc>
          <w:tcPr>
            <w:tcW w:w="1092" w:type="dxa"/>
            <w:shd w:val="clear" w:color="auto" w:fill="8C8C8C"/>
            <w:vAlign w:val="center"/>
          </w:tcPr>
          <w:p w14:paraId="4420C824" w14:textId="77777777" w:rsidR="001A327B" w:rsidRPr="00CD124C" w:rsidRDefault="001A327B" w:rsidP="007127C1">
            <w:pPr>
              <w:jc w:val="center"/>
              <w:rPr>
                <w:rFonts w:ascii="Helvetica" w:hAnsi="Helvetica" w:cs="Helvetica"/>
                <w:b/>
                <w:sz w:val="12"/>
                <w:szCs w:val="12"/>
              </w:rPr>
            </w:pPr>
          </w:p>
        </w:tc>
        <w:tc>
          <w:tcPr>
            <w:tcW w:w="567" w:type="dxa"/>
            <w:vAlign w:val="center"/>
          </w:tcPr>
          <w:p w14:paraId="38AAD59C"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200</w:t>
            </w:r>
          </w:p>
        </w:tc>
        <w:tc>
          <w:tcPr>
            <w:tcW w:w="708" w:type="dxa"/>
            <w:shd w:val="clear" w:color="auto" w:fill="8C8C8C"/>
            <w:vAlign w:val="center"/>
          </w:tcPr>
          <w:p w14:paraId="0CD194EC" w14:textId="77777777" w:rsidR="001A327B" w:rsidRPr="00CD124C" w:rsidRDefault="001A327B" w:rsidP="007127C1">
            <w:pPr>
              <w:jc w:val="center"/>
              <w:rPr>
                <w:rFonts w:ascii="Helvetica" w:hAnsi="Helvetica" w:cs="Helvetica"/>
                <w:b/>
                <w:sz w:val="12"/>
                <w:szCs w:val="12"/>
              </w:rPr>
            </w:pPr>
          </w:p>
        </w:tc>
        <w:tc>
          <w:tcPr>
            <w:tcW w:w="567" w:type="dxa"/>
            <w:vAlign w:val="center"/>
          </w:tcPr>
          <w:p w14:paraId="5F4ACDA4"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770</w:t>
            </w:r>
          </w:p>
        </w:tc>
        <w:tc>
          <w:tcPr>
            <w:tcW w:w="709" w:type="dxa"/>
            <w:shd w:val="clear" w:color="auto" w:fill="8C8C8C"/>
            <w:vAlign w:val="center"/>
          </w:tcPr>
          <w:p w14:paraId="53BFF75A" w14:textId="77777777" w:rsidR="001A327B" w:rsidRPr="00CD124C" w:rsidRDefault="001A327B" w:rsidP="007127C1">
            <w:pPr>
              <w:jc w:val="center"/>
              <w:rPr>
                <w:rFonts w:ascii="Helvetica" w:hAnsi="Helvetica" w:cs="Helvetica"/>
                <w:b/>
                <w:sz w:val="12"/>
                <w:szCs w:val="12"/>
              </w:rPr>
            </w:pPr>
          </w:p>
        </w:tc>
        <w:tc>
          <w:tcPr>
            <w:tcW w:w="567" w:type="dxa"/>
            <w:vAlign w:val="center"/>
          </w:tcPr>
          <w:p w14:paraId="06810B52" w14:textId="77777777" w:rsidR="001A327B" w:rsidRPr="00CD124C" w:rsidRDefault="001A327B" w:rsidP="007127C1">
            <w:pPr>
              <w:jc w:val="center"/>
              <w:rPr>
                <w:rFonts w:ascii="Helvetica" w:hAnsi="Helvetica" w:cs="Helvetica"/>
                <w:b/>
                <w:sz w:val="12"/>
                <w:szCs w:val="12"/>
              </w:rPr>
            </w:pPr>
            <w:r w:rsidRPr="00CD124C">
              <w:rPr>
                <w:rFonts w:ascii="Helvetica" w:hAnsi="Helvetica" w:cs="Helvetica"/>
                <w:b/>
                <w:sz w:val="12"/>
                <w:szCs w:val="12"/>
              </w:rPr>
              <w:t>1990</w:t>
            </w:r>
          </w:p>
        </w:tc>
        <w:tc>
          <w:tcPr>
            <w:tcW w:w="1100" w:type="dxa"/>
            <w:vAlign w:val="center"/>
          </w:tcPr>
          <w:p w14:paraId="1F9BF12D" w14:textId="77777777" w:rsidR="001A327B" w:rsidRPr="0011096D" w:rsidRDefault="001A327B" w:rsidP="007127C1">
            <w:pPr>
              <w:jc w:val="center"/>
              <w:rPr>
                <w:rFonts w:ascii="Helvetica" w:hAnsi="Helvetica" w:cs="Helvetica"/>
                <w:b/>
                <w:sz w:val="16"/>
                <w:szCs w:val="16"/>
              </w:rPr>
            </w:pPr>
            <w:r w:rsidRPr="0011096D">
              <w:rPr>
                <w:rFonts w:ascii="Helvetica" w:hAnsi="Helvetica" w:cs="Helvetica"/>
                <w:b/>
                <w:sz w:val="16"/>
                <w:szCs w:val="16"/>
              </w:rPr>
              <w:t>4640</w:t>
            </w:r>
          </w:p>
        </w:tc>
      </w:tr>
    </w:tbl>
    <w:p w14:paraId="074376FB" w14:textId="77777777" w:rsidR="001A327B" w:rsidRDefault="001A327B" w:rsidP="00F33808">
      <w:pPr>
        <w:jc w:val="both"/>
        <w:rPr>
          <w:rFonts w:cs="Helvetica"/>
        </w:rPr>
      </w:pPr>
    </w:p>
    <w:p w14:paraId="1CECD834" w14:textId="68CA280C" w:rsidR="006D0B72" w:rsidRDefault="00FE318A" w:rsidP="00363E9B">
      <w:pPr>
        <w:jc w:val="both"/>
        <w:rPr>
          <w:rFonts w:cs="Helvetica"/>
        </w:rPr>
      </w:pPr>
      <w:r>
        <w:rPr>
          <w:rFonts w:cs="Helvetica"/>
        </w:rPr>
        <w:t>En 2011, on pouvait estimer le commerce informel total à plus de 150 millions de dollars. Or, on peut ainsi estimer l</w:t>
      </w:r>
      <w:r w:rsidRPr="005769C6">
        <w:rPr>
          <w:rFonts w:cs="Helvetica"/>
        </w:rPr>
        <w:t xml:space="preserve">e chiffre d’affaires hebdomadaire du commerce au </w:t>
      </w:r>
      <w:r>
        <w:rPr>
          <w:rFonts w:cs="Helvetica"/>
        </w:rPr>
        <w:t>nord</w:t>
      </w:r>
      <w:r w:rsidRPr="005769C6">
        <w:rPr>
          <w:rFonts w:cs="Helvetica"/>
        </w:rPr>
        <w:t xml:space="preserve"> Mali e</w:t>
      </w:r>
      <w:r>
        <w:rPr>
          <w:rFonts w:cs="Helvetica"/>
        </w:rPr>
        <w:t>n 2014 à</w:t>
      </w:r>
      <w:r w:rsidRPr="005769C6">
        <w:rPr>
          <w:rFonts w:cs="Helvetica"/>
        </w:rPr>
        <w:t xml:space="preserve"> 654.657.000 FCFA, soit environ 1,36 million USD, ce qui permet d’estimer les importations maliennes à plus de 54 millions USD annuels</w:t>
      </w:r>
      <w:r>
        <w:rPr>
          <w:rFonts w:cs="Helvetica"/>
        </w:rPr>
        <w:t xml:space="preserve"> (voit détail du calcul en encadré 1)</w:t>
      </w:r>
      <w:r w:rsidRPr="005769C6">
        <w:rPr>
          <w:rFonts w:cs="Helvetica"/>
        </w:rPr>
        <w:t xml:space="preserve">. </w:t>
      </w:r>
      <w:r>
        <w:rPr>
          <w:rFonts w:cs="Helvetica"/>
        </w:rPr>
        <w:t>C</w:t>
      </w:r>
      <w:r w:rsidR="006D0B72">
        <w:rPr>
          <w:rFonts w:cs="Helvetica"/>
        </w:rPr>
        <w:t xml:space="preserve">e chiffre d’affaires a baissé d’environ 2/3 depuis 2011, pic du commerce entre Mali et Algérie. </w:t>
      </w:r>
    </w:p>
    <w:p w14:paraId="452EFA56" w14:textId="55AD1340" w:rsidR="00363E9B" w:rsidRPr="00DD5627" w:rsidRDefault="00363E9B" w:rsidP="00363E9B">
      <w:pPr>
        <w:jc w:val="both"/>
      </w:pPr>
      <w:r>
        <w:t xml:space="preserve">Les statistiques officielles semblent ainsi totalement inadéquates puisque les </w:t>
      </w:r>
      <w:r w:rsidR="00C85198">
        <w:t>A</w:t>
      </w:r>
      <w:r>
        <w:t xml:space="preserve">lgériens déclaraient officiellement 1,02 million d’exportations et les </w:t>
      </w:r>
      <w:r w:rsidR="00C85198">
        <w:t>M</w:t>
      </w:r>
      <w:r>
        <w:t>aliens 1,89 million d’importations en 2011, soit respectivement 0,6% et 1,2% du volume de commerce informel estimé.</w:t>
      </w:r>
    </w:p>
    <w:p w14:paraId="36469EF8" w14:textId="0E22201B" w:rsidR="00DD5627" w:rsidRDefault="00DD5627" w:rsidP="00FE318A">
      <w:pPr>
        <w:pStyle w:val="Caption"/>
        <w:pBdr>
          <w:top w:val="single" w:sz="4" w:space="1" w:color="auto"/>
          <w:left w:val="single" w:sz="4" w:space="1" w:color="auto"/>
          <w:bottom w:val="single" w:sz="4" w:space="1" w:color="auto"/>
          <w:right w:val="single" w:sz="4" w:space="1" w:color="auto"/>
        </w:pBdr>
      </w:pPr>
      <w:r>
        <w:t xml:space="preserve">Encadré </w:t>
      </w:r>
      <w:r>
        <w:fldChar w:fldCharType="begin"/>
      </w:r>
      <w:r>
        <w:instrText xml:space="preserve"> SEQ Encadré \* ARABIC </w:instrText>
      </w:r>
      <w:r>
        <w:fldChar w:fldCharType="separate"/>
      </w:r>
      <w:r w:rsidR="008229BD">
        <w:rPr>
          <w:noProof/>
        </w:rPr>
        <w:t>1</w:t>
      </w:r>
      <w:r>
        <w:fldChar w:fldCharType="end"/>
      </w:r>
      <w:r>
        <w:t> : Détail des estimations du chiffre d’affaires de la contrebande à destination du Mali</w:t>
      </w:r>
      <w:r w:rsidR="00FE318A">
        <w:t xml:space="preserve"> en 2014</w:t>
      </w:r>
    </w:p>
    <w:p w14:paraId="06D81630" w14:textId="72EB1C82" w:rsidR="00F33808" w:rsidRPr="00FE318A" w:rsidRDefault="00DD5627" w:rsidP="00095B80">
      <w:pPr>
        <w:pBdr>
          <w:top w:val="single" w:sz="4" w:space="1" w:color="auto"/>
          <w:left w:val="single" w:sz="4" w:space="1" w:color="auto"/>
          <w:bottom w:val="single" w:sz="4" w:space="1" w:color="auto"/>
          <w:right w:val="single" w:sz="4" w:space="1" w:color="auto"/>
        </w:pBdr>
        <w:jc w:val="both"/>
        <w:rPr>
          <w:sz w:val="20"/>
          <w:szCs w:val="20"/>
        </w:rPr>
      </w:pPr>
      <w:r w:rsidRPr="00FE318A">
        <w:rPr>
          <w:b/>
          <w:sz w:val="20"/>
          <w:szCs w:val="20"/>
        </w:rPr>
        <w:t>Les chiffres suivant sont des estimations hebdomadaires.</w:t>
      </w:r>
      <w:r w:rsidR="00FE318A" w:rsidRPr="00FE318A">
        <w:rPr>
          <w:b/>
          <w:sz w:val="20"/>
          <w:szCs w:val="20"/>
        </w:rPr>
        <w:t xml:space="preserve"> </w:t>
      </w:r>
      <w:r w:rsidR="00FE318A" w:rsidRPr="00095B80">
        <w:rPr>
          <w:sz w:val="20"/>
          <w:szCs w:val="20"/>
        </w:rPr>
        <w:t xml:space="preserve">En </w:t>
      </w:r>
      <w:r w:rsidR="00095B80">
        <w:rPr>
          <w:sz w:val="20"/>
          <w:szCs w:val="20"/>
        </w:rPr>
        <w:t>2014</w:t>
      </w:r>
      <w:r w:rsidR="00FE318A" w:rsidRPr="00095B80">
        <w:rPr>
          <w:sz w:val="20"/>
          <w:szCs w:val="20"/>
        </w:rPr>
        <w:t xml:space="preserve">, </w:t>
      </w:r>
      <w:r w:rsidR="00095B80">
        <w:rPr>
          <w:sz w:val="20"/>
          <w:szCs w:val="20"/>
        </w:rPr>
        <w:t xml:space="preserve">la répartition des </w:t>
      </w:r>
      <w:r w:rsidR="00F33808" w:rsidRPr="00FE318A">
        <w:rPr>
          <w:sz w:val="20"/>
          <w:szCs w:val="20"/>
        </w:rPr>
        <w:t>camions</w:t>
      </w:r>
      <w:r w:rsidR="00095B80">
        <w:rPr>
          <w:sz w:val="20"/>
          <w:szCs w:val="20"/>
        </w:rPr>
        <w:t xml:space="preserve"> est composée de </w:t>
      </w:r>
      <w:r w:rsidR="00F33808" w:rsidRPr="00FE318A">
        <w:rPr>
          <w:sz w:val="20"/>
          <w:szCs w:val="20"/>
        </w:rPr>
        <w:t>14 camions de farine</w:t>
      </w:r>
      <w:r w:rsidR="00095B80">
        <w:rPr>
          <w:sz w:val="20"/>
          <w:szCs w:val="20"/>
        </w:rPr>
        <w:t xml:space="preserve">, 10 camions de pates, 5 camions de carburant, </w:t>
      </w:r>
      <w:r w:rsidR="00F33808" w:rsidRPr="00FE318A">
        <w:rPr>
          <w:sz w:val="20"/>
          <w:szCs w:val="20"/>
        </w:rPr>
        <w:t>4 camions d</w:t>
      </w:r>
      <w:r w:rsidR="00095B80">
        <w:rPr>
          <w:sz w:val="20"/>
          <w:szCs w:val="20"/>
        </w:rPr>
        <w:t xml:space="preserve">e semoule de blé, 3 camions de sucre, un camion de lait en poudre, </w:t>
      </w:r>
      <w:r w:rsidR="00F33808" w:rsidRPr="00FE318A">
        <w:rPr>
          <w:sz w:val="20"/>
          <w:szCs w:val="20"/>
        </w:rPr>
        <w:t>un</w:t>
      </w:r>
      <w:r w:rsidR="00095B80">
        <w:rPr>
          <w:sz w:val="20"/>
          <w:szCs w:val="20"/>
        </w:rPr>
        <w:t xml:space="preserve"> camion d’électroménager, et </w:t>
      </w:r>
      <w:r w:rsidR="00F33808" w:rsidRPr="00FE318A">
        <w:rPr>
          <w:sz w:val="20"/>
          <w:szCs w:val="20"/>
        </w:rPr>
        <w:t>2 camions d’autres produits.</w:t>
      </w:r>
    </w:p>
    <w:p w14:paraId="2AD7DA00" w14:textId="3ABAD4A2"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xml:space="preserve">- La farine représentait un chiffre d’affaires de 401.000.000 FCFA  en 2011 </w:t>
      </w:r>
      <w:r w:rsidR="00C23DC0">
        <w:rPr>
          <w:rFonts w:cs="Helvetica"/>
          <w:sz w:val="20"/>
          <w:szCs w:val="20"/>
        </w:rPr>
        <w:t>(</w:t>
      </w:r>
      <w:r w:rsidR="00605322">
        <w:rPr>
          <w:rFonts w:cs="Helvetica"/>
          <w:sz w:val="20"/>
          <w:szCs w:val="20"/>
        </w:rPr>
        <w:t>les tonnages ont été multipliés par les prix de vente dans chaque ville</w:t>
      </w:r>
      <w:r w:rsidR="00605322" w:rsidRPr="005769C6">
        <w:rPr>
          <w:rStyle w:val="FootnoteReference"/>
          <w:rFonts w:cs="Helvetica"/>
        </w:rPr>
        <w:footnoteReference w:id="21"/>
      </w:r>
      <w:r w:rsidR="00605322">
        <w:rPr>
          <w:rFonts w:cs="Helvetica"/>
          <w:sz w:val="20"/>
          <w:szCs w:val="20"/>
        </w:rPr>
        <w:t xml:space="preserve">) </w:t>
      </w:r>
      <w:r w:rsidRPr="00DD5627">
        <w:rPr>
          <w:rFonts w:cs="Helvetica"/>
          <w:sz w:val="20"/>
          <w:szCs w:val="20"/>
        </w:rPr>
        <w:t>et a connu une baisse de 60% en 2014, et une inflation de 30%</w:t>
      </w:r>
      <w:r w:rsidR="00605322">
        <w:rPr>
          <w:rStyle w:val="FootnoteReference"/>
          <w:rFonts w:cs="Helvetica"/>
          <w:sz w:val="20"/>
          <w:szCs w:val="20"/>
        </w:rPr>
        <w:footnoteReference w:id="22"/>
      </w:r>
      <w:r w:rsidRPr="00DD5627">
        <w:rPr>
          <w:rFonts w:cs="Helvetica"/>
          <w:sz w:val="20"/>
          <w:szCs w:val="20"/>
        </w:rPr>
        <w:t xml:space="preserve"> , soit un chiffre d’affaires de 178.400.000 FCFA</w:t>
      </w:r>
      <w:r w:rsidR="00DD5627">
        <w:rPr>
          <w:rFonts w:cs="Helvetica"/>
          <w:sz w:val="20"/>
          <w:szCs w:val="20"/>
        </w:rPr>
        <w:t xml:space="preserve"> en 2014</w:t>
      </w:r>
      <w:r w:rsidRPr="00DD5627">
        <w:rPr>
          <w:rFonts w:cs="Helvetica"/>
          <w:sz w:val="20"/>
          <w:szCs w:val="20"/>
        </w:rPr>
        <w:t xml:space="preserve">. </w:t>
      </w:r>
    </w:p>
    <w:p w14:paraId="35D2EC12" w14:textId="53D559A1"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Les pates représentaient un chiffre d’affaires de 483.400.000 FCFA en 2011 et ont enregistré une baisse de 66% en 2014, soit 161.000.000 FCFA</w:t>
      </w:r>
      <w:r w:rsidR="00DD5627">
        <w:rPr>
          <w:rFonts w:cs="Helvetica"/>
          <w:sz w:val="20"/>
          <w:szCs w:val="20"/>
        </w:rPr>
        <w:t xml:space="preserve"> avec une </w:t>
      </w:r>
      <w:r w:rsidRPr="00DD5627">
        <w:rPr>
          <w:rFonts w:cs="Helvetica"/>
          <w:sz w:val="20"/>
          <w:szCs w:val="20"/>
        </w:rPr>
        <w:t xml:space="preserve">inflation de 30% à Gao et Kidal, et de 45% à Tombouctou, </w:t>
      </w:r>
      <w:r w:rsidR="00DD5627">
        <w:rPr>
          <w:rFonts w:cs="Helvetica"/>
          <w:sz w:val="20"/>
          <w:szCs w:val="20"/>
        </w:rPr>
        <w:t>soit</w:t>
      </w:r>
      <w:r w:rsidR="00104617">
        <w:rPr>
          <w:rFonts w:cs="Helvetica"/>
          <w:sz w:val="20"/>
          <w:szCs w:val="20"/>
        </w:rPr>
        <w:t xml:space="preserve"> </w:t>
      </w:r>
      <w:r w:rsidR="00DD5627">
        <w:rPr>
          <w:rFonts w:cs="Helvetica"/>
          <w:sz w:val="20"/>
          <w:szCs w:val="20"/>
        </w:rPr>
        <w:t>un</w:t>
      </w:r>
      <w:r w:rsidR="00B902A5">
        <w:rPr>
          <w:rFonts w:cs="Helvetica"/>
          <w:sz w:val="20"/>
          <w:szCs w:val="20"/>
        </w:rPr>
        <w:t xml:space="preserve"> </w:t>
      </w:r>
      <w:r w:rsidR="00DD5627">
        <w:rPr>
          <w:rFonts w:cs="Helvetica"/>
          <w:sz w:val="20"/>
          <w:szCs w:val="20"/>
        </w:rPr>
        <w:t>chiffre d’Affaires de</w:t>
      </w:r>
      <w:r w:rsidRPr="00DD5627">
        <w:rPr>
          <w:rFonts w:cs="Helvetica"/>
          <w:sz w:val="20"/>
          <w:szCs w:val="20"/>
        </w:rPr>
        <w:t xml:space="preserve"> 217.000.000 FCFA.</w:t>
      </w:r>
    </w:p>
    <w:p w14:paraId="77B73F9C" w14:textId="77777777"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Le carburant représentait un chiffre d’affaires de 150.700.000 FCFA en 2011 et a connu une baisse de 84% en 2014, soit un chiffre d’affaires de 24.100.000 FCFA</w:t>
      </w:r>
      <w:r w:rsidR="00DD5627">
        <w:rPr>
          <w:rFonts w:cs="Helvetica"/>
          <w:sz w:val="20"/>
          <w:szCs w:val="20"/>
        </w:rPr>
        <w:t xml:space="preserve"> auquel on doit</w:t>
      </w:r>
      <w:r w:rsidRPr="00DD5627">
        <w:rPr>
          <w:rFonts w:cs="Helvetica"/>
          <w:sz w:val="20"/>
          <w:szCs w:val="20"/>
        </w:rPr>
        <w:t xml:space="preserve"> tenir compte de l’inflation de 100% au </w:t>
      </w:r>
      <w:r w:rsidR="00AF3227">
        <w:rPr>
          <w:rFonts w:cs="Helvetica"/>
          <w:sz w:val="20"/>
          <w:szCs w:val="20"/>
        </w:rPr>
        <w:t>nord</w:t>
      </w:r>
      <w:r w:rsidRPr="00DD5627">
        <w:rPr>
          <w:rFonts w:cs="Helvetica"/>
          <w:sz w:val="20"/>
          <w:szCs w:val="20"/>
        </w:rPr>
        <w:t xml:space="preserve"> du Mali, </w:t>
      </w:r>
      <w:r w:rsidR="00DD5627">
        <w:rPr>
          <w:rFonts w:cs="Helvetica"/>
          <w:sz w:val="20"/>
          <w:szCs w:val="20"/>
        </w:rPr>
        <w:t>soit un chiffre d’Affaires de</w:t>
      </w:r>
      <w:r w:rsidRPr="00DD5627">
        <w:rPr>
          <w:rFonts w:cs="Helvetica"/>
          <w:sz w:val="20"/>
          <w:szCs w:val="20"/>
        </w:rPr>
        <w:t xml:space="preserve"> 48.200.000 FCFA.</w:t>
      </w:r>
    </w:p>
    <w:p w14:paraId="4C10320A" w14:textId="3ADC63B5"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La semoule de blé représentait un chiffre d’affaires de 183.500.000 FCFA en 2011 et a connu une baisse de 84% en 2014, soit un chiffre d’affaires de 32.400.000 FCFA</w:t>
      </w:r>
      <w:r w:rsidR="00426FF9">
        <w:rPr>
          <w:rFonts w:cs="Helvetica"/>
          <w:sz w:val="20"/>
          <w:szCs w:val="20"/>
        </w:rPr>
        <w:t xml:space="preserve"> avec</w:t>
      </w:r>
      <w:r w:rsidR="00B902A5">
        <w:rPr>
          <w:rFonts w:cs="Helvetica"/>
          <w:sz w:val="20"/>
          <w:szCs w:val="20"/>
        </w:rPr>
        <w:t xml:space="preserve"> </w:t>
      </w:r>
      <w:r w:rsidR="00426FF9">
        <w:rPr>
          <w:rFonts w:cs="Helvetica"/>
          <w:sz w:val="20"/>
          <w:szCs w:val="20"/>
        </w:rPr>
        <w:t xml:space="preserve">une </w:t>
      </w:r>
      <w:r w:rsidRPr="00DD5627">
        <w:rPr>
          <w:rFonts w:cs="Helvetica"/>
          <w:sz w:val="20"/>
          <w:szCs w:val="20"/>
        </w:rPr>
        <w:t xml:space="preserve">inflation de 75% à Gao et Kidal, et de 230% à Tombouctou (où moins d’un camion par semaine est enregistré), </w:t>
      </w:r>
      <w:r w:rsidR="00426FF9">
        <w:rPr>
          <w:rFonts w:cs="Helvetica"/>
          <w:sz w:val="20"/>
          <w:szCs w:val="20"/>
        </w:rPr>
        <w:t>ce qui donne un chiffre d’Affaires de</w:t>
      </w:r>
      <w:r w:rsidRPr="00DD5627">
        <w:rPr>
          <w:rFonts w:cs="Helvetica"/>
          <w:sz w:val="20"/>
          <w:szCs w:val="20"/>
        </w:rPr>
        <w:t xml:space="preserve"> 56.700.000 FCFA.</w:t>
      </w:r>
    </w:p>
    <w:p w14:paraId="245C98E7" w14:textId="77777777"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Le sucre représentait un chiffre d’affaires de 81.700.000 FCFA en 2011 et a connu une baisse de 50% en 2014, soit un chiffre d’affaires de 40.850.000 FCFA</w:t>
      </w:r>
      <w:r w:rsidR="00426FF9">
        <w:rPr>
          <w:rFonts w:cs="Helvetica"/>
          <w:sz w:val="20"/>
          <w:szCs w:val="20"/>
        </w:rPr>
        <w:t xml:space="preserve"> auquel on ajoute une </w:t>
      </w:r>
      <w:r w:rsidRPr="00DD5627">
        <w:rPr>
          <w:rFonts w:cs="Helvetica"/>
          <w:sz w:val="20"/>
          <w:szCs w:val="20"/>
        </w:rPr>
        <w:t xml:space="preserve">inflation uniforme de 25% au </w:t>
      </w:r>
      <w:r w:rsidR="00AF3227">
        <w:rPr>
          <w:rFonts w:cs="Helvetica"/>
          <w:sz w:val="20"/>
          <w:szCs w:val="20"/>
        </w:rPr>
        <w:t>nord</w:t>
      </w:r>
      <w:r w:rsidRPr="00DD5627">
        <w:rPr>
          <w:rFonts w:cs="Helvetica"/>
          <w:sz w:val="20"/>
          <w:szCs w:val="20"/>
        </w:rPr>
        <w:t xml:space="preserve"> du Mali, ce qui augmente le chiffre d’Affaires à 51.000.000 FCFA.</w:t>
      </w:r>
    </w:p>
    <w:p w14:paraId="0F62A5A5" w14:textId="33E9F803"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Le lait en poudre représentait un chiffre d’affaires de 166.830.000 FCFA en 2011 et a connu une baisse de 80% en 2014, soit un chiffre d’affaires de 33.366.000 FCFA</w:t>
      </w:r>
      <w:r w:rsidR="00426FF9">
        <w:rPr>
          <w:rFonts w:cs="Helvetica"/>
          <w:sz w:val="20"/>
          <w:szCs w:val="20"/>
        </w:rPr>
        <w:t xml:space="preserve"> et</w:t>
      </w:r>
      <w:r w:rsidR="00B902A5">
        <w:rPr>
          <w:rFonts w:cs="Helvetica"/>
          <w:sz w:val="20"/>
          <w:szCs w:val="20"/>
        </w:rPr>
        <w:t xml:space="preserve"> </w:t>
      </w:r>
      <w:r w:rsidR="00426FF9">
        <w:rPr>
          <w:rFonts w:cs="Helvetica"/>
          <w:sz w:val="20"/>
          <w:szCs w:val="20"/>
        </w:rPr>
        <w:t xml:space="preserve">avec une </w:t>
      </w:r>
      <w:r w:rsidRPr="00DD5627">
        <w:rPr>
          <w:rFonts w:cs="Helvetica"/>
          <w:sz w:val="20"/>
          <w:szCs w:val="20"/>
        </w:rPr>
        <w:t xml:space="preserve">inflation uniforme de 120% au </w:t>
      </w:r>
      <w:r w:rsidR="00AF3227">
        <w:rPr>
          <w:rFonts w:cs="Helvetica"/>
          <w:sz w:val="20"/>
          <w:szCs w:val="20"/>
        </w:rPr>
        <w:t>nord</w:t>
      </w:r>
      <w:r w:rsidRPr="00DD5627">
        <w:rPr>
          <w:rFonts w:cs="Helvetica"/>
          <w:sz w:val="20"/>
          <w:szCs w:val="20"/>
        </w:rPr>
        <w:t xml:space="preserve"> du Mali, </w:t>
      </w:r>
      <w:r w:rsidR="00426FF9">
        <w:rPr>
          <w:rFonts w:cs="Helvetica"/>
          <w:sz w:val="20"/>
          <w:szCs w:val="20"/>
        </w:rPr>
        <w:t xml:space="preserve">soit </w:t>
      </w:r>
      <w:r w:rsidRPr="00DD5627">
        <w:rPr>
          <w:rFonts w:cs="Helvetica"/>
          <w:sz w:val="20"/>
          <w:szCs w:val="20"/>
        </w:rPr>
        <w:t>73.414.000 FCFA.</w:t>
      </w:r>
    </w:p>
    <w:p w14:paraId="5679689B" w14:textId="31DC5C17"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lastRenderedPageBreak/>
        <w:t>- L’électroménager représentait un chiffre d’affaires de 40.720.000 FCFA en 2011 et a connu une baisse de 80% en 2014, soit un chiffre d’affaires de 8.140.000 FCFA</w:t>
      </w:r>
      <w:r w:rsidR="00426FF9">
        <w:rPr>
          <w:rFonts w:cs="Helvetica"/>
          <w:sz w:val="20"/>
          <w:szCs w:val="20"/>
        </w:rPr>
        <w:t xml:space="preserve"> avec</w:t>
      </w:r>
      <w:r w:rsidR="00B902A5">
        <w:rPr>
          <w:rFonts w:cs="Helvetica"/>
          <w:sz w:val="20"/>
          <w:szCs w:val="20"/>
        </w:rPr>
        <w:t xml:space="preserve"> </w:t>
      </w:r>
      <w:r w:rsidR="00426FF9">
        <w:rPr>
          <w:rFonts w:cs="Helvetica"/>
          <w:sz w:val="20"/>
          <w:szCs w:val="20"/>
        </w:rPr>
        <w:t xml:space="preserve">une </w:t>
      </w:r>
      <w:r w:rsidRPr="00DD5627">
        <w:rPr>
          <w:rFonts w:cs="Helvetica"/>
          <w:sz w:val="20"/>
          <w:szCs w:val="20"/>
        </w:rPr>
        <w:t>inflation unifor</w:t>
      </w:r>
      <w:r w:rsidR="00426FF9">
        <w:rPr>
          <w:rFonts w:cs="Helvetica"/>
          <w:sz w:val="20"/>
          <w:szCs w:val="20"/>
        </w:rPr>
        <w:t xml:space="preserve">me de 25% au </w:t>
      </w:r>
      <w:r w:rsidR="00AF3227">
        <w:rPr>
          <w:rFonts w:cs="Helvetica"/>
          <w:sz w:val="20"/>
          <w:szCs w:val="20"/>
        </w:rPr>
        <w:t>nord</w:t>
      </w:r>
      <w:r w:rsidR="00426FF9">
        <w:rPr>
          <w:rFonts w:cs="Helvetica"/>
          <w:sz w:val="20"/>
          <w:szCs w:val="20"/>
        </w:rPr>
        <w:t xml:space="preserve"> du Mali, soit</w:t>
      </w:r>
      <w:r w:rsidRPr="00DD5627">
        <w:rPr>
          <w:rFonts w:cs="Helvetica"/>
          <w:sz w:val="20"/>
          <w:szCs w:val="20"/>
        </w:rPr>
        <w:t xml:space="preserve"> 10.175.000 FCFA.</w:t>
      </w:r>
    </w:p>
    <w:p w14:paraId="0AAEEEF5" w14:textId="51522C65" w:rsidR="00F33808" w:rsidRPr="00DD5627" w:rsidRDefault="00F33808" w:rsidP="00FE318A">
      <w:pPr>
        <w:pBdr>
          <w:top w:val="single" w:sz="4" w:space="1" w:color="auto"/>
          <w:left w:val="single" w:sz="4" w:space="1" w:color="auto"/>
          <w:bottom w:val="single" w:sz="4" w:space="1" w:color="auto"/>
          <w:right w:val="single" w:sz="4" w:space="1" w:color="auto"/>
        </w:pBdr>
        <w:spacing w:after="0"/>
        <w:jc w:val="both"/>
        <w:rPr>
          <w:rFonts w:cs="Helvetica"/>
          <w:sz w:val="20"/>
          <w:szCs w:val="20"/>
        </w:rPr>
      </w:pPr>
      <w:r w:rsidRPr="00DD5627">
        <w:rPr>
          <w:rFonts w:cs="Helvetica"/>
          <w:sz w:val="20"/>
          <w:szCs w:val="20"/>
        </w:rPr>
        <w:t>- Les autres produits représentaient un chiffre d’affaires</w:t>
      </w:r>
      <w:r w:rsidR="00426FF9">
        <w:rPr>
          <w:rFonts w:cs="Helvetica"/>
          <w:sz w:val="20"/>
          <w:szCs w:val="20"/>
        </w:rPr>
        <w:t xml:space="preserve"> de 70.600.000 FCFA en 2011 et ont</w:t>
      </w:r>
      <w:r w:rsidRPr="00DD5627">
        <w:rPr>
          <w:rFonts w:cs="Helvetica"/>
          <w:sz w:val="20"/>
          <w:szCs w:val="20"/>
        </w:rPr>
        <w:t xml:space="preserve"> connu une baisse de 80% en 2014, soit un chiffre d’affaires de 14.120.000 FCFA</w:t>
      </w:r>
      <w:r w:rsidR="00426FF9">
        <w:rPr>
          <w:rFonts w:cs="Helvetica"/>
          <w:sz w:val="20"/>
          <w:szCs w:val="20"/>
        </w:rPr>
        <w:t xml:space="preserve"> et</w:t>
      </w:r>
      <w:r w:rsidR="00B902A5">
        <w:rPr>
          <w:rFonts w:cs="Helvetica"/>
          <w:sz w:val="20"/>
          <w:szCs w:val="20"/>
        </w:rPr>
        <w:t xml:space="preserve"> </w:t>
      </w:r>
      <w:r w:rsidR="00426FF9">
        <w:rPr>
          <w:rFonts w:cs="Helvetica"/>
          <w:sz w:val="20"/>
          <w:szCs w:val="20"/>
        </w:rPr>
        <w:t xml:space="preserve">une </w:t>
      </w:r>
      <w:r w:rsidRPr="00DD5627">
        <w:rPr>
          <w:rFonts w:cs="Helvetica"/>
          <w:sz w:val="20"/>
          <w:szCs w:val="20"/>
        </w:rPr>
        <w:t>inflation uniforme</w:t>
      </w:r>
      <w:r w:rsidR="00426FF9">
        <w:rPr>
          <w:rFonts w:cs="Helvetica"/>
          <w:sz w:val="20"/>
          <w:szCs w:val="20"/>
        </w:rPr>
        <w:t xml:space="preserve"> de 40% au </w:t>
      </w:r>
      <w:r w:rsidR="00AF3227">
        <w:rPr>
          <w:rFonts w:cs="Helvetica"/>
          <w:sz w:val="20"/>
          <w:szCs w:val="20"/>
        </w:rPr>
        <w:t>nord</w:t>
      </w:r>
      <w:r w:rsidR="00426FF9">
        <w:rPr>
          <w:rFonts w:cs="Helvetica"/>
          <w:sz w:val="20"/>
          <w:szCs w:val="20"/>
        </w:rPr>
        <w:t xml:space="preserve"> du Mali, soit</w:t>
      </w:r>
      <w:r w:rsidRPr="00DD5627">
        <w:rPr>
          <w:rFonts w:cs="Helvetica"/>
          <w:sz w:val="20"/>
          <w:szCs w:val="20"/>
        </w:rPr>
        <w:t xml:space="preserve"> 19.768.000 FCFA.</w:t>
      </w:r>
    </w:p>
    <w:p w14:paraId="2716073C" w14:textId="77777777" w:rsidR="00FE318A" w:rsidRDefault="00FE318A" w:rsidP="006F4D3D">
      <w:pPr>
        <w:jc w:val="both"/>
      </w:pPr>
    </w:p>
    <w:p w14:paraId="7411EF03" w14:textId="77777777" w:rsidR="006F4D3D" w:rsidRDefault="006F4D3D" w:rsidP="006F4D3D">
      <w:pPr>
        <w:jc w:val="both"/>
      </w:pPr>
      <w:r w:rsidRPr="006F4D3D">
        <w:t xml:space="preserve">Ces estimations </w:t>
      </w:r>
      <w:r>
        <w:t>semblent conformes (et minimales) lorsqu’on les compare à des pays</w:t>
      </w:r>
      <w:r w:rsidR="000B5A53">
        <w:t xml:space="preserve"> de faible gouvernance</w:t>
      </w:r>
      <w:r>
        <w:t xml:space="preserve"> où ce même type d’estimation a été entrepris (voir tableau XX).</w:t>
      </w:r>
    </w:p>
    <w:p w14:paraId="6F0B4743" w14:textId="77777777" w:rsidR="000E254A" w:rsidRPr="000E254A" w:rsidRDefault="000E254A" w:rsidP="000E254A">
      <w:pPr>
        <w:pStyle w:val="Caption"/>
        <w:rPr>
          <w:color w:val="auto"/>
          <w:sz w:val="22"/>
          <w:szCs w:val="22"/>
        </w:rPr>
      </w:pPr>
      <w:r w:rsidRPr="000E254A">
        <w:rPr>
          <w:color w:val="auto"/>
          <w:sz w:val="22"/>
          <w:szCs w:val="22"/>
        </w:rPr>
        <w:t xml:space="preserve">Tableau </w:t>
      </w:r>
      <w:r w:rsidRPr="000E254A">
        <w:rPr>
          <w:color w:val="auto"/>
          <w:sz w:val="22"/>
          <w:szCs w:val="22"/>
        </w:rPr>
        <w:fldChar w:fldCharType="begin"/>
      </w:r>
      <w:r w:rsidRPr="000E254A">
        <w:rPr>
          <w:color w:val="auto"/>
          <w:sz w:val="22"/>
          <w:szCs w:val="22"/>
        </w:rPr>
        <w:instrText xml:space="preserve"> SEQ Tableau \* ARABIC </w:instrText>
      </w:r>
      <w:r w:rsidRPr="000E254A">
        <w:rPr>
          <w:color w:val="auto"/>
          <w:sz w:val="22"/>
          <w:szCs w:val="22"/>
        </w:rPr>
        <w:fldChar w:fldCharType="separate"/>
      </w:r>
      <w:r w:rsidR="008229BD">
        <w:rPr>
          <w:noProof/>
          <w:color w:val="auto"/>
          <w:sz w:val="22"/>
          <w:szCs w:val="22"/>
        </w:rPr>
        <w:t>6</w:t>
      </w:r>
      <w:r w:rsidRPr="000E254A">
        <w:rPr>
          <w:color w:val="auto"/>
          <w:sz w:val="22"/>
          <w:szCs w:val="22"/>
        </w:rPr>
        <w:fldChar w:fldCharType="end"/>
      </w:r>
      <w:r w:rsidRPr="000E254A">
        <w:rPr>
          <w:color w:val="auto"/>
          <w:sz w:val="22"/>
          <w:szCs w:val="22"/>
        </w:rPr>
        <w:t> :</w:t>
      </w:r>
      <w:r w:rsidRPr="000E254A">
        <w:rPr>
          <w:color w:val="auto"/>
          <w:sz w:val="22"/>
          <w:szCs w:val="22"/>
        </w:rPr>
        <w:tab/>
        <w:t>Comparaison du montant estimé d’importation informelle par habitant</w:t>
      </w:r>
    </w:p>
    <w:tbl>
      <w:tblPr>
        <w:tblStyle w:val="TableGrid"/>
        <w:tblW w:w="0" w:type="auto"/>
        <w:tblLook w:val="04A0" w:firstRow="1" w:lastRow="0" w:firstColumn="1" w:lastColumn="0" w:noHBand="0" w:noVBand="1"/>
      </w:tblPr>
      <w:tblGrid>
        <w:gridCol w:w="1458"/>
        <w:gridCol w:w="3510"/>
      </w:tblGrid>
      <w:tr w:rsidR="006F4D3D" w14:paraId="6F042592" w14:textId="77777777" w:rsidTr="000E254A">
        <w:tc>
          <w:tcPr>
            <w:tcW w:w="1458" w:type="dxa"/>
          </w:tcPr>
          <w:p w14:paraId="1EB9DB3D" w14:textId="77777777" w:rsidR="006F4D3D" w:rsidRPr="000E254A" w:rsidRDefault="006F4D3D" w:rsidP="006F4D3D">
            <w:pPr>
              <w:jc w:val="both"/>
              <w:rPr>
                <w:b/>
              </w:rPr>
            </w:pPr>
            <w:r w:rsidRPr="000E254A">
              <w:rPr>
                <w:b/>
              </w:rPr>
              <w:t>Pays</w:t>
            </w:r>
          </w:p>
        </w:tc>
        <w:tc>
          <w:tcPr>
            <w:tcW w:w="3510" w:type="dxa"/>
          </w:tcPr>
          <w:p w14:paraId="5B1C7D6A" w14:textId="77777777" w:rsidR="006F4D3D" w:rsidRPr="000E254A" w:rsidRDefault="006F4D3D" w:rsidP="006F4D3D">
            <w:pPr>
              <w:jc w:val="both"/>
              <w:rPr>
                <w:b/>
              </w:rPr>
            </w:pPr>
            <w:r w:rsidRPr="000E254A">
              <w:rPr>
                <w:b/>
              </w:rPr>
              <w:t>Montant estimé d’importation informelle par habitant</w:t>
            </w:r>
            <w:r w:rsidR="0040632B">
              <w:rPr>
                <w:b/>
              </w:rPr>
              <w:t xml:space="preserve"> (en USD)</w:t>
            </w:r>
          </w:p>
        </w:tc>
      </w:tr>
      <w:tr w:rsidR="006F4D3D" w14:paraId="3CB24ED1" w14:textId="77777777" w:rsidTr="000E254A">
        <w:tc>
          <w:tcPr>
            <w:tcW w:w="1458" w:type="dxa"/>
          </w:tcPr>
          <w:p w14:paraId="0D22389F" w14:textId="77777777" w:rsidR="006F4D3D" w:rsidRPr="00104617" w:rsidRDefault="006F4D3D" w:rsidP="006F4D3D">
            <w:pPr>
              <w:jc w:val="both"/>
              <w:rPr>
                <w:b/>
              </w:rPr>
            </w:pPr>
            <w:r w:rsidRPr="00104617">
              <w:rPr>
                <w:b/>
              </w:rPr>
              <w:t>Nigéria</w:t>
            </w:r>
          </w:p>
        </w:tc>
        <w:tc>
          <w:tcPr>
            <w:tcW w:w="3510" w:type="dxa"/>
          </w:tcPr>
          <w:p w14:paraId="74E2D27F" w14:textId="77777777" w:rsidR="006F4D3D" w:rsidRPr="00B734F7" w:rsidRDefault="0040632B" w:rsidP="0040632B">
            <w:pPr>
              <w:jc w:val="center"/>
            </w:pPr>
            <w:r w:rsidRPr="00B734F7">
              <w:t>250</w:t>
            </w:r>
          </w:p>
        </w:tc>
      </w:tr>
      <w:tr w:rsidR="006F4D3D" w14:paraId="2CAF15C5" w14:textId="77777777" w:rsidTr="000E254A">
        <w:tc>
          <w:tcPr>
            <w:tcW w:w="1458" w:type="dxa"/>
          </w:tcPr>
          <w:p w14:paraId="1F868B5C" w14:textId="77777777" w:rsidR="006F4D3D" w:rsidRPr="00104617" w:rsidRDefault="006F4D3D" w:rsidP="006F4D3D">
            <w:pPr>
              <w:jc w:val="both"/>
              <w:rPr>
                <w:b/>
              </w:rPr>
            </w:pPr>
            <w:r w:rsidRPr="00104617">
              <w:rPr>
                <w:b/>
              </w:rPr>
              <w:t>Tunisie</w:t>
            </w:r>
          </w:p>
        </w:tc>
        <w:tc>
          <w:tcPr>
            <w:tcW w:w="3510" w:type="dxa"/>
          </w:tcPr>
          <w:p w14:paraId="079CFD53" w14:textId="77777777" w:rsidR="006F4D3D" w:rsidRPr="00B734F7" w:rsidRDefault="0040632B" w:rsidP="0040632B">
            <w:pPr>
              <w:jc w:val="center"/>
            </w:pPr>
            <w:r w:rsidRPr="00B734F7">
              <w:t>120</w:t>
            </w:r>
          </w:p>
        </w:tc>
      </w:tr>
      <w:tr w:rsidR="006F4D3D" w14:paraId="7E877B7B" w14:textId="77777777" w:rsidTr="000E254A">
        <w:tc>
          <w:tcPr>
            <w:tcW w:w="1458" w:type="dxa"/>
          </w:tcPr>
          <w:p w14:paraId="53E2FE62" w14:textId="77777777" w:rsidR="006F4D3D" w:rsidRPr="000E254A" w:rsidRDefault="00AF3227" w:rsidP="006F4D3D">
            <w:pPr>
              <w:jc w:val="both"/>
              <w:rPr>
                <w:b/>
              </w:rPr>
            </w:pPr>
            <w:r>
              <w:rPr>
                <w:b/>
              </w:rPr>
              <w:t>Nord</w:t>
            </w:r>
            <w:r w:rsidR="006F4D3D" w:rsidRPr="000E254A">
              <w:rPr>
                <w:b/>
              </w:rPr>
              <w:t>-Mali</w:t>
            </w:r>
          </w:p>
        </w:tc>
        <w:tc>
          <w:tcPr>
            <w:tcW w:w="3510" w:type="dxa"/>
          </w:tcPr>
          <w:p w14:paraId="4645CAF2" w14:textId="77777777" w:rsidR="006F4D3D" w:rsidRDefault="0040632B" w:rsidP="0040632B">
            <w:pPr>
              <w:jc w:val="center"/>
            </w:pPr>
            <w:r>
              <w:t>45</w:t>
            </w:r>
            <w:r w:rsidR="006A3CFE">
              <w:t xml:space="preserve"> (1) </w:t>
            </w:r>
            <w:r>
              <w:t>-125</w:t>
            </w:r>
            <w:r w:rsidR="006A3CFE">
              <w:t xml:space="preserve"> (2)</w:t>
            </w:r>
          </w:p>
        </w:tc>
      </w:tr>
    </w:tbl>
    <w:p w14:paraId="2E990828" w14:textId="2A691325" w:rsidR="006F4D3D" w:rsidRPr="006F4D3D" w:rsidRDefault="000E254A" w:rsidP="006F4D3D">
      <w:pPr>
        <w:jc w:val="both"/>
      </w:pPr>
      <w:r>
        <w:t xml:space="preserve">Sources : </w:t>
      </w:r>
      <w:proofErr w:type="spellStart"/>
      <w:r>
        <w:t>Ayadi</w:t>
      </w:r>
      <w:proofErr w:type="spellEnd"/>
      <w:r>
        <w:t xml:space="preserve"> et al. 2013 pour la Tunisie, </w:t>
      </w:r>
      <w:proofErr w:type="spellStart"/>
      <w:r>
        <w:t>Raballand</w:t>
      </w:r>
      <w:proofErr w:type="spellEnd"/>
      <w:r>
        <w:t xml:space="preserve"> et al.</w:t>
      </w:r>
      <w:r w:rsidR="0040632B">
        <w:t xml:space="preserve"> 2010 pour le Nigéria (notamment la région de Lagos).</w:t>
      </w:r>
      <w:r w:rsidR="00E65922">
        <w:t xml:space="preserve"> (1) en 2014 et (2) en 2011.</w:t>
      </w:r>
      <w:r w:rsidR="006F4374">
        <w:t xml:space="preserve"> Chiffres pour tous</w:t>
      </w:r>
      <w:r w:rsidR="007013FB">
        <w:t xml:space="preserve"> les principaux produits importé</w:t>
      </w:r>
      <w:r w:rsidR="006F4374">
        <w:t xml:space="preserve">s. </w:t>
      </w:r>
    </w:p>
    <w:p w14:paraId="3FDAC4B7" w14:textId="77777777" w:rsidR="008905E0" w:rsidRDefault="004C5D0F" w:rsidP="008905E0">
      <w:pPr>
        <w:pStyle w:val="Heading2"/>
        <w:rPr>
          <w:rFonts w:eastAsia="Times New Roman"/>
        </w:rPr>
      </w:pPr>
      <w:bookmarkStart w:id="20" w:name="_Toc384903147"/>
      <w:r>
        <w:rPr>
          <w:rFonts w:eastAsia="Times New Roman"/>
        </w:rPr>
        <w:t>L’</w:t>
      </w:r>
      <w:r w:rsidR="001062B7">
        <w:rPr>
          <w:rFonts w:eastAsia="Times New Roman"/>
        </w:rPr>
        <w:t>érosion de</w:t>
      </w:r>
      <w:r>
        <w:rPr>
          <w:rFonts w:eastAsia="Times New Roman"/>
        </w:rPr>
        <w:t>s</w:t>
      </w:r>
      <w:r w:rsidR="008905E0">
        <w:rPr>
          <w:rFonts w:eastAsia="Times New Roman"/>
        </w:rPr>
        <w:t xml:space="preserve"> flux</w:t>
      </w:r>
      <w:r>
        <w:rPr>
          <w:rFonts w:eastAsia="Times New Roman"/>
        </w:rPr>
        <w:t xml:space="preserve"> depuis 2011</w:t>
      </w:r>
      <w:bookmarkEnd w:id="20"/>
    </w:p>
    <w:p w14:paraId="46B986AF" w14:textId="554C609C" w:rsidR="004C5D0F" w:rsidRDefault="001062B7" w:rsidP="004C5D0F">
      <w:pPr>
        <w:jc w:val="both"/>
        <w:rPr>
          <w:rFonts w:cs="Helvetica"/>
        </w:rPr>
      </w:pPr>
      <w:r w:rsidRPr="004C5D0F">
        <w:rPr>
          <w:rFonts w:ascii="Calibri" w:hAnsi="Calibri" w:cs="Helvetica"/>
          <w:b/>
        </w:rPr>
        <w:t xml:space="preserve">Le marché de la contrebande a été considérablement bouleversé depuis 2012 et la rébellion au </w:t>
      </w:r>
      <w:r w:rsidR="00AF3227">
        <w:rPr>
          <w:rFonts w:ascii="Calibri" w:hAnsi="Calibri" w:cs="Helvetica"/>
          <w:b/>
        </w:rPr>
        <w:t>nord</w:t>
      </w:r>
      <w:r w:rsidRPr="004C5D0F">
        <w:rPr>
          <w:rFonts w:ascii="Calibri" w:hAnsi="Calibri" w:cs="Helvetica"/>
          <w:b/>
        </w:rPr>
        <w:t xml:space="preserve"> du Mali.</w:t>
      </w:r>
      <w:r w:rsidRPr="007013FB">
        <w:rPr>
          <w:rFonts w:ascii="Calibri" w:hAnsi="Calibri"/>
          <w:b/>
        </w:rPr>
        <w:t xml:space="preserve"> </w:t>
      </w:r>
      <w:r w:rsidR="004C5D0F" w:rsidRPr="004C5D0F">
        <w:rPr>
          <w:rFonts w:cs="Helvetica"/>
        </w:rPr>
        <w:t xml:space="preserve">Le commerce informel au </w:t>
      </w:r>
      <w:r w:rsidR="00AF3227">
        <w:rPr>
          <w:rFonts w:cs="Helvetica"/>
        </w:rPr>
        <w:t>nord</w:t>
      </w:r>
      <w:r w:rsidR="004C5D0F" w:rsidRPr="004C5D0F">
        <w:rPr>
          <w:rFonts w:cs="Helvetica"/>
        </w:rPr>
        <w:t xml:space="preserve"> du Mali subit une triple crise : une baisse de la demande consécutive aux flux de réfugiés et de déplacés depuis début 2012, une baisse de l’offre en raison de la migration de commerçants réfugiés en Mauritanie, au Niger ou déplacés à Bamako, une insécurité grandissante sur les axes commerçants qui découragent certains commerçants restés au </w:t>
      </w:r>
      <w:r w:rsidR="00AF3227">
        <w:rPr>
          <w:rFonts w:cs="Helvetica"/>
        </w:rPr>
        <w:t>nord</w:t>
      </w:r>
      <w:r w:rsidR="004C5D0F" w:rsidRPr="004C5D0F">
        <w:rPr>
          <w:rFonts w:cs="Helvetica"/>
        </w:rPr>
        <w:t xml:space="preserve"> du Mali, une fermeture de la frontière algérienne qui a réduit drastiquement les volumes commerciaux depuis début 2013. Certains produits ne sont aujourd’hui commercés qu’à très faible volume, à commencer par le gasoil et l’essence, objet d’un vigoureux contrôle des services de sécurité algériens, causant une inflation de 100% sur le gasoil et de 50% sur l’essence depuis 2011. Il en est de même de la semoule dont les pénuries dans les trois régions du </w:t>
      </w:r>
      <w:r w:rsidR="00AF3227">
        <w:rPr>
          <w:rFonts w:cs="Helvetica"/>
        </w:rPr>
        <w:t>nord</w:t>
      </w:r>
      <w:r w:rsidR="004C5D0F" w:rsidRPr="004C5D0F">
        <w:rPr>
          <w:rFonts w:cs="Helvetica"/>
        </w:rPr>
        <w:t xml:space="preserve"> ont causé des inflations de 75% à Gao et Kidal, et de 230% à Tombouctou. La fermeture de la frontière algérienne a eu pour conséquence directe de détourner l’ensemble des camions de dattes, seul produit autorisé à l’exportation en Algérie, vers la frontière nigérienne.</w:t>
      </w:r>
    </w:p>
    <w:p w14:paraId="5670B81F" w14:textId="77777777" w:rsidR="004C5D0F" w:rsidRPr="009F454B" w:rsidRDefault="004C5D0F" w:rsidP="004C5D0F">
      <w:pPr>
        <w:jc w:val="both"/>
        <w:rPr>
          <w:rFonts w:ascii="Cambria" w:hAnsi="Cambria" w:cs="Helvetica"/>
          <w:b/>
          <w:color w:val="FF0000"/>
        </w:rPr>
      </w:pPr>
      <w:r w:rsidRPr="009F454B">
        <w:rPr>
          <w:rFonts w:cs="Helvetica"/>
          <w:b/>
        </w:rPr>
        <w:t xml:space="preserve">En ce début d’année 2014, les flux commerciaux sont sans commune mesure avec ceux enregistrés en tant de paix. </w:t>
      </w:r>
      <w:r w:rsidR="009F454B" w:rsidRPr="009F454B">
        <w:rPr>
          <w:rFonts w:cs="Helvetica"/>
          <w:b/>
        </w:rPr>
        <w:t xml:space="preserve">On estime la baisse du chiffre d’affaires à 65% (pour un détail, voir encadré 1). </w:t>
      </w:r>
      <w:r w:rsidRPr="009F454B">
        <w:rPr>
          <w:rFonts w:cs="Helvetica"/>
          <w:b/>
        </w:rPr>
        <w:t xml:space="preserve">La fermeture de la frontière algérienne a provoqué une augmentation substantielle des prix qui ne se traduit </w:t>
      </w:r>
      <w:r w:rsidRPr="004C5D0F">
        <w:rPr>
          <w:rFonts w:cs="Helvetica"/>
          <w:b/>
        </w:rPr>
        <w:t xml:space="preserve">pas nécessairement par une augmentation des marges de la part des commerçants du </w:t>
      </w:r>
      <w:r w:rsidR="00AF3227">
        <w:rPr>
          <w:rFonts w:cs="Helvetica"/>
          <w:b/>
        </w:rPr>
        <w:t>nord</w:t>
      </w:r>
      <w:r w:rsidRPr="004C5D0F">
        <w:rPr>
          <w:rFonts w:cs="Helvetica"/>
          <w:b/>
        </w:rPr>
        <w:t xml:space="preserve"> Mali</w:t>
      </w:r>
      <w:r w:rsidRPr="004C5D0F">
        <w:rPr>
          <w:rFonts w:cs="Helvetica"/>
        </w:rPr>
        <w:t xml:space="preserve">, l’inflation enregistrée étant la répercussion d’une baisse de l’offre et surtout d’une augmentation des prix à la frontière algérienne. La principale conséquence commerciale de cet état de fait est de réduire les débouchés commerciaux des produits du </w:t>
      </w:r>
      <w:r w:rsidR="00AF3227">
        <w:rPr>
          <w:rFonts w:cs="Helvetica"/>
        </w:rPr>
        <w:t>nord</w:t>
      </w:r>
      <w:r w:rsidRPr="004C5D0F">
        <w:rPr>
          <w:rFonts w:cs="Helvetica"/>
        </w:rPr>
        <w:t xml:space="preserve"> du Mali et donc de réduire la dimension transitaire de cette zone. </w:t>
      </w:r>
    </w:p>
    <w:p w14:paraId="692260A8" w14:textId="3AFEC445" w:rsidR="004C5D0F" w:rsidRDefault="004C5D0F" w:rsidP="004C5D0F">
      <w:pPr>
        <w:jc w:val="both"/>
        <w:rPr>
          <w:rFonts w:cs="Helvetica"/>
        </w:rPr>
      </w:pPr>
      <w:r w:rsidRPr="004C5D0F">
        <w:rPr>
          <w:rFonts w:cs="Helvetica"/>
          <w:b/>
        </w:rPr>
        <w:t>Certains produits ne s’avèrent plus compétitifs à Bamako, à l’instar du lait en poudre, aujourd’hui moins cher</w:t>
      </w:r>
      <w:r w:rsidR="007B0AE7">
        <w:rPr>
          <w:rFonts w:cs="Helvetica"/>
          <w:b/>
        </w:rPr>
        <w:t>s</w:t>
      </w:r>
      <w:r w:rsidRPr="004C5D0F">
        <w:rPr>
          <w:rFonts w:cs="Helvetica"/>
          <w:b/>
        </w:rPr>
        <w:t xml:space="preserve"> à Bamako (35 500 FCFA le carton) qu’à Tombouctou (50 000 FCFA).</w:t>
      </w:r>
      <w:r w:rsidRPr="004C5D0F">
        <w:rPr>
          <w:rFonts w:cs="Helvetica"/>
        </w:rPr>
        <w:t xml:space="preserve"> D’autres produits qui ont connu une inflation importante au </w:t>
      </w:r>
      <w:r w:rsidR="00AF3227">
        <w:rPr>
          <w:rFonts w:cs="Helvetica"/>
        </w:rPr>
        <w:t>nord</w:t>
      </w:r>
      <w:r w:rsidRPr="004C5D0F">
        <w:rPr>
          <w:rFonts w:cs="Helvetica"/>
        </w:rPr>
        <w:t xml:space="preserve">, ont vu leur prix stagner à Bamako voire même </w:t>
      </w:r>
      <w:r w:rsidRPr="004C5D0F">
        <w:rPr>
          <w:rFonts w:cs="Helvetica"/>
        </w:rPr>
        <w:lastRenderedPageBreak/>
        <w:t xml:space="preserve">baisser. La tonne de farine vaut aujourd’hui 450 000 FCFA à Bamako alors qu’elle a connu une inflation de 30% dans les trois régions du </w:t>
      </w:r>
      <w:r w:rsidR="00AF3227">
        <w:rPr>
          <w:rFonts w:cs="Helvetica"/>
        </w:rPr>
        <w:t>nord</w:t>
      </w:r>
      <w:r w:rsidRPr="004C5D0F">
        <w:rPr>
          <w:rFonts w:cs="Helvetica"/>
        </w:rPr>
        <w:t xml:space="preserve"> depuis 2011. La tonne de sucre s’échange à 500 000 FCFA alors qu’elle s’est appréciée de 25% dans les trois régions du </w:t>
      </w:r>
      <w:r w:rsidR="00AF3227">
        <w:rPr>
          <w:rFonts w:cs="Helvetica"/>
        </w:rPr>
        <w:t>nord</w:t>
      </w:r>
      <w:r w:rsidRPr="004C5D0F">
        <w:rPr>
          <w:rFonts w:cs="Helvetica"/>
        </w:rPr>
        <w:t>. La diversification des approvisionnements au sud du Mali pousse à la stabilité tendancielle des prix et bloque la commercialisation des produits issus de la contrebande algérienne.</w:t>
      </w:r>
      <w:r w:rsidR="00F1524B">
        <w:rPr>
          <w:rFonts w:cs="Helvetica"/>
        </w:rPr>
        <w:t xml:space="preserve"> </w:t>
      </w:r>
      <w:r w:rsidRPr="004C5D0F">
        <w:rPr>
          <w:rFonts w:cs="Helvetica"/>
        </w:rPr>
        <w:t>Les produits q</w:t>
      </w:r>
      <w:r w:rsidR="00F1524B">
        <w:rPr>
          <w:rFonts w:cs="Helvetica"/>
        </w:rPr>
        <w:t xml:space="preserve">ui continuent à affluer en </w:t>
      </w:r>
      <w:r w:rsidRPr="004C5D0F">
        <w:rPr>
          <w:rFonts w:cs="Helvetica"/>
        </w:rPr>
        <w:t xml:space="preserve">modestes quantités au </w:t>
      </w:r>
      <w:r w:rsidR="00AF3227">
        <w:rPr>
          <w:rFonts w:cs="Helvetica"/>
        </w:rPr>
        <w:t>nord</w:t>
      </w:r>
      <w:r w:rsidRPr="004C5D0F">
        <w:rPr>
          <w:rFonts w:cs="Helvetica"/>
        </w:rPr>
        <w:t xml:space="preserve"> comme au sud sont principalement la farine, les pâtes, le sucre et d’autres produits (huile, électroménager…)</w:t>
      </w:r>
      <w:r w:rsidR="00127829">
        <w:rPr>
          <w:rFonts w:cs="Helvetica"/>
        </w:rPr>
        <w:t>.</w:t>
      </w:r>
    </w:p>
    <w:p w14:paraId="112A254B" w14:textId="77777777" w:rsidR="00BC594E" w:rsidRDefault="00DB7122" w:rsidP="00BC594E">
      <w:pPr>
        <w:pStyle w:val="Heading1"/>
        <w:numPr>
          <w:ilvl w:val="0"/>
          <w:numId w:val="1"/>
        </w:numPr>
      </w:pPr>
      <w:bookmarkStart w:id="21" w:name="_Toc384903148"/>
      <w:bookmarkStart w:id="22" w:name="_Toc386104457"/>
      <w:r>
        <w:t>L</w:t>
      </w:r>
      <w:r w:rsidR="00081070">
        <w:t>’organisation des filières</w:t>
      </w:r>
      <w:r>
        <w:t xml:space="preserve"> de contrebande</w:t>
      </w:r>
      <w:bookmarkEnd w:id="21"/>
      <w:bookmarkEnd w:id="22"/>
    </w:p>
    <w:p w14:paraId="18E55716" w14:textId="77777777" w:rsidR="00ED3CA2" w:rsidRPr="00ED3CA2" w:rsidRDefault="00ED3CA2" w:rsidP="00ED3CA2"/>
    <w:p w14:paraId="314A9A3F" w14:textId="077255BA" w:rsidR="0034026C" w:rsidRPr="0034026C" w:rsidRDefault="004C6224" w:rsidP="0034026C">
      <w:pPr>
        <w:jc w:val="both"/>
      </w:pPr>
      <w:r w:rsidRPr="0034026C">
        <w:rPr>
          <w:b/>
        </w:rPr>
        <w:t xml:space="preserve">Le </w:t>
      </w:r>
      <w:r w:rsidRPr="0034026C">
        <w:rPr>
          <w:b/>
          <w:i/>
        </w:rPr>
        <w:t>modus operandi</w:t>
      </w:r>
      <w:r w:rsidR="00556A5F">
        <w:rPr>
          <w:b/>
          <w:i/>
        </w:rPr>
        <w:t xml:space="preserve"> </w:t>
      </w:r>
      <w:r w:rsidRPr="0034026C">
        <w:rPr>
          <w:b/>
        </w:rPr>
        <w:t>est différent selon le type de trafic considéré.</w:t>
      </w:r>
      <w:r w:rsidRPr="0034026C">
        <w:t xml:space="preserve"> Pour ce qui est </w:t>
      </w:r>
      <w:r w:rsidR="00000F24" w:rsidRPr="0034026C">
        <w:t>de la contrebande</w:t>
      </w:r>
      <w:r w:rsidRPr="0034026C">
        <w:t xml:space="preserve"> de denrée de base ou de biens de consommation courant</w:t>
      </w:r>
      <w:r w:rsidR="003A146E" w:rsidRPr="0034026C">
        <w:t>e</w:t>
      </w:r>
      <w:r w:rsidR="00000F24" w:rsidRPr="0034026C">
        <w:t>, elle</w:t>
      </w:r>
      <w:r w:rsidRPr="0034026C">
        <w:t xml:space="preserve"> se fait par camion de jour aux vu et aux sus de tous</w:t>
      </w:r>
      <w:r w:rsidR="00000F24" w:rsidRPr="0034026C">
        <w:t>, à l’exception du carburant qui nécessite davantage de précaution de la part des contrebandiers en raison de la fermeté des autorités algériennes à l’égard de ce produit</w:t>
      </w:r>
      <w:r w:rsidRPr="0034026C">
        <w:t xml:space="preserve">. </w:t>
      </w:r>
    </w:p>
    <w:p w14:paraId="160C1FA8" w14:textId="484F6AFB" w:rsidR="00E6333E" w:rsidRPr="00E6333E" w:rsidRDefault="00556A5F" w:rsidP="00E6333E">
      <w:pPr>
        <w:spacing w:after="0"/>
        <w:jc w:val="both"/>
        <w:rPr>
          <w:rFonts w:ascii="Calibri" w:hAnsi="Calibri" w:cs="Helvetica"/>
        </w:rPr>
      </w:pPr>
      <w:r w:rsidRPr="00A728F8">
        <w:rPr>
          <w:rFonts w:ascii="Calibri" w:hAnsi="Calibri" w:cs="Helvetica"/>
          <w:b/>
        </w:rPr>
        <w:t>Entre 15 et 20% des marchandises terminent au sud de Gao, à Douentza, Mopti et dans la partie sud du Mali</w:t>
      </w:r>
      <w:r>
        <w:rPr>
          <w:rFonts w:ascii="Calibri" w:hAnsi="Calibri" w:cs="Helvetica"/>
          <w:b/>
        </w:rPr>
        <w:t xml:space="preserve">. </w:t>
      </w:r>
      <w:r w:rsidR="00E6333E" w:rsidRPr="00E6333E">
        <w:rPr>
          <w:rFonts w:ascii="Calibri" w:hAnsi="Calibri"/>
        </w:rPr>
        <w:t xml:space="preserve">Une partie importante de la farine importée d’Algérie alimente les boulangeries de Bamako, de Niamey, de Tahoua, d’Agadez et du </w:t>
      </w:r>
      <w:r w:rsidR="00AF3227">
        <w:rPr>
          <w:rFonts w:ascii="Calibri" w:hAnsi="Calibri"/>
        </w:rPr>
        <w:t>nord</w:t>
      </w:r>
      <w:r w:rsidR="00E6333E" w:rsidRPr="00E6333E">
        <w:rPr>
          <w:rFonts w:ascii="Calibri" w:hAnsi="Calibri"/>
        </w:rPr>
        <w:t xml:space="preserve"> du Nigeria. La majorité des p</w:t>
      </w:r>
      <w:r w:rsidR="00751192">
        <w:rPr>
          <w:rFonts w:ascii="Calibri" w:hAnsi="Calibri"/>
        </w:rPr>
        <w:t>â</w:t>
      </w:r>
      <w:r w:rsidR="00E6333E" w:rsidRPr="00E6333E">
        <w:rPr>
          <w:rFonts w:ascii="Calibri" w:hAnsi="Calibri"/>
        </w:rPr>
        <w:t xml:space="preserve">tes importées est destinée au marché nigérian, tout comme la majorité des dattes importées au Mali est destinée in fine au sud du Mali vers le Sénégal ou la Guinée. L’ensemble des marchandises poursuivent leur route au minimum </w:t>
      </w:r>
      <w:r w:rsidR="00E6333E" w:rsidRPr="00E6333E">
        <w:rPr>
          <w:rFonts w:ascii="Calibri" w:hAnsi="Calibri" w:cs="Helvetica"/>
        </w:rPr>
        <w:t xml:space="preserve">jusqu’à Mopti et Douentza. Certains produits, comme les pâtes, la farine, la semoule de blé, l’électroménager sont même acheminés jusqu’à Bamako. Ce n’est toutefois pas le cas du carburant qui s’arrête à Douentza et va parfois en contrebande au Burkina Faso. L’existence d’une route reliant In Khalil à Tahoua et Agadez peut étonner étant donné qu’In </w:t>
      </w:r>
      <w:proofErr w:type="spellStart"/>
      <w:r w:rsidR="00E6333E" w:rsidRPr="00E6333E">
        <w:rPr>
          <w:rFonts w:ascii="Calibri" w:hAnsi="Calibri" w:cs="Helvetica"/>
        </w:rPr>
        <w:t>Gu</w:t>
      </w:r>
      <w:r w:rsidR="004D0483">
        <w:rPr>
          <w:rFonts w:ascii="Calibri" w:hAnsi="Calibri" w:cs="Helvetica"/>
        </w:rPr>
        <w:t>ezzam</w:t>
      </w:r>
      <w:proofErr w:type="spellEnd"/>
      <w:r w:rsidR="00E6333E" w:rsidRPr="00E6333E">
        <w:rPr>
          <w:rFonts w:ascii="Calibri" w:hAnsi="Calibri" w:cs="Helvetica"/>
        </w:rPr>
        <w:t xml:space="preserve">, à la frontière </w:t>
      </w:r>
      <w:proofErr w:type="spellStart"/>
      <w:r w:rsidR="00E6333E" w:rsidRPr="00E6333E">
        <w:rPr>
          <w:rFonts w:ascii="Calibri" w:hAnsi="Calibri" w:cs="Helvetica"/>
        </w:rPr>
        <w:t>alg</w:t>
      </w:r>
      <w:r w:rsidR="004725A1">
        <w:rPr>
          <w:rFonts w:ascii="Calibri" w:hAnsi="Calibri" w:cs="Helvetica"/>
        </w:rPr>
        <w:t>é</w:t>
      </w:r>
      <w:r w:rsidR="00E6333E" w:rsidRPr="00E6333E">
        <w:rPr>
          <w:rFonts w:ascii="Calibri" w:hAnsi="Calibri" w:cs="Helvetica"/>
        </w:rPr>
        <w:t>ro</w:t>
      </w:r>
      <w:proofErr w:type="spellEnd"/>
      <w:r w:rsidR="00E6333E" w:rsidRPr="00E6333E">
        <w:rPr>
          <w:rFonts w:ascii="Calibri" w:hAnsi="Calibri" w:cs="Helvetica"/>
        </w:rPr>
        <w:t xml:space="preserve">-nigérienne, est un nœud commercial permettant d’approvisionner plus directement le </w:t>
      </w:r>
      <w:r w:rsidR="00AF3227">
        <w:rPr>
          <w:rFonts w:ascii="Calibri" w:hAnsi="Calibri" w:cs="Helvetica"/>
        </w:rPr>
        <w:t>nord</w:t>
      </w:r>
      <w:r w:rsidR="00E6333E" w:rsidRPr="00E6333E">
        <w:rPr>
          <w:rFonts w:ascii="Calibri" w:hAnsi="Calibri" w:cs="Helvetica"/>
        </w:rPr>
        <w:t xml:space="preserve"> du Niger depuis l’Algérie. Il s’avère que si la route In Khalil-</w:t>
      </w:r>
      <w:proofErr w:type="spellStart"/>
      <w:r w:rsidR="00E6333E" w:rsidRPr="00E6333E">
        <w:rPr>
          <w:rFonts w:ascii="Calibri" w:hAnsi="Calibri" w:cs="Helvetica"/>
        </w:rPr>
        <w:t>Taouha</w:t>
      </w:r>
      <w:proofErr w:type="spellEnd"/>
      <w:r w:rsidR="00E6333E" w:rsidRPr="00E6333E">
        <w:rPr>
          <w:rFonts w:ascii="Calibri" w:hAnsi="Calibri" w:cs="Helvetica"/>
        </w:rPr>
        <w:t xml:space="preserve">/Agadez est plus longue et plus coûteuse que la route nigérienne via In </w:t>
      </w:r>
      <w:proofErr w:type="spellStart"/>
      <w:r w:rsidR="00E6333E" w:rsidRPr="00E6333E">
        <w:rPr>
          <w:rFonts w:ascii="Calibri" w:hAnsi="Calibri" w:cs="Helvetica"/>
        </w:rPr>
        <w:t>Guezzam</w:t>
      </w:r>
      <w:proofErr w:type="spellEnd"/>
      <w:r w:rsidR="00E6333E" w:rsidRPr="00E6333E">
        <w:rPr>
          <w:rFonts w:ascii="Calibri" w:hAnsi="Calibri" w:cs="Helvetica"/>
        </w:rPr>
        <w:t xml:space="preserve"> et </w:t>
      </w:r>
      <w:proofErr w:type="spellStart"/>
      <w:r w:rsidR="00E6333E" w:rsidRPr="00E6333E">
        <w:rPr>
          <w:rFonts w:ascii="Calibri" w:hAnsi="Calibri" w:cs="Helvetica"/>
        </w:rPr>
        <w:t>Assamaka</w:t>
      </w:r>
      <w:proofErr w:type="spellEnd"/>
      <w:r w:rsidR="00E6333E" w:rsidRPr="00E6333E">
        <w:rPr>
          <w:rFonts w:ascii="Calibri" w:hAnsi="Calibri" w:cs="Helvetica"/>
        </w:rPr>
        <w:t xml:space="preserve">, les marchandises sont plus aisées à sortir frauduleusement du côté malien. </w:t>
      </w:r>
    </w:p>
    <w:p w14:paraId="6A272F6B" w14:textId="77777777" w:rsidR="00E6333E" w:rsidRDefault="00E6333E" w:rsidP="00E6333E">
      <w:pPr>
        <w:spacing w:after="0"/>
        <w:jc w:val="both"/>
        <w:rPr>
          <w:rFonts w:ascii="Calibri" w:hAnsi="Calibri" w:cs="Helvetica"/>
          <w:b/>
        </w:rPr>
      </w:pPr>
    </w:p>
    <w:p w14:paraId="653A4D61" w14:textId="3D050D18" w:rsidR="0034026C" w:rsidRPr="0034026C" w:rsidRDefault="00ED0C2F" w:rsidP="00D65EDC">
      <w:pPr>
        <w:spacing w:after="0"/>
        <w:jc w:val="both"/>
      </w:pPr>
      <w:r w:rsidRPr="0034026C">
        <w:rPr>
          <w:b/>
        </w:rPr>
        <w:t>La structuration des réseaux diffère selon les filières.</w:t>
      </w:r>
      <w:r w:rsidRPr="0034026C">
        <w:t xml:space="preserve"> Dans le domaine des produits alimentaires, les réseaux sont largement familiaux en vertu de l’existence de relations de parenté de part et d’autres de la frontière. </w:t>
      </w:r>
      <w:r w:rsidR="00410899" w:rsidRPr="0034026C">
        <w:t>Cela est un gage de confiance dans les transactions commerciales et cela se traduit p</w:t>
      </w:r>
      <w:r w:rsidR="0034026C" w:rsidRPr="0034026C">
        <w:t xml:space="preserve">ar un mode de paiement </w:t>
      </w:r>
      <w:proofErr w:type="spellStart"/>
      <w:r w:rsidR="0034026C" w:rsidRPr="0034026C">
        <w:t>hawala</w:t>
      </w:r>
      <w:proofErr w:type="spellEnd"/>
      <w:r w:rsidR="0034026C" w:rsidRPr="0034026C">
        <w:rPr>
          <w:rStyle w:val="FootnoteReference"/>
        </w:rPr>
        <w:footnoteReference w:id="23"/>
      </w:r>
      <w:r w:rsidR="00410899" w:rsidRPr="0034026C">
        <w:t>.</w:t>
      </w:r>
      <w:r w:rsidR="00B902A5">
        <w:t xml:space="preserve"> </w:t>
      </w:r>
    </w:p>
    <w:p w14:paraId="08B75D81" w14:textId="77777777" w:rsidR="0034026C" w:rsidRPr="0034026C" w:rsidRDefault="0034026C" w:rsidP="00D65EDC">
      <w:pPr>
        <w:spacing w:after="0"/>
        <w:jc w:val="both"/>
      </w:pPr>
    </w:p>
    <w:p w14:paraId="7D8ADA7A" w14:textId="77777777" w:rsidR="00BC594E" w:rsidRPr="0034026C" w:rsidRDefault="00ED0C2F" w:rsidP="00D65EDC">
      <w:pPr>
        <w:spacing w:after="0"/>
        <w:jc w:val="both"/>
      </w:pPr>
      <w:r w:rsidRPr="00A728F8">
        <w:rPr>
          <w:b/>
        </w:rPr>
        <w:t>Pour les cigarettes</w:t>
      </w:r>
      <w:r w:rsidR="00410899" w:rsidRPr="00A728F8">
        <w:rPr>
          <w:b/>
        </w:rPr>
        <w:t>, les stupéfiants</w:t>
      </w:r>
      <w:r w:rsidRPr="00A728F8">
        <w:rPr>
          <w:b/>
        </w:rPr>
        <w:t xml:space="preserve"> et le </w:t>
      </w:r>
      <w:r w:rsidR="00410899" w:rsidRPr="00A728F8">
        <w:rPr>
          <w:b/>
        </w:rPr>
        <w:t>carburant</w:t>
      </w:r>
      <w:r w:rsidRPr="00A728F8">
        <w:rPr>
          <w:b/>
        </w:rPr>
        <w:t xml:space="preserve">, </w:t>
      </w:r>
      <w:r w:rsidR="0034026C" w:rsidRPr="00A728F8">
        <w:rPr>
          <w:b/>
        </w:rPr>
        <w:t xml:space="preserve">la </w:t>
      </w:r>
      <w:r w:rsidR="00A728F8" w:rsidRPr="00A728F8">
        <w:rPr>
          <w:b/>
        </w:rPr>
        <w:t>si</w:t>
      </w:r>
      <w:r w:rsidR="0034026C" w:rsidRPr="00A728F8">
        <w:rPr>
          <w:b/>
        </w:rPr>
        <w:t>t</w:t>
      </w:r>
      <w:r w:rsidR="00A728F8" w:rsidRPr="00A728F8">
        <w:rPr>
          <w:b/>
        </w:rPr>
        <w:t>u</w:t>
      </w:r>
      <w:r w:rsidR="0034026C" w:rsidRPr="00A728F8">
        <w:rPr>
          <w:b/>
        </w:rPr>
        <w:t>ation</w:t>
      </w:r>
      <w:r w:rsidR="00FC7DEC" w:rsidRPr="00A728F8">
        <w:rPr>
          <w:b/>
        </w:rPr>
        <w:t xml:space="preserve"> est différente. </w:t>
      </w:r>
      <w:r w:rsidR="00FC7DEC" w:rsidRPr="0034026C">
        <w:t>Le paiement se fa</w:t>
      </w:r>
      <w:r w:rsidR="0034026C" w:rsidRPr="0034026C">
        <w:t>it en argent liquide</w:t>
      </w:r>
      <w:r w:rsidR="00FC7DEC" w:rsidRPr="0034026C">
        <w:t xml:space="preserve"> ou par virement (pour les cigarettes) et </w:t>
      </w:r>
      <w:r w:rsidRPr="0034026C">
        <w:t xml:space="preserve">le recrutement </w:t>
      </w:r>
      <w:r w:rsidR="00410899" w:rsidRPr="0034026C">
        <w:t xml:space="preserve">au sein des filières </w:t>
      </w:r>
      <w:r w:rsidRPr="0034026C">
        <w:t>se fait sur des bases individuelles</w:t>
      </w:r>
      <w:r w:rsidR="00FC7DEC" w:rsidRPr="0034026C">
        <w:t xml:space="preserve">, même si les têtes de filières au Mali et en Algérie ont parfois des liens de parenté. </w:t>
      </w:r>
    </w:p>
    <w:p w14:paraId="52EC7880" w14:textId="77777777" w:rsidR="00D65EDC" w:rsidRDefault="00D65EDC" w:rsidP="00D65EDC">
      <w:pPr>
        <w:spacing w:after="0"/>
        <w:jc w:val="both"/>
      </w:pPr>
    </w:p>
    <w:p w14:paraId="54D79BD8" w14:textId="77777777" w:rsidR="00420DB3" w:rsidRDefault="00420DB3" w:rsidP="00420DB3">
      <w:pPr>
        <w:jc w:val="both"/>
      </w:pPr>
      <w:r w:rsidRPr="00663869">
        <w:rPr>
          <w:b/>
        </w:rPr>
        <w:lastRenderedPageBreak/>
        <w:t>Les principaux produits exportés d’Algérie au Mali sont les produits</w:t>
      </w:r>
      <w:r w:rsidR="00D65EDC" w:rsidRPr="00663869">
        <w:rPr>
          <w:b/>
        </w:rPr>
        <w:t xml:space="preserve"> alimentaires (dates, farine, pâ</w:t>
      </w:r>
      <w:r w:rsidRPr="00663869">
        <w:rPr>
          <w:b/>
        </w:rPr>
        <w:t>tes alimentaires/semoule, lait en poudre) et l’essence.</w:t>
      </w:r>
      <w:r w:rsidRPr="00420DB3">
        <w:t xml:space="preserve"> Viennent ensuite des biens de consommation (électroménager…). </w:t>
      </w:r>
      <w:r w:rsidRPr="005120DB">
        <w:t xml:space="preserve">Ces produits représentent un volume d’exportation supérieur aux importations maliennes, qui sont constituées principalement des produits d’élevage (moutons et chameaux) et des </w:t>
      </w:r>
      <w:proofErr w:type="spellStart"/>
      <w:r w:rsidRPr="005120DB">
        <w:t>bazins</w:t>
      </w:r>
      <w:proofErr w:type="spellEnd"/>
      <w:r w:rsidRPr="005120DB">
        <w:t xml:space="preserve"> (boubou traditionnels), produits auxquels il convient d’ajouter </w:t>
      </w:r>
      <w:r w:rsidR="005120DB" w:rsidRPr="005120DB">
        <w:t xml:space="preserve">le thé vert de Chine et les cigarettes. </w:t>
      </w:r>
      <w:r w:rsidR="00A728F8" w:rsidRPr="00A728F8">
        <w:t>Une bonne partie des camions retournant en Algérie sont chargés de</w:t>
      </w:r>
      <w:r w:rsidR="005120DB" w:rsidRPr="00A728F8">
        <w:t xml:space="preserve"> bétail collecté tout le long de la route vers l’Algérie. </w:t>
      </w:r>
    </w:p>
    <w:p w14:paraId="6E828309" w14:textId="39F8DA7F" w:rsidR="006F182D" w:rsidRDefault="00DB4372" w:rsidP="006F182D">
      <w:pPr>
        <w:jc w:val="both"/>
        <w:rPr>
          <w:rFonts w:cstheme="minorHAnsi"/>
          <w:lang w:bidi="ar-DZ"/>
        </w:rPr>
      </w:pPr>
      <w:r>
        <w:rPr>
          <w:rFonts w:cstheme="minorHAnsi"/>
          <w:b/>
          <w:lang w:bidi="ar-DZ"/>
        </w:rPr>
        <w:t>Les commerçants importent souvent plusieurs types de cargaisons y compris des</w:t>
      </w:r>
      <w:r w:rsidR="006F182D" w:rsidRPr="006F182D">
        <w:rPr>
          <w:rFonts w:cstheme="minorHAnsi"/>
          <w:b/>
          <w:lang w:bidi="ar-DZ"/>
        </w:rPr>
        <w:t xml:space="preserve"> fûts de carburant.</w:t>
      </w:r>
      <w:r w:rsidR="006F182D" w:rsidRPr="007013FB">
        <w:rPr>
          <w:b/>
        </w:rPr>
        <w:t xml:space="preserve"> </w:t>
      </w:r>
      <w:r w:rsidR="006F182D">
        <w:rPr>
          <w:rFonts w:cstheme="minorHAnsi"/>
          <w:lang w:bidi="ar-DZ"/>
        </w:rPr>
        <w:t>On estime à 90% des livraisons</w:t>
      </w:r>
      <w:r w:rsidR="006F182D" w:rsidRPr="006F182D">
        <w:rPr>
          <w:rFonts w:cstheme="minorHAnsi"/>
          <w:lang w:bidi="ar-DZ"/>
        </w:rPr>
        <w:t xml:space="preserve"> précommandées, une tendance en hausse depuis l’introduction du téléphone portable et satellitaire qui participe à la structuration</w:t>
      </w:r>
      <w:r w:rsidR="00D41F5D">
        <w:rPr>
          <w:rFonts w:cstheme="minorHAnsi"/>
          <w:lang w:bidi="ar-DZ"/>
        </w:rPr>
        <w:t xml:space="preserve"> « professionnelle »</w:t>
      </w:r>
      <w:r w:rsidR="006F182D" w:rsidRPr="006F182D">
        <w:rPr>
          <w:rFonts w:cstheme="minorHAnsi"/>
          <w:lang w:bidi="ar-DZ"/>
        </w:rPr>
        <w:t xml:space="preserve"> des réseaux. </w:t>
      </w:r>
    </w:p>
    <w:p w14:paraId="4B2C050D" w14:textId="77777777" w:rsidR="009127E3" w:rsidRDefault="00613803" w:rsidP="009B205F">
      <w:pPr>
        <w:pStyle w:val="Heading2"/>
        <w:rPr>
          <w:lang w:bidi="ar-DZ"/>
        </w:rPr>
      </w:pPr>
      <w:bookmarkStart w:id="23" w:name="_Toc384903149"/>
      <w:r>
        <w:rPr>
          <w:lang w:bidi="ar-DZ"/>
        </w:rPr>
        <w:t>La c</w:t>
      </w:r>
      <w:r w:rsidRPr="00DB40B5">
        <w:rPr>
          <w:lang w:bidi="ar-DZ"/>
        </w:rPr>
        <w:t xml:space="preserve">ontrebande de produits </w:t>
      </w:r>
      <w:r w:rsidR="00D65EDC">
        <w:rPr>
          <w:lang w:bidi="ar-DZ"/>
        </w:rPr>
        <w:t>alimentaires</w:t>
      </w:r>
      <w:bookmarkEnd w:id="23"/>
    </w:p>
    <w:p w14:paraId="72CAA7C0" w14:textId="77777777" w:rsidR="009127E3" w:rsidRPr="009127E3" w:rsidRDefault="009127E3" w:rsidP="007B2BBD">
      <w:pPr>
        <w:jc w:val="both"/>
      </w:pPr>
      <w:r w:rsidRPr="009127E3">
        <w:t>Côté malien, la localité d’In Khalil</w:t>
      </w:r>
      <w:r w:rsidR="00A728F8">
        <w:rPr>
          <w:rStyle w:val="FootnoteReference"/>
        </w:rPr>
        <w:footnoteReference w:id="24"/>
      </w:r>
      <w:r w:rsidRPr="009127E3">
        <w:t xml:space="preserve"> constitue toujours le principal hub au </w:t>
      </w:r>
      <w:r w:rsidR="00AF3227">
        <w:t>nord</w:t>
      </w:r>
      <w:r w:rsidRPr="009127E3">
        <w:t xml:space="preserve"> du Mali, où une grande partie des marchandises es</w:t>
      </w:r>
      <w:r w:rsidR="00BC594E">
        <w:t xml:space="preserve">t centralisée. </w:t>
      </w:r>
    </w:p>
    <w:p w14:paraId="63925D65" w14:textId="5640729C" w:rsidR="00663869" w:rsidRPr="00A728F8" w:rsidRDefault="00663869" w:rsidP="00663869">
      <w:pPr>
        <w:jc w:val="both"/>
        <w:rPr>
          <w:rFonts w:cstheme="minorHAnsi"/>
          <w:lang w:bidi="ar-DZ"/>
        </w:rPr>
      </w:pPr>
      <w:r w:rsidRPr="00A728F8">
        <w:rPr>
          <w:rFonts w:cstheme="minorHAnsi"/>
          <w:lang w:bidi="ar-DZ"/>
        </w:rPr>
        <w:t xml:space="preserve">La </w:t>
      </w:r>
      <w:r w:rsidR="00C936AD" w:rsidRPr="00A728F8">
        <w:rPr>
          <w:rFonts w:cstheme="minorHAnsi"/>
          <w:lang w:bidi="ar-DZ"/>
        </w:rPr>
        <w:t>contrebande de farine constitue</w:t>
      </w:r>
      <w:r w:rsidRPr="00A728F8">
        <w:rPr>
          <w:rFonts w:cstheme="minorHAnsi"/>
          <w:lang w:bidi="ar-DZ"/>
        </w:rPr>
        <w:t xml:space="preserve"> le courant de fraude le plus important dans ce domaine</w:t>
      </w:r>
      <w:r w:rsidRPr="007013FB">
        <w:t xml:space="preserve"> </w:t>
      </w:r>
      <w:r w:rsidR="00140831">
        <w:rPr>
          <w:rFonts w:cstheme="minorHAnsi"/>
          <w:lang w:bidi="ar-DZ"/>
        </w:rPr>
        <w:t xml:space="preserve">probablement </w:t>
      </w:r>
      <w:r w:rsidR="00C936AD" w:rsidRPr="00A728F8">
        <w:rPr>
          <w:rFonts w:cstheme="minorHAnsi"/>
          <w:lang w:bidi="ar-DZ"/>
        </w:rPr>
        <w:t>en raison de la marg</w:t>
      </w:r>
      <w:r w:rsidR="007A5D1E">
        <w:rPr>
          <w:rFonts w:cstheme="minorHAnsi"/>
          <w:lang w:bidi="ar-DZ"/>
        </w:rPr>
        <w:t>e réalisée</w:t>
      </w:r>
      <w:r w:rsidRPr="00A728F8">
        <w:rPr>
          <w:rFonts w:cstheme="minorHAnsi"/>
          <w:lang w:bidi="ar-DZ"/>
        </w:rPr>
        <w:t>.</w:t>
      </w:r>
      <w:r w:rsidR="00A6622A">
        <w:rPr>
          <w:rFonts w:cstheme="minorHAnsi"/>
          <w:lang w:bidi="ar-DZ"/>
        </w:rPr>
        <w:t xml:space="preserve"> Les pâ</w:t>
      </w:r>
      <w:r w:rsidR="00C936AD" w:rsidRPr="00A728F8">
        <w:rPr>
          <w:rFonts w:cstheme="minorHAnsi"/>
          <w:lang w:bidi="ar-DZ"/>
        </w:rPr>
        <w:t xml:space="preserve">tes alimentaires, la semoule de blé et l’huile sont </w:t>
      </w:r>
      <w:r w:rsidR="0060018F" w:rsidRPr="00A728F8">
        <w:rPr>
          <w:rFonts w:cstheme="minorHAnsi"/>
          <w:lang w:bidi="ar-DZ"/>
        </w:rPr>
        <w:t xml:space="preserve">également </w:t>
      </w:r>
      <w:r w:rsidR="00C936AD" w:rsidRPr="00A728F8">
        <w:rPr>
          <w:rFonts w:cstheme="minorHAnsi"/>
          <w:lang w:bidi="ar-DZ"/>
        </w:rPr>
        <w:t>parmi les produits les plus commercés</w:t>
      </w:r>
      <w:r w:rsidR="0060018F" w:rsidRPr="00A728F8">
        <w:rPr>
          <w:rFonts w:cstheme="minorHAnsi"/>
          <w:lang w:bidi="ar-DZ"/>
        </w:rPr>
        <w:t xml:space="preserve"> tandis que le lait n’est bien souvent commercialisé que dans la perspective d’obtenir un passe-avant </w:t>
      </w:r>
      <w:r w:rsidR="006F182D">
        <w:rPr>
          <w:rFonts w:cstheme="minorHAnsi"/>
          <w:lang w:bidi="ar-DZ"/>
        </w:rPr>
        <w:t xml:space="preserve">(ou permis de circulation de biens soumis à droits et taxes) </w:t>
      </w:r>
      <w:r w:rsidR="0060018F" w:rsidRPr="00A728F8">
        <w:rPr>
          <w:rFonts w:cstheme="minorHAnsi"/>
          <w:lang w:bidi="ar-DZ"/>
        </w:rPr>
        <w:t>à Adrar ou Tamanrasset</w:t>
      </w:r>
      <w:r w:rsidR="00A728F8">
        <w:rPr>
          <w:rFonts w:cstheme="minorHAnsi"/>
          <w:lang w:bidi="ar-DZ"/>
        </w:rPr>
        <w:t xml:space="preserve"> mais il n’est plu</w:t>
      </w:r>
      <w:r w:rsidR="0060018F" w:rsidRPr="00A728F8">
        <w:rPr>
          <w:rFonts w:cstheme="minorHAnsi"/>
          <w:lang w:bidi="ar-DZ"/>
        </w:rPr>
        <w:t xml:space="preserve">s rentable. </w:t>
      </w:r>
      <w:r w:rsidR="007A5D1E">
        <w:rPr>
          <w:rFonts w:cstheme="minorHAnsi"/>
          <w:lang w:bidi="ar-DZ"/>
        </w:rPr>
        <w:t>Ainsi, grâce à un passe-avant, cela permet à un commerçant de transporter en territoire algérien des biens subventionnés (qui seront, pour une partie, écoulés au Mali ou Niger).</w:t>
      </w:r>
    </w:p>
    <w:p w14:paraId="24951993" w14:textId="66176A06" w:rsidR="00E97492" w:rsidRPr="00E97492" w:rsidRDefault="00C00F4C" w:rsidP="009B205F">
      <w:pPr>
        <w:pStyle w:val="Heading2"/>
        <w:rPr>
          <w:rFonts w:asciiTheme="minorHAnsi" w:hAnsiTheme="minorHAnsi"/>
        </w:rPr>
      </w:pPr>
      <w:bookmarkStart w:id="24" w:name="_Toc384903150"/>
      <w:r>
        <w:t>L</w:t>
      </w:r>
      <w:r w:rsidR="00E97492">
        <w:t xml:space="preserve">a </w:t>
      </w:r>
      <w:r w:rsidR="00673748">
        <w:t xml:space="preserve">dotation en carburants en Algérie et sa </w:t>
      </w:r>
      <w:r w:rsidR="00E97492">
        <w:t>contrebande</w:t>
      </w:r>
      <w:bookmarkEnd w:id="24"/>
    </w:p>
    <w:p w14:paraId="0702CF78" w14:textId="77777777" w:rsidR="00E97492" w:rsidRDefault="00E97492" w:rsidP="00E97492">
      <w:pPr>
        <w:jc w:val="both"/>
        <w:rPr>
          <w:rFonts w:cstheme="minorHAnsi"/>
          <w:lang w:bidi="ar-DZ"/>
        </w:rPr>
      </w:pPr>
      <w:r w:rsidRPr="000E794A">
        <w:rPr>
          <w:rFonts w:cstheme="minorHAnsi"/>
          <w:b/>
          <w:lang w:bidi="ar-DZ"/>
        </w:rPr>
        <w:t>Le trafic de carburant est un des trafics</w:t>
      </w:r>
      <w:r w:rsidR="0006123C">
        <w:rPr>
          <w:rFonts w:cstheme="minorHAnsi"/>
          <w:b/>
          <w:lang w:bidi="ar-DZ"/>
        </w:rPr>
        <w:t xml:space="preserve"> les plus importants </w:t>
      </w:r>
      <w:r w:rsidR="0006123C" w:rsidRPr="00140831">
        <w:rPr>
          <w:rFonts w:cstheme="minorHAnsi"/>
          <w:b/>
          <w:lang w:bidi="ar-DZ"/>
        </w:rPr>
        <w:t>de la</w:t>
      </w:r>
      <w:r w:rsidRPr="00140831">
        <w:rPr>
          <w:rFonts w:cstheme="minorHAnsi"/>
          <w:b/>
          <w:lang w:bidi="ar-DZ"/>
        </w:rPr>
        <w:t xml:space="preserve"> région en </w:t>
      </w:r>
      <w:r w:rsidRPr="000E794A">
        <w:rPr>
          <w:rFonts w:cstheme="minorHAnsi"/>
          <w:b/>
          <w:lang w:bidi="ar-DZ"/>
        </w:rPr>
        <w:t>ra</w:t>
      </w:r>
      <w:r w:rsidR="000E794A">
        <w:rPr>
          <w:rFonts w:cstheme="minorHAnsi"/>
          <w:b/>
          <w:lang w:bidi="ar-DZ"/>
        </w:rPr>
        <w:t>ison de la disponibilité et du prix de vente faible en Algérie</w:t>
      </w:r>
      <w:r w:rsidRPr="000E794A">
        <w:rPr>
          <w:rFonts w:cstheme="minorHAnsi"/>
          <w:b/>
          <w:lang w:bidi="ar-DZ"/>
        </w:rPr>
        <w:t>.</w:t>
      </w:r>
      <w:r w:rsidRPr="00E97492">
        <w:rPr>
          <w:rFonts w:cstheme="minorHAnsi"/>
          <w:lang w:bidi="ar-DZ"/>
        </w:rPr>
        <w:t xml:space="preserve"> Les circuits de contrebande de carburant se sont adaptés aux modes d'approvisionnement et aux systèmes de contrôles mis en place.</w:t>
      </w:r>
    </w:p>
    <w:p w14:paraId="11DDED20" w14:textId="359B6F6E" w:rsidR="00BD1053" w:rsidRDefault="00BD1053" w:rsidP="00BD1053">
      <w:pPr>
        <w:jc w:val="both"/>
        <w:rPr>
          <w:rFonts w:cstheme="minorHAnsi"/>
          <w:color w:val="FF0000"/>
          <w:lang w:bidi="ar-DZ"/>
        </w:rPr>
      </w:pPr>
      <w:r w:rsidRPr="000E794A">
        <w:rPr>
          <w:rFonts w:cstheme="minorHAnsi"/>
          <w:b/>
          <w:bCs/>
          <w:lang w:bidi="ar-DZ"/>
        </w:rPr>
        <w:t>Depuis la ville de Tamanrasset</w:t>
      </w:r>
      <w:r w:rsidR="000E794A" w:rsidRPr="000E794A">
        <w:rPr>
          <w:rFonts w:cstheme="minorHAnsi"/>
          <w:b/>
          <w:bCs/>
          <w:lang w:bidi="ar-DZ"/>
        </w:rPr>
        <w:t xml:space="preserve">, </w:t>
      </w:r>
      <w:r w:rsidRPr="000E794A">
        <w:rPr>
          <w:rFonts w:cstheme="minorHAnsi"/>
          <w:b/>
          <w:lang w:bidi="ar-DZ"/>
        </w:rPr>
        <w:t>les dernières mesures de contrôle ont conduit à une modification des modes de trafic de carburant.</w:t>
      </w:r>
      <w:r w:rsidRPr="00E97492">
        <w:rPr>
          <w:rFonts w:cstheme="minorHAnsi"/>
          <w:lang w:bidi="ar-DZ"/>
        </w:rPr>
        <w:t xml:space="preserve"> Le contrôle opéré au niveau des stations essence a contraint les trafiquants à procéder à la collecte et au stockage du carburant dans leurs lieux de</w:t>
      </w:r>
      <w:r w:rsidR="00B902A5">
        <w:rPr>
          <w:rFonts w:cstheme="minorHAnsi"/>
          <w:lang w:bidi="ar-DZ"/>
        </w:rPr>
        <w:t xml:space="preserve"> </w:t>
      </w:r>
      <w:r w:rsidRPr="00E97492">
        <w:rPr>
          <w:rFonts w:cstheme="minorHAnsi"/>
          <w:lang w:bidi="ar-DZ"/>
        </w:rPr>
        <w:t xml:space="preserve">domicile. Ce trafic est concentré dans un quartier au </w:t>
      </w:r>
      <w:r w:rsidR="00AF3227">
        <w:rPr>
          <w:rFonts w:cstheme="minorHAnsi"/>
          <w:lang w:bidi="ar-DZ"/>
        </w:rPr>
        <w:t>nord</w:t>
      </w:r>
      <w:r w:rsidRPr="00E97492">
        <w:rPr>
          <w:rFonts w:cstheme="minorHAnsi"/>
          <w:lang w:bidi="ar-DZ"/>
        </w:rPr>
        <w:t xml:space="preserve"> de </w:t>
      </w:r>
      <w:r>
        <w:rPr>
          <w:rFonts w:cstheme="minorHAnsi"/>
          <w:lang w:bidi="ar-DZ"/>
        </w:rPr>
        <w:t>Tamanrasset contrôlé par une famille principale</w:t>
      </w:r>
      <w:r w:rsidRPr="00E97492">
        <w:rPr>
          <w:rFonts w:cstheme="minorHAnsi"/>
          <w:lang w:bidi="ar-DZ"/>
        </w:rPr>
        <w:t>. On trouve également des membres de cette famille dans le commerce du troc et le commerce de produits de large consommation.</w:t>
      </w:r>
    </w:p>
    <w:p w14:paraId="09DE9B24" w14:textId="7BAAD198" w:rsidR="00BD1053" w:rsidRPr="00EE5C96" w:rsidRDefault="00BD1053" w:rsidP="00BD1053">
      <w:pPr>
        <w:jc w:val="both"/>
        <w:rPr>
          <w:rFonts w:cstheme="minorHAnsi"/>
          <w:b/>
          <w:lang w:bidi="ar-DZ"/>
        </w:rPr>
      </w:pPr>
      <w:r w:rsidRPr="00EE5C96">
        <w:rPr>
          <w:rFonts w:cstheme="minorHAnsi"/>
          <w:b/>
          <w:lang w:bidi="ar-DZ"/>
        </w:rPr>
        <w:t xml:space="preserve">Les mesures de restriction sur les quantités de </w:t>
      </w:r>
      <w:r w:rsidR="00751192">
        <w:rPr>
          <w:rFonts w:cstheme="minorHAnsi"/>
          <w:b/>
          <w:lang w:bidi="ar-DZ"/>
        </w:rPr>
        <w:t>gasoil</w:t>
      </w:r>
      <w:r w:rsidRPr="00EE5C96">
        <w:rPr>
          <w:rFonts w:cstheme="minorHAnsi"/>
          <w:b/>
          <w:lang w:bidi="ar-DZ"/>
        </w:rPr>
        <w:t xml:space="preserve"> autorisées dans le commerce du troc adoptées depuis mars 2013 ont conduit à une augmentation des quantités de </w:t>
      </w:r>
      <w:r w:rsidR="00751192">
        <w:rPr>
          <w:rFonts w:cstheme="minorHAnsi"/>
          <w:b/>
          <w:lang w:bidi="ar-DZ"/>
        </w:rPr>
        <w:t>gasoil</w:t>
      </w:r>
      <w:r w:rsidRPr="00EE5C96">
        <w:rPr>
          <w:rFonts w:cstheme="minorHAnsi"/>
          <w:b/>
          <w:lang w:bidi="ar-DZ"/>
        </w:rPr>
        <w:t xml:space="preserve"> exporté</w:t>
      </w:r>
      <w:r w:rsidR="007A5D1E">
        <w:rPr>
          <w:rFonts w:cstheme="minorHAnsi"/>
          <w:b/>
          <w:lang w:bidi="ar-DZ"/>
        </w:rPr>
        <w:t>e</w:t>
      </w:r>
      <w:r w:rsidRPr="00EE5C96">
        <w:rPr>
          <w:rFonts w:cstheme="minorHAnsi"/>
          <w:b/>
          <w:lang w:bidi="ar-DZ"/>
        </w:rPr>
        <w:t>s par les voies de contrebande</w:t>
      </w:r>
      <w:r w:rsidR="007A5D1E">
        <w:rPr>
          <w:rFonts w:cstheme="minorHAnsi"/>
          <w:b/>
          <w:lang w:bidi="ar-DZ"/>
        </w:rPr>
        <w:t xml:space="preserve"> </w:t>
      </w:r>
      <w:r w:rsidRPr="00EE5C96">
        <w:rPr>
          <w:rFonts w:cstheme="minorHAnsi"/>
          <w:b/>
          <w:lang w:bidi="ar-DZ"/>
        </w:rPr>
        <w:t xml:space="preserve">(les quantités de saisie de </w:t>
      </w:r>
      <w:r w:rsidR="00751192">
        <w:rPr>
          <w:rFonts w:cstheme="minorHAnsi"/>
          <w:b/>
          <w:lang w:bidi="ar-DZ"/>
        </w:rPr>
        <w:t>gasoil</w:t>
      </w:r>
      <w:r w:rsidRPr="00EE5C96">
        <w:rPr>
          <w:rFonts w:cstheme="minorHAnsi"/>
          <w:b/>
          <w:lang w:bidi="ar-DZ"/>
        </w:rPr>
        <w:t xml:space="preserve"> ont plus que doublé de 2012 à 2013)</w:t>
      </w:r>
      <w:r w:rsidR="007A5D1E">
        <w:rPr>
          <w:rFonts w:cstheme="minorHAnsi"/>
          <w:b/>
          <w:lang w:bidi="ar-DZ"/>
        </w:rPr>
        <w:t>.</w:t>
      </w:r>
    </w:p>
    <w:p w14:paraId="5CA290E7" w14:textId="1602DDD8" w:rsidR="00BD1053" w:rsidRDefault="00BD1053" w:rsidP="00BD1053">
      <w:pPr>
        <w:jc w:val="both"/>
        <w:rPr>
          <w:rFonts w:cstheme="minorHAnsi"/>
          <w:lang w:bidi="ar-DZ"/>
        </w:rPr>
      </w:pPr>
      <w:r w:rsidRPr="000E794A">
        <w:rPr>
          <w:rFonts w:cstheme="minorHAnsi"/>
          <w:b/>
          <w:lang w:bidi="ar-DZ"/>
        </w:rPr>
        <w:t xml:space="preserve">Les quantités de carburant saisies par l'ensemble des services de sécurité dans toute la région de Tamanrasset semblent assez modestes par rapport aux quantités réellement exportées en </w:t>
      </w:r>
      <w:r w:rsidRPr="000E794A">
        <w:rPr>
          <w:rFonts w:cstheme="minorHAnsi"/>
          <w:b/>
          <w:lang w:bidi="ar-DZ"/>
        </w:rPr>
        <w:lastRenderedPageBreak/>
        <w:t>contrebande.</w:t>
      </w:r>
      <w:r w:rsidRPr="00E97492">
        <w:rPr>
          <w:rFonts w:cstheme="minorHAnsi"/>
          <w:lang w:bidi="ar-DZ"/>
        </w:rPr>
        <w:t xml:space="preserve"> </w:t>
      </w:r>
      <w:r w:rsidR="00DD32E8">
        <w:rPr>
          <w:rFonts w:cstheme="minorHAnsi"/>
          <w:lang w:bidi="ar-DZ"/>
        </w:rPr>
        <w:t>L</w:t>
      </w:r>
      <w:r w:rsidRPr="00E97492">
        <w:rPr>
          <w:rFonts w:cstheme="minorHAnsi"/>
          <w:lang w:bidi="ar-DZ"/>
        </w:rPr>
        <w:t>es saisies opérées en 2013 ne représenteraient que 10% du carburant exporté en contrebande depuis</w:t>
      </w:r>
      <w:r>
        <w:rPr>
          <w:rFonts w:cstheme="minorHAnsi"/>
          <w:lang w:bidi="ar-DZ"/>
        </w:rPr>
        <w:t xml:space="preserve"> la seule </w:t>
      </w:r>
      <w:r w:rsidRPr="00E97492">
        <w:rPr>
          <w:rFonts w:cstheme="minorHAnsi"/>
          <w:lang w:bidi="ar-DZ"/>
        </w:rPr>
        <w:t xml:space="preserve">localité d'In </w:t>
      </w:r>
      <w:proofErr w:type="spellStart"/>
      <w:r w:rsidRPr="00E97492">
        <w:rPr>
          <w:rFonts w:cstheme="minorHAnsi"/>
          <w:lang w:bidi="ar-DZ"/>
        </w:rPr>
        <w:t>Guezzam</w:t>
      </w:r>
      <w:proofErr w:type="spellEnd"/>
      <w:r w:rsidRPr="00E97492">
        <w:rPr>
          <w:rFonts w:cstheme="minorHAnsi"/>
          <w:lang w:bidi="ar-DZ"/>
        </w:rPr>
        <w:t>.</w:t>
      </w:r>
    </w:p>
    <w:p w14:paraId="639DE3EE" w14:textId="228082D8" w:rsidR="00D80E61" w:rsidRPr="00C403FA" w:rsidRDefault="00C403FA" w:rsidP="00D80E61">
      <w:pPr>
        <w:jc w:val="both"/>
        <w:rPr>
          <w:lang w:bidi="ar-DZ"/>
        </w:rPr>
      </w:pPr>
      <w:r w:rsidRPr="00C403FA">
        <w:rPr>
          <w:lang w:bidi="ar-DZ"/>
        </w:rPr>
        <w:t>On estimait l</w:t>
      </w:r>
      <w:r w:rsidR="003D2712" w:rsidRPr="00C403FA">
        <w:rPr>
          <w:lang w:bidi="ar-DZ"/>
        </w:rPr>
        <w:t xml:space="preserve">es </w:t>
      </w:r>
      <w:r w:rsidRPr="00C403FA">
        <w:rPr>
          <w:lang w:bidi="ar-DZ"/>
        </w:rPr>
        <w:t xml:space="preserve">volumes </w:t>
      </w:r>
      <w:r w:rsidR="002A30B6" w:rsidRPr="00C403FA">
        <w:rPr>
          <w:lang w:bidi="ar-DZ"/>
        </w:rPr>
        <w:t xml:space="preserve">annuels </w:t>
      </w:r>
      <w:r w:rsidR="003D2712" w:rsidRPr="00C403FA">
        <w:rPr>
          <w:lang w:bidi="ar-DZ"/>
        </w:rPr>
        <w:t xml:space="preserve">de carburant </w:t>
      </w:r>
      <w:r w:rsidR="002A30B6" w:rsidRPr="00C403FA">
        <w:rPr>
          <w:lang w:bidi="ar-DZ"/>
        </w:rPr>
        <w:t>estimés</w:t>
      </w:r>
      <w:r w:rsidRPr="00C403FA">
        <w:rPr>
          <w:lang w:bidi="ar-DZ"/>
        </w:rPr>
        <w:t xml:space="preserve"> à la frontière </w:t>
      </w:r>
      <w:r w:rsidR="003D2712" w:rsidRPr="00C403FA">
        <w:rPr>
          <w:lang w:bidi="ar-DZ"/>
        </w:rPr>
        <w:t>malien</w:t>
      </w:r>
      <w:r w:rsidRPr="00C403FA">
        <w:rPr>
          <w:lang w:bidi="ar-DZ"/>
        </w:rPr>
        <w:t>ne</w:t>
      </w:r>
      <w:r w:rsidR="002A30B6" w:rsidRPr="00C403FA">
        <w:rPr>
          <w:lang w:bidi="ar-DZ"/>
        </w:rPr>
        <w:t xml:space="preserve"> à hauteur de 29.000</w:t>
      </w:r>
      <w:r w:rsidR="003D2712" w:rsidRPr="00C403FA">
        <w:rPr>
          <w:lang w:bidi="ar-DZ"/>
        </w:rPr>
        <w:t>.</w:t>
      </w:r>
      <w:r w:rsidRPr="00C403FA">
        <w:rPr>
          <w:lang w:bidi="ar-DZ"/>
        </w:rPr>
        <w:t>000 l</w:t>
      </w:r>
      <w:r w:rsidR="002A30B6" w:rsidRPr="00C403FA">
        <w:rPr>
          <w:lang w:bidi="ar-DZ"/>
        </w:rPr>
        <w:t xml:space="preserve"> de carburant</w:t>
      </w:r>
      <w:r w:rsidR="003B6DFA" w:rsidRPr="00C403FA">
        <w:rPr>
          <w:lang w:bidi="ar-DZ"/>
        </w:rPr>
        <w:t xml:space="preserve"> (principalement du gasoil)</w:t>
      </w:r>
      <w:r w:rsidR="002A30B6" w:rsidRPr="00C403FA">
        <w:rPr>
          <w:lang w:bidi="ar-DZ"/>
        </w:rPr>
        <w:t>.</w:t>
      </w:r>
      <w:r w:rsidRPr="00C403FA">
        <w:rPr>
          <w:lang w:bidi="ar-DZ"/>
        </w:rPr>
        <w:t xml:space="preserve"> A cela, on peut </w:t>
      </w:r>
      <w:r w:rsidR="002A30B6" w:rsidRPr="00C403FA">
        <w:rPr>
          <w:lang w:bidi="ar-DZ"/>
        </w:rPr>
        <w:t xml:space="preserve">ajouter les volumes de carburant destinés aux trajets aller-retour des camions. </w:t>
      </w:r>
      <w:r w:rsidR="0013180D" w:rsidRPr="00C403FA">
        <w:rPr>
          <w:lang w:bidi="ar-DZ"/>
        </w:rPr>
        <w:t>E</w:t>
      </w:r>
      <w:r w:rsidR="00F37A39" w:rsidRPr="00C403FA">
        <w:rPr>
          <w:lang w:bidi="ar-DZ"/>
        </w:rPr>
        <w:t>n fonction des distances parcou</w:t>
      </w:r>
      <w:r w:rsidR="0013180D" w:rsidRPr="00C403FA">
        <w:rPr>
          <w:lang w:bidi="ar-DZ"/>
        </w:rPr>
        <w:t>rues et</w:t>
      </w:r>
      <w:r w:rsidR="00F37A39" w:rsidRPr="00C403FA">
        <w:rPr>
          <w:lang w:bidi="ar-DZ"/>
        </w:rPr>
        <w:t xml:space="preserve"> d’une consommation moyenne</w:t>
      </w:r>
      <w:r w:rsidRPr="00C403FA">
        <w:rPr>
          <w:lang w:bidi="ar-DZ"/>
        </w:rPr>
        <w:t xml:space="preserve"> de 60l</w:t>
      </w:r>
      <w:r w:rsidR="0013180D" w:rsidRPr="00C403FA">
        <w:rPr>
          <w:lang w:bidi="ar-DZ"/>
        </w:rPr>
        <w:t xml:space="preserve">/100km, on estime la consommation </w:t>
      </w:r>
      <w:r w:rsidR="003B6DFA" w:rsidRPr="00C403FA">
        <w:rPr>
          <w:lang w:bidi="ar-DZ"/>
        </w:rPr>
        <w:t>totale à 12.700.000</w:t>
      </w:r>
      <w:r w:rsidRPr="00C403FA">
        <w:rPr>
          <w:lang w:bidi="ar-DZ"/>
        </w:rPr>
        <w:t xml:space="preserve"> l et donc un total de près de 42 millions de litres</w:t>
      </w:r>
      <w:r w:rsidR="003B6DFA" w:rsidRPr="00C403FA">
        <w:rPr>
          <w:lang w:bidi="ar-DZ"/>
        </w:rPr>
        <w:t xml:space="preserve">. </w:t>
      </w:r>
      <w:r>
        <w:rPr>
          <w:lang w:bidi="ar-DZ"/>
        </w:rPr>
        <w:t>Les volumes des saisies sont ainsi inférieurs à 1% de ce qui passait la frontière.</w:t>
      </w:r>
      <w:r w:rsidR="00602DCA">
        <w:rPr>
          <w:lang w:bidi="ar-DZ"/>
        </w:rPr>
        <w:t xml:space="preserve"> Ce serait ainsi près de 20% de la dotation en essence et </w:t>
      </w:r>
      <w:r w:rsidR="00751192">
        <w:rPr>
          <w:lang w:bidi="ar-DZ"/>
        </w:rPr>
        <w:t>gasoil</w:t>
      </w:r>
      <w:r w:rsidR="00602DCA">
        <w:rPr>
          <w:lang w:bidi="ar-DZ"/>
        </w:rPr>
        <w:t xml:space="preserve"> pour la région de Tamanrasset </w:t>
      </w:r>
      <w:r w:rsidR="007A5D1E">
        <w:rPr>
          <w:lang w:bidi="ar-DZ"/>
        </w:rPr>
        <w:t>qui serait passée</w:t>
      </w:r>
      <w:r w:rsidR="00602DCA">
        <w:rPr>
          <w:lang w:bidi="ar-DZ"/>
        </w:rPr>
        <w:t xml:space="preserve"> </w:t>
      </w:r>
      <w:r w:rsidR="008C17F6">
        <w:rPr>
          <w:lang w:bidi="ar-DZ"/>
        </w:rPr>
        <w:t>au Mali mais moins de 5% des importations totales de carburant au Mali.</w:t>
      </w:r>
    </w:p>
    <w:p w14:paraId="3B3DFE86" w14:textId="7EAC2F9D" w:rsidR="00E97492" w:rsidRPr="00E97492" w:rsidRDefault="00E97492" w:rsidP="00E97492">
      <w:pPr>
        <w:jc w:val="both"/>
        <w:rPr>
          <w:rFonts w:cstheme="minorHAnsi"/>
          <w:lang w:bidi="ar-DZ"/>
        </w:rPr>
      </w:pPr>
      <w:r w:rsidRPr="00E97492">
        <w:rPr>
          <w:rFonts w:cstheme="minorHAnsi"/>
          <w:lang w:bidi="ar-DZ"/>
        </w:rPr>
        <w:t>La wilaya</w:t>
      </w:r>
      <w:r w:rsidR="00B902A5">
        <w:rPr>
          <w:rFonts w:cstheme="minorHAnsi"/>
          <w:lang w:bidi="ar-DZ"/>
        </w:rPr>
        <w:t xml:space="preserve"> </w:t>
      </w:r>
      <w:r w:rsidRPr="00E97492">
        <w:rPr>
          <w:rFonts w:cstheme="minorHAnsi"/>
          <w:lang w:bidi="ar-DZ"/>
        </w:rPr>
        <w:t>de Tamanrasset compte 14 statio</w:t>
      </w:r>
      <w:r>
        <w:rPr>
          <w:rFonts w:cstheme="minorHAnsi"/>
          <w:lang w:bidi="ar-DZ"/>
        </w:rPr>
        <w:t>ns essences dont</w:t>
      </w:r>
      <w:r w:rsidR="00B902A5">
        <w:rPr>
          <w:rFonts w:cstheme="minorHAnsi"/>
          <w:lang w:bidi="ar-DZ"/>
        </w:rPr>
        <w:t xml:space="preserve"> </w:t>
      </w:r>
      <w:r>
        <w:rPr>
          <w:rFonts w:cstheme="minorHAnsi"/>
          <w:lang w:bidi="ar-DZ"/>
        </w:rPr>
        <w:t xml:space="preserve">deux à </w:t>
      </w:r>
      <w:proofErr w:type="spellStart"/>
      <w:r w:rsidR="00C403FA">
        <w:rPr>
          <w:rFonts w:cstheme="minorHAnsi"/>
          <w:bCs/>
          <w:lang w:bidi="ar-DZ"/>
        </w:rPr>
        <w:t>Tin</w:t>
      </w:r>
      <w:r w:rsidR="00C44122">
        <w:rPr>
          <w:rFonts w:cstheme="minorHAnsi"/>
          <w:bCs/>
          <w:lang w:bidi="ar-DZ"/>
        </w:rPr>
        <w:t>zawaten</w:t>
      </w:r>
      <w:proofErr w:type="spellEnd"/>
      <w:r w:rsidR="007A5D1E">
        <w:rPr>
          <w:rFonts w:cstheme="minorHAnsi"/>
          <w:bCs/>
          <w:lang w:bidi="ar-DZ"/>
        </w:rPr>
        <w:t xml:space="preserve"> </w:t>
      </w:r>
      <w:r>
        <w:rPr>
          <w:rFonts w:cstheme="minorHAnsi"/>
          <w:lang w:bidi="ar-DZ"/>
        </w:rPr>
        <w:t>à 9 km de la frontière malienne</w:t>
      </w:r>
      <w:r w:rsidRPr="00E97492">
        <w:rPr>
          <w:rFonts w:cstheme="minorHAnsi"/>
          <w:lang w:bidi="ar-DZ"/>
        </w:rPr>
        <w:t xml:space="preserve"> et une station </w:t>
      </w:r>
      <w:r w:rsidR="00B902A5">
        <w:rPr>
          <w:rFonts w:cstheme="minorHAnsi"/>
          <w:lang w:bidi="ar-DZ"/>
        </w:rPr>
        <w:t xml:space="preserve">NAFTAL, qui </w:t>
      </w:r>
      <w:r w:rsidR="00B902A5" w:rsidRPr="00B902A5">
        <w:rPr>
          <w:rFonts w:cstheme="minorHAnsi"/>
          <w:lang w:bidi="ar-DZ"/>
        </w:rPr>
        <w:t>détient le monopole de la distribution de carburant et des produits pétroliers dérivés</w:t>
      </w:r>
      <w:r w:rsidRPr="00E97492">
        <w:rPr>
          <w:rFonts w:cstheme="minorHAnsi"/>
          <w:lang w:bidi="ar-DZ"/>
        </w:rPr>
        <w:t xml:space="preserve">. </w:t>
      </w:r>
    </w:p>
    <w:p w14:paraId="5B4412DD" w14:textId="024447B1" w:rsidR="00673748" w:rsidRDefault="00E97492" w:rsidP="00E97492">
      <w:pPr>
        <w:jc w:val="both"/>
        <w:rPr>
          <w:rFonts w:cstheme="minorHAnsi"/>
          <w:color w:val="FF0000"/>
          <w:lang w:bidi="ar-DZ"/>
        </w:rPr>
      </w:pPr>
      <w:r w:rsidRPr="000E794A">
        <w:rPr>
          <w:rFonts w:cstheme="minorHAnsi"/>
          <w:b/>
          <w:lang w:bidi="ar-DZ"/>
        </w:rPr>
        <w:t>La dotation des stations essences se fait</w:t>
      </w:r>
      <w:r w:rsidR="00B902A5">
        <w:rPr>
          <w:rFonts w:cstheme="minorHAnsi"/>
          <w:b/>
          <w:lang w:bidi="ar-DZ"/>
        </w:rPr>
        <w:t xml:space="preserve"> </w:t>
      </w:r>
      <w:r w:rsidRPr="000E794A">
        <w:rPr>
          <w:rFonts w:cstheme="minorHAnsi"/>
          <w:b/>
          <w:lang w:bidi="ar-DZ"/>
        </w:rPr>
        <w:t>à la demande et les quantités d'approvisionnement ne sont</w:t>
      </w:r>
      <w:r w:rsidR="00B902A5">
        <w:rPr>
          <w:rFonts w:cstheme="minorHAnsi"/>
          <w:b/>
          <w:lang w:bidi="ar-DZ"/>
        </w:rPr>
        <w:t xml:space="preserve"> </w:t>
      </w:r>
      <w:r w:rsidRPr="000E794A">
        <w:rPr>
          <w:rFonts w:cstheme="minorHAnsi"/>
          <w:b/>
          <w:lang w:bidi="ar-DZ"/>
        </w:rPr>
        <w:t>pas limitées</w:t>
      </w:r>
      <w:r w:rsidR="007A5D1E">
        <w:rPr>
          <w:rFonts w:cstheme="minorHAnsi"/>
          <w:b/>
          <w:lang w:bidi="ar-DZ"/>
        </w:rPr>
        <w:t xml:space="preserve"> et a</w:t>
      </w:r>
      <w:r w:rsidRPr="000E794A">
        <w:rPr>
          <w:rFonts w:cstheme="minorHAnsi"/>
          <w:b/>
          <w:lang w:bidi="ar-DZ"/>
        </w:rPr>
        <w:t>ucune étude</w:t>
      </w:r>
      <w:r w:rsidR="00B902A5">
        <w:rPr>
          <w:rFonts w:cstheme="minorHAnsi"/>
          <w:b/>
          <w:lang w:bidi="ar-DZ"/>
        </w:rPr>
        <w:t xml:space="preserve"> </w:t>
      </w:r>
      <w:r w:rsidRPr="000E794A">
        <w:rPr>
          <w:rFonts w:cstheme="minorHAnsi"/>
          <w:b/>
          <w:lang w:bidi="ar-DZ"/>
        </w:rPr>
        <w:t>sur les besoins réels en consommation de carburant ne semble être réalisée au niveau de la wilaya de Tamanrasset</w:t>
      </w:r>
      <w:r w:rsidR="00513954">
        <w:rPr>
          <w:rFonts w:cstheme="minorHAnsi"/>
          <w:lang w:bidi="ar-DZ"/>
        </w:rPr>
        <w:t>.</w:t>
      </w:r>
      <w:r w:rsidRPr="00E97492">
        <w:rPr>
          <w:rFonts w:cstheme="minorHAnsi"/>
          <w:lang w:bidi="ar-DZ"/>
        </w:rPr>
        <w:t xml:space="preserve"> Seules les localités à proximité immédiate des frontières (l</w:t>
      </w:r>
      <w:r w:rsidR="00140831">
        <w:rPr>
          <w:rFonts w:cstheme="minorHAnsi"/>
          <w:lang w:bidi="ar-DZ"/>
        </w:rPr>
        <w:t xml:space="preserve">ocalités d'In </w:t>
      </w:r>
      <w:proofErr w:type="spellStart"/>
      <w:r w:rsidR="00140831">
        <w:rPr>
          <w:rFonts w:cstheme="minorHAnsi"/>
          <w:lang w:bidi="ar-DZ"/>
        </w:rPr>
        <w:t>Guezzam</w:t>
      </w:r>
      <w:proofErr w:type="spellEnd"/>
      <w:r w:rsidR="00140831">
        <w:rPr>
          <w:rFonts w:cstheme="minorHAnsi"/>
          <w:lang w:bidi="ar-DZ"/>
        </w:rPr>
        <w:t xml:space="preserve"> et de </w:t>
      </w:r>
      <w:proofErr w:type="spellStart"/>
      <w:r w:rsidR="00140831">
        <w:rPr>
          <w:rFonts w:cstheme="minorHAnsi"/>
          <w:lang w:bidi="ar-DZ"/>
        </w:rPr>
        <w:t>Tin</w:t>
      </w:r>
      <w:r w:rsidRPr="00E97492">
        <w:rPr>
          <w:rFonts w:cstheme="minorHAnsi"/>
          <w:lang w:bidi="ar-DZ"/>
        </w:rPr>
        <w:t>za</w:t>
      </w:r>
      <w:r w:rsidR="00C44122">
        <w:rPr>
          <w:rFonts w:cstheme="minorHAnsi"/>
          <w:lang w:bidi="ar-DZ"/>
        </w:rPr>
        <w:t>waten</w:t>
      </w:r>
      <w:proofErr w:type="spellEnd"/>
      <w:r w:rsidR="0040730B">
        <w:rPr>
          <w:rFonts w:cstheme="minorHAnsi"/>
          <w:lang w:bidi="ar-DZ"/>
        </w:rPr>
        <w:t>)</w:t>
      </w:r>
      <w:r w:rsidRPr="00E97492">
        <w:rPr>
          <w:rFonts w:cstheme="minorHAnsi"/>
          <w:lang w:bidi="ar-DZ"/>
        </w:rPr>
        <w:t xml:space="preserve"> font l'objet d'une dotation restreinte. Les quantités de carburants mensuellement</w:t>
      </w:r>
      <w:r w:rsidR="00B902A5">
        <w:rPr>
          <w:rFonts w:cstheme="minorHAnsi"/>
          <w:lang w:bidi="ar-DZ"/>
        </w:rPr>
        <w:t xml:space="preserve"> </w:t>
      </w:r>
      <w:r w:rsidRPr="00E97492">
        <w:rPr>
          <w:rFonts w:cstheme="minorHAnsi"/>
          <w:lang w:bidi="ar-DZ"/>
        </w:rPr>
        <w:t>autorisées dans ces zones sont fixées par décision du wali et conduites depuis Tamanrasset sous escorte de la gendarmerie</w:t>
      </w:r>
      <w:r w:rsidR="000E794A">
        <w:rPr>
          <w:rStyle w:val="FootnoteReference"/>
          <w:rFonts w:cstheme="minorHAnsi"/>
          <w:lang w:bidi="ar-DZ"/>
        </w:rPr>
        <w:footnoteReference w:id="25"/>
      </w:r>
      <w:r w:rsidRPr="00E97492">
        <w:rPr>
          <w:rFonts w:cstheme="minorHAnsi"/>
          <w:lang w:bidi="ar-DZ"/>
        </w:rPr>
        <w:t>.</w:t>
      </w:r>
      <w:r w:rsidR="00B902A5">
        <w:rPr>
          <w:rFonts w:cstheme="minorHAnsi"/>
          <w:color w:val="FF0000"/>
          <w:lang w:bidi="ar-DZ"/>
        </w:rPr>
        <w:t xml:space="preserve"> </w:t>
      </w:r>
    </w:p>
    <w:p w14:paraId="2041A58E" w14:textId="5D9495E7" w:rsidR="00E97492" w:rsidRPr="00E97492" w:rsidRDefault="00E97492" w:rsidP="00E97492">
      <w:pPr>
        <w:jc w:val="both"/>
        <w:rPr>
          <w:rFonts w:cstheme="minorHAnsi"/>
          <w:lang w:bidi="ar-DZ"/>
        </w:rPr>
      </w:pPr>
      <w:r w:rsidRPr="00E97492">
        <w:rPr>
          <w:rFonts w:cstheme="minorHAnsi"/>
          <w:lang w:bidi="ar-DZ"/>
        </w:rPr>
        <w:t>Les convois</w:t>
      </w:r>
      <w:r w:rsidR="009A22A9">
        <w:rPr>
          <w:rFonts w:cstheme="minorHAnsi"/>
          <w:lang w:bidi="ar-DZ"/>
        </w:rPr>
        <w:t xml:space="preserve"> (de contrebande)</w:t>
      </w:r>
      <w:r w:rsidRPr="00E97492">
        <w:rPr>
          <w:rStyle w:val="FootnoteReference"/>
          <w:rFonts w:cstheme="minorHAnsi"/>
          <w:lang w:bidi="ar-DZ"/>
        </w:rPr>
        <w:footnoteReference w:id="26"/>
      </w:r>
      <w:r w:rsidRPr="00E97492">
        <w:rPr>
          <w:rFonts w:cstheme="minorHAnsi"/>
          <w:lang w:bidi="ar-DZ"/>
        </w:rPr>
        <w:t xml:space="preserve"> sont formés généralement par </w:t>
      </w:r>
      <w:r w:rsidR="00B902A5">
        <w:rPr>
          <w:rFonts w:cstheme="minorHAnsi"/>
          <w:lang w:bidi="ar-DZ"/>
        </w:rPr>
        <w:t xml:space="preserve">des </w:t>
      </w:r>
      <w:r w:rsidRPr="00E97492">
        <w:rPr>
          <w:rFonts w:cstheme="minorHAnsi"/>
          <w:lang w:bidi="ar-DZ"/>
        </w:rPr>
        <w:t xml:space="preserve">groupes comprenant </w:t>
      </w:r>
      <w:r>
        <w:rPr>
          <w:rFonts w:cstheme="minorHAnsi"/>
          <w:lang w:bidi="ar-DZ"/>
        </w:rPr>
        <w:t xml:space="preserve">entre </w:t>
      </w:r>
      <w:r w:rsidRPr="00E97492">
        <w:rPr>
          <w:rFonts w:cstheme="minorHAnsi"/>
          <w:lang w:bidi="ar-DZ"/>
        </w:rPr>
        <w:t>8 et 20 véhicules tout terrain appartenant à des personnes différentes. Ce mode opératoire permet de répartir les risques; chaque propriétaire n'envoyant qu'une partie de sa "flotte" par opération en prévision d'une possible interception</w:t>
      </w:r>
      <w:r w:rsidR="00B902A5">
        <w:rPr>
          <w:rFonts w:cstheme="minorHAnsi"/>
          <w:lang w:bidi="ar-DZ"/>
        </w:rPr>
        <w:t xml:space="preserve"> </w:t>
      </w:r>
      <w:r w:rsidRPr="00E97492">
        <w:rPr>
          <w:rFonts w:cstheme="minorHAnsi"/>
          <w:lang w:bidi="ar-DZ"/>
        </w:rPr>
        <w:t>des services des douanes. Cela permet également</w:t>
      </w:r>
      <w:r w:rsidR="00B902A5">
        <w:rPr>
          <w:rFonts w:cstheme="minorHAnsi"/>
          <w:lang w:bidi="ar-DZ"/>
        </w:rPr>
        <w:t xml:space="preserve"> </w:t>
      </w:r>
      <w:r w:rsidRPr="00E97492">
        <w:rPr>
          <w:rFonts w:cstheme="minorHAnsi"/>
          <w:lang w:bidi="ar-DZ"/>
        </w:rPr>
        <w:t>de créer une forme de communauté d'intérêts, et</w:t>
      </w:r>
      <w:r w:rsidR="00B902A5">
        <w:rPr>
          <w:rFonts w:cstheme="minorHAnsi"/>
          <w:lang w:bidi="ar-DZ"/>
        </w:rPr>
        <w:t xml:space="preserve"> </w:t>
      </w:r>
      <w:r w:rsidRPr="00E97492">
        <w:rPr>
          <w:rFonts w:cstheme="minorHAnsi"/>
          <w:lang w:bidi="ar-DZ"/>
        </w:rPr>
        <w:t>réduit les risques de concurrence et</w:t>
      </w:r>
      <w:r w:rsidR="00B902A5">
        <w:rPr>
          <w:rFonts w:cstheme="minorHAnsi"/>
          <w:lang w:bidi="ar-DZ"/>
        </w:rPr>
        <w:t xml:space="preserve"> </w:t>
      </w:r>
      <w:r w:rsidRPr="00E97492">
        <w:rPr>
          <w:rFonts w:cstheme="minorHAnsi"/>
          <w:lang w:bidi="ar-DZ"/>
        </w:rPr>
        <w:t>de délations.</w:t>
      </w:r>
    </w:p>
    <w:p w14:paraId="1178F355" w14:textId="0CFC0B9F" w:rsidR="00E97492" w:rsidRPr="00E97492" w:rsidRDefault="00E97492" w:rsidP="00E97492">
      <w:pPr>
        <w:jc w:val="both"/>
        <w:rPr>
          <w:rFonts w:cstheme="minorHAnsi"/>
          <w:lang w:bidi="ar-DZ"/>
        </w:rPr>
      </w:pPr>
      <w:r w:rsidRPr="00E97492">
        <w:rPr>
          <w:rFonts w:cstheme="minorHAnsi"/>
          <w:b/>
          <w:lang w:bidi="ar-DZ"/>
        </w:rPr>
        <w:t xml:space="preserve">Le troc constituait une autre voie de trafic de </w:t>
      </w:r>
      <w:r w:rsidR="00B902A5">
        <w:rPr>
          <w:rFonts w:cstheme="minorHAnsi"/>
          <w:b/>
          <w:lang w:bidi="ar-DZ"/>
        </w:rPr>
        <w:t>gasoil</w:t>
      </w:r>
      <w:r w:rsidRPr="00E97492">
        <w:rPr>
          <w:rFonts w:cstheme="minorHAnsi"/>
          <w:b/>
          <w:lang w:bidi="ar-DZ"/>
        </w:rPr>
        <w:t xml:space="preserve">. </w:t>
      </w:r>
      <w:r w:rsidRPr="00E97492">
        <w:rPr>
          <w:rFonts w:cstheme="minorHAnsi"/>
          <w:lang w:bidi="ar-DZ"/>
        </w:rPr>
        <w:t>Ce qui explique dans une certaine</w:t>
      </w:r>
      <w:r w:rsidR="00B902A5">
        <w:rPr>
          <w:rFonts w:cstheme="minorHAnsi"/>
          <w:lang w:bidi="ar-DZ"/>
        </w:rPr>
        <w:t xml:space="preserve"> </w:t>
      </w:r>
      <w:r w:rsidRPr="00E97492">
        <w:rPr>
          <w:rFonts w:cstheme="minorHAnsi"/>
          <w:lang w:bidi="ar-DZ"/>
        </w:rPr>
        <w:t xml:space="preserve">mesure les écarts constatés entre les quantités saisies d'essence et de </w:t>
      </w:r>
      <w:r w:rsidR="00B902A5">
        <w:rPr>
          <w:rFonts w:cstheme="minorHAnsi"/>
          <w:lang w:bidi="ar-DZ"/>
        </w:rPr>
        <w:t>gasoil</w:t>
      </w:r>
      <w:r w:rsidRPr="00E97492">
        <w:rPr>
          <w:rFonts w:cstheme="minorHAnsi"/>
          <w:lang w:bidi="ar-DZ"/>
        </w:rPr>
        <w:t xml:space="preserve"> (voir tableau.2). Avec l'autorisation de conduire jusqu'à 2800 litres de </w:t>
      </w:r>
      <w:r w:rsidR="00B902A5">
        <w:rPr>
          <w:rFonts w:cstheme="minorHAnsi"/>
          <w:lang w:bidi="ar-DZ"/>
        </w:rPr>
        <w:t>gasoil</w:t>
      </w:r>
      <w:r w:rsidRPr="00E97492">
        <w:rPr>
          <w:rFonts w:cstheme="minorHAnsi"/>
          <w:lang w:bidi="ar-DZ"/>
        </w:rPr>
        <w:t xml:space="preserve"> par camion et par opération, les commerçants avaient en plus de la quantité de carburant nécessaire pour effectuer leur trajet, la possibilité de vendre frauduleusement les quantités restantes au Niger. En 2012, Plus d'un million de litre de </w:t>
      </w:r>
      <w:r w:rsidR="00B902A5">
        <w:rPr>
          <w:rFonts w:cstheme="minorHAnsi"/>
          <w:lang w:bidi="ar-DZ"/>
        </w:rPr>
        <w:t>gasoil</w:t>
      </w:r>
      <w:r w:rsidRPr="00E97492">
        <w:rPr>
          <w:rFonts w:cstheme="minorHAnsi"/>
          <w:lang w:bidi="ar-DZ"/>
        </w:rPr>
        <w:t xml:space="preserve"> a</w:t>
      </w:r>
      <w:r w:rsidR="00E5477A">
        <w:rPr>
          <w:rFonts w:cstheme="minorHAnsi"/>
          <w:lang w:bidi="ar-DZ"/>
        </w:rPr>
        <w:t xml:space="preserve">urait été illégalement exporté </w:t>
      </w:r>
      <w:r w:rsidRPr="00E97492">
        <w:rPr>
          <w:rFonts w:cstheme="minorHAnsi"/>
          <w:lang w:bidi="ar-DZ"/>
        </w:rPr>
        <w:t>par la voie du troc. Le quota autorisé a été réduit par la douane à 1800 litres depuis mars 2013.</w:t>
      </w:r>
    </w:p>
    <w:p w14:paraId="681BC6F0" w14:textId="41EC1707" w:rsidR="00E97492" w:rsidRDefault="00E97492" w:rsidP="00E97492">
      <w:pPr>
        <w:jc w:val="both"/>
        <w:rPr>
          <w:rFonts w:cstheme="minorHAnsi"/>
          <w:lang w:bidi="ar-DZ"/>
        </w:rPr>
      </w:pPr>
      <w:r w:rsidRPr="00E97492">
        <w:rPr>
          <w:rFonts w:cstheme="minorHAnsi"/>
          <w:lang w:bidi="ar-DZ"/>
        </w:rPr>
        <w:t>Les profits les plus significatifs sont</w:t>
      </w:r>
      <w:r w:rsidR="00B902A5">
        <w:rPr>
          <w:rFonts w:cstheme="minorHAnsi"/>
          <w:lang w:bidi="ar-DZ"/>
        </w:rPr>
        <w:t xml:space="preserve"> </w:t>
      </w:r>
      <w:r w:rsidRPr="00E97492">
        <w:rPr>
          <w:rFonts w:cstheme="minorHAnsi"/>
          <w:lang w:bidi="ar-DZ"/>
        </w:rPr>
        <w:t>réalisés au niveau</w:t>
      </w:r>
      <w:r w:rsidR="00B902A5">
        <w:rPr>
          <w:rFonts w:cstheme="minorHAnsi"/>
          <w:lang w:bidi="ar-DZ"/>
        </w:rPr>
        <w:t xml:space="preserve"> </w:t>
      </w:r>
      <w:r w:rsidRPr="00E97492">
        <w:rPr>
          <w:rFonts w:cstheme="minorHAnsi"/>
          <w:lang w:bidi="ar-DZ"/>
        </w:rPr>
        <w:t>des deux chainons</w:t>
      </w:r>
      <w:r w:rsidR="00B902A5">
        <w:rPr>
          <w:rFonts w:cstheme="minorHAnsi"/>
          <w:lang w:bidi="ar-DZ"/>
        </w:rPr>
        <w:t xml:space="preserve"> </w:t>
      </w:r>
      <w:r w:rsidRPr="00E97492">
        <w:rPr>
          <w:rFonts w:cstheme="minorHAnsi"/>
          <w:lang w:bidi="ar-DZ"/>
        </w:rPr>
        <w:t>les plus structurés du circuit de la fraude</w:t>
      </w:r>
      <w:r w:rsidR="00B902A5">
        <w:rPr>
          <w:rFonts w:cstheme="minorHAnsi"/>
          <w:lang w:bidi="ar-DZ"/>
        </w:rPr>
        <w:t xml:space="preserve"> </w:t>
      </w:r>
      <w:r w:rsidRPr="00E97492">
        <w:rPr>
          <w:rFonts w:cstheme="minorHAnsi"/>
          <w:lang w:bidi="ar-DZ"/>
        </w:rPr>
        <w:t>à savoir les stations d'essence (principaux lieux d'approvisionnement) et</w:t>
      </w:r>
      <w:r w:rsidR="00B902A5">
        <w:rPr>
          <w:rFonts w:cstheme="minorHAnsi"/>
          <w:lang w:bidi="ar-DZ"/>
        </w:rPr>
        <w:t xml:space="preserve"> </w:t>
      </w:r>
      <w:r w:rsidRPr="00E97492">
        <w:rPr>
          <w:rFonts w:cstheme="minorHAnsi"/>
          <w:lang w:bidi="ar-DZ"/>
        </w:rPr>
        <w:t>les réseaux</w:t>
      </w:r>
      <w:r w:rsidR="00B902A5">
        <w:rPr>
          <w:rFonts w:cstheme="minorHAnsi"/>
          <w:lang w:bidi="ar-DZ"/>
        </w:rPr>
        <w:t xml:space="preserve"> </w:t>
      </w:r>
      <w:r w:rsidRPr="00E97492">
        <w:rPr>
          <w:rFonts w:cstheme="minorHAnsi"/>
          <w:lang w:bidi="ar-DZ"/>
        </w:rPr>
        <w:t>organisés de transport transfrontalier.</w:t>
      </w:r>
    </w:p>
    <w:p w14:paraId="0CABD4D6" w14:textId="77777777" w:rsidR="00140831" w:rsidRPr="00D5151B" w:rsidRDefault="00140831" w:rsidP="00140831">
      <w:pPr>
        <w:pStyle w:val="Heading2"/>
        <w:rPr>
          <w:lang w:bidi="ar-DZ"/>
        </w:rPr>
      </w:pPr>
      <w:bookmarkStart w:id="25" w:name="_Toc384903151"/>
      <w:r>
        <w:rPr>
          <w:lang w:bidi="ar-DZ"/>
        </w:rPr>
        <w:lastRenderedPageBreak/>
        <w:t>L</w:t>
      </w:r>
      <w:r w:rsidRPr="00D5151B">
        <w:rPr>
          <w:lang w:bidi="ar-DZ"/>
        </w:rPr>
        <w:t>a contrebande de ciment</w:t>
      </w:r>
      <w:bookmarkEnd w:id="25"/>
    </w:p>
    <w:p w14:paraId="0113E627" w14:textId="6FF0BFBD" w:rsidR="00CE70CA" w:rsidRPr="00D5151B" w:rsidRDefault="00140831" w:rsidP="00140831">
      <w:pPr>
        <w:jc w:val="both"/>
        <w:rPr>
          <w:rFonts w:cstheme="minorHAnsi"/>
          <w:lang w:bidi="ar-DZ"/>
        </w:rPr>
      </w:pPr>
      <w:r w:rsidRPr="001C3833">
        <w:rPr>
          <w:rFonts w:cstheme="minorHAnsi"/>
          <w:b/>
          <w:lang w:bidi="ar-DZ"/>
        </w:rPr>
        <w:t>Ce trafic est en plein expansion</w:t>
      </w:r>
      <w:r>
        <w:rPr>
          <w:rFonts w:cstheme="minorHAnsi"/>
          <w:b/>
          <w:lang w:bidi="ar-DZ"/>
        </w:rPr>
        <w:t xml:space="preserve"> à destination du Niger</w:t>
      </w:r>
      <w:r w:rsidRPr="001C3833">
        <w:rPr>
          <w:rFonts w:cstheme="minorHAnsi"/>
          <w:b/>
          <w:lang w:bidi="ar-DZ"/>
        </w:rPr>
        <w:t xml:space="preserve"> comme le démontrent les statistiques des services des douanes; les quantités de ciment saisies par les services de sécurité</w:t>
      </w:r>
      <w:r w:rsidR="00B902A5">
        <w:rPr>
          <w:rFonts w:cstheme="minorHAnsi"/>
          <w:b/>
          <w:lang w:bidi="ar-DZ"/>
        </w:rPr>
        <w:t xml:space="preserve"> </w:t>
      </w:r>
      <w:r w:rsidRPr="001C3833">
        <w:rPr>
          <w:rFonts w:cstheme="minorHAnsi"/>
          <w:b/>
          <w:lang w:bidi="ar-DZ"/>
        </w:rPr>
        <w:t>sont passées de</w:t>
      </w:r>
      <w:r w:rsidR="00B902A5">
        <w:rPr>
          <w:rFonts w:cstheme="minorHAnsi"/>
          <w:b/>
          <w:lang w:bidi="ar-DZ"/>
        </w:rPr>
        <w:t xml:space="preserve"> </w:t>
      </w:r>
      <w:r w:rsidRPr="001C3833">
        <w:rPr>
          <w:rFonts w:cstheme="minorHAnsi"/>
          <w:b/>
          <w:lang w:bidi="ar-DZ"/>
        </w:rPr>
        <w:t>6,7 tonnes en 2011</w:t>
      </w:r>
      <w:r w:rsidR="00B902A5">
        <w:rPr>
          <w:rFonts w:cstheme="minorHAnsi"/>
          <w:b/>
          <w:lang w:bidi="ar-DZ"/>
        </w:rPr>
        <w:t xml:space="preserve"> </w:t>
      </w:r>
      <w:r w:rsidRPr="001C3833">
        <w:rPr>
          <w:rFonts w:cstheme="minorHAnsi"/>
          <w:b/>
          <w:lang w:bidi="ar-DZ"/>
        </w:rPr>
        <w:t>à 26,35 tonnes en 2012 et</w:t>
      </w:r>
      <w:r w:rsidR="00B902A5">
        <w:rPr>
          <w:rFonts w:cstheme="minorHAnsi"/>
          <w:b/>
          <w:lang w:bidi="ar-DZ"/>
        </w:rPr>
        <w:t xml:space="preserve"> </w:t>
      </w:r>
      <w:r w:rsidRPr="001C3833">
        <w:rPr>
          <w:rFonts w:cstheme="minorHAnsi"/>
          <w:b/>
          <w:lang w:bidi="ar-DZ"/>
        </w:rPr>
        <w:t>à plus de 200 tonnes en 2013.</w:t>
      </w:r>
      <w:r w:rsidR="00933D1E">
        <w:rPr>
          <w:rFonts w:cstheme="minorHAnsi"/>
          <w:b/>
          <w:lang w:bidi="ar-DZ"/>
        </w:rPr>
        <w:t xml:space="preserve"> </w:t>
      </w:r>
      <w:r w:rsidRPr="00140831">
        <w:rPr>
          <w:rFonts w:cstheme="minorHAnsi"/>
          <w:lang w:bidi="ar-DZ"/>
        </w:rPr>
        <w:t>Au Mali, les quantités sont importées de manière non régulière, au gré des commandes en croissance, mais</w:t>
      </w:r>
      <w:r>
        <w:rPr>
          <w:rFonts w:cstheme="minorHAnsi"/>
          <w:lang w:bidi="ar-DZ"/>
        </w:rPr>
        <w:t xml:space="preserve"> semblent rester</w:t>
      </w:r>
      <w:r w:rsidRPr="00140831">
        <w:rPr>
          <w:rFonts w:cstheme="minorHAnsi"/>
          <w:lang w:bidi="ar-DZ"/>
        </w:rPr>
        <w:t xml:space="preserve"> modestes. A Kidal, le sac de 50kg est vendu 6500 FCFA, soit 2.600.000 pour un camion de 20 tonnes. </w:t>
      </w:r>
      <w:r w:rsidR="00CE70CA">
        <w:t>Il est probable que ce commerce accompagne le processus d’urbanisation sahélien. Ceci avait notamment été démontré dans le cas des frontières Niger-Nigeria-Benin (Walther et al. 2012).</w:t>
      </w:r>
    </w:p>
    <w:p w14:paraId="17F9128E" w14:textId="64DD6992" w:rsidR="00FE3AAF" w:rsidRDefault="00FE3AAF" w:rsidP="00FE3AAF">
      <w:pPr>
        <w:pStyle w:val="Heading2"/>
        <w:rPr>
          <w:lang w:bidi="ar-DZ"/>
        </w:rPr>
      </w:pPr>
      <w:bookmarkStart w:id="26" w:name="_Toc384903152"/>
      <w:r>
        <w:rPr>
          <w:lang w:bidi="ar-DZ"/>
        </w:rPr>
        <w:t xml:space="preserve">Les exportations maliennes de </w:t>
      </w:r>
      <w:proofErr w:type="spellStart"/>
      <w:r>
        <w:rPr>
          <w:lang w:bidi="ar-DZ"/>
        </w:rPr>
        <w:t>bazin</w:t>
      </w:r>
      <w:bookmarkEnd w:id="26"/>
      <w:proofErr w:type="spellEnd"/>
    </w:p>
    <w:p w14:paraId="494999BE" w14:textId="77777777" w:rsidR="00FE3AAF" w:rsidRPr="00FE3AAF" w:rsidRDefault="00FE3AAF" w:rsidP="00FE3AAF">
      <w:pPr>
        <w:jc w:val="both"/>
        <w:rPr>
          <w:rFonts w:ascii="Calibri" w:hAnsi="Calibri"/>
        </w:rPr>
      </w:pPr>
      <w:r w:rsidRPr="00FE3AAF">
        <w:rPr>
          <w:rFonts w:ascii="Calibri" w:hAnsi="Calibri" w:cs="Helvetica"/>
          <w:b/>
        </w:rPr>
        <w:t xml:space="preserve">Les </w:t>
      </w:r>
      <w:proofErr w:type="spellStart"/>
      <w:r w:rsidRPr="00FE3AAF">
        <w:rPr>
          <w:rFonts w:ascii="Calibri" w:hAnsi="Calibri" w:cs="Helvetica"/>
          <w:b/>
        </w:rPr>
        <w:t>bazins</w:t>
      </w:r>
      <w:proofErr w:type="spellEnd"/>
      <w:r w:rsidRPr="00FE3AAF">
        <w:rPr>
          <w:rFonts w:ascii="Calibri" w:hAnsi="Calibri" w:cs="Helvetica"/>
          <w:b/>
        </w:rPr>
        <w:t xml:space="preserve"> sont une marchandise très prisée en Algérie, et particulièrement dans le sud parmi les communautés maliennes et nigériennes établies à Tamanrasset et Adrar.</w:t>
      </w:r>
      <w:r w:rsidRPr="00FE3AAF">
        <w:rPr>
          <w:rFonts w:ascii="Calibri" w:hAnsi="Calibri" w:cs="Helvetica"/>
        </w:rPr>
        <w:t xml:space="preserve"> Fabriqués en Allemagne, ils sont exportés du Mali vers l’Algérie et constituent une filière extrêmement rentable. </w:t>
      </w:r>
      <w:r w:rsidRPr="00FE3AAF">
        <w:rPr>
          <w:rFonts w:ascii="Calibri" w:hAnsi="Calibri"/>
        </w:rPr>
        <w:t xml:space="preserve">Estimer les volumes exportés s’avère malgré tout difficile du fait de la faible structuration de cette filière, largement le fait d’entrepreneurs individuels. </w:t>
      </w:r>
    </w:p>
    <w:p w14:paraId="279BE4CB" w14:textId="2E4DF912" w:rsidR="00FE3AAF" w:rsidRPr="00FE3AAF" w:rsidRDefault="00FE3AAF" w:rsidP="00FE3AAF">
      <w:pPr>
        <w:jc w:val="both"/>
        <w:rPr>
          <w:rFonts w:ascii="Calibri" w:hAnsi="Calibri" w:cs="Helvetica"/>
        </w:rPr>
      </w:pPr>
      <w:r w:rsidRPr="00FE3AAF">
        <w:rPr>
          <w:rFonts w:ascii="Calibri" w:hAnsi="Calibri"/>
          <w:b/>
        </w:rPr>
        <w:t>Le transport se fait généralement par voiture</w:t>
      </w:r>
      <w:r w:rsidRPr="00FE3AAF">
        <w:rPr>
          <w:rFonts w:ascii="Calibri" w:hAnsi="Calibri"/>
        </w:rPr>
        <w:t xml:space="preserve">, chaque voiture transportant 5 à 6 colis de 125 </w:t>
      </w:r>
      <w:proofErr w:type="spellStart"/>
      <w:r w:rsidRPr="00FE3AAF">
        <w:rPr>
          <w:rFonts w:ascii="Calibri" w:hAnsi="Calibri"/>
        </w:rPr>
        <w:t>bazins</w:t>
      </w:r>
      <w:proofErr w:type="spellEnd"/>
      <w:r w:rsidRPr="00FE3AAF">
        <w:rPr>
          <w:rFonts w:ascii="Calibri" w:hAnsi="Calibri"/>
        </w:rPr>
        <w:t xml:space="preserve"> en moyenne, soit 690 boubous par voiture. Sachant qu’un </w:t>
      </w:r>
      <w:proofErr w:type="spellStart"/>
      <w:r w:rsidRPr="00FE3AAF">
        <w:rPr>
          <w:rFonts w:ascii="Calibri" w:hAnsi="Calibri"/>
        </w:rPr>
        <w:t>bazin</w:t>
      </w:r>
      <w:proofErr w:type="spellEnd"/>
      <w:r w:rsidRPr="00FE3AAF">
        <w:rPr>
          <w:rFonts w:ascii="Calibri" w:hAnsi="Calibri"/>
        </w:rPr>
        <w:t xml:space="preserve"> </w:t>
      </w:r>
      <w:r w:rsidR="00B07045">
        <w:rPr>
          <w:rFonts w:ascii="Calibri" w:hAnsi="Calibri"/>
        </w:rPr>
        <w:t>de seconde qualité est vendu 36000 FCFA à Bamako (et jusqu’à 80</w:t>
      </w:r>
      <w:r w:rsidRPr="00FE3AAF">
        <w:rPr>
          <w:rFonts w:ascii="Calibri" w:hAnsi="Calibri"/>
        </w:rPr>
        <w:t xml:space="preserve">000 FCFA pour les </w:t>
      </w:r>
      <w:proofErr w:type="spellStart"/>
      <w:r w:rsidRPr="00FE3AAF">
        <w:rPr>
          <w:rFonts w:ascii="Calibri" w:hAnsi="Calibri"/>
        </w:rPr>
        <w:t>bazins</w:t>
      </w:r>
      <w:proofErr w:type="spellEnd"/>
      <w:r w:rsidR="00DD32E8">
        <w:rPr>
          <w:rFonts w:ascii="Calibri" w:hAnsi="Calibri"/>
        </w:rPr>
        <w:t xml:space="preserve"> </w:t>
      </w:r>
      <w:proofErr w:type="spellStart"/>
      <w:r w:rsidRPr="00FE3AAF">
        <w:rPr>
          <w:rFonts w:ascii="Calibri" w:hAnsi="Calibri"/>
        </w:rPr>
        <w:t>Yara</w:t>
      </w:r>
      <w:proofErr w:type="spellEnd"/>
      <w:r w:rsidR="00B07045">
        <w:rPr>
          <w:rFonts w:ascii="Calibri" w:hAnsi="Calibri"/>
        </w:rPr>
        <w:t>) et environ 20</w:t>
      </w:r>
      <w:r w:rsidRPr="00FE3AAF">
        <w:rPr>
          <w:rFonts w:ascii="Calibri" w:hAnsi="Calibri"/>
        </w:rPr>
        <w:t>000 dinars algériens</w:t>
      </w:r>
      <w:r w:rsidR="00B07045">
        <w:rPr>
          <w:rFonts w:ascii="Calibri" w:hAnsi="Calibri"/>
        </w:rPr>
        <w:t xml:space="preserve"> (soit plus de 120000 FCFA</w:t>
      </w:r>
      <w:r w:rsidRPr="00FE3AAF">
        <w:rPr>
          <w:rFonts w:ascii="Calibri" w:hAnsi="Calibri"/>
        </w:rPr>
        <w:t xml:space="preserve"> à Tamanrasset, chaque </w:t>
      </w:r>
      <w:proofErr w:type="spellStart"/>
      <w:r w:rsidRPr="00FE3AAF">
        <w:rPr>
          <w:rFonts w:ascii="Calibri" w:hAnsi="Calibri"/>
        </w:rPr>
        <w:t>bazin</w:t>
      </w:r>
      <w:proofErr w:type="spellEnd"/>
      <w:r w:rsidRPr="00FE3AAF">
        <w:rPr>
          <w:rFonts w:ascii="Calibri" w:hAnsi="Calibri"/>
        </w:rPr>
        <w:t xml:space="preserve"> représente un profit de 87 000 FCFA (180 USD), soit un profit par voiture de 60.000.</w:t>
      </w:r>
      <w:r w:rsidR="006033C2">
        <w:rPr>
          <w:rFonts w:ascii="Calibri" w:hAnsi="Calibri"/>
        </w:rPr>
        <w:t>000 FCFA (125 000 USD) pour un c</w:t>
      </w:r>
      <w:r w:rsidRPr="00FE3AAF">
        <w:rPr>
          <w:rFonts w:ascii="Calibri" w:hAnsi="Calibri"/>
        </w:rPr>
        <w:t>hiffr</w:t>
      </w:r>
      <w:r w:rsidR="006033C2">
        <w:rPr>
          <w:rFonts w:ascii="Calibri" w:hAnsi="Calibri"/>
        </w:rPr>
        <w:t>e d’a</w:t>
      </w:r>
      <w:r w:rsidRPr="00FE3AAF">
        <w:rPr>
          <w:rFonts w:ascii="Calibri" w:hAnsi="Calibri"/>
        </w:rPr>
        <w:t xml:space="preserve">ffaires de 83.000.000 FCFA (environ 173 000 USD), soit un taux de profit de 72% duquel il faut déduire le coût de transport. Aucun droit de douane n’est à consentir pour la sortie des produits maliens. Toutefois, depuis que l’insécurité prévaut au </w:t>
      </w:r>
      <w:r w:rsidR="00AF3227">
        <w:rPr>
          <w:rFonts w:ascii="Calibri" w:hAnsi="Calibri"/>
        </w:rPr>
        <w:t>nord</w:t>
      </w:r>
      <w:r w:rsidRPr="00FE3AAF">
        <w:rPr>
          <w:rFonts w:ascii="Calibri" w:hAnsi="Calibri"/>
        </w:rPr>
        <w:t xml:space="preserve"> du Mali, les cargaisons sont réparties en plusieurs voitures ou transitent par le Niger via des sociétés de transport. Bien qu’il soit encore une fois très difficile d’estimer les volumes exportés en Algérie, on peut estimer que cinq cargaisons de cette valeur sont expédiées chaque semaine, soit un chiffre d’affaires hebdomadaire de 415.000.000 FCFA (environ 860 000 USD) et ainsi plusieurs dizaines de millions de dollars par an. </w:t>
      </w:r>
    </w:p>
    <w:p w14:paraId="22A50043" w14:textId="77777777" w:rsidR="001E3D2A" w:rsidRPr="001E3D2A" w:rsidRDefault="00F175CB" w:rsidP="009B205F">
      <w:pPr>
        <w:pStyle w:val="Heading2"/>
        <w:rPr>
          <w:lang w:bidi="ar-DZ"/>
        </w:rPr>
      </w:pPr>
      <w:bookmarkStart w:id="27" w:name="_Toc384903153"/>
      <w:r>
        <w:rPr>
          <w:lang w:bidi="ar-DZ"/>
        </w:rPr>
        <w:t xml:space="preserve">La </w:t>
      </w:r>
      <w:r w:rsidR="001E3D2A" w:rsidRPr="001E3D2A">
        <w:rPr>
          <w:lang w:bidi="ar-DZ"/>
        </w:rPr>
        <w:t xml:space="preserve">contrebande </w:t>
      </w:r>
      <w:r>
        <w:rPr>
          <w:lang w:bidi="ar-DZ"/>
        </w:rPr>
        <w:t>de cigarettes en perte de vitesse</w:t>
      </w:r>
      <w:bookmarkEnd w:id="27"/>
    </w:p>
    <w:p w14:paraId="2F07CCE1" w14:textId="2009324A" w:rsidR="001E3D2A" w:rsidRPr="00B3348F" w:rsidRDefault="001E3D2A" w:rsidP="001E3D2A">
      <w:pPr>
        <w:jc w:val="both"/>
        <w:rPr>
          <w:rFonts w:cstheme="minorHAnsi"/>
          <w:b/>
          <w:bCs/>
          <w:lang w:bidi="ar-DZ"/>
        </w:rPr>
      </w:pPr>
      <w:r w:rsidRPr="00B3348F">
        <w:rPr>
          <w:rFonts w:cstheme="minorHAnsi"/>
          <w:b/>
          <w:lang w:bidi="ar-DZ"/>
        </w:rPr>
        <w:t>La contrebande de cigarette est un exemple type de l'adaptation de la fraude transfrontalière aux évolutions économiques. Important courant de fraude dans les</w:t>
      </w:r>
      <w:r w:rsidRPr="007013FB">
        <w:rPr>
          <w:b/>
        </w:rPr>
        <w:t xml:space="preserve"> </w:t>
      </w:r>
      <w:r w:rsidRPr="00B3348F">
        <w:rPr>
          <w:rFonts w:cstheme="minorHAnsi"/>
          <w:b/>
          <w:lang w:bidi="ar-DZ"/>
        </w:rPr>
        <w:t xml:space="preserve">années </w:t>
      </w:r>
      <w:r w:rsidR="00B902A5">
        <w:rPr>
          <w:rFonts w:cstheme="minorHAnsi"/>
          <w:b/>
          <w:lang w:bidi="ar-DZ"/>
        </w:rPr>
        <w:t>19</w:t>
      </w:r>
      <w:r w:rsidRPr="00B3348F">
        <w:rPr>
          <w:rFonts w:cstheme="minorHAnsi"/>
          <w:b/>
          <w:lang w:bidi="ar-DZ"/>
        </w:rPr>
        <w:t>90, la contrebande de cigarett</w:t>
      </w:r>
      <w:r w:rsidR="00B3348F">
        <w:rPr>
          <w:rFonts w:cstheme="minorHAnsi"/>
          <w:b/>
          <w:lang w:bidi="ar-DZ"/>
        </w:rPr>
        <w:t>e a baissé énormément</w:t>
      </w:r>
      <w:r w:rsidRPr="00B3348F">
        <w:rPr>
          <w:rFonts w:cstheme="minorHAnsi"/>
          <w:b/>
          <w:lang w:bidi="ar-DZ"/>
        </w:rPr>
        <w:t xml:space="preserve"> après avoir perdu sa raison économique depuis</w:t>
      </w:r>
      <w:r w:rsidRPr="00B3348F">
        <w:rPr>
          <w:rFonts w:cstheme="minorHAnsi"/>
          <w:b/>
        </w:rPr>
        <w:t xml:space="preserve"> la mise sur le marché algérien, à partir de 2005, des marques de cigarettes internationales importées puis fabriquées par la STAEM</w:t>
      </w:r>
      <w:r w:rsidRPr="00B3348F">
        <w:rPr>
          <w:rStyle w:val="FootnoteReference"/>
          <w:rFonts w:cstheme="minorHAnsi"/>
          <w:b/>
        </w:rPr>
        <w:footnoteReference w:id="27"/>
      </w:r>
      <w:r w:rsidRPr="00B3348F">
        <w:rPr>
          <w:rFonts w:cstheme="minorHAnsi"/>
          <w:b/>
        </w:rPr>
        <w:t>.</w:t>
      </w:r>
    </w:p>
    <w:p w14:paraId="594B929A" w14:textId="402A6C54" w:rsidR="001E3D2A" w:rsidRPr="001E3D2A" w:rsidRDefault="001E3D2A" w:rsidP="001E3D2A">
      <w:pPr>
        <w:jc w:val="both"/>
        <w:rPr>
          <w:rFonts w:cstheme="minorHAnsi"/>
          <w:lang w:bidi="ar-DZ"/>
        </w:rPr>
      </w:pPr>
      <w:r w:rsidRPr="00B3348F">
        <w:rPr>
          <w:rFonts w:cstheme="minorHAnsi"/>
          <w:b/>
          <w:lang w:bidi="ar-DZ"/>
        </w:rPr>
        <w:lastRenderedPageBreak/>
        <w:t>De provenance du port de Cotonou, les cigarettes étaient conduites par camion aux villes frontières d'</w:t>
      </w:r>
      <w:proofErr w:type="spellStart"/>
      <w:r w:rsidRPr="00B3348F">
        <w:rPr>
          <w:rFonts w:cstheme="minorHAnsi"/>
          <w:b/>
          <w:lang w:bidi="ar-DZ"/>
        </w:rPr>
        <w:t>Assamakka</w:t>
      </w:r>
      <w:proofErr w:type="spellEnd"/>
      <w:r w:rsidRPr="00B3348F">
        <w:rPr>
          <w:rFonts w:cstheme="minorHAnsi"/>
          <w:b/>
          <w:lang w:bidi="ar-DZ"/>
        </w:rPr>
        <w:t xml:space="preserve"> au Niger et de </w:t>
      </w:r>
      <w:proofErr w:type="spellStart"/>
      <w:r w:rsidRPr="00B3348F">
        <w:rPr>
          <w:rFonts w:cstheme="minorHAnsi"/>
          <w:b/>
          <w:lang w:bidi="ar-DZ"/>
        </w:rPr>
        <w:t>Boughassa</w:t>
      </w:r>
      <w:proofErr w:type="spellEnd"/>
      <w:r w:rsidRPr="00B3348F">
        <w:rPr>
          <w:rFonts w:cstheme="minorHAnsi"/>
          <w:b/>
          <w:lang w:bidi="ar-DZ"/>
        </w:rPr>
        <w:t xml:space="preserve"> au Mali ou elles étaient vendues en toute légalité et</w:t>
      </w:r>
      <w:r w:rsidR="00B902A5">
        <w:rPr>
          <w:rFonts w:cstheme="minorHAnsi"/>
          <w:b/>
          <w:lang w:bidi="ar-DZ"/>
        </w:rPr>
        <w:t xml:space="preserve"> </w:t>
      </w:r>
      <w:r w:rsidRPr="00B3348F">
        <w:rPr>
          <w:rFonts w:cstheme="minorHAnsi"/>
          <w:b/>
          <w:lang w:bidi="ar-DZ"/>
        </w:rPr>
        <w:t>introduites sur le t</w:t>
      </w:r>
      <w:r w:rsidR="006C7382">
        <w:rPr>
          <w:rFonts w:cstheme="minorHAnsi"/>
          <w:b/>
          <w:lang w:bidi="ar-DZ"/>
        </w:rPr>
        <w:t>erritoire</w:t>
      </w:r>
      <w:r w:rsidRPr="00B3348F">
        <w:rPr>
          <w:rFonts w:cstheme="minorHAnsi"/>
          <w:b/>
          <w:lang w:bidi="ar-DZ"/>
        </w:rPr>
        <w:t xml:space="preserve"> algérien dans les véhicules légers</w:t>
      </w:r>
      <w:r w:rsidR="00B902A5">
        <w:rPr>
          <w:rFonts w:cstheme="minorHAnsi"/>
          <w:b/>
          <w:lang w:bidi="ar-DZ"/>
        </w:rPr>
        <w:t xml:space="preserve"> </w:t>
      </w:r>
      <w:r w:rsidRPr="00B3348F">
        <w:rPr>
          <w:rFonts w:cstheme="minorHAnsi"/>
          <w:b/>
          <w:lang w:bidi="ar-DZ"/>
        </w:rPr>
        <w:t>tout terrain.</w:t>
      </w:r>
      <w:r w:rsidRPr="001E3D2A">
        <w:rPr>
          <w:rFonts w:cstheme="minorHAnsi"/>
          <w:lang w:bidi="ar-DZ"/>
        </w:rPr>
        <w:t xml:space="preserve"> Cette marchandise était acheminée jusqu'à Ouargla qui constituait le point de distribution à travers le territoire. La route de la contrebande de c</w:t>
      </w:r>
      <w:r w:rsidR="00F175CB">
        <w:rPr>
          <w:rFonts w:cstheme="minorHAnsi"/>
          <w:lang w:bidi="ar-DZ"/>
        </w:rPr>
        <w:t xml:space="preserve">igarettes suit un trajet défini : </w:t>
      </w:r>
      <w:proofErr w:type="spellStart"/>
      <w:r w:rsidRPr="001E3D2A">
        <w:rPr>
          <w:rFonts w:cstheme="minorHAnsi"/>
          <w:lang w:bidi="ar-DZ"/>
        </w:rPr>
        <w:t>Boughassa</w:t>
      </w:r>
      <w:proofErr w:type="spellEnd"/>
      <w:r w:rsidRPr="001E3D2A">
        <w:rPr>
          <w:rFonts w:cstheme="minorHAnsi"/>
          <w:lang w:bidi="ar-DZ"/>
        </w:rPr>
        <w:t xml:space="preserve">, </w:t>
      </w:r>
      <w:proofErr w:type="spellStart"/>
      <w:r w:rsidRPr="001E3D2A">
        <w:rPr>
          <w:rFonts w:cstheme="minorHAnsi"/>
          <w:lang w:bidi="ar-DZ"/>
        </w:rPr>
        <w:t>Borj</w:t>
      </w:r>
      <w:proofErr w:type="spellEnd"/>
      <w:r w:rsidR="00DD32E8">
        <w:rPr>
          <w:rFonts w:cstheme="minorHAnsi"/>
          <w:lang w:bidi="ar-DZ"/>
        </w:rPr>
        <w:t xml:space="preserve"> </w:t>
      </w:r>
      <w:proofErr w:type="spellStart"/>
      <w:r w:rsidRPr="001E3D2A">
        <w:rPr>
          <w:rFonts w:cstheme="minorHAnsi"/>
          <w:lang w:bidi="ar-DZ"/>
        </w:rPr>
        <w:t>Badji</w:t>
      </w:r>
      <w:proofErr w:type="spellEnd"/>
      <w:r w:rsidR="00DD32E8">
        <w:rPr>
          <w:rFonts w:cstheme="minorHAnsi"/>
          <w:lang w:bidi="ar-DZ"/>
        </w:rPr>
        <w:t xml:space="preserve"> </w:t>
      </w:r>
      <w:proofErr w:type="gramStart"/>
      <w:r w:rsidR="00DD32E8">
        <w:rPr>
          <w:rFonts w:cstheme="minorHAnsi"/>
          <w:lang w:bidi="ar-DZ"/>
        </w:rPr>
        <w:t>M</w:t>
      </w:r>
      <w:r w:rsidRPr="001E3D2A">
        <w:rPr>
          <w:rFonts w:cstheme="minorHAnsi"/>
          <w:lang w:bidi="ar-DZ"/>
        </w:rPr>
        <w:t>okhtar ,</w:t>
      </w:r>
      <w:proofErr w:type="gramEnd"/>
      <w:r w:rsidRPr="001E3D2A">
        <w:rPr>
          <w:rFonts w:cstheme="minorHAnsi"/>
          <w:lang w:bidi="ar-DZ"/>
        </w:rPr>
        <w:t xml:space="preserve"> Moulay </w:t>
      </w:r>
      <w:proofErr w:type="spellStart"/>
      <w:r w:rsidRPr="001E3D2A">
        <w:rPr>
          <w:rFonts w:cstheme="minorHAnsi"/>
          <w:lang w:bidi="ar-DZ"/>
        </w:rPr>
        <w:t>lahcen</w:t>
      </w:r>
      <w:proofErr w:type="spellEnd"/>
      <w:r w:rsidRPr="001E3D2A">
        <w:rPr>
          <w:rFonts w:cstheme="minorHAnsi"/>
          <w:lang w:bidi="ar-DZ"/>
        </w:rPr>
        <w:t xml:space="preserve">, </w:t>
      </w:r>
      <w:proofErr w:type="spellStart"/>
      <w:r w:rsidRPr="001E3D2A">
        <w:rPr>
          <w:rFonts w:cstheme="minorHAnsi"/>
          <w:lang w:bidi="ar-DZ"/>
        </w:rPr>
        <w:t>Amguid</w:t>
      </w:r>
      <w:proofErr w:type="spellEnd"/>
      <w:r w:rsidRPr="001E3D2A">
        <w:rPr>
          <w:rFonts w:cstheme="minorHAnsi"/>
          <w:lang w:bidi="ar-DZ"/>
        </w:rPr>
        <w:t xml:space="preserve"> puis même couloir </w:t>
      </w:r>
      <w:proofErr w:type="spellStart"/>
      <w:r w:rsidRPr="001E3D2A">
        <w:rPr>
          <w:rFonts w:cstheme="minorHAnsi"/>
          <w:lang w:bidi="ar-DZ"/>
        </w:rPr>
        <w:t>Faidjat</w:t>
      </w:r>
      <w:proofErr w:type="spellEnd"/>
      <w:r w:rsidRPr="001E3D2A">
        <w:rPr>
          <w:rFonts w:cstheme="minorHAnsi"/>
          <w:lang w:bidi="ar-DZ"/>
        </w:rPr>
        <w:t xml:space="preserve"> puis bordj Omar Idris et</w:t>
      </w:r>
      <w:r w:rsidR="00B902A5">
        <w:rPr>
          <w:rFonts w:cstheme="minorHAnsi"/>
          <w:lang w:bidi="ar-DZ"/>
        </w:rPr>
        <w:t xml:space="preserve"> </w:t>
      </w:r>
      <w:r w:rsidRPr="001E3D2A">
        <w:rPr>
          <w:rFonts w:cstheme="minorHAnsi"/>
          <w:lang w:bidi="ar-DZ"/>
        </w:rPr>
        <w:t xml:space="preserve">Ouargla. </w:t>
      </w:r>
    </w:p>
    <w:p w14:paraId="434406FF" w14:textId="253CBEE8" w:rsidR="001E3D2A" w:rsidRPr="001E3D2A" w:rsidRDefault="001E3D2A" w:rsidP="001E3D2A">
      <w:pPr>
        <w:jc w:val="both"/>
        <w:rPr>
          <w:rFonts w:cstheme="minorHAnsi"/>
          <w:lang w:bidi="ar-DZ"/>
        </w:rPr>
      </w:pPr>
      <w:r w:rsidRPr="00B3348F">
        <w:rPr>
          <w:rFonts w:cstheme="minorHAnsi"/>
          <w:b/>
          <w:lang w:bidi="ar-DZ"/>
        </w:rPr>
        <w:t xml:space="preserve">Le trafic de cigarette est un trafic structuré, contrôlé notamment par des commerçants de la région d'Ouargla qui assurent sa distribution vers les wilayas du </w:t>
      </w:r>
      <w:r w:rsidR="00AF3227">
        <w:rPr>
          <w:rFonts w:cstheme="minorHAnsi"/>
          <w:b/>
          <w:lang w:bidi="ar-DZ"/>
        </w:rPr>
        <w:t>nord</w:t>
      </w:r>
      <w:r w:rsidRPr="00B3348F">
        <w:rPr>
          <w:rFonts w:cstheme="minorHAnsi"/>
          <w:b/>
          <w:lang w:bidi="ar-DZ"/>
        </w:rPr>
        <w:t xml:space="preserve"> de l'Algérie.</w:t>
      </w:r>
      <w:r w:rsidRPr="001E3D2A">
        <w:rPr>
          <w:rFonts w:cstheme="minorHAnsi"/>
          <w:lang w:bidi="ar-DZ"/>
        </w:rPr>
        <w:t xml:space="preserve"> Les populations Touareg étaient recrutées en qualité de chauffeurs ou d'éclaireurs en raison de leur connaissance du terrain (Les tarifs pratiqués par opération étaient </w:t>
      </w:r>
      <w:r w:rsidR="00F175CB">
        <w:rPr>
          <w:rFonts w:cstheme="minorHAnsi"/>
          <w:lang w:bidi="ar-DZ"/>
        </w:rPr>
        <w:t>: 80</w:t>
      </w:r>
      <w:r w:rsidRPr="001E3D2A">
        <w:rPr>
          <w:rFonts w:cstheme="minorHAnsi"/>
          <w:lang w:bidi="ar-DZ"/>
        </w:rPr>
        <w:t>00</w:t>
      </w:r>
      <w:r w:rsidR="00C44122">
        <w:rPr>
          <w:rFonts w:cstheme="minorHAnsi"/>
          <w:lang w:bidi="ar-DZ"/>
        </w:rPr>
        <w:t>0 DA</w:t>
      </w:r>
      <w:r w:rsidR="00F175CB">
        <w:rPr>
          <w:rFonts w:cstheme="minorHAnsi"/>
          <w:lang w:bidi="ar-DZ"/>
        </w:rPr>
        <w:t xml:space="preserve"> pour le chauffeur</w:t>
      </w:r>
      <w:r w:rsidR="00C44122">
        <w:rPr>
          <w:rFonts w:cstheme="minorHAnsi"/>
          <w:lang w:bidi="ar-DZ"/>
        </w:rPr>
        <w:t xml:space="preserve"> (1000 USD environ)</w:t>
      </w:r>
      <w:r w:rsidR="00F175CB">
        <w:rPr>
          <w:rFonts w:cstheme="minorHAnsi"/>
          <w:lang w:bidi="ar-DZ"/>
        </w:rPr>
        <w:t>, 10 à 15</w:t>
      </w:r>
      <w:r w:rsidRPr="001E3D2A">
        <w:rPr>
          <w:rFonts w:cstheme="minorHAnsi"/>
          <w:lang w:bidi="ar-DZ"/>
        </w:rPr>
        <w:t>000 pour le graiss</w:t>
      </w:r>
      <w:r w:rsidR="00F175CB">
        <w:rPr>
          <w:rFonts w:cstheme="minorHAnsi"/>
          <w:lang w:bidi="ar-DZ"/>
        </w:rPr>
        <w:t>eur</w:t>
      </w:r>
      <w:r w:rsidR="00C01E69">
        <w:rPr>
          <w:rStyle w:val="FootnoteReference"/>
          <w:rFonts w:cstheme="minorHAnsi"/>
          <w:lang w:bidi="ar-DZ"/>
        </w:rPr>
        <w:footnoteReference w:id="28"/>
      </w:r>
      <w:r w:rsidR="00F175CB">
        <w:rPr>
          <w:rFonts w:cstheme="minorHAnsi"/>
          <w:lang w:bidi="ar-DZ"/>
        </w:rPr>
        <w:t xml:space="preserve"> et 70</w:t>
      </w:r>
      <w:r w:rsidRPr="001E3D2A">
        <w:rPr>
          <w:rFonts w:cstheme="minorHAnsi"/>
          <w:lang w:bidi="ar-DZ"/>
        </w:rPr>
        <w:t>000 da pour l'éclaireur</w:t>
      </w:r>
      <w:r w:rsidR="00342B75">
        <w:rPr>
          <w:rFonts w:cstheme="minorHAnsi"/>
          <w:lang w:bidi="ar-DZ"/>
        </w:rPr>
        <w:t>, soit environ 2000 USD au total</w:t>
      </w:r>
      <w:r w:rsidRPr="001E3D2A">
        <w:rPr>
          <w:rFonts w:cstheme="minorHAnsi"/>
          <w:lang w:bidi="ar-DZ"/>
        </w:rPr>
        <w:t xml:space="preserve">). </w:t>
      </w:r>
    </w:p>
    <w:p w14:paraId="23CD3171" w14:textId="6BA6BB42" w:rsidR="00140831" w:rsidRPr="00EA3749" w:rsidRDefault="001E3D2A" w:rsidP="001E3D2A">
      <w:pPr>
        <w:jc w:val="both"/>
        <w:rPr>
          <w:rFonts w:ascii="Calibri" w:hAnsi="Calibri" w:cstheme="minorHAnsi"/>
          <w:lang w:bidi="ar-DZ"/>
        </w:rPr>
      </w:pPr>
      <w:r w:rsidRPr="007708D1">
        <w:rPr>
          <w:rFonts w:ascii="Calibri" w:hAnsi="Calibri" w:cstheme="minorHAnsi"/>
          <w:b/>
          <w:lang w:bidi="ar-DZ"/>
        </w:rPr>
        <w:t>Ce courant d</w:t>
      </w:r>
      <w:r w:rsidR="00F175CB" w:rsidRPr="007708D1">
        <w:rPr>
          <w:rFonts w:ascii="Calibri" w:hAnsi="Calibri" w:cstheme="minorHAnsi"/>
          <w:b/>
          <w:lang w:bidi="ar-DZ"/>
        </w:rPr>
        <w:t xml:space="preserve">e fraude a perdu graduellement </w:t>
      </w:r>
      <w:r w:rsidR="00B3348F" w:rsidRPr="007708D1">
        <w:rPr>
          <w:rFonts w:ascii="Calibri" w:hAnsi="Calibri" w:cstheme="minorHAnsi"/>
          <w:b/>
          <w:lang w:bidi="ar-DZ"/>
        </w:rPr>
        <w:t>de son</w:t>
      </w:r>
      <w:r w:rsidRPr="007708D1">
        <w:rPr>
          <w:rFonts w:ascii="Calibri" w:hAnsi="Calibri" w:cstheme="minorHAnsi"/>
          <w:b/>
          <w:lang w:bidi="ar-DZ"/>
        </w:rPr>
        <w:t xml:space="preserve"> intérêt économique depuis l'installation en Algérie des usines de production sous licence. </w:t>
      </w:r>
      <w:r w:rsidRPr="007708D1">
        <w:rPr>
          <w:rFonts w:ascii="Calibri" w:hAnsi="Calibri" w:cstheme="minorHAnsi"/>
          <w:lang w:bidi="ar-DZ"/>
        </w:rPr>
        <w:t xml:space="preserve">En 1999, un véhicule (chargement de 60 cartons de cigarettes) rapportait entre </w:t>
      </w:r>
      <w:r w:rsidR="00F175CB" w:rsidRPr="007708D1">
        <w:rPr>
          <w:rFonts w:ascii="Calibri" w:hAnsi="Calibri" w:cstheme="minorHAnsi"/>
          <w:lang w:bidi="ar-DZ"/>
        </w:rPr>
        <w:t>700 000 et 800 000</w:t>
      </w:r>
      <w:r w:rsidRPr="007708D1">
        <w:rPr>
          <w:rFonts w:ascii="Calibri" w:hAnsi="Calibri" w:cstheme="minorHAnsi"/>
          <w:lang w:bidi="ar-DZ"/>
        </w:rPr>
        <w:t xml:space="preserve"> DA de profit net</w:t>
      </w:r>
      <w:r w:rsidR="00342B75">
        <w:rPr>
          <w:rFonts w:ascii="Calibri" w:hAnsi="Calibri" w:cstheme="minorHAnsi"/>
          <w:lang w:bidi="ar-DZ"/>
        </w:rPr>
        <w:t xml:space="preserve"> (ou plus de 10000 USD)</w:t>
      </w:r>
      <w:r w:rsidRPr="007708D1">
        <w:rPr>
          <w:rFonts w:ascii="Calibri" w:hAnsi="Calibri" w:cstheme="minorHAnsi"/>
          <w:lang w:bidi="ar-DZ"/>
        </w:rPr>
        <w:t>. En 2004, les profits ont baissés jusqu'à</w:t>
      </w:r>
      <w:r w:rsidR="00B902A5">
        <w:rPr>
          <w:rFonts w:ascii="Calibri" w:hAnsi="Calibri" w:cstheme="minorHAnsi"/>
          <w:lang w:bidi="ar-DZ"/>
        </w:rPr>
        <w:t xml:space="preserve"> </w:t>
      </w:r>
      <w:r w:rsidRPr="007708D1">
        <w:rPr>
          <w:rFonts w:ascii="Calibri" w:hAnsi="Calibri" w:cstheme="minorHAnsi"/>
          <w:lang w:bidi="ar-DZ"/>
        </w:rPr>
        <w:t>600 000 DA par véhicule</w:t>
      </w:r>
      <w:r w:rsidR="00342B75">
        <w:rPr>
          <w:rFonts w:ascii="Calibri" w:hAnsi="Calibri" w:cstheme="minorHAnsi"/>
          <w:lang w:bidi="ar-DZ"/>
        </w:rPr>
        <w:t xml:space="preserve"> (7500 USD)</w:t>
      </w:r>
      <w:r w:rsidRPr="007708D1">
        <w:rPr>
          <w:rFonts w:ascii="Calibri" w:hAnsi="Calibri" w:cstheme="minorHAnsi"/>
          <w:lang w:bidi="ar-DZ"/>
        </w:rPr>
        <w:t>. Ces dernières années, les paiements se font</w:t>
      </w:r>
      <w:r w:rsidR="00F175CB" w:rsidRPr="007708D1">
        <w:rPr>
          <w:rFonts w:ascii="Calibri" w:hAnsi="Calibri" w:cstheme="minorHAnsi"/>
          <w:lang w:bidi="ar-DZ"/>
        </w:rPr>
        <w:t xml:space="preserve"> à crédit </w:t>
      </w:r>
      <w:r w:rsidRPr="007708D1">
        <w:rPr>
          <w:rFonts w:ascii="Calibri" w:hAnsi="Calibri" w:cstheme="minorHAnsi"/>
          <w:lang w:bidi="ar-DZ"/>
        </w:rPr>
        <w:t>et très souvent non réglés à cause de</w:t>
      </w:r>
      <w:r w:rsidR="00B902A5">
        <w:rPr>
          <w:rFonts w:ascii="Calibri" w:hAnsi="Calibri" w:cstheme="minorHAnsi"/>
          <w:lang w:bidi="ar-DZ"/>
        </w:rPr>
        <w:t xml:space="preserve"> </w:t>
      </w:r>
      <w:r w:rsidRPr="007708D1">
        <w:rPr>
          <w:rFonts w:ascii="Calibri" w:hAnsi="Calibri" w:cstheme="minorHAnsi"/>
          <w:lang w:bidi="ar-DZ"/>
        </w:rPr>
        <w:t>la baisse de la demande sur ce produit. Cette diminution successive de profit a conduit les populations à se détourner de ce type de trafic. Les statistiques sur les saisies de cigarettes réalisées de 2011 à 2013</w:t>
      </w:r>
      <w:r w:rsidR="00342B75">
        <w:rPr>
          <w:rFonts w:ascii="Calibri" w:hAnsi="Calibri" w:cstheme="minorHAnsi"/>
          <w:lang w:bidi="ar-DZ"/>
        </w:rPr>
        <w:t xml:space="preserve"> (limitées à quelques centaines de dollars par an en 2013)</w:t>
      </w:r>
      <w:r w:rsidRPr="007708D1">
        <w:rPr>
          <w:rFonts w:ascii="Calibri" w:hAnsi="Calibri" w:cstheme="minorHAnsi"/>
          <w:lang w:bidi="ar-DZ"/>
        </w:rPr>
        <w:t xml:space="preserve"> démontrent</w:t>
      </w:r>
      <w:r w:rsidR="00342B75">
        <w:rPr>
          <w:rFonts w:ascii="Calibri" w:hAnsi="Calibri" w:cstheme="minorHAnsi"/>
          <w:lang w:bidi="ar-DZ"/>
        </w:rPr>
        <w:t xml:space="preserve"> probablement</w:t>
      </w:r>
      <w:r w:rsidRPr="007708D1">
        <w:rPr>
          <w:rFonts w:ascii="Calibri" w:hAnsi="Calibri" w:cstheme="minorHAnsi"/>
          <w:lang w:bidi="ar-DZ"/>
        </w:rPr>
        <w:t xml:space="preserve"> l'évanescence graduelle</w:t>
      </w:r>
      <w:r w:rsidR="00B902A5">
        <w:rPr>
          <w:rFonts w:ascii="Calibri" w:hAnsi="Calibri" w:cstheme="minorHAnsi"/>
          <w:lang w:bidi="ar-DZ"/>
        </w:rPr>
        <w:t xml:space="preserve"> </w:t>
      </w:r>
      <w:r w:rsidRPr="007708D1">
        <w:rPr>
          <w:rFonts w:ascii="Calibri" w:hAnsi="Calibri" w:cstheme="minorHAnsi"/>
          <w:lang w:bidi="ar-DZ"/>
        </w:rPr>
        <w:t>de ce courant de fraude</w:t>
      </w:r>
      <w:r w:rsidR="008C45A7" w:rsidRPr="007708D1">
        <w:rPr>
          <w:rFonts w:ascii="Calibri" w:hAnsi="Calibri" w:cstheme="minorHAnsi"/>
          <w:lang w:bidi="ar-DZ"/>
        </w:rPr>
        <w:t xml:space="preserve">, </w:t>
      </w:r>
      <w:r w:rsidR="008C45A7" w:rsidRPr="00EA3749">
        <w:rPr>
          <w:rFonts w:ascii="Calibri" w:hAnsi="Calibri" w:cstheme="minorHAnsi"/>
          <w:lang w:bidi="ar-DZ"/>
        </w:rPr>
        <w:t xml:space="preserve">mais il est possible que celle-ci tienne largement à </w:t>
      </w:r>
      <w:r w:rsidR="00191DD2">
        <w:rPr>
          <w:rFonts w:ascii="Calibri" w:hAnsi="Calibri" w:cstheme="minorHAnsi"/>
          <w:lang w:bidi="ar-DZ"/>
        </w:rPr>
        <w:t>l’insécurité</w:t>
      </w:r>
      <w:r w:rsidR="008C45A7" w:rsidRPr="00EA3749">
        <w:rPr>
          <w:rFonts w:ascii="Calibri" w:hAnsi="Calibri" w:cstheme="minorHAnsi"/>
          <w:lang w:bidi="ar-DZ"/>
        </w:rPr>
        <w:t xml:space="preserve"> qui prévaut depuis 2012. </w:t>
      </w:r>
    </w:p>
    <w:p w14:paraId="11EE767F" w14:textId="77777777" w:rsidR="001E3D2A" w:rsidRPr="00EA3749" w:rsidRDefault="00140831" w:rsidP="001E3D2A">
      <w:pPr>
        <w:jc w:val="both"/>
        <w:rPr>
          <w:rFonts w:ascii="Calibri" w:hAnsi="Calibri" w:cstheme="minorHAnsi"/>
          <w:lang w:bidi="ar-DZ"/>
        </w:rPr>
      </w:pPr>
      <w:r w:rsidRPr="00EA3749">
        <w:rPr>
          <w:rFonts w:ascii="Calibri" w:hAnsi="Calibri" w:cstheme="minorHAnsi"/>
          <w:lang w:bidi="ar-DZ"/>
        </w:rPr>
        <w:t>Mais s</w:t>
      </w:r>
      <w:r w:rsidR="008C45A7" w:rsidRPr="00EA3749">
        <w:rPr>
          <w:rFonts w:ascii="Calibri" w:hAnsi="Calibri" w:cstheme="minorHAnsi"/>
          <w:lang w:bidi="ar-DZ"/>
        </w:rPr>
        <w:t>i</w:t>
      </w:r>
      <w:r w:rsidR="008C45A7" w:rsidRPr="00EA3749">
        <w:rPr>
          <w:rFonts w:ascii="Calibri" w:hAnsi="Calibri" w:cs="Arial"/>
        </w:rPr>
        <w:t xml:space="preserve"> le marché de la Marlboro s'est éteint en raison de la distribution de cette marque par la STAEM, les sources commerçantes estimaient à près de 9000 cartouches de cigarettes </w:t>
      </w:r>
      <w:proofErr w:type="spellStart"/>
      <w:r w:rsidR="008C45A7" w:rsidRPr="00EA3749">
        <w:rPr>
          <w:rFonts w:ascii="Calibri" w:hAnsi="Calibri" w:cs="Arial"/>
        </w:rPr>
        <w:t>Legend</w:t>
      </w:r>
      <w:proofErr w:type="spellEnd"/>
      <w:r w:rsidR="008C45A7" w:rsidRPr="00EA3749">
        <w:rPr>
          <w:rFonts w:ascii="Calibri" w:hAnsi="Calibri" w:cs="Arial"/>
        </w:rPr>
        <w:t xml:space="preserve"> par semaine le volume de fraude</w:t>
      </w:r>
      <w:r w:rsidRPr="00EA3749">
        <w:rPr>
          <w:rFonts w:ascii="Calibri" w:hAnsi="Calibri" w:cs="Arial"/>
        </w:rPr>
        <w:t xml:space="preserve"> du</w:t>
      </w:r>
      <w:r w:rsidR="00B622C3" w:rsidRPr="00EA3749">
        <w:rPr>
          <w:rFonts w:ascii="Calibri" w:hAnsi="Calibri" w:cs="Arial"/>
        </w:rPr>
        <w:t xml:space="preserve"> Mali</w:t>
      </w:r>
      <w:r w:rsidRPr="00EA3749">
        <w:rPr>
          <w:rFonts w:ascii="Calibri" w:hAnsi="Calibri" w:cs="Arial"/>
        </w:rPr>
        <w:t xml:space="preserve"> vers l’Algérie</w:t>
      </w:r>
      <w:r w:rsidR="008C45A7" w:rsidRPr="00EA3749">
        <w:rPr>
          <w:rFonts w:ascii="Calibri" w:hAnsi="Calibri" w:cs="Arial"/>
        </w:rPr>
        <w:t>. Le principal pays d’origine est le Burkina-Faso.</w:t>
      </w:r>
      <w:r w:rsidR="007708D1" w:rsidRPr="00EA3749">
        <w:rPr>
          <w:rFonts w:ascii="Calibri" w:hAnsi="Calibri" w:cs="Arial"/>
        </w:rPr>
        <w:t xml:space="preserve"> Les profits réalisés sur le territoire malien, en particulier la région de Gao, est de 200 CFA par paquet, soit 18 000 000 CFA par camion</w:t>
      </w:r>
      <w:r w:rsidRPr="00EA3749">
        <w:rPr>
          <w:rFonts w:ascii="Calibri" w:hAnsi="Calibri" w:cs="Arial"/>
        </w:rPr>
        <w:t xml:space="preserve"> (37500 USD)</w:t>
      </w:r>
      <w:r w:rsidR="00EA3749" w:rsidRPr="00EA3749">
        <w:rPr>
          <w:rFonts w:ascii="Calibri" w:hAnsi="Calibri" w:cs="Arial"/>
        </w:rPr>
        <w:t xml:space="preserve"> et donc quelques millions de dollars par an</w:t>
      </w:r>
      <w:r w:rsidR="007708D1" w:rsidRPr="00EA3749">
        <w:rPr>
          <w:rFonts w:ascii="Calibri" w:hAnsi="Calibri" w:cs="Arial"/>
        </w:rPr>
        <w:t>.</w:t>
      </w:r>
    </w:p>
    <w:p w14:paraId="6E1CCA45" w14:textId="77777777" w:rsidR="00576669" w:rsidRPr="004C5D0F" w:rsidRDefault="00576669" w:rsidP="004C5D0F">
      <w:pPr>
        <w:pStyle w:val="Heading2"/>
        <w:rPr>
          <w:rFonts w:cstheme="minorHAnsi"/>
          <w:lang w:bidi="ar-DZ"/>
        </w:rPr>
      </w:pPr>
      <w:bookmarkStart w:id="28" w:name="_Toc384903154"/>
      <w:r>
        <w:rPr>
          <w:lang w:bidi="ar-DZ"/>
        </w:rPr>
        <w:t>Les exportations maliennes de bétail</w:t>
      </w:r>
      <w:bookmarkEnd w:id="28"/>
    </w:p>
    <w:p w14:paraId="6188A1D0" w14:textId="27B4DAAD" w:rsidR="00EA3749" w:rsidRPr="00EA3749" w:rsidRDefault="001C0118" w:rsidP="00687CBD">
      <w:pPr>
        <w:jc w:val="both"/>
        <w:rPr>
          <w:rFonts w:cs="Helvetica"/>
          <w:b/>
        </w:rPr>
      </w:pPr>
      <w:r w:rsidRPr="00EA3749">
        <w:t>Le bétail constitue la principale marchandise exportée en Algérie</w:t>
      </w:r>
      <w:r w:rsidR="00F4205E" w:rsidRPr="00EA3749">
        <w:t>, et constitue pour les bovidés</w:t>
      </w:r>
      <w:r w:rsidR="001F6CFD" w:rsidRPr="00EA3749">
        <w:t xml:space="preserve"> la troisième recette d’exportation du Mali après l’or et le coton, mais surtout à destination d’Afrique de l’</w:t>
      </w:r>
      <w:r w:rsidR="00191DD2">
        <w:t>O</w:t>
      </w:r>
      <w:r w:rsidR="001F6CFD" w:rsidRPr="00EA3749">
        <w:t>uest.</w:t>
      </w:r>
      <w:r w:rsidR="001F6CFD" w:rsidRPr="007013FB">
        <w:t xml:space="preserve"> </w:t>
      </w:r>
      <w:r w:rsidR="00545C2C" w:rsidRPr="00EA3749">
        <w:rPr>
          <w:b/>
        </w:rPr>
        <w:t xml:space="preserve">Les trois régions du </w:t>
      </w:r>
      <w:r w:rsidR="00191DD2">
        <w:rPr>
          <w:b/>
        </w:rPr>
        <w:t>N</w:t>
      </w:r>
      <w:r w:rsidR="00AF3227">
        <w:rPr>
          <w:b/>
        </w:rPr>
        <w:t>ord</w:t>
      </w:r>
      <w:r w:rsidR="00545C2C" w:rsidRPr="00EA3749">
        <w:rPr>
          <w:b/>
        </w:rPr>
        <w:t xml:space="preserve"> concentrent 20% du cheptel malien</w:t>
      </w:r>
      <w:r w:rsidR="00CD2BD9" w:rsidRPr="00EA3749">
        <w:rPr>
          <w:b/>
        </w:rPr>
        <w:t xml:space="preserve"> de bovidés</w:t>
      </w:r>
      <w:r w:rsidR="001F6CFD" w:rsidRPr="00EA3749">
        <w:rPr>
          <w:b/>
        </w:rPr>
        <w:t xml:space="preserve"> (1,8</w:t>
      </w:r>
      <w:r w:rsidR="00CD2BD9" w:rsidRPr="00EA3749">
        <w:rPr>
          <w:b/>
        </w:rPr>
        <w:t xml:space="preserve"> million de tête</w:t>
      </w:r>
      <w:r w:rsidR="001F6CFD" w:rsidRPr="00EA3749">
        <w:rPr>
          <w:b/>
        </w:rPr>
        <w:t>s),</w:t>
      </w:r>
      <w:r w:rsidR="00CD2BD9" w:rsidRPr="00EA3749">
        <w:rPr>
          <w:b/>
        </w:rPr>
        <w:t xml:space="preserve"> 48% du cheptel de petits ruminants (11,3 millions d’ovins et 15,7 millions de caprins)</w:t>
      </w:r>
      <w:r w:rsidR="001F6CFD" w:rsidRPr="00EA3749">
        <w:rPr>
          <w:b/>
        </w:rPr>
        <w:t xml:space="preserve"> et comptent également des cheptels de chameaux</w:t>
      </w:r>
      <w:r w:rsidRPr="00EA3749">
        <w:rPr>
          <w:b/>
        </w:rPr>
        <w:t>.</w:t>
      </w:r>
    </w:p>
    <w:p w14:paraId="51B4A637" w14:textId="11530C75" w:rsidR="00474739" w:rsidRPr="00EA3749" w:rsidRDefault="001C0118" w:rsidP="00687CBD">
      <w:pPr>
        <w:jc w:val="both"/>
      </w:pPr>
      <w:r w:rsidRPr="00687CBD">
        <w:rPr>
          <w:b/>
        </w:rPr>
        <w:t xml:space="preserve">Les camions qui exportent au Mali remontent </w:t>
      </w:r>
      <w:r w:rsidR="00170467" w:rsidRPr="00687CBD">
        <w:rPr>
          <w:b/>
        </w:rPr>
        <w:t>majoritairement</w:t>
      </w:r>
      <w:r w:rsidRPr="00687CBD">
        <w:rPr>
          <w:b/>
        </w:rPr>
        <w:t xml:space="preserve"> chargés de bétail à destination d’Algérie.</w:t>
      </w:r>
      <w:r w:rsidRPr="00EA3749">
        <w:t xml:space="preserve"> Les commerçants collectent tout au long du chemin remontant à la frontière algérienne du bétail dans les campements, surtout dans les régions de Gao et Kidal, la région de Tombouctou disposant d’un cheptel plus modeste. </w:t>
      </w:r>
      <w:r w:rsidR="00170467" w:rsidRPr="00EA3749">
        <w:t>Certaines périodes, à commencer par l</w:t>
      </w:r>
      <w:r w:rsidR="002A323A" w:rsidRPr="00EA3749">
        <w:t>es</w:t>
      </w:r>
      <w:r w:rsidR="00EA3749" w:rsidRPr="00EA3749">
        <w:t xml:space="preserve"> semaines précédant le Tabaski</w:t>
      </w:r>
      <w:r w:rsidR="002A323A" w:rsidRPr="00EA3749">
        <w:t xml:space="preserve">, sont propices à l’exportation de bétail en raison de pics de consommation. </w:t>
      </w:r>
      <w:r w:rsidRPr="00EA3749">
        <w:t>Les</w:t>
      </w:r>
      <w:r w:rsidR="00170467" w:rsidRPr="00EA3749">
        <w:t xml:space="preserve"> têtes de bétail exportées sont essentiellement des moutons, mais aussi des chameaux et des bovidés. </w:t>
      </w:r>
      <w:r w:rsidR="00D45604">
        <w:t>L</w:t>
      </w:r>
      <w:r w:rsidR="002A323A" w:rsidRPr="00EA3749">
        <w:t xml:space="preserve">es sources </w:t>
      </w:r>
      <w:r w:rsidR="00040674" w:rsidRPr="00EA3749">
        <w:t>commerçant</w:t>
      </w:r>
      <w:r w:rsidR="00F56720">
        <w:t>e</w:t>
      </w:r>
      <w:r w:rsidR="00040674" w:rsidRPr="00EA3749">
        <w:t xml:space="preserve">s estiment que </w:t>
      </w:r>
      <w:r w:rsidR="0004055E" w:rsidRPr="00EA3749">
        <w:t>50</w:t>
      </w:r>
      <w:r w:rsidR="00040674" w:rsidRPr="00EA3749">
        <w:t xml:space="preserve">% des camions en provenance d’Algérie remontent chargés </w:t>
      </w:r>
      <w:r w:rsidR="00040674" w:rsidRPr="00EA3749">
        <w:lastRenderedPageBreak/>
        <w:t>de bétail</w:t>
      </w:r>
      <w:r w:rsidR="001F6CFD" w:rsidRPr="00EA3749">
        <w:t xml:space="preserve"> sur pied</w:t>
      </w:r>
      <w:r w:rsidR="00040674" w:rsidRPr="00EA3749">
        <w:t xml:space="preserve">, pas toujours à plein, ce qui rend complexe la quantification étant donné que la majorité de ces flux n’est pas recensée par la douane malienne. </w:t>
      </w:r>
    </w:p>
    <w:p w14:paraId="1A597D46" w14:textId="1D4E22AC" w:rsidR="00573CA3" w:rsidRPr="00EA3749" w:rsidRDefault="003A66CB" w:rsidP="00EA3749">
      <w:pPr>
        <w:spacing w:after="0"/>
        <w:jc w:val="both"/>
        <w:rPr>
          <w:rFonts w:ascii="Calibri" w:hAnsi="Calibri"/>
        </w:rPr>
      </w:pPr>
      <w:r w:rsidRPr="00EA3749">
        <w:rPr>
          <w:rFonts w:ascii="Calibri" w:hAnsi="Calibri"/>
          <w:b/>
        </w:rPr>
        <w:t>En dépit de c</w:t>
      </w:r>
      <w:r w:rsidR="00FA179E" w:rsidRPr="00EA3749">
        <w:rPr>
          <w:rFonts w:ascii="Calibri" w:hAnsi="Calibri"/>
          <w:b/>
        </w:rPr>
        <w:t>es réserves, il est possible de réaliser des évaluations sur la base des volumes de 2011.</w:t>
      </w:r>
      <w:r w:rsidR="00AF3227">
        <w:rPr>
          <w:rFonts w:ascii="Calibri" w:hAnsi="Calibri"/>
        </w:rPr>
        <w:t>De manière</w:t>
      </w:r>
      <w:r w:rsidR="00FA179E" w:rsidRPr="00EA3749">
        <w:rPr>
          <w:rFonts w:ascii="Calibri" w:hAnsi="Calibri"/>
        </w:rPr>
        <w:t xml:space="preserve"> hebdomadaire</w:t>
      </w:r>
      <w:r w:rsidR="00AF3227">
        <w:rPr>
          <w:rFonts w:ascii="Calibri" w:hAnsi="Calibri"/>
        </w:rPr>
        <w:t xml:space="preserve">, </w:t>
      </w:r>
      <w:r w:rsidR="0004055E" w:rsidRPr="00EA3749">
        <w:rPr>
          <w:rFonts w:ascii="Calibri" w:hAnsi="Calibri"/>
        </w:rPr>
        <w:t>90</w:t>
      </w:r>
      <w:r w:rsidR="00B0298E" w:rsidRPr="00EA3749">
        <w:rPr>
          <w:rFonts w:ascii="Calibri" w:hAnsi="Calibri"/>
        </w:rPr>
        <w:t xml:space="preserve"> camions</w:t>
      </w:r>
      <w:r w:rsidR="00AF3227">
        <w:rPr>
          <w:rFonts w:ascii="Calibri" w:hAnsi="Calibri"/>
        </w:rPr>
        <w:t xml:space="preserve"> étaient chargés de bétail</w:t>
      </w:r>
      <w:r w:rsidR="00B0298E" w:rsidRPr="00EA3749">
        <w:rPr>
          <w:rFonts w:ascii="Calibri" w:hAnsi="Calibri"/>
        </w:rPr>
        <w:t xml:space="preserve">. Un chargement </w:t>
      </w:r>
      <w:r w:rsidR="0004055E" w:rsidRPr="00EA3749">
        <w:rPr>
          <w:rFonts w:ascii="Calibri" w:hAnsi="Calibri"/>
        </w:rPr>
        <w:t xml:space="preserve">moyen </w:t>
      </w:r>
      <w:r w:rsidR="00B0298E" w:rsidRPr="00EA3749">
        <w:rPr>
          <w:rFonts w:ascii="Calibri" w:hAnsi="Calibri"/>
        </w:rPr>
        <w:t>comprend en</w:t>
      </w:r>
      <w:r w:rsidR="00F42928" w:rsidRPr="00EA3749">
        <w:rPr>
          <w:rFonts w:ascii="Calibri" w:hAnsi="Calibri"/>
        </w:rPr>
        <w:t>viron 40</w:t>
      </w:r>
      <w:r w:rsidR="00B0298E" w:rsidRPr="00EA3749">
        <w:rPr>
          <w:rFonts w:ascii="Calibri" w:hAnsi="Calibri"/>
        </w:rPr>
        <w:t xml:space="preserve"> bœufs </w:t>
      </w:r>
      <w:r w:rsidR="00F42928" w:rsidRPr="00EA3749">
        <w:rPr>
          <w:rFonts w:ascii="Calibri" w:hAnsi="Calibri"/>
        </w:rPr>
        <w:t>d’un prix moyen</w:t>
      </w:r>
      <w:r w:rsidR="00122606" w:rsidRPr="00EA3749">
        <w:rPr>
          <w:rFonts w:ascii="Calibri" w:hAnsi="Calibri"/>
        </w:rPr>
        <w:t xml:space="preserve"> unitaire</w:t>
      </w:r>
      <w:r w:rsidR="00F42928" w:rsidRPr="00EA3749">
        <w:rPr>
          <w:rFonts w:ascii="Calibri" w:hAnsi="Calibri"/>
        </w:rPr>
        <w:t xml:space="preserve"> de 150 000 FCFA</w:t>
      </w:r>
      <w:r w:rsidR="00122606" w:rsidRPr="00EA3749">
        <w:rPr>
          <w:rFonts w:ascii="Calibri" w:hAnsi="Calibri"/>
        </w:rPr>
        <w:t xml:space="preserve"> (moins 8000 FCFA de coût de transport)</w:t>
      </w:r>
      <w:r w:rsidR="00F42928" w:rsidRPr="00EA3749">
        <w:rPr>
          <w:rFonts w:ascii="Calibri" w:hAnsi="Calibri"/>
        </w:rPr>
        <w:t xml:space="preserve">, </w:t>
      </w:r>
      <w:r w:rsidR="00B0298E" w:rsidRPr="00EA3749">
        <w:rPr>
          <w:rFonts w:ascii="Calibri" w:hAnsi="Calibri"/>
        </w:rPr>
        <w:t xml:space="preserve">ou </w:t>
      </w:r>
      <w:r w:rsidR="00A9725A" w:rsidRPr="00EA3749">
        <w:rPr>
          <w:rFonts w:ascii="Calibri" w:hAnsi="Calibri"/>
        </w:rPr>
        <w:t>20</w:t>
      </w:r>
      <w:r w:rsidR="00324A4B" w:rsidRPr="00EA3749">
        <w:rPr>
          <w:rFonts w:ascii="Calibri" w:hAnsi="Calibri"/>
        </w:rPr>
        <w:t>0</w:t>
      </w:r>
      <w:r w:rsidR="00122606" w:rsidRPr="00EA3749">
        <w:rPr>
          <w:rFonts w:ascii="Calibri" w:hAnsi="Calibri"/>
        </w:rPr>
        <w:t xml:space="preserve"> têtes de petits ruminants </w:t>
      </w:r>
      <w:r w:rsidR="00F42928" w:rsidRPr="00EA3749">
        <w:rPr>
          <w:rFonts w:ascii="Calibri" w:hAnsi="Calibri"/>
        </w:rPr>
        <w:t xml:space="preserve">d’un prix moyen </w:t>
      </w:r>
      <w:r w:rsidR="00122606" w:rsidRPr="00EA3749">
        <w:rPr>
          <w:rFonts w:ascii="Calibri" w:hAnsi="Calibri"/>
        </w:rPr>
        <w:t xml:space="preserve">unitaire </w:t>
      </w:r>
      <w:r w:rsidR="00F42928" w:rsidRPr="00EA3749">
        <w:rPr>
          <w:rFonts w:ascii="Calibri" w:hAnsi="Calibri"/>
        </w:rPr>
        <w:t>de 35 000 FCFA</w:t>
      </w:r>
      <w:r w:rsidR="00122606" w:rsidRPr="00EA3749">
        <w:rPr>
          <w:rFonts w:ascii="Calibri" w:hAnsi="Calibri"/>
        </w:rPr>
        <w:t xml:space="preserve"> (moins </w:t>
      </w:r>
      <w:r w:rsidR="001F6CFD" w:rsidRPr="00EA3749">
        <w:rPr>
          <w:rFonts w:ascii="Calibri" w:hAnsi="Calibri"/>
        </w:rPr>
        <w:t xml:space="preserve">2000 FCFA de coût de transport). </w:t>
      </w:r>
      <w:r w:rsidR="00AF3227">
        <w:rPr>
          <w:rFonts w:ascii="Calibri" w:hAnsi="Calibri"/>
        </w:rPr>
        <w:t>Un camion comprend</w:t>
      </w:r>
      <w:r w:rsidR="00F068D9" w:rsidRPr="00EA3749">
        <w:rPr>
          <w:rFonts w:ascii="Calibri" w:hAnsi="Calibri"/>
        </w:rPr>
        <w:t xml:space="preserve"> en moyenne 75% de petits ruminants, les 25% restant étant des bovidés et des chameaux. Sur ces bases, le chiffre d’affaires </w:t>
      </w:r>
      <w:r w:rsidR="009477E1" w:rsidRPr="00EA3749">
        <w:rPr>
          <w:rFonts w:ascii="Calibri" w:hAnsi="Calibri"/>
        </w:rPr>
        <w:t xml:space="preserve">réalisé par un camion </w:t>
      </w:r>
      <w:r w:rsidR="00F068D9" w:rsidRPr="00EA3749">
        <w:rPr>
          <w:rFonts w:ascii="Calibri" w:hAnsi="Calibri"/>
        </w:rPr>
        <w:t xml:space="preserve">est estimé à </w:t>
      </w:r>
      <w:r w:rsidR="009477E1" w:rsidRPr="00EA3749">
        <w:rPr>
          <w:rFonts w:ascii="Calibri" w:hAnsi="Calibri"/>
        </w:rPr>
        <w:t>6.750.000 FCFA</w:t>
      </w:r>
      <w:r w:rsidR="00A62B3A">
        <w:rPr>
          <w:rFonts w:ascii="Calibri" w:hAnsi="Calibri"/>
        </w:rPr>
        <w:t xml:space="preserve"> (soit plus de 14000 USD)</w:t>
      </w:r>
      <w:r w:rsidR="009477E1" w:rsidRPr="00EA3749">
        <w:rPr>
          <w:rFonts w:ascii="Calibri" w:hAnsi="Calibri"/>
        </w:rPr>
        <w:t>, soit 607.500.000 FCFA de manière hebdomadaire</w:t>
      </w:r>
      <w:r w:rsidR="00A62B3A">
        <w:rPr>
          <w:rFonts w:ascii="Calibri" w:hAnsi="Calibri"/>
        </w:rPr>
        <w:t xml:space="preserve"> (ou plus de 140000 USD</w:t>
      </w:r>
      <w:r w:rsidR="00D61123">
        <w:rPr>
          <w:rFonts w:ascii="Calibri" w:hAnsi="Calibri"/>
        </w:rPr>
        <w:t>, soit plus de 5,5 millions de dollars annuels</w:t>
      </w:r>
      <w:r w:rsidR="00A62B3A">
        <w:rPr>
          <w:rFonts w:ascii="Calibri" w:hAnsi="Calibri"/>
        </w:rPr>
        <w:t>)</w:t>
      </w:r>
      <w:r w:rsidR="00AC653E">
        <w:rPr>
          <w:rFonts w:ascii="Calibri" w:hAnsi="Calibri"/>
        </w:rPr>
        <w:t xml:space="preserve"> pour le nord Mali aujourd’hui</w:t>
      </w:r>
      <w:r w:rsidR="009477E1" w:rsidRPr="00EA3749">
        <w:rPr>
          <w:rFonts w:ascii="Calibri" w:hAnsi="Calibri"/>
        </w:rPr>
        <w:t>.</w:t>
      </w:r>
    </w:p>
    <w:p w14:paraId="2E26CB98" w14:textId="77777777" w:rsidR="008905E0" w:rsidRDefault="008905E0" w:rsidP="008905E0">
      <w:pPr>
        <w:pStyle w:val="Heading1"/>
        <w:numPr>
          <w:ilvl w:val="0"/>
          <w:numId w:val="1"/>
        </w:numPr>
      </w:pPr>
      <w:bookmarkStart w:id="29" w:name="_Toc384903160"/>
      <w:bookmarkStart w:id="30" w:name="_Toc386104458"/>
      <w:r>
        <w:t>L’impact du commerce informel pour le dévelop</w:t>
      </w:r>
      <w:r w:rsidR="00B46E42">
        <w:t>pement</w:t>
      </w:r>
      <w:bookmarkEnd w:id="29"/>
      <w:bookmarkEnd w:id="30"/>
    </w:p>
    <w:p w14:paraId="5645E859" w14:textId="77777777" w:rsidR="000170BF" w:rsidRDefault="000170BF" w:rsidP="000170BF">
      <w:bookmarkStart w:id="31" w:name="_Toc384903161"/>
    </w:p>
    <w:p w14:paraId="075DA80D" w14:textId="18CB5805" w:rsidR="000170BF" w:rsidRDefault="000170BF" w:rsidP="009248A5">
      <w:pPr>
        <w:jc w:val="both"/>
      </w:pPr>
      <w:r>
        <w:t>Cette avant-dernière section présente l’impact social en termes de marges, de création d’emplois</w:t>
      </w:r>
      <w:r w:rsidR="009248A5">
        <w:t>, de gouvernance</w:t>
      </w:r>
      <w:r>
        <w:t xml:space="preserve"> et d’impact sur le pouvoir d’achat avant de montrer brièvement l’impact macro-économique faible du commerce informel.</w:t>
      </w:r>
    </w:p>
    <w:p w14:paraId="215D4EAD" w14:textId="1DE454EF" w:rsidR="002A52A8" w:rsidRDefault="002A52A8" w:rsidP="002A52A8">
      <w:pPr>
        <w:pStyle w:val="Heading2"/>
      </w:pPr>
      <w:r>
        <w:t>L’impact social</w:t>
      </w:r>
      <w:bookmarkEnd w:id="31"/>
    </w:p>
    <w:p w14:paraId="404BFE7C" w14:textId="77777777" w:rsidR="00466A0A" w:rsidRPr="00ED3CA2" w:rsidRDefault="00466A0A" w:rsidP="00466A0A">
      <w:pPr>
        <w:pStyle w:val="Heading3"/>
        <w:rPr>
          <w:lang w:bidi="ar-DZ"/>
        </w:rPr>
      </w:pPr>
      <w:bookmarkStart w:id="32" w:name="_Toc384903159"/>
      <w:r>
        <w:rPr>
          <w:lang w:bidi="ar-DZ"/>
        </w:rPr>
        <w:t>Une estimation des marges</w:t>
      </w:r>
      <w:bookmarkEnd w:id="32"/>
    </w:p>
    <w:p w14:paraId="3E6EBE97" w14:textId="6BE69136" w:rsidR="00466A0A" w:rsidRDefault="000170BF" w:rsidP="00466A0A">
      <w:pPr>
        <w:jc w:val="both"/>
        <w:rPr>
          <w:rFonts w:ascii="Calibri" w:hAnsi="Calibri" w:cs="Helvetica"/>
        </w:rPr>
      </w:pPr>
      <w:r>
        <w:rPr>
          <w:rFonts w:ascii="Calibri" w:hAnsi="Calibri" w:cs="Helvetica"/>
        </w:rPr>
        <w:t>Il est important d’estimer les marges pour se rendre compte du profit généré localement par le commerce informel</w:t>
      </w:r>
      <w:r w:rsidR="00466A0A">
        <w:rPr>
          <w:rFonts w:ascii="Calibri" w:hAnsi="Calibri" w:cs="Helvetica"/>
        </w:rPr>
        <w:t>. Cette sous-section présente ainsi les calculs de marges. L’estimation des marges nécessite</w:t>
      </w:r>
      <w:r w:rsidR="00466A0A" w:rsidRPr="00E6333E">
        <w:rPr>
          <w:rFonts w:ascii="Calibri" w:hAnsi="Calibri" w:cs="Helvetica"/>
        </w:rPr>
        <w:t xml:space="preserve"> de connaître les volumes commercés pour chacune des rou</w:t>
      </w:r>
      <w:r w:rsidR="00466A0A">
        <w:rPr>
          <w:rFonts w:ascii="Calibri" w:hAnsi="Calibri" w:cs="Helvetica"/>
        </w:rPr>
        <w:t>tes (nombre de camions et tonnage moyen</w:t>
      </w:r>
      <w:r w:rsidR="00466A0A" w:rsidRPr="00E6333E">
        <w:rPr>
          <w:rFonts w:ascii="Calibri" w:hAnsi="Calibri" w:cs="Helvetica"/>
        </w:rPr>
        <w:t xml:space="preserve"> des camions), les prix de chaque produit dans chacune des villes et d’estimer les volumes échangés pour c</w:t>
      </w:r>
      <w:r w:rsidR="00466A0A">
        <w:rPr>
          <w:rFonts w:ascii="Calibri" w:hAnsi="Calibri" w:cs="Helvetica"/>
        </w:rPr>
        <w:t>hacun des produits,</w:t>
      </w:r>
      <w:r w:rsidR="00466A0A" w:rsidRPr="00E6333E">
        <w:rPr>
          <w:rFonts w:ascii="Calibri" w:hAnsi="Calibri" w:cs="Helvetica"/>
        </w:rPr>
        <w:t xml:space="preserve"> le coût de transport et les droits de douanes effectivement payés. </w:t>
      </w:r>
    </w:p>
    <w:p w14:paraId="3992796D" w14:textId="77777777" w:rsidR="00466A0A" w:rsidRPr="0075291E" w:rsidRDefault="00466A0A" w:rsidP="00466A0A">
      <w:pPr>
        <w:spacing w:after="0"/>
        <w:jc w:val="both"/>
        <w:rPr>
          <w:b/>
        </w:rPr>
      </w:pPr>
      <w:r w:rsidRPr="0075291E">
        <w:rPr>
          <w:b/>
        </w:rPr>
        <w:t>Plusieurs constats peuvent être établis à la lumière des données récoltées :</w:t>
      </w:r>
    </w:p>
    <w:p w14:paraId="43492AE1" w14:textId="77777777" w:rsidR="00466A0A" w:rsidRPr="0075291E" w:rsidRDefault="00466A0A" w:rsidP="00466A0A">
      <w:pPr>
        <w:spacing w:after="0"/>
        <w:jc w:val="both"/>
        <w:rPr>
          <w:rFonts w:ascii="Helvetica" w:hAnsi="Helvetica" w:cs="Helvetica"/>
          <w:b/>
          <w:sz w:val="12"/>
          <w:szCs w:val="12"/>
        </w:rPr>
      </w:pPr>
      <w:r w:rsidRPr="0075291E">
        <w:t xml:space="preserve">- L’ensemble des marchandises commercées au </w:t>
      </w:r>
      <w:r>
        <w:t>nord</w:t>
      </w:r>
      <w:r w:rsidRPr="0075291E">
        <w:t xml:space="preserve"> du Mali (desti</w:t>
      </w:r>
      <w:r>
        <w:t>nation finale ou transit) générait une marge</w:t>
      </w:r>
      <w:r w:rsidRPr="0075291E">
        <w:t xml:space="preserve"> hebdomadaire de 617.600.000 FCFA (1.300.</w:t>
      </w:r>
      <w:r>
        <w:t>000 USD), avec un taux de marge</w:t>
      </w:r>
      <w:r w:rsidRPr="0075291E">
        <w:t xml:space="preserve"> moyen de 29%.</w:t>
      </w:r>
      <w:r>
        <w:t xml:space="preserve"> </w:t>
      </w:r>
    </w:p>
    <w:p w14:paraId="68FEE33C" w14:textId="77777777" w:rsidR="00466A0A" w:rsidRPr="0075291E" w:rsidRDefault="00466A0A" w:rsidP="00466A0A">
      <w:pPr>
        <w:spacing w:after="0"/>
        <w:jc w:val="both"/>
      </w:pPr>
      <w:r w:rsidRPr="0075291E">
        <w:t>-</w:t>
      </w:r>
      <w:r>
        <w:t xml:space="preserve"> Le taux de marge</w:t>
      </w:r>
      <w:r w:rsidRPr="0075291E">
        <w:t xml:space="preserve"> est plus élevé lorsque les marchandises sont destinées à Bamako (43%), au Niger (30%) ou à l’Afrique de l’ouest, cela explique que le </w:t>
      </w:r>
      <w:r>
        <w:t>nord</w:t>
      </w:r>
      <w:r w:rsidRPr="0075291E">
        <w:t xml:space="preserve"> du Mali soit une zone de transit appréciée des commerçants. </w:t>
      </w:r>
    </w:p>
    <w:p w14:paraId="15606B69" w14:textId="210E5474" w:rsidR="00466A0A" w:rsidRPr="0075291E" w:rsidRDefault="00466A0A" w:rsidP="00466A0A">
      <w:pPr>
        <w:spacing w:after="0"/>
        <w:jc w:val="both"/>
      </w:pPr>
      <w:r w:rsidRPr="0075291E">
        <w:t xml:space="preserve">- Pour les échanges intra </w:t>
      </w:r>
      <w:r>
        <w:t>nord</w:t>
      </w:r>
      <w:r w:rsidRPr="0075291E">
        <w:t>-malien, Tombouctou (32,1%) et Gao (25,17%) s’avèrent plus rentables que Kidal (15,5%) et explique probablement le rôle tenu par les commerçants de Kidal dans la distribution au Mali</w:t>
      </w:r>
      <w:r w:rsidR="00342B75">
        <w:t xml:space="preserve"> et le plus faible pouvoir d’achat à Kidal</w:t>
      </w:r>
      <w:r w:rsidRPr="0075291E">
        <w:t>.</w:t>
      </w:r>
    </w:p>
    <w:p w14:paraId="2F05633A" w14:textId="77777777" w:rsidR="00466A0A" w:rsidRPr="0075291E" w:rsidRDefault="00466A0A" w:rsidP="00466A0A">
      <w:pPr>
        <w:spacing w:after="0"/>
        <w:jc w:val="both"/>
      </w:pPr>
      <w:r w:rsidRPr="0075291E">
        <w:t xml:space="preserve">- Les pâtes, la farine et les dattes représentent les principales marchandises commercées, la plus rentable de toute étant </w:t>
      </w:r>
      <w:r>
        <w:t>la farine avec un taux de marge</w:t>
      </w:r>
      <w:r w:rsidRPr="0075291E">
        <w:t xml:space="preserve"> de 42%</w:t>
      </w:r>
      <w:r>
        <w:t>, devant l’électroménager, les dattes et l’essence</w:t>
      </w:r>
      <w:r>
        <w:rPr>
          <w:rStyle w:val="FootnoteReference"/>
        </w:rPr>
        <w:footnoteReference w:id="29"/>
      </w:r>
      <w:r w:rsidRPr="0075291E">
        <w:t>.</w:t>
      </w:r>
    </w:p>
    <w:p w14:paraId="7CBC77DE" w14:textId="77777777" w:rsidR="00466A0A" w:rsidRPr="00CD124C" w:rsidRDefault="00466A0A" w:rsidP="00466A0A">
      <w:pPr>
        <w:spacing w:after="0"/>
        <w:jc w:val="both"/>
        <w:rPr>
          <w:rFonts w:ascii="Calibri" w:hAnsi="Calibri"/>
          <w:color w:val="FF0000"/>
        </w:rPr>
      </w:pPr>
    </w:p>
    <w:p w14:paraId="654F6AA5" w14:textId="55D748C0" w:rsidR="00466A0A" w:rsidRPr="001C6A6F" w:rsidRDefault="00342B75" w:rsidP="00466A0A">
      <w:pPr>
        <w:jc w:val="both"/>
        <w:rPr>
          <w:rFonts w:ascii="Calibri" w:hAnsi="Calibri"/>
          <w:b/>
        </w:rPr>
      </w:pPr>
      <w:r>
        <w:rPr>
          <w:rFonts w:ascii="Calibri" w:hAnsi="Calibri"/>
        </w:rPr>
        <w:t>D’après les commerçants-transporteurs, l</w:t>
      </w:r>
      <w:r w:rsidR="00466A0A" w:rsidRPr="001C6A6F">
        <w:rPr>
          <w:rFonts w:ascii="Calibri" w:hAnsi="Calibri"/>
        </w:rPr>
        <w:t xml:space="preserve">es coûts de transport moyens depuis </w:t>
      </w:r>
      <w:proofErr w:type="spellStart"/>
      <w:r w:rsidR="00466A0A" w:rsidRPr="001C6A6F">
        <w:rPr>
          <w:rFonts w:ascii="Calibri" w:hAnsi="Calibri"/>
        </w:rPr>
        <w:t>Borj</w:t>
      </w:r>
      <w:proofErr w:type="spellEnd"/>
      <w:r w:rsidR="00466A0A">
        <w:rPr>
          <w:rFonts w:ascii="Calibri" w:hAnsi="Calibri"/>
        </w:rPr>
        <w:t xml:space="preserve"> </w:t>
      </w:r>
      <w:proofErr w:type="spellStart"/>
      <w:r w:rsidR="00466A0A" w:rsidRPr="001C6A6F">
        <w:rPr>
          <w:rFonts w:ascii="Calibri" w:hAnsi="Calibri"/>
        </w:rPr>
        <w:t>Badji</w:t>
      </w:r>
      <w:proofErr w:type="spellEnd"/>
      <w:r w:rsidR="00466A0A">
        <w:rPr>
          <w:rFonts w:ascii="Calibri" w:hAnsi="Calibri"/>
        </w:rPr>
        <w:t xml:space="preserve"> </w:t>
      </w:r>
      <w:proofErr w:type="spellStart"/>
      <w:r w:rsidR="00466A0A" w:rsidRPr="001C6A6F">
        <w:rPr>
          <w:rFonts w:ascii="Calibri" w:hAnsi="Calibri"/>
        </w:rPr>
        <w:t>Mokthar</w:t>
      </w:r>
      <w:proofErr w:type="spellEnd"/>
      <w:r w:rsidR="00466A0A" w:rsidRPr="001C6A6F">
        <w:rPr>
          <w:rFonts w:ascii="Calibri" w:hAnsi="Calibri"/>
        </w:rPr>
        <w:t> sont de</w:t>
      </w:r>
      <w:r w:rsidR="00466A0A">
        <w:rPr>
          <w:rFonts w:ascii="Calibri" w:hAnsi="Calibri"/>
        </w:rPr>
        <w:t xml:space="preserve"> 27</w:t>
      </w:r>
      <w:r w:rsidR="00466A0A" w:rsidRPr="001C6A6F">
        <w:rPr>
          <w:rFonts w:ascii="Calibri" w:hAnsi="Calibri"/>
        </w:rPr>
        <w:t>000 FCFA/tonne pour Kidal</w:t>
      </w:r>
      <w:r w:rsidR="00466A0A">
        <w:rPr>
          <w:rFonts w:ascii="Calibri" w:hAnsi="Calibri"/>
        </w:rPr>
        <w:t xml:space="preserve"> (56 USD)</w:t>
      </w:r>
      <w:r w:rsidR="00466A0A" w:rsidRPr="001C6A6F">
        <w:rPr>
          <w:rFonts w:ascii="Calibri" w:hAnsi="Calibri"/>
        </w:rPr>
        <w:t xml:space="preserve">, </w:t>
      </w:r>
      <w:r w:rsidR="00466A0A">
        <w:rPr>
          <w:rFonts w:ascii="Calibri" w:hAnsi="Calibri" w:cs="Helvetica"/>
        </w:rPr>
        <w:t>41</w:t>
      </w:r>
      <w:r w:rsidR="00466A0A" w:rsidRPr="001C6A6F">
        <w:rPr>
          <w:rFonts w:ascii="Calibri" w:hAnsi="Calibri" w:cs="Helvetica"/>
        </w:rPr>
        <w:t>000 FCFA/tonne pour Gao</w:t>
      </w:r>
      <w:r w:rsidR="00466A0A">
        <w:rPr>
          <w:rFonts w:ascii="Calibri" w:hAnsi="Calibri" w:cs="Helvetica"/>
        </w:rPr>
        <w:t xml:space="preserve"> (85 USD), 54</w:t>
      </w:r>
      <w:r w:rsidR="00466A0A" w:rsidRPr="001C6A6F">
        <w:rPr>
          <w:rFonts w:ascii="Calibri" w:hAnsi="Calibri" w:cs="Helvetica"/>
        </w:rPr>
        <w:t xml:space="preserve">000 </w:t>
      </w:r>
      <w:r w:rsidR="00466A0A">
        <w:rPr>
          <w:rFonts w:ascii="Calibri" w:hAnsi="Calibri" w:cs="Helvetica"/>
        </w:rPr>
        <w:t>FCFA/ tonne (112 USD) pour Tombouctou, 90</w:t>
      </w:r>
      <w:r w:rsidR="00466A0A" w:rsidRPr="001C6A6F">
        <w:rPr>
          <w:rFonts w:ascii="Calibri" w:hAnsi="Calibri" w:cs="Helvetica"/>
        </w:rPr>
        <w:t>00</w:t>
      </w:r>
      <w:r w:rsidR="00466A0A">
        <w:rPr>
          <w:rFonts w:ascii="Calibri" w:hAnsi="Calibri" w:cs="Helvetica"/>
        </w:rPr>
        <w:t>0 FCFA/tonne (187 USD) pour Bamako et 100</w:t>
      </w:r>
      <w:r w:rsidR="00466A0A" w:rsidRPr="001C6A6F">
        <w:rPr>
          <w:rFonts w:ascii="Calibri" w:hAnsi="Calibri" w:cs="Helvetica"/>
        </w:rPr>
        <w:t xml:space="preserve">000 FCFA/tonne </w:t>
      </w:r>
      <w:r w:rsidR="00466A0A">
        <w:rPr>
          <w:rFonts w:ascii="Calibri" w:hAnsi="Calibri" w:cs="Helvetica"/>
        </w:rPr>
        <w:t xml:space="preserve">(208 USD) </w:t>
      </w:r>
      <w:r w:rsidR="00466A0A" w:rsidRPr="001C6A6F">
        <w:rPr>
          <w:rFonts w:ascii="Calibri" w:hAnsi="Calibri" w:cs="Helvetica"/>
        </w:rPr>
        <w:t xml:space="preserve">pour Tahoua et Agadez. </w:t>
      </w:r>
    </w:p>
    <w:p w14:paraId="32BB2478" w14:textId="77777777" w:rsidR="00466A0A" w:rsidRPr="001C6A6F" w:rsidRDefault="00466A0A" w:rsidP="00466A0A">
      <w:pPr>
        <w:jc w:val="both"/>
        <w:rPr>
          <w:rFonts w:ascii="Calibri" w:hAnsi="Calibri"/>
        </w:rPr>
      </w:pPr>
      <w:r w:rsidRPr="001C6A6F">
        <w:rPr>
          <w:rFonts w:ascii="Calibri" w:hAnsi="Calibri"/>
        </w:rPr>
        <w:t xml:space="preserve">A partir des coûts obtenus (par tonne) pour chacun des principaux produits commercés, il est </w:t>
      </w:r>
      <w:r>
        <w:rPr>
          <w:rFonts w:ascii="Calibri" w:hAnsi="Calibri"/>
        </w:rPr>
        <w:t>possible de chiffrer les marges</w:t>
      </w:r>
      <w:r w:rsidRPr="001C6A6F">
        <w:rPr>
          <w:rFonts w:ascii="Calibri" w:hAnsi="Calibri"/>
        </w:rPr>
        <w:t xml:space="preserve"> réalisé</w:t>
      </w:r>
      <w:r>
        <w:rPr>
          <w:rFonts w:ascii="Calibri" w:hAnsi="Calibri"/>
        </w:rPr>
        <w:t>e</w:t>
      </w:r>
      <w:r w:rsidRPr="001C6A6F">
        <w:rPr>
          <w:rFonts w:ascii="Calibri" w:hAnsi="Calibri"/>
        </w:rPr>
        <w:t>s par f</w:t>
      </w:r>
      <w:r>
        <w:rPr>
          <w:rFonts w:ascii="Calibri" w:hAnsi="Calibri"/>
        </w:rPr>
        <w:t>ilière pour chacune des villes (voir tableau XX).</w:t>
      </w:r>
    </w:p>
    <w:p w14:paraId="5072D1FB" w14:textId="77777777" w:rsidR="00466A0A" w:rsidRPr="002D056F" w:rsidRDefault="00466A0A" w:rsidP="00466A0A">
      <w:pPr>
        <w:pStyle w:val="Caption"/>
        <w:rPr>
          <w:color w:val="FF0000"/>
          <w:sz w:val="22"/>
          <w:szCs w:val="22"/>
        </w:rPr>
      </w:pPr>
      <w:r w:rsidRPr="002D056F">
        <w:rPr>
          <w:color w:val="auto"/>
          <w:sz w:val="22"/>
          <w:szCs w:val="22"/>
        </w:rPr>
        <w:t xml:space="preserve">Tableau </w:t>
      </w:r>
      <w:r w:rsidRPr="002D056F">
        <w:rPr>
          <w:color w:val="auto"/>
          <w:sz w:val="22"/>
          <w:szCs w:val="22"/>
        </w:rPr>
        <w:fldChar w:fldCharType="begin"/>
      </w:r>
      <w:r w:rsidRPr="002D056F">
        <w:rPr>
          <w:color w:val="auto"/>
          <w:sz w:val="22"/>
          <w:szCs w:val="22"/>
        </w:rPr>
        <w:instrText xml:space="preserve"> SEQ Tableau \* ARABIC </w:instrText>
      </w:r>
      <w:r w:rsidRPr="002D056F">
        <w:rPr>
          <w:color w:val="auto"/>
          <w:sz w:val="22"/>
          <w:szCs w:val="22"/>
        </w:rPr>
        <w:fldChar w:fldCharType="separate"/>
      </w:r>
      <w:r w:rsidR="000170BF">
        <w:rPr>
          <w:noProof/>
          <w:color w:val="auto"/>
          <w:sz w:val="22"/>
          <w:szCs w:val="22"/>
        </w:rPr>
        <w:t>7</w:t>
      </w:r>
      <w:r w:rsidRPr="002D056F">
        <w:rPr>
          <w:color w:val="auto"/>
          <w:sz w:val="22"/>
          <w:szCs w:val="22"/>
        </w:rPr>
        <w:fldChar w:fldCharType="end"/>
      </w:r>
      <w:r w:rsidRPr="002D056F">
        <w:rPr>
          <w:color w:val="auto"/>
          <w:sz w:val="22"/>
          <w:szCs w:val="22"/>
        </w:rPr>
        <w:t> : Taux de marge par ville et produit en 2011</w:t>
      </w:r>
    </w:p>
    <w:tbl>
      <w:tblPr>
        <w:tblStyle w:val="TableGrid"/>
        <w:tblW w:w="8789" w:type="dxa"/>
        <w:tblInd w:w="108" w:type="dxa"/>
        <w:tblLayout w:type="fixed"/>
        <w:tblLook w:val="04A0" w:firstRow="1" w:lastRow="0" w:firstColumn="1" w:lastColumn="0" w:noHBand="0" w:noVBand="1"/>
      </w:tblPr>
      <w:tblGrid>
        <w:gridCol w:w="848"/>
        <w:gridCol w:w="709"/>
        <w:gridCol w:w="570"/>
        <w:gridCol w:w="567"/>
        <w:gridCol w:w="708"/>
        <w:gridCol w:w="709"/>
        <w:gridCol w:w="709"/>
        <w:gridCol w:w="709"/>
        <w:gridCol w:w="708"/>
        <w:gridCol w:w="567"/>
        <w:gridCol w:w="709"/>
        <w:gridCol w:w="709"/>
        <w:gridCol w:w="567"/>
      </w:tblGrid>
      <w:tr w:rsidR="00466A0A" w:rsidRPr="002D056F" w14:paraId="4A474483" w14:textId="77777777" w:rsidTr="007127C1">
        <w:trPr>
          <w:trHeight w:val="607"/>
        </w:trPr>
        <w:tc>
          <w:tcPr>
            <w:tcW w:w="848" w:type="dxa"/>
            <w:vMerge w:val="restart"/>
            <w:vAlign w:val="center"/>
          </w:tcPr>
          <w:p w14:paraId="5FEE6179"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 xml:space="preserve">  Produits</w:t>
            </w:r>
          </w:p>
        </w:tc>
        <w:tc>
          <w:tcPr>
            <w:tcW w:w="1279" w:type="dxa"/>
            <w:gridSpan w:val="2"/>
            <w:vAlign w:val="center"/>
          </w:tcPr>
          <w:p w14:paraId="571E503F"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Kidal</w:t>
            </w:r>
          </w:p>
        </w:tc>
        <w:tc>
          <w:tcPr>
            <w:tcW w:w="1275" w:type="dxa"/>
            <w:gridSpan w:val="2"/>
            <w:vAlign w:val="center"/>
          </w:tcPr>
          <w:p w14:paraId="40F9734D"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Gao</w:t>
            </w:r>
          </w:p>
        </w:tc>
        <w:tc>
          <w:tcPr>
            <w:tcW w:w="1418" w:type="dxa"/>
            <w:gridSpan w:val="2"/>
            <w:vAlign w:val="center"/>
          </w:tcPr>
          <w:p w14:paraId="3CC938D3"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Tombouctou</w:t>
            </w:r>
          </w:p>
        </w:tc>
        <w:tc>
          <w:tcPr>
            <w:tcW w:w="1417" w:type="dxa"/>
            <w:gridSpan w:val="2"/>
            <w:vAlign w:val="center"/>
          </w:tcPr>
          <w:p w14:paraId="0E95C70E"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Bamako</w:t>
            </w:r>
          </w:p>
        </w:tc>
        <w:tc>
          <w:tcPr>
            <w:tcW w:w="1276" w:type="dxa"/>
            <w:gridSpan w:val="2"/>
            <w:vAlign w:val="center"/>
          </w:tcPr>
          <w:p w14:paraId="230213BE"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Tahoua/ Agadez</w:t>
            </w:r>
          </w:p>
        </w:tc>
        <w:tc>
          <w:tcPr>
            <w:tcW w:w="1276" w:type="dxa"/>
            <w:gridSpan w:val="2"/>
            <w:shd w:val="clear" w:color="auto" w:fill="E26E80"/>
            <w:vAlign w:val="center"/>
          </w:tcPr>
          <w:p w14:paraId="21BC2795"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TOTAL par produit</w:t>
            </w:r>
          </w:p>
        </w:tc>
      </w:tr>
      <w:tr w:rsidR="00466A0A" w:rsidRPr="002D056F" w14:paraId="3D5B45E3" w14:textId="77777777" w:rsidTr="007127C1">
        <w:trPr>
          <w:trHeight w:val="559"/>
        </w:trPr>
        <w:tc>
          <w:tcPr>
            <w:tcW w:w="848" w:type="dxa"/>
            <w:vMerge/>
            <w:vAlign w:val="center"/>
          </w:tcPr>
          <w:p w14:paraId="2B1C3713" w14:textId="77777777" w:rsidR="00466A0A" w:rsidRPr="002D056F" w:rsidRDefault="00466A0A" w:rsidP="007127C1">
            <w:pPr>
              <w:jc w:val="center"/>
              <w:rPr>
                <w:rFonts w:ascii="Helvetica" w:hAnsi="Helvetica" w:cs="Helvetica"/>
                <w:sz w:val="14"/>
                <w:szCs w:val="14"/>
              </w:rPr>
            </w:pPr>
          </w:p>
        </w:tc>
        <w:tc>
          <w:tcPr>
            <w:tcW w:w="709" w:type="dxa"/>
            <w:vAlign w:val="center"/>
          </w:tcPr>
          <w:p w14:paraId="74799370"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Marge nette hebdo</w:t>
            </w:r>
          </w:p>
        </w:tc>
        <w:tc>
          <w:tcPr>
            <w:tcW w:w="570" w:type="dxa"/>
            <w:vAlign w:val="center"/>
          </w:tcPr>
          <w:p w14:paraId="771A3116"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CA</w:t>
            </w:r>
          </w:p>
        </w:tc>
        <w:tc>
          <w:tcPr>
            <w:tcW w:w="567" w:type="dxa"/>
            <w:vAlign w:val="center"/>
          </w:tcPr>
          <w:p w14:paraId="42DA0D81"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Marge nette</w:t>
            </w:r>
          </w:p>
        </w:tc>
        <w:tc>
          <w:tcPr>
            <w:tcW w:w="708" w:type="dxa"/>
            <w:vAlign w:val="center"/>
          </w:tcPr>
          <w:p w14:paraId="4244F916"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CA</w:t>
            </w:r>
          </w:p>
        </w:tc>
        <w:tc>
          <w:tcPr>
            <w:tcW w:w="709" w:type="dxa"/>
            <w:vAlign w:val="center"/>
          </w:tcPr>
          <w:p w14:paraId="6B14980E"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Marge nette</w:t>
            </w:r>
          </w:p>
        </w:tc>
        <w:tc>
          <w:tcPr>
            <w:tcW w:w="709" w:type="dxa"/>
            <w:vAlign w:val="center"/>
          </w:tcPr>
          <w:p w14:paraId="101A53D7"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CA</w:t>
            </w:r>
          </w:p>
        </w:tc>
        <w:tc>
          <w:tcPr>
            <w:tcW w:w="709" w:type="dxa"/>
            <w:vAlign w:val="center"/>
          </w:tcPr>
          <w:p w14:paraId="5D0F113B"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Marge nette</w:t>
            </w:r>
          </w:p>
        </w:tc>
        <w:tc>
          <w:tcPr>
            <w:tcW w:w="708" w:type="dxa"/>
            <w:vAlign w:val="center"/>
          </w:tcPr>
          <w:p w14:paraId="2614F221"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CA</w:t>
            </w:r>
          </w:p>
        </w:tc>
        <w:tc>
          <w:tcPr>
            <w:tcW w:w="567" w:type="dxa"/>
            <w:vAlign w:val="center"/>
          </w:tcPr>
          <w:p w14:paraId="0C99B2D5"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Marge nette</w:t>
            </w:r>
          </w:p>
        </w:tc>
        <w:tc>
          <w:tcPr>
            <w:tcW w:w="709" w:type="dxa"/>
            <w:vAlign w:val="center"/>
          </w:tcPr>
          <w:p w14:paraId="7F6E5CDB"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CA</w:t>
            </w:r>
          </w:p>
        </w:tc>
        <w:tc>
          <w:tcPr>
            <w:tcW w:w="709" w:type="dxa"/>
            <w:shd w:val="clear" w:color="auto" w:fill="E26E80"/>
            <w:vAlign w:val="center"/>
          </w:tcPr>
          <w:p w14:paraId="47ED48B3"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Marge nette</w:t>
            </w:r>
          </w:p>
        </w:tc>
        <w:tc>
          <w:tcPr>
            <w:tcW w:w="567" w:type="dxa"/>
            <w:shd w:val="clear" w:color="auto" w:fill="E26E80"/>
            <w:vAlign w:val="center"/>
          </w:tcPr>
          <w:p w14:paraId="750AE0B4"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CA</w:t>
            </w:r>
          </w:p>
        </w:tc>
      </w:tr>
      <w:tr w:rsidR="00466A0A" w:rsidRPr="002D056F" w14:paraId="736F13D4" w14:textId="77777777" w:rsidTr="007127C1">
        <w:tc>
          <w:tcPr>
            <w:tcW w:w="848" w:type="dxa"/>
            <w:vAlign w:val="center"/>
          </w:tcPr>
          <w:p w14:paraId="7194EFE7"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Farine</w:t>
            </w:r>
          </w:p>
        </w:tc>
        <w:tc>
          <w:tcPr>
            <w:tcW w:w="709" w:type="dxa"/>
            <w:vAlign w:val="center"/>
          </w:tcPr>
          <w:p w14:paraId="79C453F8" w14:textId="77777777" w:rsidR="00466A0A" w:rsidRPr="002D056F" w:rsidRDefault="00466A0A" w:rsidP="007127C1">
            <w:pPr>
              <w:jc w:val="center"/>
              <w:rPr>
                <w:rFonts w:ascii="Helvetica" w:hAnsi="Helvetica" w:cs="Helvetica"/>
                <w:sz w:val="12"/>
                <w:szCs w:val="12"/>
              </w:rPr>
            </w:pPr>
            <w:r w:rsidRPr="002D056F">
              <w:rPr>
                <w:rFonts w:ascii="Helvetica" w:hAnsi="Helvetica"/>
                <w:sz w:val="12"/>
                <w:szCs w:val="12"/>
              </w:rPr>
              <w:t>4,33 (17,6%)</w:t>
            </w:r>
          </w:p>
        </w:tc>
        <w:tc>
          <w:tcPr>
            <w:tcW w:w="570" w:type="dxa"/>
            <w:vAlign w:val="center"/>
          </w:tcPr>
          <w:p w14:paraId="7BD6563D"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24,61</w:t>
            </w:r>
          </w:p>
        </w:tc>
        <w:tc>
          <w:tcPr>
            <w:tcW w:w="567" w:type="dxa"/>
            <w:vAlign w:val="center"/>
          </w:tcPr>
          <w:p w14:paraId="68B759D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11,6 (21,2%)</w:t>
            </w:r>
          </w:p>
        </w:tc>
        <w:tc>
          <w:tcPr>
            <w:tcW w:w="708" w:type="dxa"/>
            <w:vAlign w:val="center"/>
          </w:tcPr>
          <w:p w14:paraId="5CFDAA4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54,6</w:t>
            </w:r>
          </w:p>
        </w:tc>
        <w:tc>
          <w:tcPr>
            <w:tcW w:w="709" w:type="dxa"/>
            <w:vAlign w:val="center"/>
          </w:tcPr>
          <w:p w14:paraId="0A7A293B"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4,28 (33,4%)</w:t>
            </w:r>
          </w:p>
        </w:tc>
        <w:tc>
          <w:tcPr>
            <w:tcW w:w="709" w:type="dxa"/>
            <w:vAlign w:val="center"/>
          </w:tcPr>
          <w:p w14:paraId="0B8C823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12,8</w:t>
            </w:r>
          </w:p>
        </w:tc>
        <w:tc>
          <w:tcPr>
            <w:tcW w:w="709" w:type="dxa"/>
            <w:vAlign w:val="center"/>
          </w:tcPr>
          <w:p w14:paraId="286B6FC3"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51,5 (53,6%)</w:t>
            </w:r>
          </w:p>
        </w:tc>
        <w:tc>
          <w:tcPr>
            <w:tcW w:w="708" w:type="dxa"/>
            <w:vAlign w:val="center"/>
          </w:tcPr>
          <w:p w14:paraId="3CAB5D23"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96</w:t>
            </w:r>
          </w:p>
        </w:tc>
        <w:tc>
          <w:tcPr>
            <w:tcW w:w="567" w:type="dxa"/>
            <w:vAlign w:val="center"/>
          </w:tcPr>
          <w:p w14:paraId="1520E4A1"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70,5 / 25,5 (45%)</w:t>
            </w:r>
          </w:p>
        </w:tc>
        <w:tc>
          <w:tcPr>
            <w:tcW w:w="709" w:type="dxa"/>
            <w:vAlign w:val="center"/>
          </w:tcPr>
          <w:p w14:paraId="29EFB0F5"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213</w:t>
            </w:r>
          </w:p>
        </w:tc>
        <w:tc>
          <w:tcPr>
            <w:tcW w:w="709" w:type="dxa"/>
            <w:shd w:val="clear" w:color="auto" w:fill="E26E80"/>
            <w:vAlign w:val="center"/>
          </w:tcPr>
          <w:p w14:paraId="6B6470E2"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167.71 (42%)</w:t>
            </w:r>
          </w:p>
        </w:tc>
        <w:tc>
          <w:tcPr>
            <w:tcW w:w="567" w:type="dxa"/>
            <w:shd w:val="clear" w:color="auto" w:fill="E26E80"/>
            <w:vAlign w:val="center"/>
          </w:tcPr>
          <w:p w14:paraId="074B6BB1"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401,1</w:t>
            </w:r>
          </w:p>
        </w:tc>
      </w:tr>
      <w:tr w:rsidR="00466A0A" w:rsidRPr="002D056F" w14:paraId="5EA42F3B" w14:textId="77777777" w:rsidTr="007127C1">
        <w:tc>
          <w:tcPr>
            <w:tcW w:w="848" w:type="dxa"/>
            <w:vAlign w:val="center"/>
          </w:tcPr>
          <w:p w14:paraId="0758A481"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Pates</w:t>
            </w:r>
          </w:p>
        </w:tc>
        <w:tc>
          <w:tcPr>
            <w:tcW w:w="709" w:type="dxa"/>
            <w:vAlign w:val="center"/>
          </w:tcPr>
          <w:p w14:paraId="6EAB9F55"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9,17 (18,7%)</w:t>
            </w:r>
          </w:p>
        </w:tc>
        <w:tc>
          <w:tcPr>
            <w:tcW w:w="570" w:type="dxa"/>
            <w:vAlign w:val="center"/>
          </w:tcPr>
          <w:p w14:paraId="490C821B"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49</w:t>
            </w:r>
          </w:p>
        </w:tc>
        <w:tc>
          <w:tcPr>
            <w:tcW w:w="567" w:type="dxa"/>
            <w:vAlign w:val="center"/>
          </w:tcPr>
          <w:p w14:paraId="7FE813CE"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22,87 (32%)</w:t>
            </w:r>
          </w:p>
        </w:tc>
        <w:tc>
          <w:tcPr>
            <w:tcW w:w="708" w:type="dxa"/>
            <w:vAlign w:val="center"/>
          </w:tcPr>
          <w:p w14:paraId="054CC96A"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71,4</w:t>
            </w:r>
          </w:p>
        </w:tc>
        <w:tc>
          <w:tcPr>
            <w:tcW w:w="709" w:type="dxa"/>
            <w:vAlign w:val="center"/>
          </w:tcPr>
          <w:p w14:paraId="6DD7997C"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4,71 (35%)</w:t>
            </w:r>
          </w:p>
        </w:tc>
        <w:tc>
          <w:tcPr>
            <w:tcW w:w="709" w:type="dxa"/>
            <w:vAlign w:val="center"/>
          </w:tcPr>
          <w:p w14:paraId="032809CF"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13,5</w:t>
            </w:r>
          </w:p>
        </w:tc>
        <w:tc>
          <w:tcPr>
            <w:tcW w:w="709" w:type="dxa"/>
            <w:tcBorders>
              <w:bottom w:val="single" w:sz="4" w:space="0" w:color="000000" w:themeColor="text1"/>
            </w:tcBorders>
            <w:vAlign w:val="center"/>
          </w:tcPr>
          <w:p w14:paraId="320D02EC"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23,25 (41,5%)</w:t>
            </w:r>
          </w:p>
        </w:tc>
        <w:tc>
          <w:tcPr>
            <w:tcW w:w="708" w:type="dxa"/>
            <w:vAlign w:val="center"/>
          </w:tcPr>
          <w:p w14:paraId="3835DE78"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56</w:t>
            </w:r>
          </w:p>
        </w:tc>
        <w:tc>
          <w:tcPr>
            <w:tcW w:w="567" w:type="dxa"/>
            <w:tcBorders>
              <w:bottom w:val="single" w:sz="4" w:space="0" w:color="000000" w:themeColor="text1"/>
            </w:tcBorders>
            <w:vAlign w:val="center"/>
          </w:tcPr>
          <w:p w14:paraId="05A47E0F"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81,6 (27,7%)</w:t>
            </w:r>
          </w:p>
        </w:tc>
        <w:tc>
          <w:tcPr>
            <w:tcW w:w="709" w:type="dxa"/>
            <w:vAlign w:val="center"/>
          </w:tcPr>
          <w:p w14:paraId="1284BE79"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294.4</w:t>
            </w:r>
          </w:p>
        </w:tc>
        <w:tc>
          <w:tcPr>
            <w:tcW w:w="709" w:type="dxa"/>
            <w:shd w:val="clear" w:color="auto" w:fill="E26E80"/>
            <w:vAlign w:val="center"/>
          </w:tcPr>
          <w:p w14:paraId="098BE434"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141.6 (29%)</w:t>
            </w:r>
          </w:p>
        </w:tc>
        <w:tc>
          <w:tcPr>
            <w:tcW w:w="567" w:type="dxa"/>
            <w:shd w:val="clear" w:color="auto" w:fill="E26E80"/>
            <w:vAlign w:val="center"/>
          </w:tcPr>
          <w:p w14:paraId="56BE53DD"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484,3</w:t>
            </w:r>
          </w:p>
        </w:tc>
      </w:tr>
      <w:tr w:rsidR="00466A0A" w:rsidRPr="002D056F" w14:paraId="1E2F42C1" w14:textId="77777777" w:rsidTr="007127C1">
        <w:trPr>
          <w:trHeight w:val="725"/>
        </w:trPr>
        <w:tc>
          <w:tcPr>
            <w:tcW w:w="848" w:type="dxa"/>
            <w:vAlign w:val="center"/>
          </w:tcPr>
          <w:p w14:paraId="5BB4E47E"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 xml:space="preserve">Semoule de blé </w:t>
            </w:r>
          </w:p>
        </w:tc>
        <w:tc>
          <w:tcPr>
            <w:tcW w:w="709" w:type="dxa"/>
            <w:vAlign w:val="center"/>
          </w:tcPr>
          <w:p w14:paraId="45AE8B7E"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2,63 (9,6%)</w:t>
            </w:r>
          </w:p>
        </w:tc>
        <w:tc>
          <w:tcPr>
            <w:tcW w:w="570" w:type="dxa"/>
            <w:vAlign w:val="center"/>
          </w:tcPr>
          <w:p w14:paraId="542A32D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27.2</w:t>
            </w:r>
          </w:p>
        </w:tc>
        <w:tc>
          <w:tcPr>
            <w:tcW w:w="567" w:type="dxa"/>
            <w:vAlign w:val="center"/>
          </w:tcPr>
          <w:p w14:paraId="71EC7827"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10,1 (23,5%)</w:t>
            </w:r>
          </w:p>
        </w:tc>
        <w:tc>
          <w:tcPr>
            <w:tcW w:w="708" w:type="dxa"/>
            <w:vAlign w:val="center"/>
          </w:tcPr>
          <w:p w14:paraId="17CA7684"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43</w:t>
            </w:r>
          </w:p>
        </w:tc>
        <w:tc>
          <w:tcPr>
            <w:tcW w:w="709" w:type="dxa"/>
            <w:vAlign w:val="center"/>
          </w:tcPr>
          <w:p w14:paraId="4D3173A7"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3,28 (34,2%)</w:t>
            </w:r>
          </w:p>
        </w:tc>
        <w:tc>
          <w:tcPr>
            <w:tcW w:w="709" w:type="dxa"/>
            <w:vAlign w:val="center"/>
          </w:tcPr>
          <w:p w14:paraId="7D2EB55E"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9,6</w:t>
            </w:r>
          </w:p>
        </w:tc>
        <w:tc>
          <w:tcPr>
            <w:tcW w:w="709" w:type="dxa"/>
            <w:tcBorders>
              <w:bottom w:val="single" w:sz="4" w:space="0" w:color="000000" w:themeColor="text1"/>
            </w:tcBorders>
            <w:shd w:val="clear" w:color="auto" w:fill="FFFFFF"/>
            <w:vAlign w:val="center"/>
          </w:tcPr>
          <w:p w14:paraId="03F0BFFA"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11 (44,9%)</w:t>
            </w:r>
          </w:p>
        </w:tc>
        <w:tc>
          <w:tcPr>
            <w:tcW w:w="708" w:type="dxa"/>
            <w:vAlign w:val="center"/>
          </w:tcPr>
          <w:p w14:paraId="460191CB"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24,5</w:t>
            </w:r>
          </w:p>
        </w:tc>
        <w:tc>
          <w:tcPr>
            <w:tcW w:w="567" w:type="dxa"/>
            <w:shd w:val="clear" w:color="auto" w:fill="FFFFFF"/>
            <w:vAlign w:val="center"/>
          </w:tcPr>
          <w:p w14:paraId="4542E68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13,2 (16,7%)</w:t>
            </w:r>
          </w:p>
        </w:tc>
        <w:tc>
          <w:tcPr>
            <w:tcW w:w="709" w:type="dxa"/>
            <w:vAlign w:val="center"/>
          </w:tcPr>
          <w:p w14:paraId="32926AFD"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79,2</w:t>
            </w:r>
          </w:p>
        </w:tc>
        <w:tc>
          <w:tcPr>
            <w:tcW w:w="709" w:type="dxa"/>
            <w:shd w:val="clear" w:color="auto" w:fill="E26E80"/>
            <w:vAlign w:val="center"/>
          </w:tcPr>
          <w:p w14:paraId="361F2A40"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40.21 (22%)</w:t>
            </w:r>
          </w:p>
        </w:tc>
        <w:tc>
          <w:tcPr>
            <w:tcW w:w="567" w:type="dxa"/>
            <w:shd w:val="clear" w:color="auto" w:fill="E26E80"/>
            <w:vAlign w:val="center"/>
          </w:tcPr>
          <w:p w14:paraId="64A4B7E2"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183,5</w:t>
            </w:r>
          </w:p>
        </w:tc>
      </w:tr>
      <w:tr w:rsidR="00466A0A" w:rsidRPr="002D056F" w14:paraId="2F80A82E" w14:textId="77777777" w:rsidTr="007127C1">
        <w:trPr>
          <w:trHeight w:val="769"/>
        </w:trPr>
        <w:tc>
          <w:tcPr>
            <w:tcW w:w="848" w:type="dxa"/>
            <w:vAlign w:val="center"/>
          </w:tcPr>
          <w:p w14:paraId="16209DF0"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 xml:space="preserve">Gasoil </w:t>
            </w:r>
          </w:p>
        </w:tc>
        <w:tc>
          <w:tcPr>
            <w:tcW w:w="709" w:type="dxa"/>
            <w:vAlign w:val="center"/>
          </w:tcPr>
          <w:p w14:paraId="7C57C00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5,43 (15,2%)</w:t>
            </w:r>
          </w:p>
        </w:tc>
        <w:tc>
          <w:tcPr>
            <w:tcW w:w="570" w:type="dxa"/>
            <w:vAlign w:val="center"/>
          </w:tcPr>
          <w:p w14:paraId="4D6E9D17"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35.75</w:t>
            </w:r>
          </w:p>
        </w:tc>
        <w:tc>
          <w:tcPr>
            <w:tcW w:w="567" w:type="dxa"/>
            <w:tcBorders>
              <w:bottom w:val="single" w:sz="4" w:space="0" w:color="000000" w:themeColor="text1"/>
            </w:tcBorders>
            <w:vAlign w:val="center"/>
          </w:tcPr>
          <w:p w14:paraId="278D5F63"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7,2 (24%)</w:t>
            </w:r>
          </w:p>
        </w:tc>
        <w:tc>
          <w:tcPr>
            <w:tcW w:w="708" w:type="dxa"/>
            <w:tcBorders>
              <w:bottom w:val="single" w:sz="4" w:space="0" w:color="000000" w:themeColor="text1"/>
            </w:tcBorders>
            <w:vAlign w:val="center"/>
          </w:tcPr>
          <w:p w14:paraId="75911F3F"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30</w:t>
            </w:r>
          </w:p>
        </w:tc>
        <w:tc>
          <w:tcPr>
            <w:tcW w:w="709" w:type="dxa"/>
            <w:tcBorders>
              <w:bottom w:val="single" w:sz="4" w:space="0" w:color="000000" w:themeColor="text1"/>
            </w:tcBorders>
            <w:vAlign w:val="center"/>
          </w:tcPr>
          <w:p w14:paraId="5B689C43"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4,78 (34%)</w:t>
            </w:r>
          </w:p>
        </w:tc>
        <w:tc>
          <w:tcPr>
            <w:tcW w:w="709" w:type="dxa"/>
            <w:tcBorders>
              <w:bottom w:val="single" w:sz="4" w:space="0" w:color="000000" w:themeColor="text1"/>
            </w:tcBorders>
            <w:vAlign w:val="center"/>
          </w:tcPr>
          <w:p w14:paraId="573F913A"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14</w:t>
            </w:r>
          </w:p>
        </w:tc>
        <w:tc>
          <w:tcPr>
            <w:tcW w:w="709" w:type="dxa"/>
            <w:tcBorders>
              <w:bottom w:val="single" w:sz="4" w:space="0" w:color="000000" w:themeColor="text1"/>
            </w:tcBorders>
            <w:shd w:val="clear" w:color="auto" w:fill="FFFFFF"/>
            <w:vAlign w:val="center"/>
          </w:tcPr>
          <w:p w14:paraId="3CB34493"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Mopti 11,95 (34,1%)</w:t>
            </w:r>
          </w:p>
        </w:tc>
        <w:tc>
          <w:tcPr>
            <w:tcW w:w="708" w:type="dxa"/>
            <w:tcBorders>
              <w:bottom w:val="single" w:sz="4" w:space="0" w:color="000000" w:themeColor="text1"/>
            </w:tcBorders>
            <w:vAlign w:val="center"/>
          </w:tcPr>
          <w:p w14:paraId="445A817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35</w:t>
            </w:r>
          </w:p>
        </w:tc>
        <w:tc>
          <w:tcPr>
            <w:tcW w:w="567" w:type="dxa"/>
            <w:tcBorders>
              <w:bottom w:val="single" w:sz="4" w:space="0" w:color="000000" w:themeColor="text1"/>
            </w:tcBorders>
            <w:vAlign w:val="center"/>
          </w:tcPr>
          <w:p w14:paraId="5F255F5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 xml:space="preserve">9 </w:t>
            </w:r>
            <w:r>
              <w:rPr>
                <w:rFonts w:ascii="Helvetica" w:hAnsi="Helvetica" w:cs="Helvetica"/>
                <w:sz w:val="12"/>
                <w:szCs w:val="12"/>
              </w:rPr>
              <w:t xml:space="preserve"> </w:t>
            </w:r>
            <w:r w:rsidRPr="002D056F">
              <w:rPr>
                <w:rFonts w:ascii="Helvetica" w:hAnsi="Helvetica" w:cs="Helvetica"/>
                <w:sz w:val="12"/>
                <w:szCs w:val="12"/>
              </w:rPr>
              <w:t>(25%)</w:t>
            </w:r>
          </w:p>
        </w:tc>
        <w:tc>
          <w:tcPr>
            <w:tcW w:w="709" w:type="dxa"/>
            <w:tcBorders>
              <w:bottom w:val="single" w:sz="4" w:space="0" w:color="000000" w:themeColor="text1"/>
            </w:tcBorders>
            <w:vAlign w:val="center"/>
          </w:tcPr>
          <w:p w14:paraId="37C74D6B"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36</w:t>
            </w:r>
          </w:p>
        </w:tc>
        <w:tc>
          <w:tcPr>
            <w:tcW w:w="709" w:type="dxa"/>
            <w:vMerge w:val="restart"/>
            <w:shd w:val="clear" w:color="auto" w:fill="E26E80"/>
            <w:vAlign w:val="center"/>
          </w:tcPr>
          <w:p w14:paraId="73F1E047"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50.54 (34%)</w:t>
            </w:r>
          </w:p>
        </w:tc>
        <w:tc>
          <w:tcPr>
            <w:tcW w:w="567" w:type="dxa"/>
            <w:vMerge w:val="restart"/>
            <w:shd w:val="clear" w:color="auto" w:fill="E26E80"/>
            <w:vAlign w:val="center"/>
          </w:tcPr>
          <w:p w14:paraId="2135FEE7"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150,75</w:t>
            </w:r>
          </w:p>
        </w:tc>
      </w:tr>
      <w:tr w:rsidR="00466A0A" w:rsidRPr="002D056F" w14:paraId="4F853F46" w14:textId="77777777" w:rsidTr="007127C1">
        <w:trPr>
          <w:trHeight w:val="203"/>
        </w:trPr>
        <w:tc>
          <w:tcPr>
            <w:tcW w:w="848" w:type="dxa"/>
            <w:vAlign w:val="center"/>
          </w:tcPr>
          <w:p w14:paraId="75C0B264"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Essence</w:t>
            </w:r>
          </w:p>
        </w:tc>
        <w:tc>
          <w:tcPr>
            <w:tcW w:w="709" w:type="dxa"/>
            <w:vAlign w:val="center"/>
          </w:tcPr>
          <w:p w14:paraId="7C88A3AE"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12,18 (23,2%)</w:t>
            </w:r>
          </w:p>
        </w:tc>
        <w:tc>
          <w:tcPr>
            <w:tcW w:w="570" w:type="dxa"/>
            <w:vAlign w:val="center"/>
          </w:tcPr>
          <w:p w14:paraId="20FC461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52,5</w:t>
            </w:r>
          </w:p>
        </w:tc>
        <w:tc>
          <w:tcPr>
            <w:tcW w:w="567" w:type="dxa"/>
            <w:shd w:val="clear" w:color="auto" w:fill="D9D9D9"/>
            <w:vAlign w:val="center"/>
          </w:tcPr>
          <w:p w14:paraId="0918DDC2" w14:textId="77777777" w:rsidR="00466A0A" w:rsidRPr="002D056F" w:rsidRDefault="00466A0A" w:rsidP="007127C1">
            <w:pPr>
              <w:jc w:val="center"/>
              <w:rPr>
                <w:rFonts w:ascii="Helvetica" w:hAnsi="Helvetica" w:cs="Helvetica"/>
                <w:sz w:val="12"/>
                <w:szCs w:val="12"/>
              </w:rPr>
            </w:pPr>
          </w:p>
        </w:tc>
        <w:tc>
          <w:tcPr>
            <w:tcW w:w="708" w:type="dxa"/>
            <w:shd w:val="clear" w:color="auto" w:fill="D9D9D9"/>
            <w:vAlign w:val="center"/>
          </w:tcPr>
          <w:p w14:paraId="1A001E51"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D9D9D9"/>
            <w:vAlign w:val="center"/>
          </w:tcPr>
          <w:p w14:paraId="1197BDCE"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D9D9D9"/>
            <w:vAlign w:val="center"/>
          </w:tcPr>
          <w:p w14:paraId="05593A0B"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D9D9D9"/>
            <w:vAlign w:val="center"/>
          </w:tcPr>
          <w:p w14:paraId="4B145FEF" w14:textId="77777777" w:rsidR="00466A0A" w:rsidRPr="002D056F" w:rsidRDefault="00466A0A" w:rsidP="007127C1">
            <w:pPr>
              <w:jc w:val="center"/>
              <w:rPr>
                <w:rFonts w:ascii="Helvetica" w:hAnsi="Helvetica" w:cs="Helvetica"/>
                <w:sz w:val="12"/>
                <w:szCs w:val="12"/>
              </w:rPr>
            </w:pPr>
          </w:p>
        </w:tc>
        <w:tc>
          <w:tcPr>
            <w:tcW w:w="708" w:type="dxa"/>
            <w:tcBorders>
              <w:bottom w:val="single" w:sz="4" w:space="0" w:color="000000" w:themeColor="text1"/>
            </w:tcBorders>
            <w:shd w:val="clear" w:color="auto" w:fill="D9D9D9"/>
            <w:vAlign w:val="center"/>
          </w:tcPr>
          <w:p w14:paraId="67B1268B" w14:textId="77777777" w:rsidR="00466A0A" w:rsidRPr="002D056F" w:rsidRDefault="00466A0A" w:rsidP="007127C1">
            <w:pPr>
              <w:jc w:val="center"/>
              <w:rPr>
                <w:rFonts w:ascii="Helvetica" w:hAnsi="Helvetica" w:cs="Helvetica"/>
                <w:sz w:val="12"/>
                <w:szCs w:val="12"/>
              </w:rPr>
            </w:pPr>
          </w:p>
        </w:tc>
        <w:tc>
          <w:tcPr>
            <w:tcW w:w="567" w:type="dxa"/>
            <w:shd w:val="clear" w:color="auto" w:fill="D9D9D9"/>
            <w:vAlign w:val="center"/>
          </w:tcPr>
          <w:p w14:paraId="122090B8" w14:textId="77777777" w:rsidR="00466A0A" w:rsidRPr="002D056F" w:rsidRDefault="00466A0A" w:rsidP="007127C1">
            <w:pPr>
              <w:jc w:val="center"/>
              <w:rPr>
                <w:rFonts w:ascii="Helvetica" w:hAnsi="Helvetica" w:cs="Helvetica"/>
                <w:sz w:val="12"/>
                <w:szCs w:val="12"/>
              </w:rPr>
            </w:pPr>
          </w:p>
        </w:tc>
        <w:tc>
          <w:tcPr>
            <w:tcW w:w="709" w:type="dxa"/>
            <w:shd w:val="clear" w:color="auto" w:fill="D9D9D9"/>
            <w:vAlign w:val="center"/>
          </w:tcPr>
          <w:p w14:paraId="065C9DBE" w14:textId="77777777" w:rsidR="00466A0A" w:rsidRPr="002D056F" w:rsidRDefault="00466A0A" w:rsidP="007127C1">
            <w:pPr>
              <w:jc w:val="center"/>
              <w:rPr>
                <w:rFonts w:ascii="Helvetica" w:hAnsi="Helvetica" w:cs="Helvetica"/>
                <w:sz w:val="12"/>
                <w:szCs w:val="12"/>
              </w:rPr>
            </w:pPr>
          </w:p>
        </w:tc>
        <w:tc>
          <w:tcPr>
            <w:tcW w:w="709" w:type="dxa"/>
            <w:vMerge/>
            <w:shd w:val="clear" w:color="auto" w:fill="E26E80"/>
            <w:vAlign w:val="center"/>
          </w:tcPr>
          <w:p w14:paraId="2A1C2CA9" w14:textId="77777777" w:rsidR="00466A0A" w:rsidRPr="002D056F" w:rsidRDefault="00466A0A" w:rsidP="007127C1">
            <w:pPr>
              <w:jc w:val="center"/>
              <w:rPr>
                <w:rFonts w:ascii="Helvetica" w:hAnsi="Helvetica" w:cs="Helvetica"/>
                <w:b/>
                <w:sz w:val="12"/>
                <w:szCs w:val="12"/>
              </w:rPr>
            </w:pPr>
          </w:p>
        </w:tc>
        <w:tc>
          <w:tcPr>
            <w:tcW w:w="567" w:type="dxa"/>
            <w:vMerge/>
            <w:shd w:val="clear" w:color="auto" w:fill="E26E80"/>
            <w:vAlign w:val="center"/>
          </w:tcPr>
          <w:p w14:paraId="15EA106F" w14:textId="77777777" w:rsidR="00466A0A" w:rsidRPr="002D056F" w:rsidRDefault="00466A0A" w:rsidP="007127C1">
            <w:pPr>
              <w:jc w:val="center"/>
              <w:rPr>
                <w:rFonts w:ascii="Helvetica" w:hAnsi="Helvetica" w:cs="Helvetica"/>
                <w:b/>
                <w:sz w:val="12"/>
                <w:szCs w:val="12"/>
              </w:rPr>
            </w:pPr>
          </w:p>
        </w:tc>
      </w:tr>
      <w:tr w:rsidR="00466A0A" w:rsidRPr="002D056F" w14:paraId="3F796070" w14:textId="77777777" w:rsidTr="007127C1">
        <w:tc>
          <w:tcPr>
            <w:tcW w:w="848" w:type="dxa"/>
            <w:vAlign w:val="center"/>
          </w:tcPr>
          <w:p w14:paraId="45D94F2C"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Sucre</w:t>
            </w:r>
          </w:p>
        </w:tc>
        <w:tc>
          <w:tcPr>
            <w:tcW w:w="709" w:type="dxa"/>
            <w:vAlign w:val="center"/>
          </w:tcPr>
          <w:p w14:paraId="3CBF36A8"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0,47 (4,5%)</w:t>
            </w:r>
          </w:p>
        </w:tc>
        <w:tc>
          <w:tcPr>
            <w:tcW w:w="570" w:type="dxa"/>
            <w:vAlign w:val="center"/>
          </w:tcPr>
          <w:p w14:paraId="0EA0A58C"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10.5</w:t>
            </w:r>
          </w:p>
        </w:tc>
        <w:tc>
          <w:tcPr>
            <w:tcW w:w="567" w:type="dxa"/>
            <w:vAlign w:val="center"/>
          </w:tcPr>
          <w:p w14:paraId="43FBAF85"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4,17 (15%)</w:t>
            </w:r>
          </w:p>
        </w:tc>
        <w:tc>
          <w:tcPr>
            <w:tcW w:w="708" w:type="dxa"/>
            <w:vAlign w:val="center"/>
          </w:tcPr>
          <w:p w14:paraId="29895BFB"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28</w:t>
            </w:r>
          </w:p>
        </w:tc>
        <w:tc>
          <w:tcPr>
            <w:tcW w:w="709" w:type="dxa"/>
            <w:tcBorders>
              <w:bottom w:val="single" w:sz="4" w:space="0" w:color="000000" w:themeColor="text1"/>
            </w:tcBorders>
            <w:shd w:val="clear" w:color="auto" w:fill="E0E0E0"/>
            <w:vAlign w:val="center"/>
          </w:tcPr>
          <w:p w14:paraId="159A7DC9"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E0E0E0"/>
            <w:vAlign w:val="center"/>
          </w:tcPr>
          <w:p w14:paraId="62D83413" w14:textId="77777777" w:rsidR="00466A0A" w:rsidRPr="002D056F" w:rsidRDefault="00466A0A" w:rsidP="007127C1">
            <w:pPr>
              <w:jc w:val="center"/>
              <w:rPr>
                <w:rFonts w:ascii="Helvetica" w:hAnsi="Helvetica" w:cs="Helvetica"/>
                <w:sz w:val="12"/>
                <w:szCs w:val="12"/>
              </w:rPr>
            </w:pPr>
          </w:p>
        </w:tc>
        <w:tc>
          <w:tcPr>
            <w:tcW w:w="709" w:type="dxa"/>
            <w:shd w:val="clear" w:color="auto" w:fill="E0E0E0"/>
            <w:vAlign w:val="center"/>
          </w:tcPr>
          <w:p w14:paraId="1B52B59D" w14:textId="77777777" w:rsidR="00466A0A" w:rsidRPr="002D056F" w:rsidRDefault="00466A0A" w:rsidP="007127C1">
            <w:pPr>
              <w:jc w:val="center"/>
              <w:rPr>
                <w:rFonts w:ascii="Helvetica" w:hAnsi="Helvetica" w:cs="Helvetica"/>
                <w:sz w:val="12"/>
                <w:szCs w:val="12"/>
              </w:rPr>
            </w:pPr>
          </w:p>
        </w:tc>
        <w:tc>
          <w:tcPr>
            <w:tcW w:w="708" w:type="dxa"/>
            <w:shd w:val="clear" w:color="auto" w:fill="E0E0E0"/>
            <w:vAlign w:val="center"/>
          </w:tcPr>
          <w:p w14:paraId="4F0E136A" w14:textId="77777777" w:rsidR="00466A0A" w:rsidRPr="002D056F" w:rsidRDefault="00466A0A" w:rsidP="007127C1">
            <w:pPr>
              <w:jc w:val="center"/>
              <w:rPr>
                <w:rFonts w:ascii="Helvetica" w:hAnsi="Helvetica" w:cs="Helvetica"/>
                <w:sz w:val="12"/>
                <w:szCs w:val="12"/>
              </w:rPr>
            </w:pPr>
          </w:p>
        </w:tc>
        <w:tc>
          <w:tcPr>
            <w:tcW w:w="567" w:type="dxa"/>
            <w:tcBorders>
              <w:bottom w:val="single" w:sz="4" w:space="0" w:color="000000" w:themeColor="text1"/>
            </w:tcBorders>
            <w:vAlign w:val="center"/>
          </w:tcPr>
          <w:p w14:paraId="6A0B9901"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9,6 (22%)</w:t>
            </w:r>
          </w:p>
        </w:tc>
        <w:tc>
          <w:tcPr>
            <w:tcW w:w="709" w:type="dxa"/>
            <w:tcBorders>
              <w:bottom w:val="single" w:sz="4" w:space="0" w:color="000000" w:themeColor="text1"/>
            </w:tcBorders>
            <w:vAlign w:val="center"/>
          </w:tcPr>
          <w:p w14:paraId="59F9B0D9"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43,2</w:t>
            </w:r>
          </w:p>
        </w:tc>
        <w:tc>
          <w:tcPr>
            <w:tcW w:w="709" w:type="dxa"/>
            <w:shd w:val="clear" w:color="auto" w:fill="E26E80"/>
            <w:vAlign w:val="center"/>
          </w:tcPr>
          <w:p w14:paraId="5B026DD7"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14.24 (17,4%)</w:t>
            </w:r>
          </w:p>
        </w:tc>
        <w:tc>
          <w:tcPr>
            <w:tcW w:w="567" w:type="dxa"/>
            <w:shd w:val="clear" w:color="auto" w:fill="E26E80"/>
            <w:vAlign w:val="center"/>
          </w:tcPr>
          <w:p w14:paraId="073CB85C"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81,7</w:t>
            </w:r>
          </w:p>
        </w:tc>
      </w:tr>
      <w:tr w:rsidR="00466A0A" w:rsidRPr="002D056F" w14:paraId="01BE3317" w14:textId="77777777" w:rsidTr="007127C1">
        <w:tc>
          <w:tcPr>
            <w:tcW w:w="848" w:type="dxa"/>
            <w:vAlign w:val="center"/>
          </w:tcPr>
          <w:p w14:paraId="2E757950"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Lait</w:t>
            </w:r>
          </w:p>
        </w:tc>
        <w:tc>
          <w:tcPr>
            <w:tcW w:w="709" w:type="dxa"/>
            <w:tcBorders>
              <w:bottom w:val="single" w:sz="4" w:space="0" w:color="000000" w:themeColor="text1"/>
            </w:tcBorders>
            <w:vAlign w:val="center"/>
          </w:tcPr>
          <w:p w14:paraId="6BBBB69F"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1.49 (9,4%)</w:t>
            </w:r>
          </w:p>
        </w:tc>
        <w:tc>
          <w:tcPr>
            <w:tcW w:w="570" w:type="dxa"/>
            <w:tcBorders>
              <w:bottom w:val="single" w:sz="4" w:space="0" w:color="000000" w:themeColor="text1"/>
            </w:tcBorders>
            <w:vAlign w:val="center"/>
          </w:tcPr>
          <w:p w14:paraId="1B59D35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15.83</w:t>
            </w:r>
          </w:p>
        </w:tc>
        <w:tc>
          <w:tcPr>
            <w:tcW w:w="567" w:type="dxa"/>
            <w:vAlign w:val="center"/>
          </w:tcPr>
          <w:p w14:paraId="600CB74C"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22,88 (30%)</w:t>
            </w:r>
          </w:p>
        </w:tc>
        <w:tc>
          <w:tcPr>
            <w:tcW w:w="708" w:type="dxa"/>
            <w:vAlign w:val="center"/>
          </w:tcPr>
          <w:p w14:paraId="62E0B58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76</w:t>
            </w:r>
          </w:p>
        </w:tc>
        <w:tc>
          <w:tcPr>
            <w:tcW w:w="709" w:type="dxa"/>
            <w:tcBorders>
              <w:bottom w:val="single" w:sz="4" w:space="0" w:color="000000" w:themeColor="text1"/>
            </w:tcBorders>
            <w:shd w:val="clear" w:color="auto" w:fill="E0E0E0"/>
            <w:vAlign w:val="center"/>
          </w:tcPr>
          <w:p w14:paraId="61A0CA7E" w14:textId="77777777" w:rsidR="00466A0A" w:rsidRPr="002D056F" w:rsidRDefault="00466A0A" w:rsidP="007127C1">
            <w:pPr>
              <w:jc w:val="center"/>
              <w:rPr>
                <w:rFonts w:ascii="Helvetica" w:hAnsi="Helvetica" w:cs="Helvetica"/>
                <w:sz w:val="12"/>
                <w:szCs w:val="12"/>
              </w:rPr>
            </w:pPr>
          </w:p>
        </w:tc>
        <w:tc>
          <w:tcPr>
            <w:tcW w:w="709" w:type="dxa"/>
            <w:shd w:val="clear" w:color="auto" w:fill="E0E0E0"/>
            <w:vAlign w:val="center"/>
          </w:tcPr>
          <w:p w14:paraId="7085246E" w14:textId="77777777" w:rsidR="00466A0A" w:rsidRPr="002D056F" w:rsidRDefault="00466A0A" w:rsidP="007127C1">
            <w:pPr>
              <w:jc w:val="center"/>
              <w:rPr>
                <w:rFonts w:ascii="Helvetica" w:hAnsi="Helvetica" w:cs="Helvetica"/>
                <w:sz w:val="12"/>
                <w:szCs w:val="12"/>
              </w:rPr>
            </w:pPr>
          </w:p>
        </w:tc>
        <w:tc>
          <w:tcPr>
            <w:tcW w:w="709" w:type="dxa"/>
            <w:vAlign w:val="center"/>
          </w:tcPr>
          <w:p w14:paraId="3ED375F0"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29,1 (38,8%)</w:t>
            </w:r>
          </w:p>
        </w:tc>
        <w:tc>
          <w:tcPr>
            <w:tcW w:w="708" w:type="dxa"/>
            <w:vAlign w:val="center"/>
          </w:tcPr>
          <w:p w14:paraId="51605A45"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75</w:t>
            </w:r>
          </w:p>
        </w:tc>
        <w:tc>
          <w:tcPr>
            <w:tcW w:w="567" w:type="dxa"/>
            <w:shd w:val="clear" w:color="auto" w:fill="E0E0E0"/>
            <w:vAlign w:val="center"/>
          </w:tcPr>
          <w:p w14:paraId="7873D9FC" w14:textId="77777777" w:rsidR="00466A0A" w:rsidRPr="002D056F" w:rsidRDefault="00466A0A" w:rsidP="007127C1">
            <w:pPr>
              <w:jc w:val="center"/>
              <w:rPr>
                <w:rFonts w:ascii="Helvetica" w:hAnsi="Helvetica" w:cs="Helvetica"/>
                <w:sz w:val="12"/>
                <w:szCs w:val="12"/>
              </w:rPr>
            </w:pPr>
          </w:p>
        </w:tc>
        <w:tc>
          <w:tcPr>
            <w:tcW w:w="709" w:type="dxa"/>
            <w:shd w:val="clear" w:color="auto" w:fill="E0E0E0"/>
            <w:vAlign w:val="center"/>
          </w:tcPr>
          <w:p w14:paraId="0F7E9F59" w14:textId="77777777" w:rsidR="00466A0A" w:rsidRPr="002D056F" w:rsidRDefault="00466A0A" w:rsidP="007127C1">
            <w:pPr>
              <w:jc w:val="center"/>
              <w:rPr>
                <w:rFonts w:ascii="Helvetica" w:hAnsi="Helvetica" w:cs="Helvetica"/>
                <w:sz w:val="12"/>
                <w:szCs w:val="12"/>
              </w:rPr>
            </w:pPr>
          </w:p>
        </w:tc>
        <w:tc>
          <w:tcPr>
            <w:tcW w:w="709" w:type="dxa"/>
            <w:shd w:val="clear" w:color="auto" w:fill="E26E80"/>
            <w:vAlign w:val="center"/>
          </w:tcPr>
          <w:p w14:paraId="07B3C41F"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53.47 (32%)</w:t>
            </w:r>
          </w:p>
        </w:tc>
        <w:tc>
          <w:tcPr>
            <w:tcW w:w="567" w:type="dxa"/>
            <w:shd w:val="clear" w:color="auto" w:fill="E26E80"/>
            <w:vAlign w:val="center"/>
          </w:tcPr>
          <w:p w14:paraId="167781E0"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166,83</w:t>
            </w:r>
          </w:p>
        </w:tc>
      </w:tr>
      <w:tr w:rsidR="00466A0A" w:rsidRPr="002D056F" w14:paraId="733BB443" w14:textId="77777777" w:rsidTr="007127C1">
        <w:trPr>
          <w:trHeight w:val="78"/>
        </w:trPr>
        <w:tc>
          <w:tcPr>
            <w:tcW w:w="848" w:type="dxa"/>
            <w:vAlign w:val="center"/>
          </w:tcPr>
          <w:p w14:paraId="78BA9C1E"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Dattes</w:t>
            </w:r>
          </w:p>
        </w:tc>
        <w:tc>
          <w:tcPr>
            <w:tcW w:w="709" w:type="dxa"/>
            <w:shd w:val="clear" w:color="auto" w:fill="E0E0E0"/>
            <w:vAlign w:val="center"/>
          </w:tcPr>
          <w:p w14:paraId="2A0435E5" w14:textId="77777777" w:rsidR="00466A0A" w:rsidRPr="002D056F" w:rsidRDefault="00466A0A" w:rsidP="007127C1">
            <w:pPr>
              <w:jc w:val="center"/>
              <w:rPr>
                <w:rFonts w:ascii="Helvetica" w:hAnsi="Helvetica" w:cs="Helvetica"/>
                <w:sz w:val="12"/>
                <w:szCs w:val="12"/>
              </w:rPr>
            </w:pPr>
          </w:p>
        </w:tc>
        <w:tc>
          <w:tcPr>
            <w:tcW w:w="570" w:type="dxa"/>
            <w:shd w:val="clear" w:color="auto" w:fill="E0E0E0"/>
            <w:vAlign w:val="center"/>
          </w:tcPr>
          <w:p w14:paraId="7E945A7E" w14:textId="77777777" w:rsidR="00466A0A" w:rsidRPr="002D056F" w:rsidRDefault="00466A0A" w:rsidP="007127C1">
            <w:pPr>
              <w:jc w:val="center"/>
              <w:rPr>
                <w:rFonts w:ascii="Helvetica" w:hAnsi="Helvetica" w:cs="Helvetica"/>
                <w:sz w:val="12"/>
                <w:szCs w:val="12"/>
              </w:rPr>
            </w:pPr>
          </w:p>
        </w:tc>
        <w:tc>
          <w:tcPr>
            <w:tcW w:w="567" w:type="dxa"/>
            <w:vAlign w:val="center"/>
          </w:tcPr>
          <w:p w14:paraId="1C609ED8"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9,8 (33,6%)</w:t>
            </w:r>
          </w:p>
        </w:tc>
        <w:tc>
          <w:tcPr>
            <w:tcW w:w="708" w:type="dxa"/>
            <w:vAlign w:val="center"/>
          </w:tcPr>
          <w:p w14:paraId="41BA7CBD"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29.16</w:t>
            </w:r>
          </w:p>
        </w:tc>
        <w:tc>
          <w:tcPr>
            <w:tcW w:w="709" w:type="dxa"/>
            <w:shd w:val="clear" w:color="auto" w:fill="E0E0E0"/>
            <w:vAlign w:val="center"/>
          </w:tcPr>
          <w:p w14:paraId="2A504850" w14:textId="77777777" w:rsidR="00466A0A" w:rsidRPr="002D056F" w:rsidRDefault="00466A0A" w:rsidP="007127C1">
            <w:pPr>
              <w:jc w:val="center"/>
              <w:rPr>
                <w:rFonts w:ascii="Helvetica" w:hAnsi="Helvetica" w:cs="Helvetica"/>
                <w:sz w:val="12"/>
                <w:szCs w:val="12"/>
              </w:rPr>
            </w:pPr>
          </w:p>
        </w:tc>
        <w:tc>
          <w:tcPr>
            <w:tcW w:w="709" w:type="dxa"/>
            <w:shd w:val="clear" w:color="auto" w:fill="E0E0E0"/>
            <w:vAlign w:val="center"/>
          </w:tcPr>
          <w:p w14:paraId="64F2DCE2" w14:textId="77777777" w:rsidR="00466A0A" w:rsidRPr="002D056F" w:rsidRDefault="00466A0A" w:rsidP="007127C1">
            <w:pPr>
              <w:jc w:val="center"/>
              <w:rPr>
                <w:rFonts w:ascii="Helvetica" w:hAnsi="Helvetica" w:cs="Helvetica"/>
                <w:sz w:val="12"/>
                <w:szCs w:val="12"/>
              </w:rPr>
            </w:pPr>
          </w:p>
        </w:tc>
        <w:tc>
          <w:tcPr>
            <w:tcW w:w="709" w:type="dxa"/>
            <w:vAlign w:val="center"/>
          </w:tcPr>
          <w:p w14:paraId="5410B04E"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60 (42,9%)</w:t>
            </w:r>
          </w:p>
        </w:tc>
        <w:tc>
          <w:tcPr>
            <w:tcW w:w="708" w:type="dxa"/>
            <w:vAlign w:val="center"/>
          </w:tcPr>
          <w:p w14:paraId="1F4870E3"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140</w:t>
            </w:r>
          </w:p>
        </w:tc>
        <w:tc>
          <w:tcPr>
            <w:tcW w:w="567" w:type="dxa"/>
            <w:tcBorders>
              <w:bottom w:val="single" w:sz="4" w:space="0" w:color="000000" w:themeColor="text1"/>
            </w:tcBorders>
            <w:vAlign w:val="center"/>
          </w:tcPr>
          <w:p w14:paraId="391F720F"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40,8 (24%)</w:t>
            </w:r>
          </w:p>
        </w:tc>
        <w:tc>
          <w:tcPr>
            <w:tcW w:w="709" w:type="dxa"/>
            <w:tcBorders>
              <w:bottom w:val="single" w:sz="4" w:space="0" w:color="000000" w:themeColor="text1"/>
            </w:tcBorders>
            <w:vAlign w:val="center"/>
          </w:tcPr>
          <w:p w14:paraId="066768C4"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170</w:t>
            </w:r>
          </w:p>
        </w:tc>
        <w:tc>
          <w:tcPr>
            <w:tcW w:w="709" w:type="dxa"/>
            <w:shd w:val="clear" w:color="auto" w:fill="E26E80"/>
            <w:vAlign w:val="center"/>
          </w:tcPr>
          <w:p w14:paraId="482AED56"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110.6 (33%)</w:t>
            </w:r>
          </w:p>
        </w:tc>
        <w:tc>
          <w:tcPr>
            <w:tcW w:w="567" w:type="dxa"/>
            <w:shd w:val="clear" w:color="auto" w:fill="E26E80"/>
            <w:vAlign w:val="center"/>
          </w:tcPr>
          <w:p w14:paraId="31DFD6AF"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339,16</w:t>
            </w:r>
          </w:p>
        </w:tc>
      </w:tr>
      <w:tr w:rsidR="00466A0A" w:rsidRPr="002D056F" w14:paraId="48EFE788" w14:textId="77777777" w:rsidTr="007127C1">
        <w:trPr>
          <w:trHeight w:val="77"/>
        </w:trPr>
        <w:tc>
          <w:tcPr>
            <w:tcW w:w="848" w:type="dxa"/>
            <w:vAlign w:val="center"/>
          </w:tcPr>
          <w:p w14:paraId="547F737D"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Electroménager</w:t>
            </w:r>
          </w:p>
        </w:tc>
        <w:tc>
          <w:tcPr>
            <w:tcW w:w="709" w:type="dxa"/>
            <w:vAlign w:val="center"/>
          </w:tcPr>
          <w:p w14:paraId="387E53B5"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0,2 (10,5%)</w:t>
            </w:r>
          </w:p>
        </w:tc>
        <w:tc>
          <w:tcPr>
            <w:tcW w:w="570" w:type="dxa"/>
            <w:vAlign w:val="center"/>
          </w:tcPr>
          <w:p w14:paraId="615E23AA"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1.9</w:t>
            </w:r>
          </w:p>
        </w:tc>
        <w:tc>
          <w:tcPr>
            <w:tcW w:w="567" w:type="dxa"/>
            <w:vAlign w:val="center"/>
          </w:tcPr>
          <w:p w14:paraId="738B139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1,4 (20,3%)</w:t>
            </w:r>
          </w:p>
        </w:tc>
        <w:tc>
          <w:tcPr>
            <w:tcW w:w="708" w:type="dxa"/>
            <w:vAlign w:val="center"/>
          </w:tcPr>
          <w:p w14:paraId="397B51BC"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6.9</w:t>
            </w:r>
          </w:p>
        </w:tc>
        <w:tc>
          <w:tcPr>
            <w:tcW w:w="709" w:type="dxa"/>
            <w:vAlign w:val="center"/>
          </w:tcPr>
          <w:p w14:paraId="4AFB76E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2,8 (33%)</w:t>
            </w:r>
          </w:p>
        </w:tc>
        <w:tc>
          <w:tcPr>
            <w:tcW w:w="709" w:type="dxa"/>
            <w:vAlign w:val="center"/>
          </w:tcPr>
          <w:p w14:paraId="2C0C90EC"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8.4</w:t>
            </w:r>
          </w:p>
        </w:tc>
        <w:tc>
          <w:tcPr>
            <w:tcW w:w="709" w:type="dxa"/>
            <w:vAlign w:val="center"/>
          </w:tcPr>
          <w:p w14:paraId="792078E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12,3 (52,3%)</w:t>
            </w:r>
          </w:p>
        </w:tc>
        <w:tc>
          <w:tcPr>
            <w:tcW w:w="708" w:type="dxa"/>
            <w:vAlign w:val="center"/>
          </w:tcPr>
          <w:p w14:paraId="6DCA7D6B"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23.52</w:t>
            </w:r>
          </w:p>
        </w:tc>
        <w:tc>
          <w:tcPr>
            <w:tcW w:w="567" w:type="dxa"/>
            <w:tcBorders>
              <w:bottom w:val="single" w:sz="4" w:space="0" w:color="000000" w:themeColor="text1"/>
            </w:tcBorders>
            <w:shd w:val="clear" w:color="auto" w:fill="E0E0E0"/>
            <w:vAlign w:val="center"/>
          </w:tcPr>
          <w:p w14:paraId="0C3A73BA"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E0E0E0"/>
            <w:vAlign w:val="center"/>
          </w:tcPr>
          <w:p w14:paraId="397651CE" w14:textId="77777777" w:rsidR="00466A0A" w:rsidRPr="002D056F" w:rsidRDefault="00466A0A" w:rsidP="007127C1">
            <w:pPr>
              <w:jc w:val="center"/>
              <w:rPr>
                <w:rFonts w:ascii="Helvetica" w:hAnsi="Helvetica" w:cs="Helvetica"/>
                <w:sz w:val="12"/>
                <w:szCs w:val="12"/>
              </w:rPr>
            </w:pPr>
          </w:p>
        </w:tc>
        <w:tc>
          <w:tcPr>
            <w:tcW w:w="709" w:type="dxa"/>
            <w:shd w:val="clear" w:color="auto" w:fill="E26E80"/>
            <w:vAlign w:val="center"/>
          </w:tcPr>
          <w:p w14:paraId="0B2D1E43"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16.7 (41%)</w:t>
            </w:r>
          </w:p>
        </w:tc>
        <w:tc>
          <w:tcPr>
            <w:tcW w:w="567" w:type="dxa"/>
            <w:shd w:val="clear" w:color="auto" w:fill="E26E80"/>
            <w:vAlign w:val="center"/>
          </w:tcPr>
          <w:p w14:paraId="5CEE9C52"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40,72</w:t>
            </w:r>
          </w:p>
        </w:tc>
      </w:tr>
      <w:tr w:rsidR="00466A0A" w:rsidRPr="002D056F" w14:paraId="2C0195E0" w14:textId="77777777" w:rsidTr="007127C1">
        <w:trPr>
          <w:trHeight w:val="203"/>
        </w:trPr>
        <w:tc>
          <w:tcPr>
            <w:tcW w:w="848" w:type="dxa"/>
            <w:tcBorders>
              <w:bottom w:val="single" w:sz="4" w:space="0" w:color="000000" w:themeColor="text1"/>
            </w:tcBorders>
            <w:vAlign w:val="center"/>
          </w:tcPr>
          <w:p w14:paraId="36921BE8"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Autres produits</w:t>
            </w:r>
          </w:p>
        </w:tc>
        <w:tc>
          <w:tcPr>
            <w:tcW w:w="709" w:type="dxa"/>
            <w:tcBorders>
              <w:bottom w:val="single" w:sz="4" w:space="0" w:color="000000" w:themeColor="text1"/>
            </w:tcBorders>
            <w:vAlign w:val="center"/>
          </w:tcPr>
          <w:p w14:paraId="1E456268"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0,6 (3,4%)</w:t>
            </w:r>
          </w:p>
        </w:tc>
        <w:tc>
          <w:tcPr>
            <w:tcW w:w="570" w:type="dxa"/>
            <w:tcBorders>
              <w:bottom w:val="single" w:sz="4" w:space="0" w:color="000000" w:themeColor="text1"/>
            </w:tcBorders>
            <w:vAlign w:val="center"/>
          </w:tcPr>
          <w:p w14:paraId="66DD026D"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17.6</w:t>
            </w:r>
          </w:p>
        </w:tc>
        <w:tc>
          <w:tcPr>
            <w:tcW w:w="567" w:type="dxa"/>
            <w:tcBorders>
              <w:bottom w:val="single" w:sz="4" w:space="0" w:color="000000" w:themeColor="text1"/>
            </w:tcBorders>
            <w:vAlign w:val="center"/>
          </w:tcPr>
          <w:p w14:paraId="47B2F6D9"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1,35 (5,6%)</w:t>
            </w:r>
          </w:p>
        </w:tc>
        <w:tc>
          <w:tcPr>
            <w:tcW w:w="708" w:type="dxa"/>
            <w:tcBorders>
              <w:bottom w:val="single" w:sz="4" w:space="0" w:color="000000" w:themeColor="text1"/>
            </w:tcBorders>
            <w:vAlign w:val="center"/>
          </w:tcPr>
          <w:p w14:paraId="37B4C836"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24</w:t>
            </w:r>
          </w:p>
        </w:tc>
        <w:tc>
          <w:tcPr>
            <w:tcW w:w="709" w:type="dxa"/>
            <w:tcBorders>
              <w:bottom w:val="single" w:sz="4" w:space="0" w:color="000000" w:themeColor="text1"/>
            </w:tcBorders>
            <w:vAlign w:val="center"/>
          </w:tcPr>
          <w:p w14:paraId="2D71903E"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2,39 (21,7%)</w:t>
            </w:r>
          </w:p>
        </w:tc>
        <w:tc>
          <w:tcPr>
            <w:tcW w:w="709" w:type="dxa"/>
            <w:tcBorders>
              <w:bottom w:val="single" w:sz="4" w:space="0" w:color="000000" w:themeColor="text1"/>
            </w:tcBorders>
            <w:vAlign w:val="center"/>
          </w:tcPr>
          <w:p w14:paraId="78B75F14"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11</w:t>
            </w:r>
          </w:p>
        </w:tc>
        <w:tc>
          <w:tcPr>
            <w:tcW w:w="709" w:type="dxa"/>
            <w:tcBorders>
              <w:bottom w:val="single" w:sz="4" w:space="0" w:color="000000" w:themeColor="text1"/>
            </w:tcBorders>
            <w:vAlign w:val="center"/>
          </w:tcPr>
          <w:p w14:paraId="2DC78A30"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3,6 (20%)</w:t>
            </w:r>
          </w:p>
        </w:tc>
        <w:tc>
          <w:tcPr>
            <w:tcW w:w="708" w:type="dxa"/>
            <w:tcBorders>
              <w:bottom w:val="single" w:sz="4" w:space="0" w:color="000000" w:themeColor="text1"/>
            </w:tcBorders>
            <w:vAlign w:val="center"/>
          </w:tcPr>
          <w:p w14:paraId="5B0D19F2" w14:textId="77777777" w:rsidR="00466A0A" w:rsidRPr="002D056F" w:rsidRDefault="00466A0A" w:rsidP="007127C1">
            <w:pPr>
              <w:jc w:val="center"/>
              <w:rPr>
                <w:rFonts w:ascii="Helvetica" w:hAnsi="Helvetica" w:cs="Helvetica"/>
                <w:sz w:val="12"/>
                <w:szCs w:val="12"/>
              </w:rPr>
            </w:pPr>
            <w:r w:rsidRPr="002D056F">
              <w:rPr>
                <w:rFonts w:ascii="Helvetica" w:hAnsi="Helvetica" w:cs="Helvetica"/>
                <w:sz w:val="12"/>
                <w:szCs w:val="12"/>
              </w:rPr>
              <w:t>18</w:t>
            </w:r>
          </w:p>
        </w:tc>
        <w:tc>
          <w:tcPr>
            <w:tcW w:w="567" w:type="dxa"/>
            <w:tcBorders>
              <w:bottom w:val="single" w:sz="4" w:space="0" w:color="000000" w:themeColor="text1"/>
            </w:tcBorders>
            <w:shd w:val="clear" w:color="auto" w:fill="E0E0E0"/>
            <w:vAlign w:val="center"/>
          </w:tcPr>
          <w:p w14:paraId="20A92FD5"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E0E0E0"/>
            <w:vAlign w:val="center"/>
          </w:tcPr>
          <w:p w14:paraId="159CCCD5" w14:textId="77777777" w:rsidR="00466A0A" w:rsidRPr="002D056F" w:rsidRDefault="00466A0A" w:rsidP="007127C1">
            <w:pPr>
              <w:jc w:val="center"/>
              <w:rPr>
                <w:rFonts w:ascii="Helvetica" w:hAnsi="Helvetica" w:cs="Helvetica"/>
                <w:sz w:val="12"/>
                <w:szCs w:val="12"/>
              </w:rPr>
            </w:pPr>
          </w:p>
        </w:tc>
        <w:tc>
          <w:tcPr>
            <w:tcW w:w="709" w:type="dxa"/>
            <w:tcBorders>
              <w:bottom w:val="single" w:sz="4" w:space="0" w:color="000000" w:themeColor="text1"/>
            </w:tcBorders>
            <w:shd w:val="clear" w:color="auto" w:fill="E26E80"/>
            <w:vAlign w:val="center"/>
          </w:tcPr>
          <w:p w14:paraId="3B6AC1AC"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7.94 (11,2%)</w:t>
            </w:r>
          </w:p>
        </w:tc>
        <w:tc>
          <w:tcPr>
            <w:tcW w:w="567" w:type="dxa"/>
            <w:tcBorders>
              <w:bottom w:val="single" w:sz="4" w:space="0" w:color="000000" w:themeColor="text1"/>
            </w:tcBorders>
            <w:shd w:val="clear" w:color="auto" w:fill="E26E80"/>
            <w:vAlign w:val="center"/>
          </w:tcPr>
          <w:p w14:paraId="0994C977"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70,6</w:t>
            </w:r>
          </w:p>
        </w:tc>
      </w:tr>
      <w:tr w:rsidR="00466A0A" w:rsidRPr="002D056F" w14:paraId="2A074CC8" w14:textId="77777777" w:rsidTr="007127C1">
        <w:trPr>
          <w:trHeight w:val="203"/>
        </w:trPr>
        <w:tc>
          <w:tcPr>
            <w:tcW w:w="848" w:type="dxa"/>
            <w:shd w:val="clear" w:color="auto" w:fill="E26A76"/>
            <w:vAlign w:val="center"/>
          </w:tcPr>
          <w:p w14:paraId="53DF7C54" w14:textId="77777777" w:rsidR="00466A0A" w:rsidRPr="002D056F" w:rsidRDefault="00466A0A" w:rsidP="007127C1">
            <w:pPr>
              <w:jc w:val="center"/>
              <w:rPr>
                <w:rFonts w:ascii="Helvetica" w:hAnsi="Helvetica" w:cs="Helvetica"/>
                <w:b/>
                <w:sz w:val="14"/>
                <w:szCs w:val="14"/>
              </w:rPr>
            </w:pPr>
            <w:r w:rsidRPr="002D056F">
              <w:rPr>
                <w:rFonts w:ascii="Helvetica" w:hAnsi="Helvetica" w:cs="Helvetica"/>
                <w:b/>
                <w:sz w:val="14"/>
                <w:szCs w:val="14"/>
              </w:rPr>
              <w:t>TOTAL par région</w:t>
            </w:r>
          </w:p>
        </w:tc>
        <w:tc>
          <w:tcPr>
            <w:tcW w:w="709" w:type="dxa"/>
            <w:tcBorders>
              <w:bottom w:val="single" w:sz="4" w:space="0" w:color="000000" w:themeColor="text1"/>
            </w:tcBorders>
            <w:shd w:val="clear" w:color="auto" w:fill="E26A76"/>
            <w:vAlign w:val="center"/>
          </w:tcPr>
          <w:p w14:paraId="3FB18712"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36,5 (15,5%)</w:t>
            </w:r>
          </w:p>
        </w:tc>
        <w:tc>
          <w:tcPr>
            <w:tcW w:w="570" w:type="dxa"/>
            <w:shd w:val="clear" w:color="auto" w:fill="E26A76"/>
            <w:vAlign w:val="center"/>
          </w:tcPr>
          <w:p w14:paraId="18978E3D"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234,89</w:t>
            </w:r>
          </w:p>
        </w:tc>
        <w:tc>
          <w:tcPr>
            <w:tcW w:w="567" w:type="dxa"/>
            <w:tcBorders>
              <w:bottom w:val="single" w:sz="4" w:space="0" w:color="000000" w:themeColor="text1"/>
            </w:tcBorders>
            <w:shd w:val="clear" w:color="auto" w:fill="E26A76"/>
            <w:vAlign w:val="center"/>
          </w:tcPr>
          <w:p w14:paraId="093885B1"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91,37 (25,17%)</w:t>
            </w:r>
          </w:p>
        </w:tc>
        <w:tc>
          <w:tcPr>
            <w:tcW w:w="708" w:type="dxa"/>
            <w:shd w:val="clear" w:color="auto" w:fill="E26A76"/>
            <w:vAlign w:val="center"/>
          </w:tcPr>
          <w:p w14:paraId="586D8E5F"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363,06</w:t>
            </w:r>
          </w:p>
        </w:tc>
        <w:tc>
          <w:tcPr>
            <w:tcW w:w="709" w:type="dxa"/>
            <w:tcBorders>
              <w:bottom w:val="single" w:sz="4" w:space="0" w:color="000000" w:themeColor="text1"/>
            </w:tcBorders>
            <w:shd w:val="clear" w:color="auto" w:fill="E26A76"/>
            <w:vAlign w:val="center"/>
          </w:tcPr>
          <w:p w14:paraId="7DFBBFC1"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22,24 (32,1%)</w:t>
            </w:r>
          </w:p>
        </w:tc>
        <w:tc>
          <w:tcPr>
            <w:tcW w:w="709" w:type="dxa"/>
            <w:shd w:val="clear" w:color="auto" w:fill="E26A76"/>
            <w:vAlign w:val="center"/>
          </w:tcPr>
          <w:p w14:paraId="3DF848DF"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69,3</w:t>
            </w:r>
          </w:p>
        </w:tc>
        <w:tc>
          <w:tcPr>
            <w:tcW w:w="709" w:type="dxa"/>
            <w:tcBorders>
              <w:bottom w:val="single" w:sz="4" w:space="0" w:color="000000" w:themeColor="text1"/>
            </w:tcBorders>
            <w:shd w:val="clear" w:color="auto" w:fill="E26A76"/>
            <w:vAlign w:val="center"/>
          </w:tcPr>
          <w:p w14:paraId="7910734B"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202,7 (43%)</w:t>
            </w:r>
          </w:p>
        </w:tc>
        <w:tc>
          <w:tcPr>
            <w:tcW w:w="708" w:type="dxa"/>
            <w:shd w:val="clear" w:color="auto" w:fill="E26A76"/>
            <w:vAlign w:val="center"/>
          </w:tcPr>
          <w:p w14:paraId="0723EDC0"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468</w:t>
            </w:r>
          </w:p>
        </w:tc>
        <w:tc>
          <w:tcPr>
            <w:tcW w:w="567" w:type="dxa"/>
            <w:tcBorders>
              <w:bottom w:val="single" w:sz="4" w:space="0" w:color="000000" w:themeColor="text1"/>
            </w:tcBorders>
            <w:shd w:val="clear" w:color="auto" w:fill="E26A76"/>
            <w:vAlign w:val="center"/>
          </w:tcPr>
          <w:p w14:paraId="086488A3"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250,2 (30%)</w:t>
            </w:r>
          </w:p>
        </w:tc>
        <w:tc>
          <w:tcPr>
            <w:tcW w:w="709" w:type="dxa"/>
            <w:shd w:val="clear" w:color="auto" w:fill="E26A76"/>
            <w:vAlign w:val="center"/>
          </w:tcPr>
          <w:p w14:paraId="13DA9D4D" w14:textId="77777777" w:rsidR="00466A0A" w:rsidRPr="002D056F" w:rsidRDefault="00466A0A" w:rsidP="007127C1">
            <w:pPr>
              <w:jc w:val="center"/>
              <w:rPr>
                <w:rFonts w:ascii="Helvetica" w:hAnsi="Helvetica" w:cs="Helvetica"/>
                <w:b/>
                <w:sz w:val="12"/>
                <w:szCs w:val="12"/>
              </w:rPr>
            </w:pPr>
            <w:r w:rsidRPr="002D056F">
              <w:rPr>
                <w:rFonts w:ascii="Helvetica" w:hAnsi="Helvetica" w:cs="Helvetica"/>
                <w:b/>
                <w:sz w:val="12"/>
                <w:szCs w:val="12"/>
              </w:rPr>
              <w:t>835,8</w:t>
            </w:r>
          </w:p>
        </w:tc>
        <w:tc>
          <w:tcPr>
            <w:tcW w:w="1276" w:type="dxa"/>
            <w:gridSpan w:val="2"/>
            <w:tcBorders>
              <w:tl2br w:val="nil"/>
            </w:tcBorders>
            <w:vAlign w:val="center"/>
          </w:tcPr>
          <w:p w14:paraId="44D13C68" w14:textId="77777777" w:rsidR="00466A0A" w:rsidRPr="002D056F" w:rsidRDefault="00466A0A" w:rsidP="007127C1">
            <w:pPr>
              <w:rPr>
                <w:rFonts w:ascii="Helvetica" w:hAnsi="Helvetica" w:cs="Helvetica"/>
                <w:b/>
                <w:sz w:val="12"/>
                <w:szCs w:val="12"/>
              </w:rPr>
            </w:pPr>
            <w:r w:rsidRPr="002D056F">
              <w:rPr>
                <w:rFonts w:ascii="Helvetica" w:hAnsi="Helvetica" w:cs="Helvetica"/>
                <w:b/>
                <w:sz w:val="12"/>
                <w:szCs w:val="12"/>
              </w:rPr>
              <w:t>Marge Totale: 617.600.000 (29,1%)</w:t>
            </w:r>
          </w:p>
        </w:tc>
      </w:tr>
    </w:tbl>
    <w:p w14:paraId="751956D1" w14:textId="77777777" w:rsidR="00466A0A" w:rsidRPr="00A12894" w:rsidRDefault="00466A0A" w:rsidP="00466A0A">
      <w:pPr>
        <w:jc w:val="both"/>
      </w:pPr>
      <w:r w:rsidRPr="00A12894">
        <w:t>Note : CA (Chiffre d’affaires) hebdomadaire en millions de FCFA.</w:t>
      </w:r>
    </w:p>
    <w:p w14:paraId="682478AC" w14:textId="77777777" w:rsidR="00466A0A" w:rsidRDefault="00466A0A" w:rsidP="00466A0A">
      <w:pPr>
        <w:jc w:val="both"/>
        <w:rPr>
          <w:rFonts w:cs="Helvetica"/>
        </w:rPr>
      </w:pPr>
      <w:r w:rsidRPr="00A12894">
        <w:t>En 2014, l</w:t>
      </w:r>
      <w:r w:rsidRPr="00A12894">
        <w:rPr>
          <w:rFonts w:cs="Helvetica"/>
        </w:rPr>
        <w:t xml:space="preserve">es taux de marges ont légèrement baissé au </w:t>
      </w:r>
      <w:r>
        <w:rPr>
          <w:rFonts w:cs="Helvetica"/>
        </w:rPr>
        <w:t>Nord</w:t>
      </w:r>
      <w:r w:rsidRPr="00A12894">
        <w:rPr>
          <w:rFonts w:cs="Helvetica"/>
        </w:rPr>
        <w:t xml:space="preserve"> (avec 22%), mais ont été divisés par deux pour le Sud du Mali et le Niger (avec 19%). Les marges hebdomadaires réalisées en 2014 s’établissent à 134.703.000 CFA, soit un taux de marge de 20,5% contre 29% en 2011. On observe une baisse des marges de 79% par rapport à ceux réalisés en 2011 (617.600.000 FCFA), soit plus de 11,2 millions de dollars USD.</w:t>
      </w:r>
    </w:p>
    <w:p w14:paraId="41EAA528" w14:textId="1A7F0BA8" w:rsidR="00A63ED2" w:rsidRDefault="00A63ED2" w:rsidP="00650124">
      <w:pPr>
        <w:pStyle w:val="Heading3"/>
      </w:pPr>
      <w:r>
        <w:t>L’impact du commerce informel sur l’emploi, le pouvoir d’achat et le PIB régional</w:t>
      </w:r>
    </w:p>
    <w:p w14:paraId="534024DA" w14:textId="3D2FB755" w:rsidR="008905E0" w:rsidRDefault="00D85DD3" w:rsidP="008905E0">
      <w:pPr>
        <w:spacing w:after="0"/>
        <w:jc w:val="both"/>
      </w:pPr>
      <w:r w:rsidRPr="0040146A">
        <w:rPr>
          <w:b/>
        </w:rPr>
        <w:t xml:space="preserve">En termes de création d’emplois, </w:t>
      </w:r>
      <w:r w:rsidR="00E52889" w:rsidRPr="0040146A">
        <w:rPr>
          <w:b/>
        </w:rPr>
        <w:t>p</w:t>
      </w:r>
      <w:r w:rsidR="0040146A" w:rsidRPr="0040146A">
        <w:rPr>
          <w:b/>
        </w:rPr>
        <w:t>our</w:t>
      </w:r>
      <w:r w:rsidR="008905E0" w:rsidRPr="0040146A">
        <w:rPr>
          <w:b/>
        </w:rPr>
        <w:t xml:space="preserve"> Tamanrasset, on recense 1500 commerçants de produits alimentaires, et plus de 900 à Adrar</w:t>
      </w:r>
      <w:r w:rsidR="0040146A" w:rsidRPr="0040146A">
        <w:rPr>
          <w:b/>
        </w:rPr>
        <w:t xml:space="preserve"> (soit un pourcentage marginal par rapport à la population totale d’Adrar estimée par exemple à près de 400000 personnes)</w:t>
      </w:r>
      <w:r w:rsidR="008905E0" w:rsidRPr="0040146A">
        <w:rPr>
          <w:b/>
        </w:rPr>
        <w:t>.</w:t>
      </w:r>
      <w:r w:rsidR="008905E0" w:rsidRPr="00ED0C2F">
        <w:t xml:space="preserve"> </w:t>
      </w:r>
      <w:r w:rsidR="008905E0" w:rsidRPr="005C7652">
        <w:rPr>
          <w:b/>
        </w:rPr>
        <w:t xml:space="preserve">Le sud-algérien ne compte pas plus d’une centaine de contrebandiers de carburants vers le Mali (et le Niger), ce secteur étant </w:t>
      </w:r>
      <w:r w:rsidR="008905E0" w:rsidRPr="005C7652">
        <w:rPr>
          <w:b/>
        </w:rPr>
        <w:lastRenderedPageBreak/>
        <w:t>beaucoup plus risqué</w:t>
      </w:r>
      <w:r w:rsidR="00C91E19">
        <w:rPr>
          <w:b/>
        </w:rPr>
        <w:t xml:space="preserve"> car la politique des autorités algériennes est désormais ciblée sur la contrebande de carburants</w:t>
      </w:r>
      <w:r w:rsidR="008905E0" w:rsidRPr="005C7652">
        <w:rPr>
          <w:b/>
        </w:rPr>
        <w:t>.</w:t>
      </w:r>
      <w:r w:rsidR="008905E0" w:rsidRPr="00ED0C2F">
        <w:t xml:space="preserve"> </w:t>
      </w:r>
      <w:r w:rsidR="0040146A">
        <w:t>C’est donc une activité économique en Algérie réservé à une minorité, ce qui s’explique peut-être par le risque encouru.</w:t>
      </w:r>
    </w:p>
    <w:p w14:paraId="5ED29656" w14:textId="77777777" w:rsidR="008905E0" w:rsidRDefault="008905E0" w:rsidP="008905E0">
      <w:pPr>
        <w:spacing w:after="0"/>
        <w:jc w:val="both"/>
        <w:rPr>
          <w:rFonts w:cs="Arial"/>
          <w:color w:val="141414"/>
        </w:rPr>
      </w:pPr>
    </w:p>
    <w:p w14:paraId="4F88F97A" w14:textId="5B9B1A95" w:rsidR="002A52A8" w:rsidRDefault="002A52A8" w:rsidP="00CA4766">
      <w:pPr>
        <w:jc w:val="both"/>
      </w:pPr>
      <w:r>
        <w:t>Le Mali bénéficie directement des politiques de subventions appliquées par les auto</w:t>
      </w:r>
      <w:r w:rsidR="00104EA4">
        <w:t>rités algériennes pour certains</w:t>
      </w:r>
      <w:r>
        <w:t xml:space="preserve"> produits. Cela explique pour partie l’accès de la population du </w:t>
      </w:r>
      <w:r w:rsidR="00AF3227">
        <w:t>nord</w:t>
      </w:r>
      <w:r>
        <w:t xml:space="preserve"> du Mali à des produits à moindre coût qu’à Bamako. C’est encore plus le cas à Kidal qui bénéficie de prix très proches de ceux pratiqués en Algérie. En matière de carburant, cela est d’autant plus vrai que le dédouanement de carburant n’est autorisé qu’à Bamako, ce qui permet jusqu’à Douentza de bénéficier d’un carburant au prix algérien.</w:t>
      </w:r>
      <w:r w:rsidR="00B902A5">
        <w:t xml:space="preserve"> </w:t>
      </w:r>
    </w:p>
    <w:p w14:paraId="54D794C3" w14:textId="56E3FE94" w:rsidR="00104EA4" w:rsidRDefault="0030510B" w:rsidP="00CA4766">
      <w:pPr>
        <w:jc w:val="both"/>
      </w:pPr>
      <w:r>
        <w:t xml:space="preserve">Il semble évident que Kidal est largement intégrée économiquement à l’Algérie, par le biais de la contrebande. </w:t>
      </w:r>
      <w:r w:rsidR="00104EA4">
        <w:t xml:space="preserve">Le graphique XX présente ainsi les prix du sucre, lait, couscous, réfrigérateur, ciment et </w:t>
      </w:r>
      <w:r w:rsidR="00FE22EF">
        <w:t>TV écran plat par rapport à Kidal. Hormis le cas du ciment et du lait pour Bamako, Kidal est la ville la moins chère pour tous les produits. Il est à noter, qu’hormis les écrans plats, Gao et Tombouctou sont souvent plus chers que Bamako et Mopti et</w:t>
      </w:r>
      <w:r w:rsidR="00324BF4">
        <w:t xml:space="preserve"> </w:t>
      </w:r>
      <w:r w:rsidR="00FE22EF">
        <w:t>peuvent s’expliquer par les coûts de transport par rapport à la frontière algérienne</w:t>
      </w:r>
      <w:r w:rsidR="005C477F">
        <w:t xml:space="preserve"> (ou bien par rapport à Bamako)</w:t>
      </w:r>
      <w:r w:rsidR="00FE22EF">
        <w:t>.</w:t>
      </w:r>
    </w:p>
    <w:p w14:paraId="1FB02A3C" w14:textId="77777777" w:rsidR="00104EA4" w:rsidRPr="00FE22EF" w:rsidRDefault="00FE22EF" w:rsidP="00FE22EF">
      <w:pPr>
        <w:pStyle w:val="Caption"/>
        <w:rPr>
          <w:color w:val="auto"/>
          <w:sz w:val="22"/>
          <w:szCs w:val="22"/>
        </w:rPr>
      </w:pPr>
      <w:r w:rsidRPr="00FE22EF">
        <w:rPr>
          <w:color w:val="auto"/>
          <w:sz w:val="22"/>
          <w:szCs w:val="22"/>
        </w:rPr>
        <w:t xml:space="preserve">Figure </w:t>
      </w:r>
      <w:r w:rsidRPr="00FE22EF">
        <w:rPr>
          <w:color w:val="auto"/>
          <w:sz w:val="22"/>
          <w:szCs w:val="22"/>
        </w:rPr>
        <w:fldChar w:fldCharType="begin"/>
      </w:r>
      <w:r w:rsidRPr="00FE22EF">
        <w:rPr>
          <w:color w:val="auto"/>
          <w:sz w:val="22"/>
          <w:szCs w:val="22"/>
        </w:rPr>
        <w:instrText xml:space="preserve"> SEQ Figure \* ARABIC </w:instrText>
      </w:r>
      <w:r w:rsidRPr="00FE22EF">
        <w:rPr>
          <w:color w:val="auto"/>
          <w:sz w:val="22"/>
          <w:szCs w:val="22"/>
        </w:rPr>
        <w:fldChar w:fldCharType="separate"/>
      </w:r>
      <w:r w:rsidR="00CD7ECD">
        <w:rPr>
          <w:noProof/>
          <w:color w:val="auto"/>
          <w:sz w:val="22"/>
          <w:szCs w:val="22"/>
        </w:rPr>
        <w:t>2</w:t>
      </w:r>
      <w:r w:rsidRPr="00FE22EF">
        <w:rPr>
          <w:color w:val="auto"/>
          <w:sz w:val="22"/>
          <w:szCs w:val="22"/>
        </w:rPr>
        <w:fldChar w:fldCharType="end"/>
      </w:r>
      <w:r w:rsidRPr="00FE22EF">
        <w:rPr>
          <w:color w:val="auto"/>
          <w:sz w:val="22"/>
          <w:szCs w:val="22"/>
        </w:rPr>
        <w:t> : Prix comparés des différents biens à Gao, Tombouctou, Mopti et Bamako par rapport à Kidal</w:t>
      </w:r>
    </w:p>
    <w:p w14:paraId="44510ED9" w14:textId="11EE90DD" w:rsidR="00104EA4" w:rsidRDefault="00C91E19" w:rsidP="00CA4766">
      <w:pPr>
        <w:jc w:val="both"/>
      </w:pPr>
      <w:r>
        <w:rPr>
          <w:noProof/>
          <w:lang w:val="en-US"/>
        </w:rPr>
        <w:drawing>
          <wp:inline distT="0" distB="0" distL="0" distR="0" wp14:anchorId="2B9C3E9C" wp14:editId="08F20BC8">
            <wp:extent cx="5458287" cy="3200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8287" cy="3200400"/>
                    </a:xfrm>
                    <a:prstGeom prst="rect">
                      <a:avLst/>
                    </a:prstGeom>
                    <a:noFill/>
                    <a:ln>
                      <a:noFill/>
                    </a:ln>
                  </pic:spPr>
                </pic:pic>
              </a:graphicData>
            </a:graphic>
          </wp:inline>
        </w:drawing>
      </w:r>
    </w:p>
    <w:p w14:paraId="74B36682" w14:textId="77777777" w:rsidR="00FE22EF" w:rsidRDefault="00FE22EF" w:rsidP="00FE22EF">
      <w:pPr>
        <w:jc w:val="both"/>
      </w:pPr>
      <w:r>
        <w:t>Source : mercuriale de l’institut des statistiques malien.</w:t>
      </w:r>
    </w:p>
    <w:p w14:paraId="0CEDEBE6" w14:textId="0A7D82F4" w:rsidR="00A63ED2" w:rsidRPr="00A63ED2" w:rsidRDefault="00803CF6" w:rsidP="00A63ED2">
      <w:pPr>
        <w:jc w:val="both"/>
        <w:rPr>
          <w:b/>
        </w:rPr>
      </w:pPr>
      <w:bookmarkStart w:id="33" w:name="_Toc384903162"/>
      <w:r>
        <w:t xml:space="preserve">De même Kidal apparait comme bénéficiant largement du commerce informel. En reprenant le montant du commerce informel par ville, on peut calculer </w:t>
      </w:r>
      <w:proofErr w:type="gramStart"/>
      <w:r>
        <w:t>le</w:t>
      </w:r>
      <w:proofErr w:type="gramEnd"/>
      <w:r>
        <w:t xml:space="preserve"> ration commerce informel sur PIB régional. Or, en 2011, l</w:t>
      </w:r>
      <w:r w:rsidR="00A63ED2">
        <w:t>e ratio importation informelles sur PIB régional était de 49% à Kidal contre 1% à Bamako, Gao se situant à 20%.</w:t>
      </w:r>
    </w:p>
    <w:p w14:paraId="0D6EEFD6" w14:textId="77777777" w:rsidR="0040146A" w:rsidRDefault="0040146A" w:rsidP="00A63ED2">
      <w:pPr>
        <w:jc w:val="both"/>
        <w:rPr>
          <w:b/>
        </w:rPr>
      </w:pPr>
    </w:p>
    <w:p w14:paraId="1E7F8E14" w14:textId="3C09094B" w:rsidR="00A63ED2" w:rsidRPr="00CD7ECD" w:rsidRDefault="00CD7ECD" w:rsidP="00CD7ECD">
      <w:pPr>
        <w:pStyle w:val="Caption"/>
        <w:rPr>
          <w:color w:val="auto"/>
          <w:sz w:val="22"/>
          <w:szCs w:val="22"/>
        </w:rPr>
      </w:pPr>
      <w:r w:rsidRPr="00CD7ECD">
        <w:rPr>
          <w:color w:val="auto"/>
          <w:sz w:val="22"/>
          <w:szCs w:val="22"/>
        </w:rPr>
        <w:lastRenderedPageBreak/>
        <w:t xml:space="preserve">Figure </w:t>
      </w:r>
      <w:r w:rsidRPr="00CD7ECD">
        <w:rPr>
          <w:color w:val="auto"/>
          <w:sz w:val="22"/>
          <w:szCs w:val="22"/>
        </w:rPr>
        <w:fldChar w:fldCharType="begin"/>
      </w:r>
      <w:r w:rsidRPr="00CD7ECD">
        <w:rPr>
          <w:color w:val="auto"/>
          <w:sz w:val="22"/>
          <w:szCs w:val="22"/>
        </w:rPr>
        <w:instrText xml:space="preserve"> SEQ Figure \* ARABIC </w:instrText>
      </w:r>
      <w:r w:rsidRPr="00CD7ECD">
        <w:rPr>
          <w:color w:val="auto"/>
          <w:sz w:val="22"/>
          <w:szCs w:val="22"/>
        </w:rPr>
        <w:fldChar w:fldCharType="separate"/>
      </w:r>
      <w:r w:rsidRPr="00CD7ECD">
        <w:rPr>
          <w:noProof/>
          <w:color w:val="auto"/>
          <w:sz w:val="22"/>
          <w:szCs w:val="22"/>
        </w:rPr>
        <w:t>3</w:t>
      </w:r>
      <w:r w:rsidRPr="00CD7ECD">
        <w:rPr>
          <w:color w:val="auto"/>
          <w:sz w:val="22"/>
          <w:szCs w:val="22"/>
        </w:rPr>
        <w:fldChar w:fldCharType="end"/>
      </w:r>
      <w:r w:rsidRPr="00CD7ECD">
        <w:rPr>
          <w:color w:val="auto"/>
          <w:sz w:val="22"/>
          <w:szCs w:val="22"/>
        </w:rPr>
        <w:t xml:space="preserve"> : </w:t>
      </w:r>
      <w:r w:rsidR="00A63ED2" w:rsidRPr="00CD7ECD">
        <w:rPr>
          <w:color w:val="auto"/>
          <w:sz w:val="22"/>
          <w:szCs w:val="22"/>
        </w:rPr>
        <w:t>Comparaison du ratio importations informelles sur PIB régional en 2011</w:t>
      </w:r>
    </w:p>
    <w:p w14:paraId="681B9CCD" w14:textId="5F4A7AD5" w:rsidR="0007022B" w:rsidRPr="00A63ED2" w:rsidRDefault="0007022B" w:rsidP="00A63ED2">
      <w:pPr>
        <w:jc w:val="both"/>
        <w:rPr>
          <w:b/>
        </w:rPr>
      </w:pPr>
      <w:r>
        <w:rPr>
          <w:noProof/>
          <w:lang w:val="en-US"/>
        </w:rPr>
        <w:drawing>
          <wp:inline distT="0" distB="0" distL="0" distR="0" wp14:anchorId="475713D9" wp14:editId="1C65B01A">
            <wp:extent cx="386715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A07E88" w14:textId="6945B9B7" w:rsidR="00A2308D" w:rsidRDefault="00803CF6" w:rsidP="00803CF6">
      <w:r>
        <w:t>Source de données : institut des statistiques malien pour les données de PIB régional et enquêtes pour les montants du commerce informel par région.</w:t>
      </w:r>
    </w:p>
    <w:p w14:paraId="2170749A" w14:textId="77777777" w:rsidR="008905E0" w:rsidRDefault="008905E0" w:rsidP="008905E0">
      <w:pPr>
        <w:pStyle w:val="Heading2"/>
      </w:pPr>
      <w:r>
        <w:t>L’impact sur la gouvernance</w:t>
      </w:r>
      <w:bookmarkEnd w:id="33"/>
    </w:p>
    <w:p w14:paraId="1FE64D84" w14:textId="7A71180B" w:rsidR="000E3B62" w:rsidRPr="000E3B62" w:rsidRDefault="00076245" w:rsidP="000E3B62">
      <w:pPr>
        <w:jc w:val="both"/>
      </w:pPr>
      <w:r>
        <w:t>Cette question est cruciale dans la mesure où c’est dans ce domaine que l’impact négatif du commerce informel semble important.</w:t>
      </w:r>
      <w:r w:rsidR="000E3B62">
        <w:t xml:space="preserve"> </w:t>
      </w:r>
      <w:r w:rsidR="000E3B62">
        <w:rPr>
          <w:rFonts w:cs="Helvetica"/>
        </w:rPr>
        <w:t xml:space="preserve">Il est pourtant difficile de relever un lien de causalité entre contrebande et faiblesse des institutions car les deux vont de pair : la contrebande est possible car les institutions de contrôle sont faibles mais la contrebande contribue à les maintenir faibles dans la mesure où un système collusif est établi. </w:t>
      </w:r>
    </w:p>
    <w:p w14:paraId="1B448C83" w14:textId="77777777" w:rsidR="00A36EA4" w:rsidRDefault="00A36EA4" w:rsidP="00A36EA4">
      <w:pPr>
        <w:pStyle w:val="Heading3"/>
        <w:rPr>
          <w:lang w:bidi="ar-DZ"/>
        </w:rPr>
      </w:pPr>
      <w:bookmarkStart w:id="34" w:name="_Toc384903163"/>
      <w:r>
        <w:rPr>
          <w:lang w:bidi="ar-DZ"/>
        </w:rPr>
        <w:t>Les problèmes de gouvernance en Algérie</w:t>
      </w:r>
      <w:bookmarkEnd w:id="34"/>
    </w:p>
    <w:p w14:paraId="4C1A4E82" w14:textId="5192B698" w:rsidR="006C49CC" w:rsidRPr="006C49CC" w:rsidRDefault="006C49CC" w:rsidP="006C49CC">
      <w:pPr>
        <w:pStyle w:val="CommentText"/>
        <w:jc w:val="both"/>
        <w:rPr>
          <w:sz w:val="22"/>
          <w:szCs w:val="22"/>
        </w:rPr>
      </w:pPr>
      <w:r w:rsidRPr="006C49CC">
        <w:rPr>
          <w:sz w:val="22"/>
          <w:szCs w:val="22"/>
        </w:rPr>
        <w:t>La première question</w:t>
      </w:r>
      <w:r>
        <w:rPr>
          <w:sz w:val="22"/>
          <w:szCs w:val="22"/>
        </w:rPr>
        <w:t xml:space="preserve"> (sensible)</w:t>
      </w:r>
      <w:r w:rsidRPr="006C49CC">
        <w:rPr>
          <w:sz w:val="22"/>
          <w:szCs w:val="22"/>
        </w:rPr>
        <w:t xml:space="preserve"> à se poser est celle de savoir comment le commerce informel peut continuer à se développer compte tenu de la présence somme toute massive des agents de l’Etat algérien.</w:t>
      </w:r>
    </w:p>
    <w:p w14:paraId="2FCF2C46" w14:textId="6DC39EEA" w:rsidR="00A36EA4" w:rsidRPr="00951611" w:rsidRDefault="00A36EA4" w:rsidP="00A36EA4">
      <w:pPr>
        <w:jc w:val="both"/>
        <w:rPr>
          <w:rFonts w:cstheme="minorHAnsi"/>
          <w:lang w:bidi="ar-DZ"/>
        </w:rPr>
      </w:pPr>
      <w:r w:rsidRPr="001E5C12">
        <w:rPr>
          <w:rFonts w:cstheme="minorHAnsi"/>
          <w:b/>
          <w:lang w:bidi="ar-DZ"/>
        </w:rPr>
        <w:t>Environ 30 opérateurs économiques (tous de nationalité algérienne)</w:t>
      </w:r>
      <w:r w:rsidR="00B902A5">
        <w:rPr>
          <w:rFonts w:cstheme="minorHAnsi"/>
          <w:b/>
          <w:lang w:bidi="ar-DZ"/>
        </w:rPr>
        <w:t xml:space="preserve"> </w:t>
      </w:r>
      <w:r w:rsidRPr="001E5C12">
        <w:rPr>
          <w:rFonts w:cstheme="minorHAnsi"/>
          <w:b/>
          <w:lang w:bidi="ar-DZ"/>
        </w:rPr>
        <w:t>sont agrées annuellement pour exercer le commerce du troc.</w:t>
      </w:r>
      <w:r w:rsidRPr="00951611">
        <w:rPr>
          <w:rFonts w:cstheme="minorHAnsi"/>
          <w:lang w:bidi="ar-DZ"/>
        </w:rPr>
        <w:t xml:space="preserve"> L'examen des listes des trois dernières années révèle qu'elles n'ont pas connu un changement significatif</w:t>
      </w:r>
      <w:r w:rsidR="00B902A5">
        <w:rPr>
          <w:rFonts w:cstheme="minorHAnsi"/>
          <w:lang w:bidi="ar-DZ"/>
        </w:rPr>
        <w:t xml:space="preserve"> </w:t>
      </w:r>
      <w:r w:rsidRPr="00951611">
        <w:rPr>
          <w:rFonts w:cstheme="minorHAnsi"/>
          <w:lang w:bidi="ar-DZ"/>
        </w:rPr>
        <w:t>malgré les mutations, pendant la même période, des responsables au niveau de la wilaya, de la direction du commerce et des douanes. Cet élément confirme que, sauf dans les cas de fraudes dument constatés, les autorités administratives n'apportent qu'une validation formelle à un système commercial</w:t>
      </w:r>
      <w:r w:rsidR="00B902A5">
        <w:rPr>
          <w:rFonts w:cstheme="minorHAnsi"/>
          <w:lang w:bidi="ar-DZ"/>
        </w:rPr>
        <w:t xml:space="preserve"> </w:t>
      </w:r>
      <w:r w:rsidRPr="00951611">
        <w:rPr>
          <w:rFonts w:cstheme="minorHAnsi"/>
          <w:lang w:bidi="ar-DZ"/>
        </w:rPr>
        <w:t>mis en place et contrôlé par la population locale.</w:t>
      </w:r>
    </w:p>
    <w:p w14:paraId="39E23320" w14:textId="3A79468D" w:rsidR="00A36EA4" w:rsidRPr="00951611" w:rsidRDefault="00A36EA4" w:rsidP="00A36EA4">
      <w:pPr>
        <w:jc w:val="both"/>
        <w:rPr>
          <w:rFonts w:cstheme="minorHAnsi"/>
          <w:lang w:bidi="ar-DZ"/>
        </w:rPr>
      </w:pPr>
      <w:r w:rsidRPr="001E5C12">
        <w:rPr>
          <w:rFonts w:cstheme="minorHAnsi"/>
          <w:b/>
          <w:lang w:bidi="ar-DZ"/>
        </w:rPr>
        <w:t>L'examen des listes révèle également, comme pour le commerce des produits de large consommation, l'e</w:t>
      </w:r>
      <w:r w:rsidR="00C01E69">
        <w:rPr>
          <w:rFonts w:cstheme="minorHAnsi"/>
          <w:b/>
          <w:lang w:bidi="ar-DZ"/>
        </w:rPr>
        <w:t xml:space="preserve">xistence de tribus </w:t>
      </w:r>
      <w:proofErr w:type="spellStart"/>
      <w:r w:rsidR="00C01E69">
        <w:rPr>
          <w:rFonts w:cstheme="minorHAnsi"/>
          <w:b/>
          <w:lang w:bidi="ar-DZ"/>
        </w:rPr>
        <w:t>surréprésentées</w:t>
      </w:r>
      <w:proofErr w:type="spellEnd"/>
      <w:r w:rsidR="00C01E69">
        <w:rPr>
          <w:rFonts w:cstheme="minorHAnsi"/>
          <w:b/>
          <w:lang w:bidi="ar-DZ"/>
        </w:rPr>
        <w:t xml:space="preserve">, comme les </w:t>
      </w:r>
      <w:proofErr w:type="spellStart"/>
      <w:r w:rsidR="00C01E69">
        <w:rPr>
          <w:rFonts w:cstheme="minorHAnsi"/>
          <w:b/>
          <w:lang w:bidi="ar-DZ"/>
        </w:rPr>
        <w:t>Touadj</w:t>
      </w:r>
      <w:proofErr w:type="spellEnd"/>
      <w:r w:rsidR="00C01E69">
        <w:rPr>
          <w:rStyle w:val="FootnoteReference"/>
          <w:rFonts w:cstheme="minorHAnsi"/>
          <w:b/>
          <w:lang w:bidi="ar-DZ"/>
        </w:rPr>
        <w:footnoteReference w:id="30"/>
      </w:r>
      <w:r w:rsidR="00C01E69">
        <w:rPr>
          <w:rFonts w:cstheme="minorHAnsi"/>
          <w:b/>
          <w:lang w:bidi="ar-DZ"/>
        </w:rPr>
        <w:t>,</w:t>
      </w:r>
      <w:r w:rsidRPr="001E5C12">
        <w:rPr>
          <w:rFonts w:cstheme="minorHAnsi"/>
          <w:b/>
          <w:lang w:bidi="ar-DZ"/>
        </w:rPr>
        <w:t xml:space="preserve"> parmi les opérateurs agréés au commerce du troc.</w:t>
      </w:r>
      <w:r w:rsidRPr="00951611">
        <w:rPr>
          <w:rFonts w:cstheme="minorHAnsi"/>
          <w:lang w:bidi="ar-DZ"/>
        </w:rPr>
        <w:t xml:space="preserve"> Le plus visible compte</w:t>
      </w:r>
      <w:r w:rsidR="00B902A5">
        <w:rPr>
          <w:rFonts w:cstheme="minorHAnsi"/>
          <w:lang w:bidi="ar-DZ"/>
        </w:rPr>
        <w:t xml:space="preserve"> </w:t>
      </w:r>
      <w:r w:rsidRPr="00951611">
        <w:rPr>
          <w:rFonts w:cstheme="minorHAnsi"/>
          <w:lang w:bidi="ar-DZ"/>
        </w:rPr>
        <w:t xml:space="preserve">six opérateurs de la même famille et contrôle 36% du volume des exportations. </w:t>
      </w:r>
      <w:r w:rsidR="00076245">
        <w:rPr>
          <w:rFonts w:cstheme="minorHAnsi"/>
          <w:lang w:bidi="ar-DZ"/>
        </w:rPr>
        <w:t>Cette tribu est également dans l</w:t>
      </w:r>
      <w:r w:rsidRPr="00951611">
        <w:rPr>
          <w:rFonts w:cstheme="minorHAnsi"/>
          <w:lang w:bidi="ar-DZ"/>
        </w:rPr>
        <w:t xml:space="preserve">a liste des commerçants autorisés </w:t>
      </w:r>
      <w:r w:rsidRPr="00951611">
        <w:rPr>
          <w:rFonts w:cstheme="minorHAnsi"/>
          <w:lang w:bidi="ar-DZ"/>
        </w:rPr>
        <w:lastRenderedPageBreak/>
        <w:t>à l'approvisionnement des localités transfrontalières et aussi</w:t>
      </w:r>
      <w:r w:rsidR="00076245">
        <w:rPr>
          <w:rFonts w:cstheme="minorHAnsi"/>
          <w:lang w:bidi="ar-DZ"/>
        </w:rPr>
        <w:t xml:space="preserve">, semble-t-il serait également dans </w:t>
      </w:r>
      <w:r w:rsidRPr="00951611">
        <w:rPr>
          <w:rFonts w:cstheme="minorHAnsi"/>
          <w:lang w:bidi="ar-DZ"/>
        </w:rPr>
        <w:t>la contrebande de carburant.</w:t>
      </w:r>
    </w:p>
    <w:p w14:paraId="35D02738" w14:textId="3E235B18" w:rsidR="00A36EA4" w:rsidRDefault="00A36EA4" w:rsidP="00A36EA4">
      <w:pPr>
        <w:jc w:val="both"/>
        <w:rPr>
          <w:rFonts w:cstheme="minorHAnsi"/>
          <w:lang w:bidi="ar-DZ"/>
        </w:rPr>
      </w:pPr>
      <w:r w:rsidRPr="001E5C12">
        <w:rPr>
          <w:rFonts w:cstheme="minorHAnsi"/>
          <w:b/>
          <w:lang w:bidi="ar-DZ"/>
        </w:rPr>
        <w:t>L'exportation de dattes</w:t>
      </w:r>
      <w:r w:rsidR="00B902A5">
        <w:rPr>
          <w:rFonts w:cstheme="minorHAnsi"/>
          <w:b/>
          <w:lang w:bidi="ar-DZ"/>
        </w:rPr>
        <w:t xml:space="preserve"> </w:t>
      </w:r>
      <w:r w:rsidRPr="001E5C12">
        <w:rPr>
          <w:rFonts w:cstheme="minorHAnsi"/>
          <w:b/>
          <w:lang w:bidi="ar-DZ"/>
        </w:rPr>
        <w:t>par voie du troc permet également de contourner l</w:t>
      </w:r>
      <w:r w:rsidR="00076245">
        <w:rPr>
          <w:rFonts w:cstheme="minorHAnsi"/>
          <w:b/>
          <w:lang w:bidi="ar-DZ"/>
        </w:rPr>
        <w:t xml:space="preserve">a réglementation de change </w:t>
      </w:r>
      <w:r w:rsidRPr="001E5C12">
        <w:rPr>
          <w:rFonts w:cstheme="minorHAnsi"/>
          <w:b/>
          <w:lang w:bidi="ar-DZ"/>
        </w:rPr>
        <w:t xml:space="preserve">rigoureuse en Algérie. </w:t>
      </w:r>
      <w:r w:rsidRPr="003A146E">
        <w:rPr>
          <w:rFonts w:cstheme="minorHAnsi"/>
          <w:lang w:bidi="ar-DZ"/>
        </w:rPr>
        <w:t xml:space="preserve">D'après les déclarations recueillies, les </w:t>
      </w:r>
      <w:r w:rsidR="001C6A6F">
        <w:rPr>
          <w:rFonts w:cstheme="minorHAnsi"/>
          <w:lang w:bidi="ar-DZ"/>
        </w:rPr>
        <w:t>marge</w:t>
      </w:r>
      <w:r w:rsidRPr="003A146E">
        <w:rPr>
          <w:rFonts w:cstheme="minorHAnsi"/>
          <w:lang w:bidi="ar-DZ"/>
        </w:rPr>
        <w:t>s issus des exportations de dattes</w:t>
      </w:r>
      <w:r w:rsidR="00B902A5">
        <w:rPr>
          <w:rFonts w:cstheme="minorHAnsi"/>
          <w:lang w:bidi="ar-DZ"/>
        </w:rPr>
        <w:t xml:space="preserve"> </w:t>
      </w:r>
      <w:r w:rsidRPr="003A146E">
        <w:rPr>
          <w:rFonts w:cstheme="minorHAnsi"/>
          <w:lang w:bidi="ar-DZ"/>
        </w:rPr>
        <w:t>sont converti</w:t>
      </w:r>
      <w:r w:rsidR="00466FB7">
        <w:rPr>
          <w:rFonts w:cstheme="minorHAnsi"/>
          <w:lang w:bidi="ar-DZ"/>
        </w:rPr>
        <w:t>e</w:t>
      </w:r>
      <w:r w:rsidRPr="003A146E">
        <w:rPr>
          <w:rFonts w:cstheme="minorHAnsi"/>
          <w:lang w:bidi="ar-DZ"/>
        </w:rPr>
        <w:t>s au niveau des bureaux de change au Niger puis transférés soit par</w:t>
      </w:r>
      <w:r w:rsidR="00B902A5">
        <w:rPr>
          <w:rFonts w:cstheme="minorHAnsi"/>
          <w:lang w:bidi="ar-DZ"/>
        </w:rPr>
        <w:t xml:space="preserve"> </w:t>
      </w:r>
      <w:r w:rsidRPr="003A146E">
        <w:rPr>
          <w:rFonts w:cstheme="minorHAnsi"/>
          <w:lang w:bidi="ar-DZ"/>
        </w:rPr>
        <w:t xml:space="preserve">union gram, </w:t>
      </w:r>
      <w:r w:rsidR="00C74530">
        <w:rPr>
          <w:rFonts w:cstheme="minorHAnsi"/>
          <w:lang w:bidi="ar-DZ"/>
        </w:rPr>
        <w:t>W</w:t>
      </w:r>
      <w:r w:rsidRPr="003A146E">
        <w:rPr>
          <w:rFonts w:cstheme="minorHAnsi"/>
          <w:lang w:bidi="ar-DZ"/>
        </w:rPr>
        <w:t xml:space="preserve">estern </w:t>
      </w:r>
      <w:r w:rsidR="00C74530">
        <w:rPr>
          <w:rFonts w:cstheme="minorHAnsi"/>
          <w:lang w:bidi="ar-DZ"/>
        </w:rPr>
        <w:t>U</w:t>
      </w:r>
      <w:r w:rsidRPr="003A146E">
        <w:rPr>
          <w:rFonts w:cstheme="minorHAnsi"/>
          <w:lang w:bidi="ar-DZ"/>
        </w:rPr>
        <w:t>nion et notamment par</w:t>
      </w:r>
      <w:r w:rsidR="00B902A5">
        <w:rPr>
          <w:rFonts w:cstheme="minorHAnsi"/>
          <w:lang w:bidi="ar-DZ"/>
        </w:rPr>
        <w:t xml:space="preserve"> </w:t>
      </w:r>
      <w:r w:rsidRPr="003A146E">
        <w:rPr>
          <w:rFonts w:cstheme="minorHAnsi"/>
          <w:lang w:bidi="ar-DZ"/>
        </w:rPr>
        <w:t>le système de</w:t>
      </w:r>
      <w:r w:rsidR="00B902A5">
        <w:rPr>
          <w:rFonts w:cstheme="minorHAnsi"/>
          <w:lang w:bidi="ar-DZ"/>
        </w:rPr>
        <w:t xml:space="preserve"> </w:t>
      </w:r>
      <w:proofErr w:type="spellStart"/>
      <w:r w:rsidRPr="003A146E">
        <w:rPr>
          <w:rFonts w:cstheme="minorHAnsi"/>
          <w:lang w:bidi="ar-DZ"/>
        </w:rPr>
        <w:t>hawala</w:t>
      </w:r>
      <w:proofErr w:type="spellEnd"/>
      <w:r w:rsidR="00B902A5">
        <w:rPr>
          <w:rFonts w:cstheme="minorHAnsi"/>
          <w:lang w:bidi="ar-DZ"/>
        </w:rPr>
        <w:t xml:space="preserve"> </w:t>
      </w:r>
      <w:r w:rsidRPr="003A146E">
        <w:rPr>
          <w:rFonts w:cstheme="minorHAnsi"/>
          <w:lang w:bidi="ar-DZ"/>
        </w:rPr>
        <w:t>vers Dubaï et</w:t>
      </w:r>
      <w:r w:rsidR="00B902A5">
        <w:rPr>
          <w:rFonts w:cstheme="minorHAnsi"/>
          <w:lang w:bidi="ar-DZ"/>
        </w:rPr>
        <w:t xml:space="preserve"> </w:t>
      </w:r>
      <w:r w:rsidRPr="003A146E">
        <w:rPr>
          <w:rFonts w:cstheme="minorHAnsi"/>
          <w:lang w:bidi="ar-DZ"/>
        </w:rPr>
        <w:t xml:space="preserve">alimente ainsi le commerce informel international. Ce système est utilisé notamment pour le règlement des opérations commerciales informelles contractées avec des importateurs de la région du </w:t>
      </w:r>
      <w:r w:rsidR="00AF3227">
        <w:rPr>
          <w:rFonts w:cstheme="minorHAnsi"/>
          <w:lang w:bidi="ar-DZ"/>
        </w:rPr>
        <w:t>nord</w:t>
      </w:r>
      <w:r w:rsidRPr="003A146E">
        <w:rPr>
          <w:rFonts w:cstheme="minorHAnsi"/>
          <w:lang w:bidi="ar-DZ"/>
        </w:rPr>
        <w:t xml:space="preserve"> et de l'est de l'Algérie. </w:t>
      </w:r>
    </w:p>
    <w:p w14:paraId="48A5B41F" w14:textId="6D6A8D3E" w:rsidR="00CD10F2" w:rsidRDefault="00CD10F2" w:rsidP="00CD10F2">
      <w:pPr>
        <w:jc w:val="both"/>
        <w:rPr>
          <w:rFonts w:cstheme="minorHAnsi"/>
        </w:rPr>
      </w:pPr>
      <w:r w:rsidRPr="004C5D0F">
        <w:rPr>
          <w:rFonts w:cstheme="minorHAnsi"/>
          <w:b/>
        </w:rPr>
        <w:t>Malgré le dispositif mis en place par l’Algérie, les résultats des actions de lutte contre la contrebande restent encore faibles en termes de lutte contre la fraude.</w:t>
      </w:r>
      <w:r w:rsidRPr="004C5D0F">
        <w:rPr>
          <w:rFonts w:cstheme="minorHAnsi"/>
        </w:rPr>
        <w:t xml:space="preserve"> Sur les 6312 affaires de </w:t>
      </w:r>
      <w:r w:rsidRPr="00312537">
        <w:rPr>
          <w:rFonts w:cstheme="minorHAnsi"/>
        </w:rPr>
        <w:t>contrebande constatées</w:t>
      </w:r>
      <w:r w:rsidR="00DD32E8">
        <w:rPr>
          <w:rFonts w:cstheme="minorHAnsi"/>
        </w:rPr>
        <w:t xml:space="preserve"> </w:t>
      </w:r>
      <w:r w:rsidRPr="00312537">
        <w:rPr>
          <w:rFonts w:cstheme="minorHAnsi"/>
        </w:rPr>
        <w:t>en 2011  sur le territoire algérien, 3% seulement ont été réalisés au niveau de Tamanrasset  et 8% sur les trois régions du sud (Tamanrasset, Illizi et Bechar). La valeur des marchandises saisies au niveau de la région de Tamanrasset  représent</w:t>
      </w:r>
      <w:r w:rsidR="00076245">
        <w:rPr>
          <w:rFonts w:cstheme="minorHAnsi"/>
        </w:rPr>
        <w:t>ai</w:t>
      </w:r>
      <w:r w:rsidRPr="00312537">
        <w:rPr>
          <w:rFonts w:cstheme="minorHAnsi"/>
        </w:rPr>
        <w:t>ent 4,34%  de la valeur  totale des saisies au niveau national</w:t>
      </w:r>
      <w:r w:rsidRPr="00312537">
        <w:rPr>
          <w:rStyle w:val="FootnoteReference"/>
          <w:rFonts w:cstheme="minorHAnsi"/>
        </w:rPr>
        <w:footnoteReference w:id="31"/>
      </w:r>
      <w:r w:rsidRPr="00312537">
        <w:rPr>
          <w:rFonts w:cstheme="minorHAnsi"/>
        </w:rPr>
        <w:t xml:space="preserve">.  </w:t>
      </w:r>
    </w:p>
    <w:p w14:paraId="0D7D6BF5" w14:textId="48D9D43F" w:rsidR="00EB6FD2" w:rsidRPr="00DB40B5" w:rsidRDefault="00EB6FD2" w:rsidP="00EB6FD2">
      <w:pPr>
        <w:pStyle w:val="Heading3"/>
        <w:rPr>
          <w:lang w:bidi="ar-DZ"/>
        </w:rPr>
      </w:pPr>
      <w:bookmarkStart w:id="35" w:name="_Toc384903164"/>
      <w:r>
        <w:rPr>
          <w:lang w:bidi="ar-DZ"/>
        </w:rPr>
        <w:t xml:space="preserve">Les </w:t>
      </w:r>
      <w:r w:rsidR="00076245">
        <w:rPr>
          <w:lang w:bidi="ar-DZ"/>
        </w:rPr>
        <w:t xml:space="preserve">liens avec la faible </w:t>
      </w:r>
      <w:r>
        <w:rPr>
          <w:lang w:bidi="ar-DZ"/>
        </w:rPr>
        <w:t>gouvernance au</w:t>
      </w:r>
      <w:r w:rsidR="00076245">
        <w:rPr>
          <w:lang w:bidi="ar-DZ"/>
        </w:rPr>
        <w:t xml:space="preserve"> nord</w:t>
      </w:r>
      <w:r>
        <w:rPr>
          <w:lang w:bidi="ar-DZ"/>
        </w:rPr>
        <w:t xml:space="preserve"> Mali</w:t>
      </w:r>
      <w:bookmarkEnd w:id="35"/>
    </w:p>
    <w:p w14:paraId="73919905" w14:textId="7088505A" w:rsidR="005A4554" w:rsidRPr="00C65CC6" w:rsidRDefault="00C65CC6" w:rsidP="00C65CC6">
      <w:pPr>
        <w:shd w:val="clear" w:color="auto" w:fill="FFFFFF"/>
        <w:spacing w:after="0"/>
        <w:jc w:val="both"/>
      </w:pPr>
      <w:r w:rsidRPr="00A400CD">
        <w:rPr>
          <w:rFonts w:cs="Helvetica"/>
        </w:rPr>
        <w:t>Depuis le milieu</w:t>
      </w:r>
      <w:r>
        <w:rPr>
          <w:rFonts w:cs="Helvetica"/>
        </w:rPr>
        <w:t xml:space="preserve"> des années 2000, des efforts avaien</w:t>
      </w:r>
      <w:r w:rsidRPr="00A400CD">
        <w:rPr>
          <w:rFonts w:cs="Helvetica"/>
        </w:rPr>
        <w:t xml:space="preserve">t été entrepris afin de réaffirmer la présence de la douane au </w:t>
      </w:r>
      <w:r w:rsidR="00AF3227">
        <w:rPr>
          <w:rFonts w:cs="Helvetica"/>
        </w:rPr>
        <w:t>nord</w:t>
      </w:r>
      <w:r w:rsidRPr="00A400CD">
        <w:rPr>
          <w:rFonts w:cs="Helvetica"/>
        </w:rPr>
        <w:t xml:space="preserve"> du Mali, notamment à Tombouctou</w:t>
      </w:r>
      <w:r>
        <w:rPr>
          <w:rFonts w:cs="Helvetica"/>
        </w:rPr>
        <w:t xml:space="preserve">. </w:t>
      </w:r>
      <w:r w:rsidRPr="00A400CD">
        <w:t>Avant la crise</w:t>
      </w:r>
      <w:r w:rsidR="00C91E19">
        <w:t xml:space="preserve"> de 2012</w:t>
      </w:r>
      <w:r w:rsidRPr="00A400CD">
        <w:t xml:space="preserve">, un poste douanier fonctionnait à In Khalil et permettait de collecter des droits de douane. </w:t>
      </w:r>
      <w:r>
        <w:t>L</w:t>
      </w:r>
      <w:r w:rsidR="005A4554" w:rsidRPr="00C65CC6">
        <w:rPr>
          <w:rFonts w:eastAsia="Times New Roman" w:cs="Tahoma"/>
        </w:rPr>
        <w:t>es douanes fixaient un prix forfaitaire selon la marchandise transportée plus ou moins symbolique pour chaque camion entrant, mais à la seule con</w:t>
      </w:r>
      <w:r w:rsidR="00984AA9" w:rsidRPr="00C65CC6">
        <w:rPr>
          <w:rFonts w:eastAsia="Times New Roman" w:cs="Tahoma"/>
        </w:rPr>
        <w:t>dition que le camion ne continuait</w:t>
      </w:r>
      <w:r w:rsidR="005A4554" w:rsidRPr="00C65CC6">
        <w:rPr>
          <w:rFonts w:eastAsia="Times New Roman" w:cs="Tahoma"/>
        </w:rPr>
        <w:t xml:space="preserve"> pas sa rout</w:t>
      </w:r>
      <w:r w:rsidR="00984AA9" w:rsidRPr="00C65CC6">
        <w:rPr>
          <w:rFonts w:eastAsia="Times New Roman" w:cs="Tahoma"/>
        </w:rPr>
        <w:t>e au sud, auquel cas le prix était et il devenait</w:t>
      </w:r>
      <w:r w:rsidR="005A4554" w:rsidRPr="00C65CC6">
        <w:rPr>
          <w:rFonts w:eastAsia="Times New Roman" w:cs="Tahoma"/>
        </w:rPr>
        <w:t xml:space="preserve"> nécessaire </w:t>
      </w:r>
      <w:r w:rsidR="00984AA9" w:rsidRPr="00C65CC6">
        <w:rPr>
          <w:rFonts w:eastAsia="Times New Roman" w:cs="Tahoma"/>
        </w:rPr>
        <w:t>de faire une déclaration d’importation</w:t>
      </w:r>
      <w:r w:rsidR="00F65230">
        <w:rPr>
          <w:rStyle w:val="FootnoteReference"/>
          <w:rFonts w:eastAsia="Times New Roman" w:cs="Tahoma"/>
        </w:rPr>
        <w:footnoteReference w:id="32"/>
      </w:r>
      <w:r w:rsidR="005A4554" w:rsidRPr="00C65CC6">
        <w:rPr>
          <w:rFonts w:eastAsia="Times New Roman" w:cs="Tahoma"/>
        </w:rPr>
        <w:t xml:space="preserve">. </w:t>
      </w:r>
      <w:r w:rsidR="00984AA9" w:rsidRPr="00C65CC6">
        <w:rPr>
          <w:rFonts w:eastAsia="Times New Roman" w:cs="Tahoma"/>
        </w:rPr>
        <w:t xml:space="preserve">Ceci explique ainsi la faiblesse des données officielles d’importations dans la mesure où les importations à destination du </w:t>
      </w:r>
      <w:r w:rsidR="00AF3227">
        <w:rPr>
          <w:rFonts w:eastAsia="Times New Roman" w:cs="Tahoma"/>
        </w:rPr>
        <w:t>Nord</w:t>
      </w:r>
      <w:r w:rsidR="00984AA9" w:rsidRPr="00C65CC6">
        <w:rPr>
          <w:rFonts w:eastAsia="Times New Roman" w:cs="Tahoma"/>
        </w:rPr>
        <w:t xml:space="preserve"> n’étaient pas déclarées.</w:t>
      </w:r>
    </w:p>
    <w:p w14:paraId="33A837B9" w14:textId="77777777" w:rsidR="00C65CC6" w:rsidRDefault="00C65CC6" w:rsidP="00C65CC6">
      <w:pPr>
        <w:shd w:val="clear" w:color="auto" w:fill="FFFFFF"/>
        <w:spacing w:after="0"/>
        <w:jc w:val="both"/>
        <w:rPr>
          <w:rFonts w:eastAsia="Times New Roman" w:cs="Tahoma"/>
        </w:rPr>
      </w:pPr>
    </w:p>
    <w:p w14:paraId="576E850E" w14:textId="130009CF" w:rsidR="005A4554" w:rsidRPr="00984AA9" w:rsidRDefault="005A4554" w:rsidP="00C65CC6">
      <w:pPr>
        <w:shd w:val="clear" w:color="auto" w:fill="FFFFFF"/>
        <w:spacing w:after="0"/>
        <w:jc w:val="both"/>
        <w:rPr>
          <w:rFonts w:ascii="Calibri" w:hAnsi="Calibri" w:cs="Helvetica"/>
        </w:rPr>
      </w:pPr>
      <w:r w:rsidRPr="00C65CC6">
        <w:rPr>
          <w:rFonts w:ascii="Calibri" w:hAnsi="Calibri" w:cs="Helvetica"/>
        </w:rPr>
        <w:t>De source douanière, 60% des flux échappe</w:t>
      </w:r>
      <w:r w:rsidR="00984AA9" w:rsidRPr="00C65CC6">
        <w:rPr>
          <w:rFonts w:ascii="Calibri" w:hAnsi="Calibri" w:cs="Helvetica"/>
        </w:rPr>
        <w:t>raient</w:t>
      </w:r>
      <w:r w:rsidRPr="00C65CC6">
        <w:rPr>
          <w:rFonts w:ascii="Calibri" w:hAnsi="Calibri" w:cs="Helvetica"/>
        </w:rPr>
        <w:t xml:space="preserve"> au contrôle des douanes. Par ailleurs, les quantités dé</w:t>
      </w:r>
      <w:r w:rsidR="00984AA9" w:rsidRPr="00C65CC6">
        <w:rPr>
          <w:rFonts w:ascii="Calibri" w:hAnsi="Calibri" w:cs="Helvetica"/>
        </w:rPr>
        <w:t xml:space="preserve">clarées auprès des douanes seraient </w:t>
      </w:r>
      <w:r w:rsidRPr="00C65CC6">
        <w:rPr>
          <w:rFonts w:ascii="Calibri" w:hAnsi="Calibri" w:cs="Helvetica"/>
        </w:rPr>
        <w:t>généralement inférieures de 40 à 50% par rapport à la réalité des flux. Enfin, les camions s</w:t>
      </w:r>
      <w:r w:rsidR="00984AA9" w:rsidRPr="00C65CC6">
        <w:rPr>
          <w:rFonts w:ascii="Calibri" w:hAnsi="Calibri" w:cs="Helvetica"/>
        </w:rPr>
        <w:t>eraie</w:t>
      </w:r>
      <w:r w:rsidRPr="00C65CC6">
        <w:rPr>
          <w:rFonts w:ascii="Calibri" w:hAnsi="Calibri" w:cs="Helvetica"/>
        </w:rPr>
        <w:t xml:space="preserve">nt surchargés de 20 à 30%. </w:t>
      </w:r>
      <w:r w:rsidR="00984AA9" w:rsidRPr="00C65CC6">
        <w:rPr>
          <w:rFonts w:ascii="Calibri" w:hAnsi="Calibri" w:cs="Helvetica"/>
        </w:rPr>
        <w:t>Ainsi, les biens seraient déclarés en mo</w:t>
      </w:r>
      <w:r w:rsidR="00C65CC6" w:rsidRPr="00C65CC6">
        <w:rPr>
          <w:rFonts w:ascii="Calibri" w:hAnsi="Calibri" w:cs="Helvetica"/>
        </w:rPr>
        <w:t>yenne à 20% de la valeur réelle de la cargaison et la corruption ét</w:t>
      </w:r>
      <w:r w:rsidR="00984AA9" w:rsidRPr="00C65CC6">
        <w:rPr>
          <w:rFonts w:ascii="Calibri" w:hAnsi="Calibri" w:cs="Helvetica"/>
        </w:rPr>
        <w:t xml:space="preserve">ait monnaie courante. </w:t>
      </w:r>
      <w:r w:rsidR="00C65CC6">
        <w:rPr>
          <w:rFonts w:ascii="Calibri" w:hAnsi="Calibri" w:cs="Helvetica"/>
        </w:rPr>
        <w:t xml:space="preserve">En moyenne, les douanes du </w:t>
      </w:r>
      <w:r w:rsidR="00AF3227">
        <w:rPr>
          <w:rFonts w:ascii="Calibri" w:hAnsi="Calibri" w:cs="Helvetica"/>
        </w:rPr>
        <w:t>nord</w:t>
      </w:r>
      <w:r w:rsidR="00C65CC6">
        <w:rPr>
          <w:rFonts w:ascii="Calibri" w:hAnsi="Calibri" w:cs="Helvetica"/>
        </w:rPr>
        <w:t xml:space="preserve"> collectaient environ 1 à 1,5</w:t>
      </w:r>
      <w:r w:rsidR="00B902A5">
        <w:rPr>
          <w:rFonts w:ascii="Calibri" w:hAnsi="Calibri" w:cs="Helvetica"/>
        </w:rPr>
        <w:t xml:space="preserve"> </w:t>
      </w:r>
      <w:r w:rsidR="00C65CC6">
        <w:rPr>
          <w:rFonts w:ascii="Calibri" w:hAnsi="Calibri" w:cs="Helvetica"/>
        </w:rPr>
        <w:t>million USD, ce qui veut dire que les marchandises étaient sûrement dédouanées</w:t>
      </w:r>
      <w:r w:rsidR="005726AF">
        <w:rPr>
          <w:rFonts w:ascii="Calibri" w:hAnsi="Calibri" w:cs="Helvetica"/>
        </w:rPr>
        <w:t xml:space="preserve"> à environ 5-10% de la valeur (pour un taux moyen de droits à 20-25%)</w:t>
      </w:r>
      <w:r w:rsidR="00C91E19">
        <w:rPr>
          <w:rStyle w:val="FootnoteReference"/>
          <w:rFonts w:ascii="Calibri" w:hAnsi="Calibri" w:cs="Helvetica"/>
        </w:rPr>
        <w:footnoteReference w:id="33"/>
      </w:r>
      <w:r w:rsidR="005726AF">
        <w:rPr>
          <w:rFonts w:ascii="Calibri" w:hAnsi="Calibri" w:cs="Helvetica"/>
        </w:rPr>
        <w:t>.</w:t>
      </w:r>
    </w:p>
    <w:p w14:paraId="45F3438D" w14:textId="77777777" w:rsidR="00C65CC6" w:rsidRDefault="00C65CC6" w:rsidP="005A27FC">
      <w:pPr>
        <w:shd w:val="clear" w:color="auto" w:fill="FFFFFF"/>
        <w:spacing w:after="0"/>
        <w:jc w:val="both"/>
        <w:rPr>
          <w:rFonts w:cs="Helvetica"/>
        </w:rPr>
      </w:pPr>
    </w:p>
    <w:p w14:paraId="20734D6B" w14:textId="5809C855" w:rsidR="005A27FC" w:rsidRPr="00F65230" w:rsidRDefault="005726AF" w:rsidP="005A27FC">
      <w:pPr>
        <w:shd w:val="clear" w:color="auto" w:fill="FFFFFF"/>
        <w:spacing w:after="0"/>
        <w:jc w:val="both"/>
        <w:rPr>
          <w:rFonts w:eastAsia="Times New Roman" w:cs="Tahoma"/>
        </w:rPr>
      </w:pPr>
      <w:r>
        <w:rPr>
          <w:rFonts w:eastAsia="Times New Roman" w:cs="Tahoma"/>
        </w:rPr>
        <w:t xml:space="preserve">Mais aujourd’hui, la situation semble s’être </w:t>
      </w:r>
      <w:r w:rsidR="00076245">
        <w:rPr>
          <w:rFonts w:eastAsia="Times New Roman" w:cs="Tahoma"/>
        </w:rPr>
        <w:t xml:space="preserve">encore plus </w:t>
      </w:r>
      <w:r>
        <w:rPr>
          <w:rFonts w:eastAsia="Times New Roman" w:cs="Tahoma"/>
        </w:rPr>
        <w:t xml:space="preserve">détériorée puisque ce sont </w:t>
      </w:r>
      <w:r w:rsidR="00F65230">
        <w:rPr>
          <w:rFonts w:eastAsia="Times New Roman" w:cs="Tahoma"/>
        </w:rPr>
        <w:t>quelques dizaines de milliers de dollars qui sont collectés (soit un dédouanement à moins de 1% de la valeur) et</w:t>
      </w:r>
      <w:r w:rsidR="00C91E19">
        <w:rPr>
          <w:rFonts w:eastAsia="Times New Roman" w:cs="Tahoma"/>
        </w:rPr>
        <w:t xml:space="preserve"> </w:t>
      </w:r>
      <w:r w:rsidR="00F65230">
        <w:rPr>
          <w:rFonts w:eastAsia="Times New Roman" w:cs="Tahoma"/>
        </w:rPr>
        <w:t>i</w:t>
      </w:r>
      <w:r w:rsidR="00C65CC6" w:rsidRPr="00C65CC6">
        <w:rPr>
          <w:rFonts w:eastAsia="Times New Roman" w:cs="Tahoma"/>
        </w:rPr>
        <w:t xml:space="preserve">l n’existe </w:t>
      </w:r>
      <w:r w:rsidR="00F65230">
        <w:rPr>
          <w:rFonts w:eastAsia="Times New Roman" w:cs="Tahoma"/>
        </w:rPr>
        <w:t xml:space="preserve">plus </w:t>
      </w:r>
      <w:r w:rsidR="00C65CC6" w:rsidRPr="00C65CC6">
        <w:rPr>
          <w:rFonts w:eastAsia="Times New Roman" w:cs="Tahoma"/>
        </w:rPr>
        <w:t xml:space="preserve">aucun poste de douane dans tout le </w:t>
      </w:r>
      <w:r w:rsidR="00AF3227">
        <w:rPr>
          <w:rFonts w:eastAsia="Times New Roman" w:cs="Tahoma"/>
        </w:rPr>
        <w:t>nord</w:t>
      </w:r>
      <w:r w:rsidR="00C65CC6" w:rsidRPr="00C65CC6">
        <w:rPr>
          <w:rFonts w:eastAsia="Times New Roman" w:cs="Tahoma"/>
        </w:rPr>
        <w:t xml:space="preserve"> du Mali, en tout premier lieu en raison de la rébellion de janvier 2012.</w:t>
      </w:r>
      <w:r w:rsidR="00951C09" w:rsidRPr="00A400CD">
        <w:rPr>
          <w:rFonts w:cs="Helvetica"/>
        </w:rPr>
        <w:t>Les douanes maliennes peinent à s’imposer face à des acteurs de la contrebande de plus en plus organisés</w:t>
      </w:r>
      <w:r w:rsidR="00EB6FD2" w:rsidRPr="00A400CD">
        <w:rPr>
          <w:rFonts w:cs="Helvetica"/>
        </w:rPr>
        <w:t xml:space="preserve"> et qui n</w:t>
      </w:r>
      <w:r w:rsidR="00076245">
        <w:rPr>
          <w:rFonts w:cs="Helvetica"/>
        </w:rPr>
        <w:t>’ont guère de peine à rendre inopérants</w:t>
      </w:r>
      <w:r w:rsidR="00EB6FD2" w:rsidRPr="00A400CD">
        <w:rPr>
          <w:rFonts w:cs="Helvetica"/>
        </w:rPr>
        <w:t xml:space="preserve"> les douaniers</w:t>
      </w:r>
      <w:r w:rsidR="00951C09" w:rsidRPr="00A400CD">
        <w:rPr>
          <w:rFonts w:cs="Helvetica"/>
        </w:rPr>
        <w:t xml:space="preserve">. </w:t>
      </w:r>
      <w:r w:rsidR="00F65230">
        <w:rPr>
          <w:rFonts w:eastAsia="Times New Roman" w:cs="Tahoma"/>
        </w:rPr>
        <w:t>L</w:t>
      </w:r>
      <w:r w:rsidR="00C07505" w:rsidRPr="00A400CD">
        <w:t>es douanes redémarrent timidement à Tombouctou et à Gao, ave</w:t>
      </w:r>
      <w:r w:rsidR="00076245">
        <w:t>c seulement quelques agents</w:t>
      </w:r>
      <w:r w:rsidR="00C07505" w:rsidRPr="00A400CD">
        <w:t xml:space="preserve"> dans ces deux villes mais incapables de circuler dans la région, tandis que la douane reste absente à Kidal. </w:t>
      </w:r>
    </w:p>
    <w:p w14:paraId="026DC982" w14:textId="77777777" w:rsidR="00C07505" w:rsidRDefault="00C07505" w:rsidP="005A27FC">
      <w:pPr>
        <w:shd w:val="clear" w:color="auto" w:fill="FFFFFF"/>
        <w:spacing w:after="0"/>
        <w:jc w:val="both"/>
      </w:pPr>
    </w:p>
    <w:p w14:paraId="48D82637" w14:textId="6B7F9C49" w:rsidR="005A4396" w:rsidRDefault="00C07505" w:rsidP="005A27FC">
      <w:pPr>
        <w:shd w:val="clear" w:color="auto" w:fill="FFFFFF"/>
        <w:spacing w:after="0"/>
        <w:jc w:val="both"/>
      </w:pPr>
      <w:r w:rsidRPr="00A400CD">
        <w:t>Le Mali revêt quelques s</w:t>
      </w:r>
      <w:r w:rsidR="00371F27" w:rsidRPr="00A400CD">
        <w:t xml:space="preserve">imilitudes avec l’Algérie, puisque </w:t>
      </w:r>
      <w:r w:rsidR="0081011F" w:rsidRPr="00A400CD">
        <w:t xml:space="preserve">les réseaux de notabilité du </w:t>
      </w:r>
      <w:r w:rsidR="00AF3227">
        <w:t>nord</w:t>
      </w:r>
      <w:r w:rsidR="0081011F" w:rsidRPr="00A400CD">
        <w:t xml:space="preserve"> Mali contrôlent les principales filières de comme</w:t>
      </w:r>
      <w:r w:rsidR="00CA1BAA">
        <w:t>rce. Il n’est pas rare que des maires, des députés, des présidents de chambre de c</w:t>
      </w:r>
      <w:r w:rsidR="0081011F" w:rsidRPr="00A400CD">
        <w:t xml:space="preserve">ommerce régionales, </w:t>
      </w:r>
      <w:r w:rsidR="00C629AA" w:rsidRPr="00A400CD">
        <w:t xml:space="preserve">ou du Haut Conseil des Collectivités, </w:t>
      </w:r>
      <w:r w:rsidR="0081011F" w:rsidRPr="00A400CD">
        <w:t>ou leurs proches parents, soient impliqués dans ces filières</w:t>
      </w:r>
      <w:r w:rsidR="00CA1BAA">
        <w:rPr>
          <w:rStyle w:val="FootnoteReference"/>
        </w:rPr>
        <w:footnoteReference w:id="34"/>
      </w:r>
      <w:r w:rsidR="0081011F" w:rsidRPr="00A400CD">
        <w:t>.</w:t>
      </w:r>
      <w:r w:rsidR="005A4396" w:rsidRPr="00A400CD">
        <w:t xml:space="preserve"> Cela accroît la </w:t>
      </w:r>
      <w:r w:rsidR="001C6A6F">
        <w:t>marge</w:t>
      </w:r>
      <w:r w:rsidR="005A4396" w:rsidRPr="00A400CD">
        <w:t xml:space="preserve"> de postes à responsabilité au </w:t>
      </w:r>
      <w:r w:rsidR="00AF3227">
        <w:t>nord</w:t>
      </w:r>
      <w:r w:rsidR="005A4396" w:rsidRPr="00A400CD">
        <w:t xml:space="preserve"> du Mali mais érode la légitimité de ces représentants ou élus de l’Etat auprès de la population.</w:t>
      </w:r>
    </w:p>
    <w:p w14:paraId="273EE958" w14:textId="77777777" w:rsidR="00050B5C" w:rsidRDefault="00050B5C" w:rsidP="005A27FC">
      <w:pPr>
        <w:shd w:val="clear" w:color="auto" w:fill="FFFFFF"/>
        <w:spacing w:after="0"/>
        <w:jc w:val="both"/>
      </w:pPr>
    </w:p>
    <w:p w14:paraId="338AABE3" w14:textId="77777777" w:rsidR="00050B5C" w:rsidRPr="00A400CD" w:rsidRDefault="00050B5C" w:rsidP="005A27FC">
      <w:pPr>
        <w:shd w:val="clear" w:color="auto" w:fill="FFFFFF"/>
        <w:spacing w:after="0"/>
        <w:jc w:val="both"/>
      </w:pPr>
      <w:r>
        <w:t>En outre, la répression est d’autant plus difficile que ce sont des réseaux décentralisés de commerçants qui contrôlent les flux (Walther 2014). Aussi, lorsqu’une cargaison est saisie ou un commerçant neutralisé, il est possible à un autre membre du réseau de le remplacer et de continuer le trafic.</w:t>
      </w:r>
    </w:p>
    <w:p w14:paraId="69F0F1EA" w14:textId="77777777" w:rsidR="005A4396" w:rsidRDefault="005A4396" w:rsidP="005A27FC">
      <w:pPr>
        <w:shd w:val="clear" w:color="auto" w:fill="FFFFFF"/>
        <w:spacing w:after="0"/>
        <w:jc w:val="both"/>
      </w:pPr>
    </w:p>
    <w:p w14:paraId="50BD5563" w14:textId="4F3784E2" w:rsidR="00076245" w:rsidRPr="00076245" w:rsidRDefault="008D3A6E" w:rsidP="00076245">
      <w:pPr>
        <w:shd w:val="clear" w:color="auto" w:fill="FFFFFF"/>
        <w:spacing w:after="0"/>
        <w:jc w:val="both"/>
      </w:pPr>
      <w:r>
        <w:t>La contrebande maintient ainsi les difficultés à</w:t>
      </w:r>
      <w:r w:rsidRPr="00A400CD">
        <w:rPr>
          <w:rFonts w:cs="Helvetica"/>
        </w:rPr>
        <w:t xml:space="preserve"> l’érection d’institutions étatiques solides au </w:t>
      </w:r>
      <w:r>
        <w:rPr>
          <w:rFonts w:cs="Helvetica"/>
        </w:rPr>
        <w:t>nord</w:t>
      </w:r>
      <w:r w:rsidRPr="00A400CD">
        <w:rPr>
          <w:rFonts w:cs="Helvetica"/>
        </w:rPr>
        <w:t xml:space="preserve"> du Mali. </w:t>
      </w:r>
      <w:r>
        <w:rPr>
          <w:rFonts w:cs="Helvetica"/>
        </w:rPr>
        <w:t>L</w:t>
      </w:r>
      <w:r w:rsidR="003B4619" w:rsidRPr="00A400CD">
        <w:t xml:space="preserve">es réseaux de contrebande sont la cible de réseaux de blanchiment, certains narcotrafiquants cherchant à </w:t>
      </w:r>
      <w:r w:rsidR="00C629AA" w:rsidRPr="00A400CD">
        <w:t>diversifier leurs activités vers des</w:t>
      </w:r>
      <w:r w:rsidR="003B4619" w:rsidRPr="00A400CD">
        <w:t xml:space="preserve"> filières de contrebande de produits de première nécessité </w:t>
      </w:r>
      <w:r w:rsidR="00C629AA" w:rsidRPr="00A400CD">
        <w:t xml:space="preserve">en guise de </w:t>
      </w:r>
      <w:r w:rsidR="003B4619" w:rsidRPr="00A400CD">
        <w:t xml:space="preserve">paravent, d’autres finançant </w:t>
      </w:r>
      <w:r w:rsidR="00C629AA" w:rsidRPr="00A400CD">
        <w:t xml:space="preserve">avec de l’argent tiré de la drogue </w:t>
      </w:r>
      <w:r w:rsidR="005A4396" w:rsidRPr="00A400CD">
        <w:t xml:space="preserve">de nouveaux commerçants ou détaillants sous forme de prêt. </w:t>
      </w:r>
      <w:r w:rsidR="00076245">
        <w:t xml:space="preserve"> </w:t>
      </w:r>
      <w:proofErr w:type="spellStart"/>
      <w:r w:rsidR="00251605">
        <w:t>Lacher</w:t>
      </w:r>
      <w:proofErr w:type="spellEnd"/>
      <w:r w:rsidR="00251605">
        <w:t xml:space="preserve"> (2012) explique ainsi que la frontière est parfois floue entre contrebandiers </w:t>
      </w:r>
      <w:r>
        <w:t xml:space="preserve">et trafiquants de drogue par exemple. </w:t>
      </w:r>
    </w:p>
    <w:p w14:paraId="787125BB" w14:textId="7DB6668B" w:rsidR="00551438" w:rsidRDefault="00BD0E29" w:rsidP="00B46E42">
      <w:pPr>
        <w:pStyle w:val="Heading2"/>
      </w:pPr>
      <w:bookmarkStart w:id="36" w:name="_Toc384903165"/>
      <w:r>
        <w:t>L’impact macro</w:t>
      </w:r>
      <w:r w:rsidR="004D3684">
        <w:t>-</w:t>
      </w:r>
      <w:r>
        <w:t>économique</w:t>
      </w:r>
      <w:r w:rsidR="004D3684">
        <w:t xml:space="preserve"> </w:t>
      </w:r>
      <w:r w:rsidR="00052FED">
        <w:t>faible</w:t>
      </w:r>
      <w:bookmarkEnd w:id="36"/>
    </w:p>
    <w:p w14:paraId="27C17F4E" w14:textId="76343704" w:rsidR="00BD0E29" w:rsidRDefault="00861534" w:rsidP="003E5B51">
      <w:pPr>
        <w:jc w:val="both"/>
      </w:pPr>
      <w:r w:rsidRPr="00E4667E">
        <w:rPr>
          <w:b/>
        </w:rPr>
        <w:t>L</w:t>
      </w:r>
      <w:r w:rsidR="00BD0E29" w:rsidRPr="00E4667E">
        <w:rPr>
          <w:b/>
        </w:rPr>
        <w:t xml:space="preserve">es pertes de recettes </w:t>
      </w:r>
      <w:r w:rsidRPr="00E4667E">
        <w:rPr>
          <w:b/>
        </w:rPr>
        <w:t>pour le Mali sont très</w:t>
      </w:r>
      <w:r w:rsidR="00BD0E29" w:rsidRPr="00E4667E">
        <w:rPr>
          <w:b/>
        </w:rPr>
        <w:t xml:space="preserve"> faibles</w:t>
      </w:r>
      <w:r w:rsidR="003E5B51">
        <w:t xml:space="preserve">. En effet, si on prend un taux moyen de 20% de la valeur (un taux plus élevé que la réalité), le potentiel de recettes se situerait aux alentours de 10 millions de dollars (contre 25 millions en 2011). </w:t>
      </w:r>
    </w:p>
    <w:p w14:paraId="7A763FD6" w14:textId="14FEC590" w:rsidR="00A63ED2" w:rsidRDefault="00612F6E" w:rsidP="003E5B51">
      <w:pPr>
        <w:jc w:val="both"/>
      </w:pPr>
      <w:r w:rsidRPr="00A63ED2">
        <w:rPr>
          <w:b/>
        </w:rPr>
        <w:t xml:space="preserve">En outre, le volume des importations </w:t>
      </w:r>
      <w:r w:rsidR="004D3684" w:rsidRPr="00A63ED2">
        <w:rPr>
          <w:b/>
        </w:rPr>
        <w:t xml:space="preserve">informelles </w:t>
      </w:r>
      <w:r w:rsidRPr="00A63ED2">
        <w:rPr>
          <w:b/>
        </w:rPr>
        <w:t>représentait moins de 5% des importations (officielles) totales du Mali en 2011</w:t>
      </w:r>
      <w:r>
        <w:t>.</w:t>
      </w:r>
      <w:r w:rsidR="00A63ED2">
        <w:t xml:space="preserve"> </w:t>
      </w:r>
    </w:p>
    <w:p w14:paraId="67C8046F" w14:textId="77777777" w:rsidR="00551438" w:rsidRDefault="00B46E42" w:rsidP="008905E0">
      <w:pPr>
        <w:pStyle w:val="Heading1"/>
        <w:numPr>
          <w:ilvl w:val="0"/>
          <w:numId w:val="1"/>
        </w:numPr>
      </w:pPr>
      <w:bookmarkStart w:id="37" w:name="_Toc384903166"/>
      <w:bookmarkStart w:id="38" w:name="_Toc386104459"/>
      <w:r>
        <w:lastRenderedPageBreak/>
        <w:t>Conclusions et recommandations</w:t>
      </w:r>
      <w:bookmarkEnd w:id="37"/>
      <w:bookmarkEnd w:id="38"/>
    </w:p>
    <w:p w14:paraId="7F5F0D62" w14:textId="3CE7C3D3" w:rsidR="009F0EAC" w:rsidRDefault="009F0EAC" w:rsidP="009F0EAC">
      <w:pPr>
        <w:jc w:val="both"/>
        <w:rPr>
          <w:rFonts w:cs="Arial"/>
          <w:color w:val="222222"/>
        </w:rPr>
      </w:pPr>
      <w:r w:rsidRPr="00A07C61">
        <w:rPr>
          <w:rStyle w:val="hps"/>
          <w:rFonts w:cs="Arial"/>
          <w:color w:val="222222"/>
        </w:rPr>
        <w:t>Dans le Sahel</w:t>
      </w:r>
      <w:r w:rsidRPr="00A07C61">
        <w:rPr>
          <w:rFonts w:cs="Arial"/>
          <w:color w:val="222222"/>
        </w:rPr>
        <w:t>,</w:t>
      </w:r>
      <w:r w:rsidR="00A07C61" w:rsidRPr="00A07C61">
        <w:rPr>
          <w:rFonts w:cs="Arial"/>
          <w:color w:val="222222"/>
        </w:rPr>
        <w:t xml:space="preserve"> comme dans d’autres régions du monde, </w:t>
      </w:r>
      <w:r w:rsidRPr="00A07C61">
        <w:rPr>
          <w:rStyle w:val="hps"/>
          <w:rFonts w:cs="Arial"/>
          <w:color w:val="222222"/>
        </w:rPr>
        <w:t>les</w:t>
      </w:r>
      <w:r w:rsidR="004D3684" w:rsidRPr="007013FB">
        <w:rPr>
          <w:rStyle w:val="hps"/>
          <w:color w:val="222222"/>
        </w:rPr>
        <w:t xml:space="preserve"> </w:t>
      </w:r>
      <w:r w:rsidRPr="00A07C61">
        <w:rPr>
          <w:rStyle w:val="hps"/>
          <w:rFonts w:cs="Arial"/>
          <w:color w:val="222222"/>
        </w:rPr>
        <w:t>frontières</w:t>
      </w:r>
      <w:r w:rsidR="004D3684" w:rsidRPr="007013FB">
        <w:rPr>
          <w:rStyle w:val="hps"/>
          <w:color w:val="222222"/>
        </w:rPr>
        <w:t xml:space="preserve"> </w:t>
      </w:r>
      <w:r w:rsidR="00A07C61" w:rsidRPr="00A07C61">
        <w:rPr>
          <w:rFonts w:cs="Arial"/>
          <w:color w:val="222222"/>
        </w:rPr>
        <w:t>sont un</w:t>
      </w:r>
      <w:r w:rsidR="004D3684">
        <w:rPr>
          <w:rFonts w:cs="Arial"/>
          <w:color w:val="222222"/>
        </w:rPr>
        <w:t xml:space="preserve"> </w:t>
      </w:r>
      <w:r w:rsidRPr="00A07C61">
        <w:rPr>
          <w:rStyle w:val="hps"/>
          <w:rFonts w:cs="Arial"/>
          <w:color w:val="222222"/>
        </w:rPr>
        <w:t>sol</w:t>
      </w:r>
      <w:r w:rsidR="004D3684" w:rsidRPr="007013FB">
        <w:rPr>
          <w:rStyle w:val="hps"/>
          <w:color w:val="222222"/>
        </w:rPr>
        <w:t xml:space="preserve"> </w:t>
      </w:r>
      <w:r w:rsidRPr="00A07C61">
        <w:rPr>
          <w:rStyle w:val="hps"/>
          <w:rFonts w:cs="Arial"/>
          <w:color w:val="222222"/>
        </w:rPr>
        <w:t>fertile</w:t>
      </w:r>
      <w:r w:rsidR="004D3684" w:rsidRPr="007013FB">
        <w:rPr>
          <w:rStyle w:val="hps"/>
          <w:color w:val="222222"/>
        </w:rPr>
        <w:t xml:space="preserve"> </w:t>
      </w:r>
      <w:r w:rsidRPr="00A07C61">
        <w:rPr>
          <w:rStyle w:val="hps"/>
          <w:rFonts w:cs="Arial"/>
          <w:color w:val="222222"/>
        </w:rPr>
        <w:t>pour le commerce</w:t>
      </w:r>
      <w:r w:rsidR="004D3684" w:rsidRPr="007013FB">
        <w:rPr>
          <w:rStyle w:val="hps"/>
          <w:color w:val="222222"/>
        </w:rPr>
        <w:t xml:space="preserve"> </w:t>
      </w:r>
      <w:r w:rsidRPr="00A07C61">
        <w:rPr>
          <w:rStyle w:val="hps"/>
          <w:rFonts w:cs="Arial"/>
          <w:color w:val="222222"/>
        </w:rPr>
        <w:t>informel</w:t>
      </w:r>
      <w:r w:rsidR="00A07C61" w:rsidRPr="00A07C61">
        <w:rPr>
          <w:rStyle w:val="hps"/>
          <w:rFonts w:cs="Arial"/>
          <w:color w:val="222222"/>
        </w:rPr>
        <w:t xml:space="preserve"> d’autant plus dans une zone géographique désertique</w:t>
      </w:r>
      <w:r w:rsidRPr="00A07C61">
        <w:rPr>
          <w:rFonts w:cs="Arial"/>
          <w:color w:val="222222"/>
        </w:rPr>
        <w:t xml:space="preserve">. </w:t>
      </w:r>
      <w:r w:rsidR="00A07C61" w:rsidRPr="00A07C61">
        <w:rPr>
          <w:rFonts w:cs="Arial"/>
          <w:color w:val="222222"/>
        </w:rPr>
        <w:t xml:space="preserve">Walther (2009) </w:t>
      </w:r>
      <w:r w:rsidR="00D24143">
        <w:rPr>
          <w:rFonts w:cs="Arial"/>
          <w:color w:val="222222"/>
        </w:rPr>
        <w:t xml:space="preserve">se réfère à un </w:t>
      </w:r>
      <w:r w:rsidR="00A07C61" w:rsidRPr="00A07C61">
        <w:rPr>
          <w:rFonts w:cs="Arial"/>
          <w:color w:val="222222"/>
        </w:rPr>
        <w:t>« </w:t>
      </w:r>
      <w:r w:rsidRPr="00A07C61">
        <w:rPr>
          <w:rStyle w:val="hps"/>
          <w:rFonts w:cs="Arial"/>
          <w:color w:val="222222"/>
        </w:rPr>
        <w:t>espace mobile</w:t>
      </w:r>
      <w:r w:rsidR="00A07C61" w:rsidRPr="00A07C61">
        <w:rPr>
          <w:rStyle w:val="hps"/>
          <w:rFonts w:cs="Arial"/>
          <w:color w:val="222222"/>
        </w:rPr>
        <w:t> »</w:t>
      </w:r>
      <w:r w:rsidRPr="00A07C61">
        <w:rPr>
          <w:rFonts w:cs="Arial"/>
          <w:color w:val="222222"/>
        </w:rPr>
        <w:t xml:space="preserve">, c'est à dire </w:t>
      </w:r>
      <w:r w:rsidRPr="00A07C61">
        <w:rPr>
          <w:rStyle w:val="hps"/>
          <w:rFonts w:cs="Arial"/>
          <w:color w:val="222222"/>
        </w:rPr>
        <w:t>que la circulation</w:t>
      </w:r>
      <w:r w:rsidR="004D3684" w:rsidRPr="007013FB">
        <w:rPr>
          <w:rStyle w:val="hps"/>
          <w:color w:val="222222"/>
        </w:rPr>
        <w:t xml:space="preserve"> </w:t>
      </w:r>
      <w:r w:rsidRPr="00A07C61">
        <w:rPr>
          <w:rStyle w:val="hps"/>
          <w:rFonts w:cs="Arial"/>
          <w:color w:val="222222"/>
        </w:rPr>
        <w:t>est</w:t>
      </w:r>
      <w:r w:rsidR="004D3684" w:rsidRPr="007013FB">
        <w:rPr>
          <w:rStyle w:val="hps"/>
          <w:color w:val="222222"/>
        </w:rPr>
        <w:t xml:space="preserve"> </w:t>
      </w:r>
      <w:r w:rsidRPr="00A07C61">
        <w:rPr>
          <w:rStyle w:val="hps"/>
          <w:rFonts w:cs="Arial"/>
          <w:color w:val="222222"/>
        </w:rPr>
        <w:t xml:space="preserve">la </w:t>
      </w:r>
      <w:r w:rsidRPr="00A07C61">
        <w:rPr>
          <w:rFonts w:cs="Arial"/>
          <w:color w:val="222222"/>
        </w:rPr>
        <w:br/>
      </w:r>
      <w:r w:rsidRPr="00A07C61">
        <w:rPr>
          <w:rStyle w:val="hps"/>
          <w:rFonts w:cs="Arial"/>
          <w:color w:val="222222"/>
        </w:rPr>
        <w:t>méthode</w:t>
      </w:r>
      <w:r w:rsidR="004D3684" w:rsidRPr="007013FB">
        <w:rPr>
          <w:rStyle w:val="hps"/>
          <w:color w:val="222222"/>
        </w:rPr>
        <w:t xml:space="preserve"> </w:t>
      </w:r>
      <w:r w:rsidRPr="00A07C61">
        <w:rPr>
          <w:rStyle w:val="hps"/>
          <w:rFonts w:cs="Arial"/>
          <w:color w:val="222222"/>
        </w:rPr>
        <w:t>de</w:t>
      </w:r>
      <w:r w:rsidR="004D3684" w:rsidRPr="007013FB">
        <w:rPr>
          <w:rStyle w:val="hps"/>
          <w:color w:val="222222"/>
        </w:rPr>
        <w:t xml:space="preserve"> </w:t>
      </w:r>
      <w:r w:rsidRPr="00A07C61">
        <w:rPr>
          <w:rStyle w:val="hps"/>
          <w:rFonts w:cs="Arial"/>
          <w:color w:val="222222"/>
        </w:rPr>
        <w:t>gestion</w:t>
      </w:r>
      <w:r w:rsidR="00A07C61" w:rsidRPr="00A07C61">
        <w:rPr>
          <w:rStyle w:val="hps"/>
          <w:rFonts w:cs="Arial"/>
          <w:color w:val="222222"/>
        </w:rPr>
        <w:t xml:space="preserve"> la plus appropriée</w:t>
      </w:r>
      <w:r w:rsidRPr="00A07C61">
        <w:rPr>
          <w:rStyle w:val="hps"/>
          <w:rFonts w:cs="Arial"/>
          <w:color w:val="222222"/>
        </w:rPr>
        <w:t xml:space="preserve"> de l'</w:t>
      </w:r>
      <w:r w:rsidR="00A07C61" w:rsidRPr="00A07C61">
        <w:rPr>
          <w:rFonts w:cs="Arial"/>
          <w:color w:val="222222"/>
        </w:rPr>
        <w:t>incertitude pour</w:t>
      </w:r>
      <w:r w:rsidRPr="00A07C61">
        <w:rPr>
          <w:rFonts w:cs="Arial"/>
          <w:color w:val="222222"/>
        </w:rPr>
        <w:t xml:space="preserve"> la vie </w:t>
      </w:r>
      <w:r w:rsidRPr="00A07C61">
        <w:rPr>
          <w:rStyle w:val="hps"/>
          <w:rFonts w:cs="Arial"/>
          <w:color w:val="222222"/>
        </w:rPr>
        <w:t>sahélienne</w:t>
      </w:r>
      <w:r w:rsidRPr="00A07C61">
        <w:rPr>
          <w:rFonts w:cs="Arial"/>
          <w:color w:val="222222"/>
        </w:rPr>
        <w:t xml:space="preserve">. </w:t>
      </w:r>
    </w:p>
    <w:p w14:paraId="7C915A7D" w14:textId="77777777" w:rsidR="00551438" w:rsidRDefault="00D743BF" w:rsidP="0097777F">
      <w:pPr>
        <w:pStyle w:val="Heading2"/>
      </w:pPr>
      <w:bookmarkStart w:id="39" w:name="_Toc384903167"/>
      <w:r>
        <w:t>Pour l’Algérie</w:t>
      </w:r>
      <w:bookmarkEnd w:id="39"/>
    </w:p>
    <w:p w14:paraId="6F497135" w14:textId="71E7DCA0" w:rsidR="00D24143" w:rsidRDefault="00D24143" w:rsidP="00A07C61">
      <w:pPr>
        <w:jc w:val="both"/>
      </w:pPr>
      <w:r>
        <w:t>Il semble important pour l’Algérie de réviser sa réglementation sur le troc avec le Mali dans la mesure où cette politique semble bénéficier à un très petit no</w:t>
      </w:r>
      <w:r w:rsidR="00100E31">
        <w:t xml:space="preserve">mbre d’intervenants et n’a pas mis fin à </w:t>
      </w:r>
      <w:r>
        <w:t>la contrebande.</w:t>
      </w:r>
      <w:r w:rsidR="00100E31">
        <w:t xml:space="preserve"> En outre, étant donné son caractère très restrictif, il crée des incitations à la corruption des institutions au sud du pays responsables de contrôles comme les douanes ou l’armée.</w:t>
      </w:r>
    </w:p>
    <w:p w14:paraId="72C240D7" w14:textId="5B96A3D3" w:rsidR="004725A1" w:rsidRDefault="00D24143" w:rsidP="00A07C61">
      <w:pPr>
        <w:jc w:val="both"/>
      </w:pPr>
      <w:r>
        <w:t xml:space="preserve">En outre, une revue de la politique de subvention du sud devrait être faite car le fonds de compensation transport ou les généreuses subventions pour la farine et les carburants favorisent également la contrebande et ont un coût assez important pour l’Etat algérien. </w:t>
      </w:r>
      <w:r w:rsidR="004725A1">
        <w:t>O</w:t>
      </w:r>
      <w:r w:rsidR="00A11E12">
        <w:t>n pouvai</w:t>
      </w:r>
      <w:r w:rsidR="004725A1">
        <w:t xml:space="preserve">t estimer </w:t>
      </w:r>
      <w:r w:rsidR="003B40A3" w:rsidRPr="00016FB3">
        <w:rPr>
          <w:i/>
        </w:rPr>
        <w:t>à</w:t>
      </w:r>
      <w:r w:rsidR="004725A1" w:rsidRPr="00016FB3">
        <w:rPr>
          <w:i/>
        </w:rPr>
        <w:t xml:space="preserve"> minima</w:t>
      </w:r>
      <w:r w:rsidR="004725A1">
        <w:t xml:space="preserve"> le coût de la perte </w:t>
      </w:r>
      <w:r w:rsidR="0059720A">
        <w:t>p</w:t>
      </w:r>
      <w:r w:rsidR="003B57E7">
        <w:t>our l’Etat algérien à environ 65</w:t>
      </w:r>
      <w:r w:rsidR="0059720A">
        <w:t xml:space="preserve"> millio</w:t>
      </w:r>
      <w:r w:rsidR="00F61381">
        <w:t>ns de dollars en 2011 et à un peu plus</w:t>
      </w:r>
      <w:r w:rsidR="0059720A">
        <w:t xml:space="preserve"> de 10 millions de dollars désormais</w:t>
      </w:r>
      <w:r w:rsidR="0059720A">
        <w:rPr>
          <w:rStyle w:val="FootnoteReference"/>
        </w:rPr>
        <w:footnoteReference w:id="35"/>
      </w:r>
      <w:r w:rsidR="0059720A">
        <w:t>.</w:t>
      </w:r>
      <w:r w:rsidR="00016FB3">
        <w:t xml:space="preserve"> Néanmoins, cela représente</w:t>
      </w:r>
      <w:r w:rsidR="00F61381">
        <w:t xml:space="preserve"> encore</w:t>
      </w:r>
      <w:r w:rsidR="00016FB3">
        <w:t xml:space="preserve"> plus de </w:t>
      </w:r>
      <w:r w:rsidR="00C74530">
        <w:t xml:space="preserve">deux </w:t>
      </w:r>
      <w:r w:rsidR="00016FB3">
        <w:t>fois le montant total de la compensat</w:t>
      </w:r>
      <w:r w:rsidR="007D28F5">
        <w:t>ion transport</w:t>
      </w:r>
      <w:r w:rsidR="00016FB3">
        <w:t>.</w:t>
      </w:r>
    </w:p>
    <w:p w14:paraId="6AF3DF77" w14:textId="616C532B" w:rsidR="00D2317F" w:rsidRDefault="00D2317F" w:rsidP="00A07C61">
      <w:pPr>
        <w:jc w:val="both"/>
      </w:pPr>
      <w:r>
        <w:t>Etant donné l’impact sécuritaire potentiel de la contrebande, il serait important de relancer le dialogue avec le Mali (puisque les rencontres officielles bilatérales ne semblent avoir lieu que tous les trois ans).</w:t>
      </w:r>
    </w:p>
    <w:p w14:paraId="213E5B3D" w14:textId="77777777" w:rsidR="00551438" w:rsidRDefault="00D743BF" w:rsidP="0097777F">
      <w:pPr>
        <w:pStyle w:val="Heading2"/>
      </w:pPr>
      <w:bookmarkStart w:id="40" w:name="_Toc384903168"/>
      <w:r>
        <w:t>Pour le Mali</w:t>
      </w:r>
      <w:bookmarkEnd w:id="40"/>
    </w:p>
    <w:p w14:paraId="703EF29F" w14:textId="3087F5F7" w:rsidR="00E000D9" w:rsidRDefault="00E000D9" w:rsidP="00E000D9">
      <w:pPr>
        <w:jc w:val="both"/>
      </w:pPr>
      <w:r>
        <w:t xml:space="preserve">Une politique totale de répression de la contrebande est, semble-t-il, impossible et aurait un impact négatif sur le bien-être des populations du nord. Néanmoins, un laisser-aller n’est pas envisageable non plus car les marges de ce commerce permettent aux contrebandiers de </w:t>
      </w:r>
      <w:r w:rsidR="00D2317F">
        <w:t>rendre inefficaces et collusives</w:t>
      </w:r>
      <w:r>
        <w:t xml:space="preserve"> les institutions maliennes au nord du pays (douanes, armée et autorités politiques). </w:t>
      </w:r>
    </w:p>
    <w:p w14:paraId="39EEB832" w14:textId="542E99B7" w:rsidR="00E000D9" w:rsidRPr="009677C1" w:rsidRDefault="00E000D9" w:rsidP="00E000D9">
      <w:pPr>
        <w:jc w:val="both"/>
        <w:rPr>
          <w:rFonts w:cs="Helvetica"/>
        </w:rPr>
      </w:pPr>
      <w:r>
        <w:t xml:space="preserve">Aussi, il est important de mener des discussions conjointes avec l’Algérie pour trouver une solution, notamment pour les trafics les plus sensibles (drogue et armes). </w:t>
      </w:r>
    </w:p>
    <w:p w14:paraId="161D285D" w14:textId="77777777" w:rsidR="00C10B28" w:rsidRPr="00D41212" w:rsidRDefault="00C10B28" w:rsidP="007B76A8">
      <w:pPr>
        <w:pStyle w:val="Heading1"/>
        <w:numPr>
          <w:ilvl w:val="0"/>
          <w:numId w:val="1"/>
        </w:numPr>
        <w:rPr>
          <w:lang w:val="en-GB"/>
        </w:rPr>
      </w:pPr>
      <w:r>
        <w:br w:type="page"/>
      </w:r>
      <w:bookmarkStart w:id="41" w:name="_Toc384903169"/>
      <w:bookmarkStart w:id="42" w:name="_Toc386104460"/>
      <w:proofErr w:type="spellStart"/>
      <w:r w:rsidR="00C551CE" w:rsidRPr="00D41212">
        <w:rPr>
          <w:lang w:val="en-GB"/>
        </w:rPr>
        <w:lastRenderedPageBreak/>
        <w:t>Bibliographie</w:t>
      </w:r>
      <w:bookmarkEnd w:id="41"/>
      <w:bookmarkEnd w:id="42"/>
      <w:proofErr w:type="spellEnd"/>
    </w:p>
    <w:p w14:paraId="77A23539" w14:textId="77777777" w:rsidR="002D51BD" w:rsidRDefault="002D51BD" w:rsidP="00C551CE">
      <w:pPr>
        <w:spacing w:after="0" w:line="240" w:lineRule="auto"/>
        <w:jc w:val="both"/>
        <w:rPr>
          <w:rFonts w:cstheme="minorHAnsi"/>
          <w:lang w:val="en-GB"/>
        </w:rPr>
      </w:pPr>
    </w:p>
    <w:p w14:paraId="24E0C9D0" w14:textId="6C246925" w:rsidR="00AC2E84" w:rsidRPr="00AC2E84" w:rsidRDefault="00AC2E84" w:rsidP="00C551CE">
      <w:pPr>
        <w:spacing w:after="0" w:line="240" w:lineRule="auto"/>
        <w:jc w:val="both"/>
        <w:rPr>
          <w:color w:val="333333"/>
          <w:lang w:val="en-US"/>
        </w:rPr>
      </w:pPr>
      <w:proofErr w:type="spellStart"/>
      <w:r>
        <w:rPr>
          <w:color w:val="333333"/>
          <w:lang w:val="en-US"/>
        </w:rPr>
        <w:t>Ayadi</w:t>
      </w:r>
      <w:proofErr w:type="spellEnd"/>
      <w:r>
        <w:rPr>
          <w:color w:val="333333"/>
          <w:lang w:val="en-US"/>
        </w:rPr>
        <w:t xml:space="preserve">, L., Benjamin, N., </w:t>
      </w:r>
      <w:proofErr w:type="spellStart"/>
      <w:r>
        <w:rPr>
          <w:color w:val="333333"/>
          <w:lang w:val="en-US"/>
        </w:rPr>
        <w:t>Bensassi</w:t>
      </w:r>
      <w:proofErr w:type="spellEnd"/>
      <w:r>
        <w:rPr>
          <w:color w:val="333333"/>
          <w:lang w:val="en-US"/>
        </w:rPr>
        <w:t xml:space="preserve">, </w:t>
      </w:r>
      <w:proofErr w:type="spellStart"/>
      <w:r>
        <w:rPr>
          <w:color w:val="333333"/>
          <w:lang w:val="en-US"/>
        </w:rPr>
        <w:t>S.and</w:t>
      </w:r>
      <w:proofErr w:type="spellEnd"/>
      <w:r>
        <w:rPr>
          <w:color w:val="333333"/>
          <w:lang w:val="en-US"/>
        </w:rPr>
        <w:t xml:space="preserve"> </w:t>
      </w:r>
      <w:proofErr w:type="spellStart"/>
      <w:r>
        <w:rPr>
          <w:color w:val="333333"/>
          <w:lang w:val="en-US"/>
        </w:rPr>
        <w:t>Raballand</w:t>
      </w:r>
      <w:proofErr w:type="spellEnd"/>
      <w:r>
        <w:rPr>
          <w:color w:val="333333"/>
          <w:lang w:val="en-US"/>
        </w:rPr>
        <w:t>, G. (</w:t>
      </w:r>
      <w:r w:rsidRPr="00AC2E84">
        <w:rPr>
          <w:color w:val="333333"/>
          <w:lang w:val="en-US"/>
        </w:rPr>
        <w:t>2013</w:t>
      </w:r>
      <w:r>
        <w:rPr>
          <w:color w:val="333333"/>
          <w:lang w:val="en-US"/>
        </w:rPr>
        <w:t>),</w:t>
      </w:r>
      <w:r w:rsidRPr="00AC2E84">
        <w:rPr>
          <w:color w:val="333333"/>
          <w:lang w:val="en-US"/>
        </w:rPr>
        <w:t xml:space="preserve"> "</w:t>
      </w:r>
      <w:r w:rsidRPr="00AC2E84">
        <w:rPr>
          <w:bCs/>
          <w:color w:val="333333"/>
          <w:lang w:val="en-US"/>
        </w:rPr>
        <w:t>Estimating informal trade across Tunisia's land borders</w:t>
      </w:r>
      <w:r w:rsidRPr="00AC2E84">
        <w:rPr>
          <w:color w:val="333333"/>
          <w:lang w:val="en-US"/>
        </w:rPr>
        <w:t>"</w:t>
      </w:r>
      <w:r>
        <w:rPr>
          <w:color w:val="333333"/>
          <w:lang w:val="en-US"/>
        </w:rPr>
        <w:t xml:space="preserve">, World Bank </w:t>
      </w:r>
      <w:r w:rsidRPr="00AC2E84">
        <w:rPr>
          <w:color w:val="333333"/>
          <w:lang w:val="en-US"/>
        </w:rPr>
        <w:t xml:space="preserve">Policy Research Working Paper 6731, </w:t>
      </w:r>
      <w:r w:rsidRPr="007F0549">
        <w:rPr>
          <w:lang w:val="en-GB"/>
        </w:rPr>
        <w:t xml:space="preserve">Washington: </w:t>
      </w:r>
      <w:r w:rsidRPr="00AC2E84">
        <w:rPr>
          <w:color w:val="333333"/>
          <w:lang w:val="en-US"/>
        </w:rPr>
        <w:t>World Bank.</w:t>
      </w:r>
    </w:p>
    <w:p w14:paraId="5EAAFF03" w14:textId="77777777" w:rsidR="00AC2E84" w:rsidRDefault="00AC2E84" w:rsidP="00C551CE">
      <w:pPr>
        <w:spacing w:after="0" w:line="240" w:lineRule="auto"/>
        <w:jc w:val="both"/>
        <w:rPr>
          <w:rFonts w:ascii="Verdana" w:hAnsi="Verdana"/>
          <w:color w:val="333333"/>
          <w:lang w:val="en-US"/>
        </w:rPr>
      </w:pPr>
    </w:p>
    <w:p w14:paraId="6105F6BF" w14:textId="4E0AB074" w:rsidR="00C551CE" w:rsidRPr="007F0549" w:rsidRDefault="00C551CE" w:rsidP="00C551CE">
      <w:pPr>
        <w:spacing w:after="0" w:line="240" w:lineRule="auto"/>
        <w:jc w:val="both"/>
        <w:rPr>
          <w:rFonts w:cstheme="minorHAnsi"/>
          <w:lang w:val="en-GB"/>
        </w:rPr>
      </w:pPr>
      <w:proofErr w:type="spellStart"/>
      <w:r w:rsidRPr="007F0549">
        <w:rPr>
          <w:rFonts w:cstheme="minorHAnsi"/>
          <w:lang w:val="en-GB"/>
        </w:rPr>
        <w:t>Bhagwati</w:t>
      </w:r>
      <w:proofErr w:type="spellEnd"/>
      <w:r w:rsidRPr="007F0549">
        <w:rPr>
          <w:rFonts w:cstheme="minorHAnsi"/>
          <w:lang w:val="en-GB"/>
        </w:rPr>
        <w:t xml:space="preserve">, </w:t>
      </w:r>
      <w:proofErr w:type="spellStart"/>
      <w:r w:rsidRPr="007F0549">
        <w:rPr>
          <w:rFonts w:cstheme="minorHAnsi"/>
          <w:lang w:val="en-GB"/>
        </w:rPr>
        <w:t>Jagdish</w:t>
      </w:r>
      <w:proofErr w:type="spellEnd"/>
      <w:r w:rsidRPr="007F0549">
        <w:rPr>
          <w:rFonts w:cstheme="minorHAnsi"/>
          <w:lang w:val="en-GB"/>
        </w:rPr>
        <w:t xml:space="preserve">, (1967), “Fiscal Policies, The Faking Of Foreign Trade Declarations, and The Balance Of Payments” </w:t>
      </w:r>
      <w:r w:rsidRPr="007F0549">
        <w:rPr>
          <w:rFonts w:cstheme="minorHAnsi"/>
          <w:i/>
          <w:iCs/>
          <w:lang w:val="en-GB"/>
        </w:rPr>
        <w:t>Bulletin of the Oxford University Institute of Economics and Statistics</w:t>
      </w:r>
      <w:r w:rsidRPr="007F0549">
        <w:rPr>
          <w:rFonts w:cstheme="minorHAnsi"/>
          <w:lang w:val="en-GB"/>
        </w:rPr>
        <w:t>, Volume 29, Issue 1, pp. 61–77.</w:t>
      </w:r>
    </w:p>
    <w:p w14:paraId="3CD7E35D" w14:textId="77777777" w:rsidR="00C551CE" w:rsidRPr="007F0549" w:rsidRDefault="00C551CE" w:rsidP="00C551CE">
      <w:pPr>
        <w:spacing w:after="0" w:line="240" w:lineRule="auto"/>
        <w:jc w:val="both"/>
        <w:rPr>
          <w:rFonts w:cstheme="minorHAnsi"/>
          <w:lang w:val="en-GB"/>
        </w:rPr>
      </w:pPr>
    </w:p>
    <w:p w14:paraId="413A48CB" w14:textId="0B202BE9" w:rsidR="00C551CE" w:rsidRDefault="00C551CE" w:rsidP="00C551CE">
      <w:pPr>
        <w:jc w:val="both"/>
        <w:rPr>
          <w:lang w:val="en-GB"/>
        </w:rPr>
      </w:pPr>
      <w:r w:rsidRPr="007F0549">
        <w:rPr>
          <w:lang w:val="en-GB"/>
        </w:rPr>
        <w:t xml:space="preserve">Berger, Helge and </w:t>
      </w:r>
      <w:proofErr w:type="spellStart"/>
      <w:r w:rsidRPr="007F0549">
        <w:rPr>
          <w:lang w:val="en-GB"/>
        </w:rPr>
        <w:t>Nitsch</w:t>
      </w:r>
      <w:proofErr w:type="spellEnd"/>
      <w:r w:rsidRPr="007F0549">
        <w:rPr>
          <w:lang w:val="en-GB"/>
        </w:rPr>
        <w:t>, Volker, (2012), “</w:t>
      </w:r>
      <w:proofErr w:type="spellStart"/>
      <w:r w:rsidRPr="007F0549">
        <w:rPr>
          <w:lang w:val="en-GB"/>
        </w:rPr>
        <w:t>Gotcha</w:t>
      </w:r>
      <w:proofErr w:type="gramStart"/>
      <w:r w:rsidRPr="007F0549">
        <w:rPr>
          <w:lang w:val="en-GB"/>
        </w:rPr>
        <w:t>!A</w:t>
      </w:r>
      <w:proofErr w:type="spellEnd"/>
      <w:proofErr w:type="gramEnd"/>
      <w:r w:rsidRPr="007F0549">
        <w:rPr>
          <w:lang w:val="en-GB"/>
        </w:rPr>
        <w:t xml:space="preserve"> Profile of Smuggling in International Trade”.</w:t>
      </w:r>
    </w:p>
    <w:p w14:paraId="74075DB3" w14:textId="77777777" w:rsidR="000C3C98" w:rsidRDefault="000C3C98" w:rsidP="000C3C98">
      <w:pPr>
        <w:autoSpaceDE w:val="0"/>
        <w:autoSpaceDN w:val="0"/>
        <w:adjustRightInd w:val="0"/>
        <w:spacing w:after="0" w:line="240" w:lineRule="auto"/>
        <w:jc w:val="both"/>
        <w:rPr>
          <w:rFonts w:cs="Times New Roman"/>
          <w:bCs/>
          <w:i/>
          <w:sz w:val="24"/>
          <w:szCs w:val="24"/>
        </w:rPr>
      </w:pPr>
      <w:r>
        <w:rPr>
          <w:rFonts w:cs="Times New Roman"/>
          <w:bCs/>
          <w:sz w:val="24"/>
          <w:szCs w:val="24"/>
        </w:rPr>
        <w:t>Comité de liaison de la r</w:t>
      </w:r>
      <w:r w:rsidRPr="000C3C98">
        <w:rPr>
          <w:rFonts w:cs="Times New Roman"/>
          <w:bCs/>
          <w:sz w:val="24"/>
          <w:szCs w:val="24"/>
        </w:rPr>
        <w:t>oute Transsaharienne</w:t>
      </w:r>
      <w:r>
        <w:rPr>
          <w:rFonts w:cs="Times New Roman"/>
          <w:bCs/>
          <w:sz w:val="24"/>
          <w:szCs w:val="24"/>
        </w:rPr>
        <w:t xml:space="preserve"> (2009), </w:t>
      </w:r>
      <w:r w:rsidRPr="000C3C98">
        <w:rPr>
          <w:rFonts w:cs="Times New Roman"/>
          <w:bCs/>
          <w:i/>
          <w:sz w:val="24"/>
          <w:szCs w:val="24"/>
        </w:rPr>
        <w:t>Etud</w:t>
      </w:r>
      <w:r>
        <w:rPr>
          <w:rFonts w:cs="Times New Roman"/>
          <w:bCs/>
          <w:i/>
          <w:sz w:val="24"/>
          <w:szCs w:val="24"/>
        </w:rPr>
        <w:t>e d</w:t>
      </w:r>
      <w:r w:rsidRPr="000C3C98">
        <w:rPr>
          <w:rFonts w:cs="Times New Roman"/>
          <w:bCs/>
          <w:i/>
          <w:sz w:val="24"/>
          <w:szCs w:val="24"/>
        </w:rPr>
        <w:t xml:space="preserve">’identification </w:t>
      </w:r>
      <w:r>
        <w:rPr>
          <w:rFonts w:cs="Times New Roman"/>
          <w:bCs/>
          <w:i/>
          <w:sz w:val="24"/>
          <w:szCs w:val="24"/>
        </w:rPr>
        <w:t>des potentialités d’échanges c</w:t>
      </w:r>
      <w:r w:rsidRPr="000C3C98">
        <w:rPr>
          <w:rFonts w:cs="Times New Roman"/>
          <w:bCs/>
          <w:i/>
          <w:sz w:val="24"/>
          <w:szCs w:val="24"/>
        </w:rPr>
        <w:t xml:space="preserve">ommerciaux </w:t>
      </w:r>
      <w:r>
        <w:rPr>
          <w:rFonts w:cs="Times New Roman"/>
          <w:bCs/>
          <w:i/>
          <w:sz w:val="24"/>
          <w:szCs w:val="24"/>
        </w:rPr>
        <w:t>entre les pays membres du Comité d</w:t>
      </w:r>
      <w:r w:rsidRPr="000C3C98">
        <w:rPr>
          <w:rFonts w:cs="Times New Roman"/>
          <w:bCs/>
          <w:i/>
          <w:sz w:val="24"/>
          <w:szCs w:val="24"/>
        </w:rPr>
        <w:t>e Liaison De La Route Transsaharienne</w:t>
      </w:r>
      <w:r>
        <w:rPr>
          <w:rFonts w:cs="Times New Roman"/>
          <w:bCs/>
          <w:i/>
          <w:sz w:val="24"/>
          <w:szCs w:val="24"/>
        </w:rPr>
        <w:t>.</w:t>
      </w:r>
    </w:p>
    <w:p w14:paraId="5157FE95" w14:textId="77777777" w:rsidR="00111FB7" w:rsidRDefault="00111FB7" w:rsidP="000C3C98">
      <w:pPr>
        <w:autoSpaceDE w:val="0"/>
        <w:autoSpaceDN w:val="0"/>
        <w:adjustRightInd w:val="0"/>
        <w:spacing w:after="0" w:line="240" w:lineRule="auto"/>
        <w:jc w:val="both"/>
        <w:rPr>
          <w:rFonts w:cs="Times New Roman"/>
          <w:bCs/>
          <w:i/>
          <w:sz w:val="24"/>
          <w:szCs w:val="24"/>
        </w:rPr>
      </w:pPr>
    </w:p>
    <w:p w14:paraId="08FB6379" w14:textId="77777777" w:rsidR="00111FB7" w:rsidRDefault="00111FB7" w:rsidP="00111FB7">
      <w:pPr>
        <w:jc w:val="both"/>
      </w:pPr>
      <w:r w:rsidRPr="00D06267">
        <w:t xml:space="preserve">El </w:t>
      </w:r>
      <w:proofErr w:type="spellStart"/>
      <w:r w:rsidRPr="00D06267">
        <w:t>Watan</w:t>
      </w:r>
      <w:proofErr w:type="spellEnd"/>
      <w:r w:rsidRPr="00D06267">
        <w:t>, L’Algérie accorde une aide de 10 millions de dollars pour le Mali</w:t>
      </w:r>
      <w:r>
        <w:t>, 29/04/2011</w:t>
      </w:r>
    </w:p>
    <w:p w14:paraId="4A2BA4D4" w14:textId="77777777" w:rsidR="00C551CE" w:rsidRDefault="00C551CE" w:rsidP="00C551CE">
      <w:pPr>
        <w:jc w:val="both"/>
        <w:rPr>
          <w:lang w:val="en-GB"/>
        </w:rPr>
      </w:pPr>
      <w:proofErr w:type="spellStart"/>
      <w:r w:rsidRPr="007F0549">
        <w:rPr>
          <w:lang w:val="en-GB"/>
        </w:rPr>
        <w:t>Fisman</w:t>
      </w:r>
      <w:proofErr w:type="spellEnd"/>
      <w:r w:rsidRPr="007F0549">
        <w:rPr>
          <w:lang w:val="en-GB"/>
        </w:rPr>
        <w:t xml:space="preserve">, Raymond and Wei, Shang-Jin (2009), “The Smuggling of Art, and the Art of Smuggling: Uncovering the Illicit Trade in Cultural Property and Antiques”, </w:t>
      </w:r>
      <w:r w:rsidRPr="007F0549">
        <w:rPr>
          <w:i/>
          <w:lang w:val="en-GB"/>
        </w:rPr>
        <w:t>Applied Economics</w:t>
      </w:r>
      <w:r w:rsidRPr="007F0549">
        <w:rPr>
          <w:lang w:val="en-GB"/>
        </w:rPr>
        <w:t>, 1:3, 82-96.</w:t>
      </w:r>
    </w:p>
    <w:p w14:paraId="006693DA" w14:textId="563231DB" w:rsidR="005133AD" w:rsidRPr="00B734F7" w:rsidRDefault="005133AD" w:rsidP="00B734F7">
      <w:r w:rsidRPr="00B734F7">
        <w:t>G</w:t>
      </w:r>
      <w:r>
        <w:t>régoire,</w:t>
      </w:r>
      <w:r w:rsidRPr="00B734F7">
        <w:t xml:space="preserve"> E</w:t>
      </w:r>
      <w:r>
        <w:t>mmanuel</w:t>
      </w:r>
      <w:r w:rsidRPr="00B734F7">
        <w:t xml:space="preserve"> (1998), « Sahara nigérien : terre d’échanges », </w:t>
      </w:r>
      <w:proofErr w:type="spellStart"/>
      <w:r w:rsidRPr="00B734F7">
        <w:rPr>
          <w:rFonts w:cs="Times-Italic"/>
          <w:i/>
          <w:iCs/>
        </w:rPr>
        <w:t>Autrepart</w:t>
      </w:r>
      <w:proofErr w:type="spellEnd"/>
      <w:r w:rsidRPr="00B734F7">
        <w:rPr>
          <w:rFonts w:cs="Times-Italic"/>
          <w:i/>
          <w:iCs/>
        </w:rPr>
        <w:t xml:space="preserve">, </w:t>
      </w:r>
      <w:r w:rsidRPr="00B734F7">
        <w:t>6, p. 91-104.</w:t>
      </w:r>
    </w:p>
    <w:p w14:paraId="075F248C" w14:textId="77777777" w:rsidR="00C551CE" w:rsidRDefault="00C551CE" w:rsidP="00C551CE">
      <w:pPr>
        <w:spacing w:after="0"/>
        <w:jc w:val="both"/>
        <w:rPr>
          <w:rFonts w:cstheme="minorHAnsi"/>
          <w:iCs/>
          <w:lang w:val="en-GB"/>
        </w:rPr>
      </w:pPr>
      <w:r w:rsidRPr="007F0549">
        <w:rPr>
          <w:rFonts w:cstheme="minorHAnsi"/>
          <w:lang w:val="en-GB"/>
        </w:rPr>
        <w:t xml:space="preserve">Jean, </w:t>
      </w:r>
      <w:proofErr w:type="spellStart"/>
      <w:r w:rsidRPr="007F0549">
        <w:rPr>
          <w:rFonts w:cstheme="minorHAnsi"/>
          <w:lang w:val="en-GB"/>
        </w:rPr>
        <w:t>Sébastien</w:t>
      </w:r>
      <w:proofErr w:type="spellEnd"/>
      <w:r w:rsidRPr="007F0549">
        <w:rPr>
          <w:rFonts w:cstheme="minorHAnsi"/>
          <w:lang w:val="en-GB"/>
        </w:rPr>
        <w:t xml:space="preserve"> and </w:t>
      </w:r>
      <w:proofErr w:type="spellStart"/>
      <w:r w:rsidRPr="007F0549">
        <w:rPr>
          <w:rFonts w:cstheme="minorHAnsi"/>
          <w:lang w:val="en-GB"/>
        </w:rPr>
        <w:t>Mitaritonna</w:t>
      </w:r>
      <w:proofErr w:type="spellEnd"/>
      <w:r w:rsidRPr="007F0549">
        <w:rPr>
          <w:rFonts w:cstheme="minorHAnsi"/>
          <w:lang w:val="en-GB"/>
        </w:rPr>
        <w:t xml:space="preserve">, Cristina (2010), “Determinants and Pervasiveness of the Evasion of Customs Duties”, </w:t>
      </w:r>
      <w:r w:rsidRPr="007F0549">
        <w:rPr>
          <w:rFonts w:cstheme="minorHAnsi"/>
          <w:i/>
          <w:iCs/>
          <w:lang w:val="en-GB"/>
        </w:rPr>
        <w:t xml:space="preserve">CEPII, WP No 2010-26, </w:t>
      </w:r>
      <w:r w:rsidRPr="007F0549">
        <w:rPr>
          <w:rFonts w:cstheme="minorHAnsi"/>
          <w:iCs/>
          <w:lang w:val="en-GB"/>
        </w:rPr>
        <w:t>Paris: CEPII.</w:t>
      </w:r>
    </w:p>
    <w:p w14:paraId="090F4DA4" w14:textId="77777777" w:rsidR="00D70B3C" w:rsidRDefault="00D70B3C" w:rsidP="00C551CE">
      <w:pPr>
        <w:spacing w:after="0"/>
        <w:jc w:val="both"/>
        <w:rPr>
          <w:rFonts w:cstheme="minorHAnsi"/>
          <w:iCs/>
          <w:lang w:val="en-GB"/>
        </w:rPr>
      </w:pPr>
    </w:p>
    <w:p w14:paraId="5E2AF1CC" w14:textId="77777777" w:rsidR="00D70B3C" w:rsidRDefault="00D70B3C" w:rsidP="00D70B3C">
      <w:pPr>
        <w:jc w:val="both"/>
        <w:rPr>
          <w:lang w:val="en"/>
        </w:rPr>
      </w:pPr>
      <w:r>
        <w:rPr>
          <w:lang w:val="en"/>
        </w:rPr>
        <w:t xml:space="preserve">Kaminski, </w:t>
      </w:r>
      <w:proofErr w:type="spellStart"/>
      <w:r>
        <w:rPr>
          <w:lang w:val="en"/>
        </w:rPr>
        <w:t>Bartlomiej</w:t>
      </w:r>
      <w:proofErr w:type="spellEnd"/>
      <w:r>
        <w:rPr>
          <w:lang w:val="en"/>
        </w:rPr>
        <w:t xml:space="preserve"> and </w:t>
      </w:r>
      <w:proofErr w:type="spellStart"/>
      <w:r>
        <w:rPr>
          <w:lang w:val="en"/>
        </w:rPr>
        <w:t>Mitra</w:t>
      </w:r>
      <w:proofErr w:type="spellEnd"/>
      <w:r>
        <w:rPr>
          <w:lang w:val="en"/>
        </w:rPr>
        <w:t xml:space="preserve">, </w:t>
      </w:r>
      <w:proofErr w:type="spellStart"/>
      <w:r>
        <w:rPr>
          <w:lang w:val="en"/>
        </w:rPr>
        <w:t>Saumya</w:t>
      </w:r>
      <w:proofErr w:type="spellEnd"/>
      <w:r>
        <w:rPr>
          <w:lang w:val="en"/>
        </w:rPr>
        <w:t xml:space="preserve"> (2012), </w:t>
      </w:r>
      <w:r w:rsidRPr="00D70B3C">
        <w:rPr>
          <w:i/>
          <w:lang w:val="en"/>
        </w:rPr>
        <w:t>Borderless Bazaars and Regional Integration in Central Asia: Emerging Patterns of Trade and Cross-Border Cooperation</w:t>
      </w:r>
      <w:r>
        <w:rPr>
          <w:lang w:val="en"/>
        </w:rPr>
        <w:t xml:space="preserve">, Washington: The World Bank. </w:t>
      </w:r>
    </w:p>
    <w:p w14:paraId="7EC674CE" w14:textId="513C5A5F" w:rsidR="00251605" w:rsidRPr="00251605" w:rsidRDefault="00251605" w:rsidP="00D70B3C">
      <w:pPr>
        <w:jc w:val="both"/>
        <w:rPr>
          <w:lang w:val="en"/>
        </w:rPr>
      </w:pPr>
      <w:proofErr w:type="spellStart"/>
      <w:r>
        <w:rPr>
          <w:lang w:val="en"/>
        </w:rPr>
        <w:t>Lacher</w:t>
      </w:r>
      <w:proofErr w:type="spellEnd"/>
      <w:r>
        <w:rPr>
          <w:lang w:val="en"/>
        </w:rPr>
        <w:t xml:space="preserve">, Wolfram (2012), </w:t>
      </w:r>
      <w:r w:rsidRPr="00251605">
        <w:rPr>
          <w:i/>
          <w:lang w:val="en"/>
        </w:rPr>
        <w:t>“Organized Crime and Conflict in the Sahel-Sahara region”,</w:t>
      </w:r>
      <w:r>
        <w:rPr>
          <w:i/>
          <w:lang w:val="en"/>
        </w:rPr>
        <w:t xml:space="preserve"> Carnegie Paper, </w:t>
      </w:r>
      <w:r>
        <w:rPr>
          <w:lang w:val="en"/>
        </w:rPr>
        <w:t>Washington DC: Carnegie Endowment for International Peace.</w:t>
      </w:r>
    </w:p>
    <w:p w14:paraId="59FB28B5" w14:textId="25895C40" w:rsidR="00AC2E84" w:rsidRPr="00AC2E84" w:rsidRDefault="00AC2E84" w:rsidP="007643CA">
      <w:pPr>
        <w:spacing w:after="0"/>
        <w:jc w:val="both"/>
        <w:rPr>
          <w:rFonts w:cstheme="minorHAnsi"/>
          <w:lang w:val="en-US"/>
        </w:rPr>
      </w:pPr>
      <w:proofErr w:type="spellStart"/>
      <w:r>
        <w:rPr>
          <w:rFonts w:cs="Arial"/>
          <w:color w:val="000000"/>
          <w:lang w:val="en-US"/>
        </w:rPr>
        <w:t>Raballand</w:t>
      </w:r>
      <w:proofErr w:type="spellEnd"/>
      <w:r>
        <w:rPr>
          <w:rFonts w:cs="Arial"/>
          <w:color w:val="000000"/>
          <w:lang w:val="en-US"/>
        </w:rPr>
        <w:t xml:space="preserve">, </w:t>
      </w:r>
      <w:proofErr w:type="spellStart"/>
      <w:r>
        <w:rPr>
          <w:rFonts w:cs="Arial"/>
          <w:color w:val="000000"/>
          <w:lang w:val="en-US"/>
        </w:rPr>
        <w:t>Gaël</w:t>
      </w:r>
      <w:proofErr w:type="spellEnd"/>
      <w:r w:rsidR="007013FB">
        <w:rPr>
          <w:rFonts w:cs="Arial"/>
          <w:color w:val="000000"/>
          <w:lang w:val="en-US"/>
        </w:rPr>
        <w:t xml:space="preserve"> </w:t>
      </w:r>
      <w:proofErr w:type="gramStart"/>
      <w:r>
        <w:rPr>
          <w:rFonts w:cs="Arial"/>
          <w:color w:val="000000"/>
          <w:lang w:val="en-US"/>
        </w:rPr>
        <w:t>et</w:t>
      </w:r>
      <w:proofErr w:type="gramEnd"/>
      <w:r w:rsidR="007013FB">
        <w:rPr>
          <w:rFonts w:cs="Arial"/>
          <w:color w:val="000000"/>
          <w:lang w:val="en-US"/>
        </w:rPr>
        <w:t xml:space="preserve"> </w:t>
      </w:r>
      <w:proofErr w:type="spellStart"/>
      <w:r>
        <w:rPr>
          <w:rFonts w:cs="Arial"/>
          <w:color w:val="000000"/>
          <w:lang w:val="en-US"/>
        </w:rPr>
        <w:t>M</w:t>
      </w:r>
      <w:r w:rsidRPr="00AC2E84">
        <w:rPr>
          <w:rFonts w:cs="Arial"/>
          <w:color w:val="000000"/>
          <w:lang w:val="en-US"/>
        </w:rPr>
        <w:t>jekiqi</w:t>
      </w:r>
      <w:proofErr w:type="spellEnd"/>
      <w:r>
        <w:rPr>
          <w:rFonts w:cs="Arial"/>
          <w:color w:val="000000"/>
          <w:lang w:val="en-US"/>
        </w:rPr>
        <w:t>, E.</w:t>
      </w:r>
      <w:r w:rsidRPr="00AC2E84">
        <w:rPr>
          <w:rFonts w:cs="Arial"/>
          <w:color w:val="000000"/>
          <w:lang w:val="en-US"/>
        </w:rPr>
        <w:t xml:space="preserve"> (2010) “Nigeria’s Trade Policy Facilitates Unofficial Trade </w:t>
      </w:r>
      <w:r>
        <w:rPr>
          <w:rFonts w:cs="Arial"/>
          <w:color w:val="000000"/>
          <w:lang w:val="en-US"/>
        </w:rPr>
        <w:t xml:space="preserve">but not Manufacturing” </w:t>
      </w:r>
      <w:proofErr w:type="spellStart"/>
      <w:r>
        <w:rPr>
          <w:rFonts w:cs="Arial"/>
          <w:color w:val="000000"/>
          <w:lang w:val="en-US"/>
        </w:rPr>
        <w:t>chp</w:t>
      </w:r>
      <w:proofErr w:type="spellEnd"/>
      <w:r>
        <w:rPr>
          <w:rFonts w:cs="Arial"/>
          <w:color w:val="000000"/>
          <w:lang w:val="en-US"/>
        </w:rPr>
        <w:t xml:space="preserve">. 6 </w:t>
      </w:r>
      <w:proofErr w:type="spellStart"/>
      <w:r>
        <w:rPr>
          <w:rFonts w:cs="Arial"/>
          <w:color w:val="000000"/>
          <w:lang w:val="en-US"/>
        </w:rPr>
        <w:t>dans</w:t>
      </w:r>
      <w:proofErr w:type="spellEnd"/>
      <w:r w:rsidRPr="00AC2E84">
        <w:rPr>
          <w:rFonts w:cs="Arial"/>
          <w:color w:val="000000"/>
          <w:lang w:val="en-US"/>
        </w:rPr>
        <w:t xml:space="preserve"> Volker Treichel (</w:t>
      </w:r>
      <w:proofErr w:type="spellStart"/>
      <w:proofErr w:type="gramStart"/>
      <w:r w:rsidRPr="00AC2E84">
        <w:rPr>
          <w:rFonts w:cs="Arial"/>
          <w:color w:val="000000"/>
          <w:lang w:val="en-US"/>
        </w:rPr>
        <w:t>ed</w:t>
      </w:r>
      <w:proofErr w:type="spellEnd"/>
      <w:proofErr w:type="gramEnd"/>
      <w:r w:rsidRPr="00AC2E84">
        <w:rPr>
          <w:rFonts w:cs="Arial"/>
          <w:color w:val="000000"/>
          <w:lang w:val="en-US"/>
        </w:rPr>
        <w:t>) Putting Nigeria to Work: A Strategy for Employment and Growth, World Bank, Washington, D.C.</w:t>
      </w:r>
    </w:p>
    <w:p w14:paraId="13557B27" w14:textId="77777777" w:rsidR="00C551CE" w:rsidRPr="00C551CE" w:rsidRDefault="00C551CE" w:rsidP="007643CA">
      <w:pPr>
        <w:spacing w:after="0"/>
        <w:jc w:val="both"/>
        <w:rPr>
          <w:rFonts w:cstheme="minorHAnsi"/>
          <w:lang w:val="en-GB"/>
        </w:rPr>
      </w:pPr>
    </w:p>
    <w:p w14:paraId="51624103" w14:textId="77777777" w:rsidR="00C551CE" w:rsidRPr="007F0549" w:rsidRDefault="00C551CE" w:rsidP="007643CA">
      <w:pPr>
        <w:jc w:val="both"/>
        <w:rPr>
          <w:lang w:val="en-GB"/>
        </w:rPr>
      </w:pPr>
      <w:proofErr w:type="spellStart"/>
      <w:r w:rsidRPr="007F0549">
        <w:rPr>
          <w:lang w:val="en-GB"/>
        </w:rPr>
        <w:t>Raballand</w:t>
      </w:r>
      <w:proofErr w:type="spellEnd"/>
      <w:r w:rsidRPr="007F0549">
        <w:rPr>
          <w:lang w:val="en-GB"/>
        </w:rPr>
        <w:t xml:space="preserve">, </w:t>
      </w:r>
      <w:proofErr w:type="spellStart"/>
      <w:r w:rsidRPr="007F0549">
        <w:rPr>
          <w:lang w:val="en-GB"/>
        </w:rPr>
        <w:t>Gaël</w:t>
      </w:r>
      <w:proofErr w:type="spellEnd"/>
      <w:r w:rsidRPr="007F0549">
        <w:rPr>
          <w:lang w:val="en-GB"/>
        </w:rPr>
        <w:t xml:space="preserve">, </w:t>
      </w:r>
      <w:proofErr w:type="spellStart"/>
      <w:r w:rsidRPr="007F0549">
        <w:rPr>
          <w:lang w:val="en-GB"/>
        </w:rPr>
        <w:t>Cantens</w:t>
      </w:r>
      <w:proofErr w:type="spellEnd"/>
      <w:r w:rsidRPr="007F0549">
        <w:rPr>
          <w:lang w:val="en-GB"/>
        </w:rPr>
        <w:t xml:space="preserve"> Thomas and Arenas, Guillermo 2013, “Mirror Tra</w:t>
      </w:r>
      <w:r w:rsidR="00D0648C">
        <w:rPr>
          <w:lang w:val="en-GB"/>
        </w:rPr>
        <w:t>de Statistics: A Tool to Help I</w:t>
      </w:r>
      <w:r w:rsidRPr="007F0549">
        <w:rPr>
          <w:lang w:val="en-GB"/>
        </w:rPr>
        <w:t xml:space="preserve">dentify Customs Fraud” in </w:t>
      </w:r>
      <w:r w:rsidRPr="007F0549">
        <w:rPr>
          <w:i/>
          <w:lang w:val="en-GB"/>
        </w:rPr>
        <w:t>Reform by Numbers</w:t>
      </w:r>
      <w:r w:rsidRPr="007F0549">
        <w:rPr>
          <w:lang w:val="en-GB"/>
        </w:rPr>
        <w:t>. Washington: the World Bank.</w:t>
      </w:r>
    </w:p>
    <w:p w14:paraId="4164F29F" w14:textId="77777777" w:rsidR="00C551CE" w:rsidRDefault="00C551CE" w:rsidP="007643CA">
      <w:pPr>
        <w:jc w:val="both"/>
        <w:rPr>
          <w:lang w:val="en-GB"/>
        </w:rPr>
      </w:pPr>
      <w:r>
        <w:rPr>
          <w:lang w:val="en-GB"/>
        </w:rPr>
        <w:t>Scheele, Judith (2012), “Smugglers and Saints of the Sahara” Cambridge University Press</w:t>
      </w:r>
    </w:p>
    <w:p w14:paraId="58BC9221" w14:textId="77777777" w:rsidR="004F2E97" w:rsidRDefault="004F2E97" w:rsidP="007643CA">
      <w:pPr>
        <w:jc w:val="both"/>
        <w:rPr>
          <w:lang w:val="en-US"/>
        </w:rPr>
      </w:pPr>
      <w:r w:rsidRPr="007643CA">
        <w:rPr>
          <w:lang w:val="en-US"/>
        </w:rPr>
        <w:t>Walther</w:t>
      </w:r>
      <w:r w:rsidR="007643CA" w:rsidRPr="007643CA">
        <w:rPr>
          <w:lang w:val="en-US"/>
        </w:rPr>
        <w:t>, O. (2009</w:t>
      </w:r>
      <w:r w:rsidRPr="007643CA">
        <w:rPr>
          <w:lang w:val="en-US"/>
        </w:rPr>
        <w:t>)</w:t>
      </w:r>
      <w:r w:rsidR="007643CA" w:rsidRPr="007643CA">
        <w:rPr>
          <w:lang w:val="en-US"/>
        </w:rPr>
        <w:t xml:space="preserve">, </w:t>
      </w:r>
      <w:r w:rsidR="007643CA" w:rsidRPr="007643CA">
        <w:rPr>
          <w:lang w:val="en-GB"/>
        </w:rPr>
        <w:t>“</w:t>
      </w:r>
      <w:r w:rsidR="007643CA" w:rsidRPr="007643CA">
        <w:rPr>
          <w:color w:val="000000"/>
          <w:lang w:val="en-US"/>
        </w:rPr>
        <w:t xml:space="preserve">A Mobile Idea of </w:t>
      </w:r>
      <w:r w:rsidR="007643CA">
        <w:rPr>
          <w:color w:val="000000"/>
          <w:lang w:val="en-US"/>
        </w:rPr>
        <w:t xml:space="preserve">Space. Traders, Patrons and the </w:t>
      </w:r>
      <w:r w:rsidR="007643CA" w:rsidRPr="007643CA">
        <w:rPr>
          <w:color w:val="000000"/>
          <w:lang w:val="en-US"/>
        </w:rPr>
        <w:t xml:space="preserve">Cross-Border Economy in </w:t>
      </w:r>
      <w:proofErr w:type="spellStart"/>
      <w:r w:rsidR="007643CA" w:rsidRPr="007643CA">
        <w:rPr>
          <w:color w:val="000000"/>
          <w:lang w:val="en-US"/>
        </w:rPr>
        <w:t>Sahelian</w:t>
      </w:r>
      <w:proofErr w:type="spellEnd"/>
      <w:r w:rsidR="007643CA" w:rsidRPr="007643CA">
        <w:rPr>
          <w:color w:val="000000"/>
          <w:lang w:val="en-US"/>
        </w:rPr>
        <w:t xml:space="preserve"> Africa</w:t>
      </w:r>
      <w:r w:rsidR="007643CA">
        <w:rPr>
          <w:lang w:val="en-GB"/>
        </w:rPr>
        <w:t xml:space="preserve">”, </w:t>
      </w:r>
      <w:r w:rsidR="007643CA" w:rsidRPr="007643CA">
        <w:rPr>
          <w:i/>
          <w:lang w:val="en-US"/>
        </w:rPr>
        <w:t xml:space="preserve">Journal of Borderlands </w:t>
      </w:r>
      <w:r w:rsidR="007643CA" w:rsidRPr="007643CA">
        <w:rPr>
          <w:lang w:val="en-US"/>
        </w:rPr>
        <w:t>Studies 24:1</w:t>
      </w:r>
      <w:r w:rsidR="007643CA">
        <w:rPr>
          <w:lang w:val="en-US"/>
        </w:rPr>
        <w:t>, pp.34-46.</w:t>
      </w:r>
    </w:p>
    <w:p w14:paraId="5D66178E" w14:textId="34C8E7E3" w:rsidR="00B76FEA" w:rsidRPr="00B76FEA" w:rsidRDefault="00B76FEA" w:rsidP="00B76FEA">
      <w:pPr>
        <w:pStyle w:val="CommentText"/>
        <w:rPr>
          <w:lang w:val="en-US"/>
        </w:rPr>
      </w:pPr>
      <w:r w:rsidRPr="00B76FEA">
        <w:rPr>
          <w:sz w:val="23"/>
          <w:szCs w:val="23"/>
          <w:lang w:val="en-US"/>
        </w:rPr>
        <w:t xml:space="preserve">Walther O, </w:t>
      </w:r>
      <w:proofErr w:type="spellStart"/>
      <w:r w:rsidRPr="00B76FEA">
        <w:rPr>
          <w:sz w:val="23"/>
          <w:szCs w:val="23"/>
          <w:lang w:val="en-US"/>
        </w:rPr>
        <w:t>Tenikue</w:t>
      </w:r>
      <w:proofErr w:type="spellEnd"/>
      <w:r w:rsidRPr="00B76FEA">
        <w:rPr>
          <w:sz w:val="23"/>
          <w:szCs w:val="23"/>
          <w:lang w:val="en-US"/>
        </w:rPr>
        <w:t xml:space="preserve"> M, </w:t>
      </w:r>
      <w:proofErr w:type="spellStart"/>
      <w:r w:rsidRPr="00B76FEA">
        <w:rPr>
          <w:sz w:val="23"/>
          <w:szCs w:val="23"/>
          <w:lang w:val="en-US"/>
        </w:rPr>
        <w:t>Kuepié</w:t>
      </w:r>
      <w:proofErr w:type="spellEnd"/>
      <w:r w:rsidRPr="00B76FEA">
        <w:rPr>
          <w:sz w:val="23"/>
          <w:szCs w:val="23"/>
          <w:lang w:val="en-US"/>
        </w:rPr>
        <w:t xml:space="preserve"> M. </w:t>
      </w:r>
      <w:r>
        <w:rPr>
          <w:sz w:val="23"/>
          <w:szCs w:val="23"/>
          <w:lang w:val="en-US"/>
        </w:rPr>
        <w:t>(</w:t>
      </w:r>
      <w:r w:rsidRPr="00B76FEA">
        <w:rPr>
          <w:sz w:val="23"/>
          <w:szCs w:val="23"/>
          <w:lang w:val="en-US"/>
        </w:rPr>
        <w:t>2012</w:t>
      </w:r>
      <w:r>
        <w:rPr>
          <w:sz w:val="23"/>
          <w:szCs w:val="23"/>
          <w:lang w:val="en-US"/>
        </w:rPr>
        <w:t>),</w:t>
      </w:r>
      <w:r w:rsidRPr="00B76FEA">
        <w:rPr>
          <w:sz w:val="23"/>
          <w:szCs w:val="23"/>
          <w:lang w:val="en-US"/>
        </w:rPr>
        <w:t xml:space="preserve"> </w:t>
      </w:r>
      <w:r>
        <w:rPr>
          <w:sz w:val="23"/>
          <w:szCs w:val="23"/>
          <w:lang w:val="en-US"/>
        </w:rPr>
        <w:t>“</w:t>
      </w:r>
      <w:r w:rsidRPr="00B902A5">
        <w:rPr>
          <w:sz w:val="23"/>
          <w:szCs w:val="23"/>
          <w:lang w:val="en-US"/>
        </w:rPr>
        <w:t>Regional trade and border markets between Niger, Benin and Nigeria: A methodological note</w:t>
      </w:r>
      <w:r>
        <w:rPr>
          <w:sz w:val="23"/>
          <w:szCs w:val="23"/>
          <w:lang w:val="en-US"/>
        </w:rPr>
        <w:t>”</w:t>
      </w:r>
      <w:r w:rsidRPr="00B902A5">
        <w:rPr>
          <w:sz w:val="23"/>
          <w:szCs w:val="23"/>
          <w:lang w:val="en-US"/>
        </w:rPr>
        <w:t xml:space="preserve">. </w:t>
      </w:r>
      <w:r w:rsidRPr="00B76FEA">
        <w:rPr>
          <w:sz w:val="23"/>
          <w:szCs w:val="23"/>
          <w:lang w:val="en-US"/>
        </w:rPr>
        <w:t xml:space="preserve">Luxembourg: </w:t>
      </w:r>
      <w:r w:rsidRPr="00B76FEA">
        <w:rPr>
          <w:i/>
          <w:iCs/>
          <w:sz w:val="23"/>
          <w:szCs w:val="23"/>
          <w:lang w:val="en-US"/>
        </w:rPr>
        <w:t xml:space="preserve">CEPS/INSTEAD Technical Papers </w:t>
      </w:r>
      <w:r w:rsidRPr="00B76FEA">
        <w:rPr>
          <w:sz w:val="23"/>
          <w:szCs w:val="23"/>
          <w:lang w:val="en-US"/>
        </w:rPr>
        <w:t>3.</w:t>
      </w:r>
    </w:p>
    <w:p w14:paraId="553EEA0F" w14:textId="4B077FC5" w:rsidR="00134A2B" w:rsidRPr="008839A0" w:rsidRDefault="00134A2B" w:rsidP="008839A0">
      <w:pPr>
        <w:pStyle w:val="CommentText"/>
        <w:rPr>
          <w:lang w:val="en-US"/>
        </w:rPr>
      </w:pPr>
      <w:r w:rsidRPr="008839A0">
        <w:rPr>
          <w:sz w:val="22"/>
          <w:szCs w:val="22"/>
          <w:lang w:val="en-US"/>
        </w:rPr>
        <w:t>Walther, O. (2014), “</w:t>
      </w:r>
      <w:r w:rsidRPr="008839A0">
        <w:rPr>
          <w:bCs/>
          <w:sz w:val="22"/>
          <w:szCs w:val="22"/>
          <w:lang w:val="en-US"/>
        </w:rPr>
        <w:t xml:space="preserve">Business, Brokers and Borders: The Structure of West African Trade Networks”, </w:t>
      </w:r>
      <w:r w:rsidR="008839A0" w:rsidRPr="008839A0">
        <w:rPr>
          <w:i/>
          <w:iCs/>
          <w:sz w:val="23"/>
          <w:szCs w:val="23"/>
          <w:lang w:val="en-US"/>
        </w:rPr>
        <w:t xml:space="preserve">Department of Border Region Studies Working Papers </w:t>
      </w:r>
      <w:r w:rsidR="008839A0" w:rsidRPr="008839A0">
        <w:rPr>
          <w:sz w:val="23"/>
          <w:szCs w:val="23"/>
          <w:lang w:val="en-US"/>
        </w:rPr>
        <w:t>1</w:t>
      </w:r>
      <w:r w:rsidRPr="008839A0">
        <w:rPr>
          <w:sz w:val="22"/>
          <w:szCs w:val="22"/>
          <w:lang w:val="en-US"/>
        </w:rPr>
        <w:t>.</w:t>
      </w:r>
    </w:p>
    <w:p w14:paraId="73822B02" w14:textId="518351CE" w:rsidR="00C73102" w:rsidRPr="001A327B" w:rsidRDefault="00EE3B2D" w:rsidP="001A327B">
      <w:pPr>
        <w:pStyle w:val="Heading1"/>
        <w:rPr>
          <w:rFonts w:asciiTheme="minorHAnsi" w:hAnsiTheme="minorHAnsi"/>
          <w:sz w:val="24"/>
          <w:szCs w:val="24"/>
        </w:rPr>
      </w:pPr>
      <w:bookmarkStart w:id="43" w:name="_Toc384903170"/>
      <w:bookmarkStart w:id="44" w:name="_Toc386104461"/>
      <w:bookmarkStart w:id="45" w:name="_Toc373155796"/>
      <w:bookmarkStart w:id="46" w:name="_Toc373155793"/>
      <w:r w:rsidRPr="001A327B">
        <w:rPr>
          <w:rFonts w:asciiTheme="minorHAnsi" w:hAnsiTheme="minorHAnsi"/>
          <w:sz w:val="24"/>
          <w:szCs w:val="24"/>
        </w:rPr>
        <w:lastRenderedPageBreak/>
        <w:t>A</w:t>
      </w:r>
      <w:r w:rsidR="00C73102" w:rsidRPr="001A327B">
        <w:rPr>
          <w:rFonts w:asciiTheme="minorHAnsi" w:hAnsiTheme="minorHAnsi"/>
          <w:sz w:val="24"/>
          <w:szCs w:val="24"/>
        </w:rPr>
        <w:t xml:space="preserve">nnexe </w:t>
      </w:r>
      <w:r w:rsidR="00C73102" w:rsidRPr="001A327B">
        <w:rPr>
          <w:rFonts w:asciiTheme="minorHAnsi" w:hAnsiTheme="minorHAnsi"/>
          <w:sz w:val="24"/>
          <w:szCs w:val="24"/>
        </w:rPr>
        <w:fldChar w:fldCharType="begin"/>
      </w:r>
      <w:r w:rsidR="00C73102" w:rsidRPr="001A327B">
        <w:rPr>
          <w:rFonts w:asciiTheme="minorHAnsi" w:hAnsiTheme="minorHAnsi"/>
          <w:sz w:val="24"/>
          <w:szCs w:val="24"/>
        </w:rPr>
        <w:instrText xml:space="preserve"> SEQ Annexe \* ARABIC </w:instrText>
      </w:r>
      <w:r w:rsidR="00C73102" w:rsidRPr="001A327B">
        <w:rPr>
          <w:rFonts w:asciiTheme="minorHAnsi" w:hAnsiTheme="minorHAnsi"/>
          <w:sz w:val="24"/>
          <w:szCs w:val="24"/>
        </w:rPr>
        <w:fldChar w:fldCharType="separate"/>
      </w:r>
      <w:r w:rsidR="008229BD">
        <w:rPr>
          <w:rFonts w:asciiTheme="minorHAnsi" w:hAnsiTheme="minorHAnsi"/>
          <w:noProof/>
          <w:sz w:val="24"/>
          <w:szCs w:val="24"/>
        </w:rPr>
        <w:t>1</w:t>
      </w:r>
      <w:r w:rsidR="00C73102" w:rsidRPr="001A327B">
        <w:rPr>
          <w:rFonts w:asciiTheme="minorHAnsi" w:hAnsiTheme="minorHAnsi"/>
          <w:sz w:val="24"/>
          <w:szCs w:val="24"/>
        </w:rPr>
        <w:fldChar w:fldCharType="end"/>
      </w:r>
      <w:r w:rsidR="00C73102" w:rsidRPr="001A327B">
        <w:rPr>
          <w:rFonts w:asciiTheme="minorHAnsi" w:hAnsiTheme="minorHAnsi"/>
          <w:sz w:val="24"/>
          <w:szCs w:val="24"/>
        </w:rPr>
        <w:t> : Brève présentation de la méthode des statistiques miroirs</w:t>
      </w:r>
      <w:bookmarkEnd w:id="43"/>
      <w:bookmarkEnd w:id="44"/>
    </w:p>
    <w:p w14:paraId="63B8D3A7" w14:textId="59693CC7" w:rsidR="00C73102" w:rsidRPr="007900EF" w:rsidRDefault="00C73102" w:rsidP="00C73102">
      <w:pPr>
        <w:jc w:val="both"/>
      </w:pPr>
      <w:r w:rsidRPr="007900EF">
        <w:rPr>
          <w:b/>
        </w:rPr>
        <w:t xml:space="preserve">L’analyse suivante se fonde sur les travaux de </w:t>
      </w:r>
      <w:proofErr w:type="spellStart"/>
      <w:r w:rsidRPr="007900EF">
        <w:rPr>
          <w:b/>
        </w:rPr>
        <w:t>Fisman</w:t>
      </w:r>
      <w:proofErr w:type="spellEnd"/>
      <w:r w:rsidRPr="007900EF">
        <w:rPr>
          <w:b/>
        </w:rPr>
        <w:t xml:space="preserve"> and Wei (2009), Jean et </w:t>
      </w:r>
      <w:proofErr w:type="spellStart"/>
      <w:r w:rsidRPr="007900EF">
        <w:rPr>
          <w:b/>
        </w:rPr>
        <w:t>Mitaritonna</w:t>
      </w:r>
      <w:proofErr w:type="spellEnd"/>
      <w:r w:rsidRPr="007900EF">
        <w:rPr>
          <w:b/>
        </w:rPr>
        <w:t xml:space="preserve"> (2010), Berger and </w:t>
      </w:r>
      <w:proofErr w:type="spellStart"/>
      <w:r w:rsidRPr="007900EF">
        <w:rPr>
          <w:b/>
        </w:rPr>
        <w:t>Nitsch</w:t>
      </w:r>
      <w:proofErr w:type="spellEnd"/>
      <w:r w:rsidRPr="007900EF">
        <w:rPr>
          <w:b/>
        </w:rPr>
        <w:t xml:space="preserve"> (2012) et </w:t>
      </w:r>
      <w:proofErr w:type="spellStart"/>
      <w:r w:rsidRPr="007900EF">
        <w:rPr>
          <w:b/>
        </w:rPr>
        <w:t>Raballand</w:t>
      </w:r>
      <w:proofErr w:type="spellEnd"/>
      <w:r w:rsidRPr="007900EF">
        <w:rPr>
          <w:b/>
        </w:rPr>
        <w:t xml:space="preserve"> et al (2013) sur l’approche du commerce informel à travers les données de commerce officiel</w:t>
      </w:r>
      <w:r w:rsidRPr="007900EF">
        <w:rPr>
          <w:rStyle w:val="FootnoteReference"/>
          <w:b/>
        </w:rPr>
        <w:footnoteReference w:id="36"/>
      </w:r>
      <w:r w:rsidRPr="007900EF">
        <w:rPr>
          <w:b/>
        </w:rPr>
        <w:t xml:space="preserve">. </w:t>
      </w:r>
      <w:r w:rsidRPr="007900EF">
        <w:t>Ceux-ci proposent d’utiliser l’écart entre les mesures rapportées par les autorités des pays</w:t>
      </w:r>
      <w:r w:rsidR="00B902A5">
        <w:t xml:space="preserve"> </w:t>
      </w:r>
      <w:r w:rsidRPr="007900EF">
        <w:t>importateurs et exportateurs pour un même flux de commerce afin de procurer une première évaluation du commerce informel (ceci est appelé une approche par des statistiques miroirs). En principe, il existe un écart minimum entre les valeurs rapportées de part et d’autre d’une frontière étant donné que les exportations sont évaluées en terme FOB, c’est-à-dire sans frais de transport et assurances et les importations en terme CIF, i.e. frais de port et assurance inclus. L’écart peut être amplifié par des erreurs de classification, des problèmes de temps, de taux de change etc..</w:t>
      </w:r>
      <w:r w:rsidRPr="007900EF">
        <w:rPr>
          <w:rStyle w:val="FootnoteReference"/>
        </w:rPr>
        <w:footnoteReference w:id="37"/>
      </w:r>
      <w:r w:rsidRPr="007900EF">
        <w:t xml:space="preserve">. Néanmoins, </w:t>
      </w:r>
      <w:proofErr w:type="spellStart"/>
      <w:r w:rsidRPr="007900EF">
        <w:t>Bhagwati</w:t>
      </w:r>
      <w:proofErr w:type="spellEnd"/>
      <w:r w:rsidRPr="007900EF">
        <w:t xml:space="preserve"> (1967) relevait qu’au-delà de 30% de la valeur du bien importé de différence, les explications « classiques » ne sont plus satisfaisantes et au-delà de ce seuil la présomption de sous-évaluation ou surévaluation des importations ou exportations doit être privilégiée.</w:t>
      </w:r>
    </w:p>
    <w:p w14:paraId="449C9C0A" w14:textId="77777777" w:rsidR="00C73102" w:rsidRPr="007900EF" w:rsidRDefault="00C73102" w:rsidP="00C73102">
      <w:pPr>
        <w:jc w:val="both"/>
      </w:pPr>
      <w:r w:rsidRPr="007900EF">
        <w:t xml:space="preserve">L’écart est calculé de la manière suivante pour une année donnée et une paire de pays donnée : </w:t>
      </w:r>
    </w:p>
    <w:p w14:paraId="471AF477" w14:textId="77777777" w:rsidR="00C73102" w:rsidRPr="007900EF" w:rsidRDefault="00C73102" w:rsidP="00C73102">
      <w:pPr>
        <w:jc w:val="both"/>
        <w:rPr>
          <w:rFonts w:eastAsiaTheme="minorEastAsia"/>
        </w:rPr>
      </w:pPr>
      <m:oMathPara>
        <m:oMath>
          <m:r>
            <w:rPr>
              <w:rFonts w:ascii="Cambria Math" w:hAnsi="Cambria Math"/>
            </w:rPr>
            <m:t>%Ga</m:t>
          </m:r>
          <m:sSubSup>
            <m:sSubSupPr>
              <m:ctrlPr>
                <w:rPr>
                  <w:rFonts w:ascii="Cambria Math" w:hAnsi="Cambria Math"/>
                  <w:i/>
                </w:rPr>
              </m:ctrlPr>
            </m:sSubSupPr>
            <m:e>
              <m:r>
                <w:rPr>
                  <w:rFonts w:ascii="Cambria Math" w:hAnsi="Cambria Math"/>
                </w:rPr>
                <m:t>p</m:t>
              </m:r>
            </m:e>
            <m:sub>
              <m:r>
                <w:rPr>
                  <w:rFonts w:ascii="Cambria Math" w:hAnsi="Cambria Math"/>
                </w:rPr>
                <m:t>ijt</m:t>
              </m:r>
            </m:sub>
            <m:sup>
              <m:r>
                <w:rPr>
                  <w:rFonts w:ascii="Cambria Math" w:hAnsi="Cambria Math"/>
                </w:rPr>
                <m:t>k</m:t>
              </m:r>
            </m:sup>
          </m:sSubSup>
          <m:r>
            <w:rPr>
              <w:rFonts w:ascii="Cambria Math" w:hAnsi="Cambria Math"/>
            </w:rPr>
            <m:t>=(</m:t>
          </m:r>
          <m:f>
            <m:fPr>
              <m:type m:val="lin"/>
              <m:ctrlPr>
                <w:rPr>
                  <w:rFonts w:ascii="Cambria Math" w:hAnsi="Cambria Math"/>
                  <w:i/>
                </w:rPr>
              </m:ctrlPr>
            </m:fPr>
            <m:num>
              <m:r>
                <w:rPr>
                  <w:rFonts w:ascii="Cambria Math" w:hAnsi="Cambria Math"/>
                </w:rPr>
                <m:t>Import</m:t>
              </m:r>
              <m:sSubSup>
                <m:sSubSupPr>
                  <m:ctrlPr>
                    <w:rPr>
                      <w:rFonts w:ascii="Cambria Math" w:hAnsi="Cambria Math"/>
                      <w:i/>
                    </w:rPr>
                  </m:ctrlPr>
                </m:sSubSupPr>
                <m:e>
                  <m:r>
                    <w:rPr>
                      <w:rFonts w:ascii="Cambria Math" w:hAnsi="Cambria Math"/>
                    </w:rPr>
                    <m:t>s</m:t>
                  </m:r>
                </m:e>
                <m:sub>
                  <m:r>
                    <w:rPr>
                      <w:rFonts w:ascii="Cambria Math" w:hAnsi="Cambria Math"/>
                    </w:rPr>
                    <m:t>ijt</m:t>
                  </m:r>
                </m:sub>
                <m:sup>
                  <m:r>
                    <w:rPr>
                      <w:rFonts w:ascii="Cambria Math" w:hAnsi="Cambria Math"/>
                    </w:rPr>
                    <m:t>k</m:t>
                  </m:r>
                </m:sup>
              </m:sSubSup>
              <m:r>
                <w:rPr>
                  <w:rFonts w:ascii="Cambria Math" w:hAnsi="Cambria Math"/>
                </w:rPr>
                <m:t>-Export</m:t>
              </m:r>
              <m:sSubSup>
                <m:sSubSupPr>
                  <m:ctrlPr>
                    <w:rPr>
                      <w:rFonts w:ascii="Cambria Math" w:hAnsi="Cambria Math"/>
                      <w:i/>
                    </w:rPr>
                  </m:ctrlPr>
                </m:sSubSupPr>
                <m:e>
                  <m:r>
                    <w:rPr>
                      <w:rFonts w:ascii="Cambria Math" w:hAnsi="Cambria Math"/>
                    </w:rPr>
                    <m:t>s</m:t>
                  </m:r>
                </m:e>
                <m:sub>
                  <m:r>
                    <w:rPr>
                      <w:rFonts w:ascii="Cambria Math" w:hAnsi="Cambria Math"/>
                    </w:rPr>
                    <m:t>jit</m:t>
                  </m:r>
                </m:sub>
                <m:sup>
                  <m:r>
                    <w:rPr>
                      <w:rFonts w:ascii="Cambria Math" w:hAnsi="Cambria Math"/>
                    </w:rPr>
                    <m:t>k</m:t>
                  </m:r>
                </m:sup>
              </m:sSubSup>
              <m:r>
                <w:rPr>
                  <w:rFonts w:ascii="Cambria Math" w:hAnsi="Cambria Math"/>
                </w:rPr>
                <m:t>)</m:t>
              </m:r>
            </m:num>
            <m:den>
              <m:r>
                <w:rPr>
                  <w:rFonts w:ascii="Cambria Math" w:hAnsi="Cambria Math"/>
                </w:rPr>
                <m:t>Import</m:t>
              </m:r>
              <m:sSubSup>
                <m:sSubSupPr>
                  <m:ctrlPr>
                    <w:rPr>
                      <w:rFonts w:ascii="Cambria Math" w:hAnsi="Cambria Math"/>
                      <w:i/>
                    </w:rPr>
                  </m:ctrlPr>
                </m:sSubSupPr>
                <m:e>
                  <m:r>
                    <w:rPr>
                      <w:rFonts w:ascii="Cambria Math" w:hAnsi="Cambria Math"/>
                    </w:rPr>
                    <m:t>s</m:t>
                  </m:r>
                </m:e>
                <m:sub>
                  <m:r>
                    <w:rPr>
                      <w:rFonts w:ascii="Cambria Math" w:hAnsi="Cambria Math"/>
                    </w:rPr>
                    <m:t>ijt</m:t>
                  </m:r>
                </m:sub>
                <m:sup>
                  <m:r>
                    <w:rPr>
                      <w:rFonts w:ascii="Cambria Math" w:hAnsi="Cambria Math"/>
                    </w:rPr>
                    <m:t>k</m:t>
                  </m:r>
                </m:sup>
              </m:sSubSup>
            </m:den>
          </m:f>
        </m:oMath>
      </m:oMathPara>
    </w:p>
    <w:p w14:paraId="702141FC" w14:textId="77777777" w:rsidR="00C73102" w:rsidRPr="007900EF" w:rsidRDefault="00C73102" w:rsidP="00C73102">
      <w:pPr>
        <w:jc w:val="both"/>
        <w:rPr>
          <w:rFonts w:eastAsiaTheme="minorEastAsia"/>
          <w:i/>
        </w:rPr>
      </w:pPr>
      <w:r w:rsidRPr="007900EF">
        <w:rPr>
          <w:rFonts w:eastAsiaTheme="minorEastAsia"/>
          <w:i/>
        </w:rPr>
        <w:t xml:space="preserve">K </w:t>
      </w:r>
      <w:r w:rsidRPr="007900EF">
        <w:rPr>
          <w:rFonts w:eastAsiaTheme="minorEastAsia"/>
        </w:rPr>
        <w:t xml:space="preserve">correspond ici à une catégorie de bien définie au niveau </w:t>
      </w:r>
      <w:r>
        <w:rPr>
          <w:rFonts w:eastAsiaTheme="minorEastAsia"/>
        </w:rPr>
        <w:t>6 de la classification HS Révision 2</w:t>
      </w:r>
      <w:r w:rsidRPr="007900EF">
        <w:rPr>
          <w:rFonts w:eastAsiaTheme="minorEastAsia"/>
        </w:rPr>
        <w:t>.</w:t>
      </w:r>
    </w:p>
    <w:p w14:paraId="4F7AA4E1" w14:textId="77777777" w:rsidR="001A327B" w:rsidRDefault="001A327B">
      <w:pPr>
        <w:rPr>
          <w:rFonts w:asciiTheme="majorHAnsi" w:eastAsiaTheme="majorEastAsia" w:hAnsiTheme="majorHAnsi" w:cstheme="majorBidi"/>
          <w:b/>
          <w:bCs/>
          <w:color w:val="365F91" w:themeColor="accent1" w:themeShade="BF"/>
          <w:sz w:val="24"/>
          <w:szCs w:val="24"/>
        </w:rPr>
      </w:pPr>
      <w:bookmarkStart w:id="47" w:name="_Toc384903171"/>
      <w:r>
        <w:rPr>
          <w:sz w:val="24"/>
          <w:szCs w:val="24"/>
        </w:rPr>
        <w:br w:type="page"/>
      </w:r>
    </w:p>
    <w:p w14:paraId="46ED48B2" w14:textId="7850D14E" w:rsidR="008E2273" w:rsidRPr="00B37BE9" w:rsidRDefault="008E2273" w:rsidP="00B37BE9">
      <w:pPr>
        <w:pStyle w:val="Heading1"/>
        <w:rPr>
          <w:sz w:val="24"/>
          <w:szCs w:val="24"/>
        </w:rPr>
      </w:pPr>
      <w:bookmarkStart w:id="48" w:name="_Toc386104462"/>
      <w:r w:rsidRPr="00B37BE9">
        <w:rPr>
          <w:sz w:val="24"/>
          <w:szCs w:val="24"/>
        </w:rPr>
        <w:lastRenderedPageBreak/>
        <w:t xml:space="preserve">Annexe </w:t>
      </w:r>
      <w:r w:rsidRPr="00B37BE9">
        <w:rPr>
          <w:sz w:val="24"/>
          <w:szCs w:val="24"/>
        </w:rPr>
        <w:fldChar w:fldCharType="begin"/>
      </w:r>
      <w:r w:rsidRPr="00B37BE9">
        <w:rPr>
          <w:sz w:val="24"/>
          <w:szCs w:val="24"/>
        </w:rPr>
        <w:instrText xml:space="preserve"> SEQ Annexe \* ARABIC </w:instrText>
      </w:r>
      <w:r w:rsidRPr="00B37BE9">
        <w:rPr>
          <w:sz w:val="24"/>
          <w:szCs w:val="24"/>
        </w:rPr>
        <w:fldChar w:fldCharType="separate"/>
      </w:r>
      <w:r w:rsidR="008229BD">
        <w:rPr>
          <w:noProof/>
          <w:sz w:val="24"/>
          <w:szCs w:val="24"/>
        </w:rPr>
        <w:t>2</w:t>
      </w:r>
      <w:r w:rsidRPr="00B37BE9">
        <w:rPr>
          <w:sz w:val="24"/>
          <w:szCs w:val="24"/>
        </w:rPr>
        <w:fldChar w:fldCharType="end"/>
      </w:r>
      <w:r w:rsidRPr="00B37BE9">
        <w:rPr>
          <w:sz w:val="24"/>
          <w:szCs w:val="24"/>
        </w:rPr>
        <w:t> : Les exportations maliennes officielles en direction de l'Algérie</w:t>
      </w:r>
      <w:bookmarkEnd w:id="45"/>
      <w:bookmarkEnd w:id="47"/>
      <w:bookmarkEnd w:id="48"/>
    </w:p>
    <w:tbl>
      <w:tblPr>
        <w:tblW w:w="7900" w:type="dxa"/>
        <w:tblInd w:w="93" w:type="dxa"/>
        <w:tblLook w:val="04A0" w:firstRow="1" w:lastRow="0" w:firstColumn="1" w:lastColumn="0" w:noHBand="0" w:noVBand="1"/>
      </w:tblPr>
      <w:tblGrid>
        <w:gridCol w:w="960"/>
        <w:gridCol w:w="5020"/>
        <w:gridCol w:w="960"/>
        <w:gridCol w:w="960"/>
      </w:tblGrid>
      <w:tr w:rsidR="008E2273" w:rsidRPr="00C10B28" w14:paraId="147481A9" w14:textId="77777777" w:rsidTr="008E2273">
        <w:trPr>
          <w:trHeight w:val="222"/>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0AC0F0" w14:textId="77777777" w:rsidR="008E2273" w:rsidRPr="00C10B28" w:rsidRDefault="008E2273" w:rsidP="008E2273">
            <w:pPr>
              <w:spacing w:after="0" w:line="240" w:lineRule="auto"/>
              <w:rPr>
                <w:rFonts w:ascii="Calibri" w:eastAsia="Times New Roman" w:hAnsi="Calibri" w:cs="Times New Roman"/>
                <w:b/>
                <w:bCs/>
                <w:color w:val="000000"/>
                <w:sz w:val="18"/>
                <w:szCs w:val="18"/>
                <w:lang w:val="en-GB" w:eastAsia="en-GB"/>
              </w:rPr>
            </w:pPr>
            <w:proofErr w:type="spellStart"/>
            <w:r w:rsidRPr="00C10B28">
              <w:rPr>
                <w:rFonts w:ascii="Calibri" w:eastAsia="Times New Roman" w:hAnsi="Calibri" w:cs="Times New Roman"/>
                <w:b/>
                <w:bCs/>
                <w:color w:val="000000"/>
                <w:sz w:val="18"/>
                <w:szCs w:val="18"/>
                <w:lang w:val="en-GB" w:eastAsia="en-GB"/>
              </w:rPr>
              <w:t>Annee</w:t>
            </w:r>
            <w:proofErr w:type="spellEnd"/>
          </w:p>
        </w:tc>
        <w:tc>
          <w:tcPr>
            <w:tcW w:w="5020" w:type="dxa"/>
            <w:tcBorders>
              <w:top w:val="single" w:sz="8" w:space="0" w:color="auto"/>
              <w:left w:val="nil"/>
              <w:bottom w:val="single" w:sz="8" w:space="0" w:color="auto"/>
              <w:right w:val="single" w:sz="4" w:space="0" w:color="auto"/>
            </w:tcBorders>
            <w:shd w:val="clear" w:color="auto" w:fill="auto"/>
            <w:noWrap/>
            <w:vAlign w:val="bottom"/>
            <w:hideMark/>
          </w:tcPr>
          <w:p w14:paraId="6F987CB8" w14:textId="77777777" w:rsidR="008E2273" w:rsidRPr="00C10B28" w:rsidRDefault="008E2273" w:rsidP="008E2273">
            <w:pPr>
              <w:spacing w:after="0" w:line="240" w:lineRule="auto"/>
              <w:rPr>
                <w:rFonts w:ascii="Calibri" w:eastAsia="Times New Roman" w:hAnsi="Calibri" w:cs="Times New Roman"/>
                <w:b/>
                <w:bCs/>
                <w:color w:val="000000"/>
                <w:sz w:val="18"/>
                <w:szCs w:val="18"/>
                <w:lang w:val="en-GB" w:eastAsia="en-GB"/>
              </w:rPr>
            </w:pPr>
            <w:r w:rsidRPr="00C10B28">
              <w:rPr>
                <w:rFonts w:ascii="Calibri" w:eastAsia="Times New Roman" w:hAnsi="Calibri" w:cs="Times New Roman"/>
                <w:b/>
                <w:bCs/>
                <w:color w:val="000000"/>
                <w:sz w:val="18"/>
                <w:szCs w:val="18"/>
                <w:lang w:val="en-GB" w:eastAsia="en-GB"/>
              </w:rPr>
              <w:t>Description</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7F58E43" w14:textId="77777777" w:rsidR="008E2273" w:rsidRPr="00C10B28" w:rsidRDefault="008E2273" w:rsidP="008E2273">
            <w:pPr>
              <w:spacing w:after="0" w:line="240" w:lineRule="auto"/>
              <w:rPr>
                <w:rFonts w:ascii="Calibri" w:eastAsia="Times New Roman" w:hAnsi="Calibri" w:cs="Times New Roman"/>
                <w:b/>
                <w:bCs/>
                <w:color w:val="000000"/>
                <w:sz w:val="18"/>
                <w:szCs w:val="18"/>
                <w:lang w:val="en-GB" w:eastAsia="en-GB"/>
              </w:rPr>
            </w:pPr>
            <w:proofErr w:type="spellStart"/>
            <w:r w:rsidRPr="00C10B28">
              <w:rPr>
                <w:rFonts w:ascii="Calibri" w:eastAsia="Times New Roman" w:hAnsi="Calibri" w:cs="Times New Roman"/>
                <w:b/>
                <w:bCs/>
                <w:color w:val="000000"/>
                <w:sz w:val="18"/>
                <w:szCs w:val="18"/>
                <w:lang w:val="en-GB" w:eastAsia="en-GB"/>
              </w:rPr>
              <w:t>Poids</w:t>
            </w:r>
            <w:proofErr w:type="spellEnd"/>
            <w:r w:rsidRPr="00C10B28">
              <w:rPr>
                <w:rFonts w:ascii="Calibri" w:eastAsia="Times New Roman" w:hAnsi="Calibri" w:cs="Times New Roman"/>
                <w:b/>
                <w:bCs/>
                <w:color w:val="000000"/>
                <w:sz w:val="18"/>
                <w:szCs w:val="18"/>
                <w:lang w:val="en-GB" w:eastAsia="en-GB"/>
              </w:rPr>
              <w:t xml:space="preserve"> net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25F7E14" w14:textId="77777777" w:rsidR="008E2273" w:rsidRPr="00C10B28" w:rsidRDefault="008E2273" w:rsidP="008E2273">
            <w:pPr>
              <w:spacing w:after="0" w:line="240" w:lineRule="auto"/>
              <w:rPr>
                <w:rFonts w:ascii="Calibri" w:eastAsia="Times New Roman" w:hAnsi="Calibri" w:cs="Times New Roman"/>
                <w:b/>
                <w:bCs/>
                <w:color w:val="000000"/>
                <w:sz w:val="18"/>
                <w:szCs w:val="18"/>
                <w:lang w:val="en-GB" w:eastAsia="en-GB"/>
              </w:rPr>
            </w:pPr>
            <w:proofErr w:type="spellStart"/>
            <w:r w:rsidRPr="00C10B28">
              <w:rPr>
                <w:rFonts w:ascii="Calibri" w:eastAsia="Times New Roman" w:hAnsi="Calibri" w:cs="Times New Roman"/>
                <w:b/>
                <w:bCs/>
                <w:color w:val="000000"/>
                <w:sz w:val="18"/>
                <w:szCs w:val="18"/>
                <w:lang w:val="en-GB" w:eastAsia="en-GB"/>
              </w:rPr>
              <w:t>Valeur</w:t>
            </w:r>
            <w:proofErr w:type="spellEnd"/>
          </w:p>
        </w:tc>
      </w:tr>
      <w:tr w:rsidR="008E2273" w:rsidRPr="00C10B28" w14:paraId="4C8B3EA4"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9EF34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2007</w:t>
            </w:r>
          </w:p>
        </w:tc>
        <w:tc>
          <w:tcPr>
            <w:tcW w:w="5020" w:type="dxa"/>
            <w:tcBorders>
              <w:top w:val="nil"/>
              <w:left w:val="nil"/>
              <w:bottom w:val="single" w:sz="4" w:space="0" w:color="auto"/>
              <w:right w:val="single" w:sz="4" w:space="0" w:color="auto"/>
            </w:tcBorders>
            <w:shd w:val="clear" w:color="auto" w:fill="auto"/>
            <w:noWrap/>
            <w:vAlign w:val="bottom"/>
            <w:hideMark/>
          </w:tcPr>
          <w:p w14:paraId="70E8D90A"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sheep</w:t>
            </w:r>
          </w:p>
        </w:tc>
        <w:tc>
          <w:tcPr>
            <w:tcW w:w="960" w:type="dxa"/>
            <w:tcBorders>
              <w:top w:val="nil"/>
              <w:left w:val="nil"/>
              <w:bottom w:val="single" w:sz="4" w:space="0" w:color="auto"/>
              <w:right w:val="single" w:sz="4" w:space="0" w:color="auto"/>
            </w:tcBorders>
            <w:shd w:val="clear" w:color="auto" w:fill="auto"/>
            <w:noWrap/>
            <w:vAlign w:val="bottom"/>
            <w:hideMark/>
          </w:tcPr>
          <w:p w14:paraId="2FDB4F7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121500</w:t>
            </w:r>
          </w:p>
        </w:tc>
        <w:tc>
          <w:tcPr>
            <w:tcW w:w="960" w:type="dxa"/>
            <w:tcBorders>
              <w:top w:val="nil"/>
              <w:left w:val="nil"/>
              <w:bottom w:val="single" w:sz="4" w:space="0" w:color="auto"/>
              <w:right w:val="single" w:sz="8" w:space="0" w:color="auto"/>
            </w:tcBorders>
            <w:shd w:val="clear" w:color="auto" w:fill="auto"/>
            <w:noWrap/>
            <w:vAlign w:val="bottom"/>
            <w:hideMark/>
          </w:tcPr>
          <w:p w14:paraId="0B8370C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1191352</w:t>
            </w:r>
          </w:p>
        </w:tc>
      </w:tr>
      <w:tr w:rsidR="008E2273" w:rsidRPr="00C10B28" w14:paraId="05C84AA8"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EEEF13"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2007</w:t>
            </w:r>
          </w:p>
        </w:tc>
        <w:tc>
          <w:tcPr>
            <w:tcW w:w="5020" w:type="dxa"/>
            <w:tcBorders>
              <w:top w:val="nil"/>
              <w:left w:val="nil"/>
              <w:bottom w:val="single" w:sz="4" w:space="0" w:color="auto"/>
              <w:right w:val="single" w:sz="4" w:space="0" w:color="auto"/>
            </w:tcBorders>
            <w:shd w:val="clear" w:color="auto" w:fill="auto"/>
            <w:noWrap/>
            <w:vAlign w:val="bottom"/>
            <w:hideMark/>
          </w:tcPr>
          <w:p w14:paraId="2D56690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999999</w:t>
            </w:r>
          </w:p>
        </w:tc>
        <w:tc>
          <w:tcPr>
            <w:tcW w:w="960" w:type="dxa"/>
            <w:tcBorders>
              <w:top w:val="nil"/>
              <w:left w:val="nil"/>
              <w:bottom w:val="single" w:sz="4" w:space="0" w:color="auto"/>
              <w:right w:val="single" w:sz="4" w:space="0" w:color="auto"/>
            </w:tcBorders>
            <w:shd w:val="clear" w:color="auto" w:fill="auto"/>
            <w:noWrap/>
            <w:vAlign w:val="bottom"/>
            <w:hideMark/>
          </w:tcPr>
          <w:p w14:paraId="6708AD3A"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14:paraId="52EA68E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767429</w:t>
            </w:r>
          </w:p>
        </w:tc>
      </w:tr>
      <w:tr w:rsidR="008E2273" w:rsidRPr="00C10B28" w14:paraId="6EA5CE3C"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FE4BA7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34D334B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999999</w:t>
            </w:r>
          </w:p>
        </w:tc>
        <w:tc>
          <w:tcPr>
            <w:tcW w:w="960" w:type="dxa"/>
            <w:tcBorders>
              <w:top w:val="nil"/>
              <w:left w:val="nil"/>
              <w:bottom w:val="single" w:sz="4" w:space="0" w:color="auto"/>
              <w:right w:val="single" w:sz="4" w:space="0" w:color="auto"/>
            </w:tcBorders>
            <w:shd w:val="clear" w:color="auto" w:fill="auto"/>
            <w:noWrap/>
            <w:vAlign w:val="bottom"/>
            <w:hideMark/>
          </w:tcPr>
          <w:p w14:paraId="259AFCB8"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14:paraId="45DDF25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1791751</w:t>
            </w:r>
          </w:p>
        </w:tc>
      </w:tr>
      <w:tr w:rsidR="008E2273" w:rsidRPr="00C10B28" w14:paraId="2195B435"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E5D891"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31B22DC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sheep</w:t>
            </w:r>
          </w:p>
        </w:tc>
        <w:tc>
          <w:tcPr>
            <w:tcW w:w="960" w:type="dxa"/>
            <w:tcBorders>
              <w:top w:val="nil"/>
              <w:left w:val="nil"/>
              <w:bottom w:val="single" w:sz="4" w:space="0" w:color="auto"/>
              <w:right w:val="single" w:sz="4" w:space="0" w:color="auto"/>
            </w:tcBorders>
            <w:shd w:val="clear" w:color="auto" w:fill="auto"/>
            <w:noWrap/>
            <w:vAlign w:val="bottom"/>
            <w:hideMark/>
          </w:tcPr>
          <w:p w14:paraId="1B933C3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218760</w:t>
            </w:r>
          </w:p>
        </w:tc>
        <w:tc>
          <w:tcPr>
            <w:tcW w:w="960" w:type="dxa"/>
            <w:tcBorders>
              <w:top w:val="nil"/>
              <w:left w:val="nil"/>
              <w:bottom w:val="single" w:sz="4" w:space="0" w:color="auto"/>
              <w:right w:val="single" w:sz="8" w:space="0" w:color="auto"/>
            </w:tcBorders>
            <w:shd w:val="clear" w:color="auto" w:fill="auto"/>
            <w:noWrap/>
            <w:vAlign w:val="bottom"/>
            <w:hideMark/>
          </w:tcPr>
          <w:p w14:paraId="7A797BF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551670</w:t>
            </w:r>
          </w:p>
        </w:tc>
      </w:tr>
      <w:tr w:rsidR="008E2273" w:rsidRPr="00C10B28" w14:paraId="009691AE"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2F2A4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377685AB"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New pneumatic tyres, of rubber of a kind used o</w:t>
            </w:r>
          </w:p>
        </w:tc>
        <w:tc>
          <w:tcPr>
            <w:tcW w:w="960" w:type="dxa"/>
            <w:tcBorders>
              <w:top w:val="nil"/>
              <w:left w:val="nil"/>
              <w:bottom w:val="single" w:sz="4" w:space="0" w:color="auto"/>
              <w:right w:val="single" w:sz="4" w:space="0" w:color="auto"/>
            </w:tcBorders>
            <w:shd w:val="clear" w:color="auto" w:fill="auto"/>
            <w:noWrap/>
            <w:vAlign w:val="bottom"/>
            <w:hideMark/>
          </w:tcPr>
          <w:p w14:paraId="58F2C5B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5240</w:t>
            </w:r>
          </w:p>
        </w:tc>
        <w:tc>
          <w:tcPr>
            <w:tcW w:w="960" w:type="dxa"/>
            <w:tcBorders>
              <w:top w:val="nil"/>
              <w:left w:val="nil"/>
              <w:bottom w:val="single" w:sz="4" w:space="0" w:color="auto"/>
              <w:right w:val="single" w:sz="8" w:space="0" w:color="auto"/>
            </w:tcBorders>
            <w:shd w:val="clear" w:color="auto" w:fill="auto"/>
            <w:noWrap/>
            <w:vAlign w:val="bottom"/>
            <w:hideMark/>
          </w:tcPr>
          <w:p w14:paraId="7497DA1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27919</w:t>
            </w:r>
          </w:p>
        </w:tc>
      </w:tr>
      <w:tr w:rsidR="008E2273" w:rsidRPr="00C10B28" w14:paraId="130CCA8F"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5F744A"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07FCF794" w14:textId="354D8E50"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Air </w:t>
            </w:r>
            <w:proofErr w:type="spellStart"/>
            <w:r w:rsidRPr="00C10B28">
              <w:rPr>
                <w:rFonts w:ascii="Calibri" w:eastAsia="Times New Roman" w:hAnsi="Calibri" w:cs="Times New Roman"/>
                <w:color w:val="000000"/>
                <w:sz w:val="18"/>
                <w:szCs w:val="18"/>
                <w:lang w:val="en-GB" w:eastAsia="en-GB"/>
              </w:rPr>
              <w:t>cond</w:t>
            </w:r>
            <w:proofErr w:type="spellEnd"/>
            <w:r w:rsidR="004D3684">
              <w:rPr>
                <w:rFonts w:ascii="Calibri" w:eastAsia="Times New Roman" w:hAnsi="Calibri" w:cs="Times New Roman"/>
                <w:color w:val="000000"/>
                <w:sz w:val="18"/>
                <w:szCs w:val="18"/>
                <w:lang w:val="en-GB" w:eastAsia="en-GB"/>
              </w:rPr>
              <w:t xml:space="preserve"> </w:t>
            </w:r>
            <w:r w:rsidRPr="00C10B28">
              <w:rPr>
                <w:rFonts w:ascii="Calibri" w:eastAsia="Times New Roman" w:hAnsi="Calibri" w:cs="Times New Roman"/>
                <w:color w:val="000000"/>
                <w:sz w:val="18"/>
                <w:szCs w:val="18"/>
                <w:lang w:val="en-GB" w:eastAsia="en-GB"/>
              </w:rPr>
              <w:t>mach</w:t>
            </w:r>
            <w:r w:rsidR="004D3684">
              <w:rPr>
                <w:rFonts w:ascii="Calibri" w:eastAsia="Times New Roman" w:hAnsi="Calibri" w:cs="Times New Roman"/>
                <w:color w:val="000000"/>
                <w:sz w:val="18"/>
                <w:szCs w:val="18"/>
                <w:lang w:val="en-GB" w:eastAsia="en-GB"/>
              </w:rPr>
              <w:t>i</w:t>
            </w:r>
            <w:r w:rsidRPr="00C10B28">
              <w:rPr>
                <w:rFonts w:ascii="Calibri" w:eastAsia="Times New Roman" w:hAnsi="Calibri" w:cs="Times New Roman"/>
                <w:color w:val="000000"/>
                <w:sz w:val="18"/>
                <w:szCs w:val="18"/>
                <w:lang w:val="en-GB" w:eastAsia="en-GB"/>
              </w:rPr>
              <w:t xml:space="preserve">nes, </w:t>
            </w:r>
            <w:proofErr w:type="spellStart"/>
            <w:r w:rsidRPr="00C10B28">
              <w:rPr>
                <w:rFonts w:ascii="Calibri" w:eastAsia="Times New Roman" w:hAnsi="Calibri" w:cs="Times New Roman"/>
                <w:color w:val="000000"/>
                <w:sz w:val="18"/>
                <w:szCs w:val="18"/>
                <w:lang w:val="en-GB" w:eastAsia="en-GB"/>
              </w:rPr>
              <w:t>inc</w:t>
            </w:r>
            <w:proofErr w:type="spellEnd"/>
            <w:r w:rsidRPr="00C10B28">
              <w:rPr>
                <w:rFonts w:ascii="Calibri" w:eastAsia="Times New Roman" w:hAnsi="Calibri" w:cs="Times New Roman"/>
                <w:color w:val="000000"/>
                <w:sz w:val="18"/>
                <w:szCs w:val="18"/>
                <w:lang w:val="en-GB" w:eastAsia="en-GB"/>
              </w:rPr>
              <w:t xml:space="preserve"> a refrigerating unit</w:t>
            </w:r>
          </w:p>
        </w:tc>
        <w:tc>
          <w:tcPr>
            <w:tcW w:w="960" w:type="dxa"/>
            <w:tcBorders>
              <w:top w:val="nil"/>
              <w:left w:val="nil"/>
              <w:bottom w:val="single" w:sz="4" w:space="0" w:color="auto"/>
              <w:right w:val="single" w:sz="4" w:space="0" w:color="auto"/>
            </w:tcBorders>
            <w:shd w:val="clear" w:color="auto" w:fill="auto"/>
            <w:noWrap/>
            <w:vAlign w:val="bottom"/>
            <w:hideMark/>
          </w:tcPr>
          <w:p w14:paraId="0EB2ACB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1110</w:t>
            </w:r>
          </w:p>
        </w:tc>
        <w:tc>
          <w:tcPr>
            <w:tcW w:w="960" w:type="dxa"/>
            <w:tcBorders>
              <w:top w:val="nil"/>
              <w:left w:val="nil"/>
              <w:bottom w:val="single" w:sz="4" w:space="0" w:color="auto"/>
              <w:right w:val="single" w:sz="8" w:space="0" w:color="auto"/>
            </w:tcBorders>
            <w:shd w:val="clear" w:color="auto" w:fill="auto"/>
            <w:noWrap/>
            <w:vAlign w:val="bottom"/>
            <w:hideMark/>
          </w:tcPr>
          <w:p w14:paraId="7797BBC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8892</w:t>
            </w:r>
          </w:p>
        </w:tc>
      </w:tr>
      <w:tr w:rsidR="008E2273" w:rsidRPr="00C10B28" w14:paraId="526E796D"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C37D47"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22AA08E0" w14:textId="7B595BBD"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Industrial or lab furnaces &amp; ovens</w:t>
            </w:r>
          </w:p>
        </w:tc>
        <w:tc>
          <w:tcPr>
            <w:tcW w:w="960" w:type="dxa"/>
            <w:tcBorders>
              <w:top w:val="nil"/>
              <w:left w:val="nil"/>
              <w:bottom w:val="single" w:sz="4" w:space="0" w:color="auto"/>
              <w:right w:val="single" w:sz="4" w:space="0" w:color="auto"/>
            </w:tcBorders>
            <w:shd w:val="clear" w:color="auto" w:fill="auto"/>
            <w:noWrap/>
            <w:vAlign w:val="bottom"/>
            <w:hideMark/>
          </w:tcPr>
          <w:p w14:paraId="70234B6B"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1000</w:t>
            </w:r>
          </w:p>
        </w:tc>
        <w:tc>
          <w:tcPr>
            <w:tcW w:w="960" w:type="dxa"/>
            <w:tcBorders>
              <w:top w:val="nil"/>
              <w:left w:val="nil"/>
              <w:bottom w:val="single" w:sz="4" w:space="0" w:color="auto"/>
              <w:right w:val="single" w:sz="8" w:space="0" w:color="auto"/>
            </w:tcBorders>
            <w:shd w:val="clear" w:color="auto" w:fill="auto"/>
            <w:noWrap/>
            <w:vAlign w:val="bottom"/>
            <w:hideMark/>
          </w:tcPr>
          <w:p w14:paraId="1511441B"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8719</w:t>
            </w:r>
          </w:p>
        </w:tc>
      </w:tr>
      <w:tr w:rsidR="008E2273" w:rsidRPr="00C10B28" w14:paraId="4DEC23CE"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353E95"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5CAEE13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Parts and accessories of apparatus of heading N</w:t>
            </w:r>
          </w:p>
        </w:tc>
        <w:tc>
          <w:tcPr>
            <w:tcW w:w="960" w:type="dxa"/>
            <w:tcBorders>
              <w:top w:val="nil"/>
              <w:left w:val="nil"/>
              <w:bottom w:val="single" w:sz="4" w:space="0" w:color="auto"/>
              <w:right w:val="single" w:sz="4" w:space="0" w:color="auto"/>
            </w:tcBorders>
            <w:shd w:val="clear" w:color="auto" w:fill="auto"/>
            <w:noWrap/>
            <w:vAlign w:val="bottom"/>
            <w:hideMark/>
          </w:tcPr>
          <w:p w14:paraId="3C0334B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6200</w:t>
            </w:r>
          </w:p>
        </w:tc>
        <w:tc>
          <w:tcPr>
            <w:tcW w:w="960" w:type="dxa"/>
            <w:tcBorders>
              <w:top w:val="nil"/>
              <w:left w:val="nil"/>
              <w:bottom w:val="single" w:sz="4" w:space="0" w:color="auto"/>
              <w:right w:val="single" w:sz="8" w:space="0" w:color="auto"/>
            </w:tcBorders>
            <w:shd w:val="clear" w:color="auto" w:fill="auto"/>
            <w:noWrap/>
            <w:vAlign w:val="bottom"/>
            <w:hideMark/>
          </w:tcPr>
          <w:p w14:paraId="620AA86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6930</w:t>
            </w:r>
          </w:p>
        </w:tc>
      </w:tr>
      <w:tr w:rsidR="008E2273" w:rsidRPr="00C10B28" w14:paraId="6D7F7818"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26773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19B96476" w14:textId="2E216935" w:rsidR="008E2273" w:rsidRPr="00C10B28" w:rsidRDefault="008E2273" w:rsidP="004D3684">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Transmission apparatus, for </w:t>
            </w:r>
            <w:proofErr w:type="spellStart"/>
            <w:r w:rsidRPr="00C10B28">
              <w:rPr>
                <w:rFonts w:ascii="Calibri" w:eastAsia="Times New Roman" w:hAnsi="Calibri" w:cs="Times New Roman"/>
                <w:color w:val="000000"/>
                <w:sz w:val="18"/>
                <w:szCs w:val="18"/>
                <w:lang w:val="en-GB" w:eastAsia="en-GB"/>
              </w:rPr>
              <w:t>radioteleph</w:t>
            </w:r>
            <w:proofErr w:type="spellEnd"/>
            <w:r w:rsidR="004D3684">
              <w:rPr>
                <w:rFonts w:ascii="Calibri" w:eastAsia="Times New Roman" w:hAnsi="Calibri" w:cs="Times New Roman"/>
                <w:color w:val="000000"/>
                <w:sz w:val="18"/>
                <w:szCs w:val="18"/>
                <w:lang w:val="en-GB"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84FBBB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w:t>
            </w:r>
          </w:p>
        </w:tc>
        <w:tc>
          <w:tcPr>
            <w:tcW w:w="960" w:type="dxa"/>
            <w:tcBorders>
              <w:top w:val="nil"/>
              <w:left w:val="nil"/>
              <w:bottom w:val="single" w:sz="4" w:space="0" w:color="auto"/>
              <w:right w:val="single" w:sz="8" w:space="0" w:color="auto"/>
            </w:tcBorders>
            <w:shd w:val="clear" w:color="auto" w:fill="auto"/>
            <w:noWrap/>
            <w:vAlign w:val="bottom"/>
            <w:hideMark/>
          </w:tcPr>
          <w:p w14:paraId="25E2165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1460</w:t>
            </w:r>
          </w:p>
        </w:tc>
      </w:tr>
      <w:tr w:rsidR="008E2273" w:rsidRPr="00C10B28" w14:paraId="3227FAF3"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E2F19EB"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2008</w:t>
            </w:r>
          </w:p>
        </w:tc>
        <w:tc>
          <w:tcPr>
            <w:tcW w:w="5020" w:type="dxa"/>
            <w:tcBorders>
              <w:top w:val="nil"/>
              <w:left w:val="nil"/>
              <w:bottom w:val="single" w:sz="4" w:space="0" w:color="auto"/>
              <w:right w:val="single" w:sz="4" w:space="0" w:color="auto"/>
            </w:tcBorders>
            <w:shd w:val="clear" w:color="auto" w:fill="auto"/>
            <w:noWrap/>
            <w:vAlign w:val="bottom"/>
            <w:hideMark/>
          </w:tcPr>
          <w:p w14:paraId="0002271D"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Freezers of the chest type, not exceeding 800 l</w:t>
            </w:r>
          </w:p>
        </w:tc>
        <w:tc>
          <w:tcPr>
            <w:tcW w:w="960" w:type="dxa"/>
            <w:tcBorders>
              <w:top w:val="nil"/>
              <w:left w:val="nil"/>
              <w:bottom w:val="single" w:sz="4" w:space="0" w:color="auto"/>
              <w:right w:val="single" w:sz="4" w:space="0" w:color="auto"/>
            </w:tcBorders>
            <w:shd w:val="clear" w:color="auto" w:fill="auto"/>
            <w:noWrap/>
            <w:vAlign w:val="bottom"/>
            <w:hideMark/>
          </w:tcPr>
          <w:p w14:paraId="6DA335B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580</w:t>
            </w:r>
          </w:p>
        </w:tc>
        <w:tc>
          <w:tcPr>
            <w:tcW w:w="960" w:type="dxa"/>
            <w:tcBorders>
              <w:top w:val="nil"/>
              <w:left w:val="nil"/>
              <w:bottom w:val="single" w:sz="4" w:space="0" w:color="auto"/>
              <w:right w:val="single" w:sz="8" w:space="0" w:color="auto"/>
            </w:tcBorders>
            <w:shd w:val="clear" w:color="auto" w:fill="auto"/>
            <w:noWrap/>
            <w:vAlign w:val="bottom"/>
            <w:hideMark/>
          </w:tcPr>
          <w:p w14:paraId="295161F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662</w:t>
            </w:r>
          </w:p>
        </w:tc>
      </w:tr>
      <w:tr w:rsidR="008E2273" w:rsidRPr="00C10B28" w14:paraId="08A97BBB"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D31B4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2010</w:t>
            </w:r>
          </w:p>
        </w:tc>
        <w:tc>
          <w:tcPr>
            <w:tcW w:w="5020" w:type="dxa"/>
            <w:tcBorders>
              <w:top w:val="nil"/>
              <w:left w:val="nil"/>
              <w:bottom w:val="single" w:sz="4" w:space="0" w:color="auto"/>
              <w:right w:val="single" w:sz="4" w:space="0" w:color="auto"/>
            </w:tcBorders>
            <w:shd w:val="clear" w:color="auto" w:fill="auto"/>
            <w:noWrap/>
            <w:vAlign w:val="bottom"/>
            <w:hideMark/>
          </w:tcPr>
          <w:p w14:paraId="37CAA5A6"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999999</w:t>
            </w:r>
          </w:p>
        </w:tc>
        <w:tc>
          <w:tcPr>
            <w:tcW w:w="960" w:type="dxa"/>
            <w:tcBorders>
              <w:top w:val="nil"/>
              <w:left w:val="nil"/>
              <w:bottom w:val="single" w:sz="4" w:space="0" w:color="auto"/>
              <w:right w:val="single" w:sz="4" w:space="0" w:color="auto"/>
            </w:tcBorders>
            <w:shd w:val="clear" w:color="auto" w:fill="auto"/>
            <w:noWrap/>
            <w:vAlign w:val="bottom"/>
            <w:hideMark/>
          </w:tcPr>
          <w:p w14:paraId="74419AE2"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14:paraId="13DFB82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1632666</w:t>
            </w:r>
          </w:p>
        </w:tc>
      </w:tr>
      <w:tr w:rsidR="008E2273" w:rsidRPr="00C10B28" w14:paraId="4EC05109"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FC5F31"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2010</w:t>
            </w:r>
          </w:p>
        </w:tc>
        <w:tc>
          <w:tcPr>
            <w:tcW w:w="5020" w:type="dxa"/>
            <w:tcBorders>
              <w:top w:val="nil"/>
              <w:left w:val="nil"/>
              <w:bottom w:val="single" w:sz="4" w:space="0" w:color="auto"/>
              <w:right w:val="single" w:sz="4" w:space="0" w:color="auto"/>
            </w:tcBorders>
            <w:shd w:val="clear" w:color="auto" w:fill="auto"/>
            <w:noWrap/>
            <w:vAlign w:val="bottom"/>
            <w:hideMark/>
          </w:tcPr>
          <w:p w14:paraId="34DCC5B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sheep</w:t>
            </w:r>
          </w:p>
        </w:tc>
        <w:tc>
          <w:tcPr>
            <w:tcW w:w="960" w:type="dxa"/>
            <w:tcBorders>
              <w:top w:val="nil"/>
              <w:left w:val="nil"/>
              <w:bottom w:val="single" w:sz="4" w:space="0" w:color="auto"/>
              <w:right w:val="single" w:sz="4" w:space="0" w:color="auto"/>
            </w:tcBorders>
            <w:shd w:val="clear" w:color="auto" w:fill="auto"/>
            <w:noWrap/>
            <w:vAlign w:val="bottom"/>
            <w:hideMark/>
          </w:tcPr>
          <w:p w14:paraId="149A2BC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426120</w:t>
            </w:r>
          </w:p>
        </w:tc>
        <w:tc>
          <w:tcPr>
            <w:tcW w:w="960" w:type="dxa"/>
            <w:tcBorders>
              <w:top w:val="nil"/>
              <w:left w:val="nil"/>
              <w:bottom w:val="single" w:sz="4" w:space="0" w:color="auto"/>
              <w:right w:val="single" w:sz="8" w:space="0" w:color="auto"/>
            </w:tcBorders>
            <w:shd w:val="clear" w:color="auto" w:fill="auto"/>
            <w:noWrap/>
            <w:vAlign w:val="bottom"/>
            <w:hideMark/>
          </w:tcPr>
          <w:p w14:paraId="798DC4B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752462</w:t>
            </w:r>
          </w:p>
        </w:tc>
      </w:tr>
      <w:tr w:rsidR="008E2273" w:rsidRPr="00C10B28" w14:paraId="41036978"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F194B8"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2010</w:t>
            </w:r>
          </w:p>
        </w:tc>
        <w:tc>
          <w:tcPr>
            <w:tcW w:w="5020" w:type="dxa"/>
            <w:tcBorders>
              <w:top w:val="nil"/>
              <w:left w:val="nil"/>
              <w:bottom w:val="single" w:sz="4" w:space="0" w:color="auto"/>
              <w:right w:val="single" w:sz="4" w:space="0" w:color="auto"/>
            </w:tcBorders>
            <w:shd w:val="clear" w:color="auto" w:fill="auto"/>
            <w:noWrap/>
            <w:vAlign w:val="bottom"/>
            <w:hideMark/>
          </w:tcPr>
          <w:p w14:paraId="48E33780" w14:textId="52CDE05B" w:rsidR="008E2273" w:rsidRPr="00C10B28" w:rsidRDefault="008E2273" w:rsidP="004D3684">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Guavas, mangoes and mango</w:t>
            </w:r>
            <w:r w:rsidR="004D3684">
              <w:rPr>
                <w:rFonts w:ascii="Calibri" w:eastAsia="Times New Roman" w:hAnsi="Calibri" w:cs="Times New Roman"/>
                <w:color w:val="000000"/>
                <w:sz w:val="18"/>
                <w:szCs w:val="18"/>
                <w:lang w:val="en-GB" w:eastAsia="en-GB"/>
              </w:rPr>
              <w:t>es</w:t>
            </w:r>
            <w:r w:rsidRPr="00C10B28">
              <w:rPr>
                <w:rFonts w:ascii="Calibri" w:eastAsia="Times New Roman" w:hAnsi="Calibri" w:cs="Times New Roman"/>
                <w:color w:val="000000"/>
                <w:sz w:val="18"/>
                <w:szCs w:val="18"/>
                <w:lang w:val="en-GB" w:eastAsia="en-GB"/>
              </w:rPr>
              <w:t>, fresh or dried</w:t>
            </w:r>
          </w:p>
        </w:tc>
        <w:tc>
          <w:tcPr>
            <w:tcW w:w="960" w:type="dxa"/>
            <w:tcBorders>
              <w:top w:val="nil"/>
              <w:left w:val="nil"/>
              <w:bottom w:val="single" w:sz="4" w:space="0" w:color="auto"/>
              <w:right w:val="single" w:sz="4" w:space="0" w:color="auto"/>
            </w:tcBorders>
            <w:shd w:val="clear" w:color="auto" w:fill="auto"/>
            <w:noWrap/>
            <w:vAlign w:val="bottom"/>
            <w:hideMark/>
          </w:tcPr>
          <w:p w14:paraId="4FD50F7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480000</w:t>
            </w:r>
          </w:p>
        </w:tc>
        <w:tc>
          <w:tcPr>
            <w:tcW w:w="960" w:type="dxa"/>
            <w:tcBorders>
              <w:top w:val="nil"/>
              <w:left w:val="nil"/>
              <w:bottom w:val="single" w:sz="4" w:space="0" w:color="auto"/>
              <w:right w:val="single" w:sz="8" w:space="0" w:color="auto"/>
            </w:tcBorders>
            <w:shd w:val="clear" w:color="auto" w:fill="auto"/>
            <w:noWrap/>
            <w:vAlign w:val="bottom"/>
            <w:hideMark/>
          </w:tcPr>
          <w:p w14:paraId="3BBF9D5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539562</w:t>
            </w:r>
          </w:p>
        </w:tc>
      </w:tr>
      <w:tr w:rsidR="008E2273" w:rsidRPr="00C10B28" w14:paraId="3CDCBA16"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F20526"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2010</w:t>
            </w:r>
          </w:p>
        </w:tc>
        <w:tc>
          <w:tcPr>
            <w:tcW w:w="5020" w:type="dxa"/>
            <w:tcBorders>
              <w:top w:val="nil"/>
              <w:left w:val="nil"/>
              <w:bottom w:val="single" w:sz="4" w:space="0" w:color="auto"/>
              <w:right w:val="single" w:sz="4" w:space="0" w:color="auto"/>
            </w:tcBorders>
            <w:shd w:val="clear" w:color="auto" w:fill="auto"/>
            <w:noWrap/>
            <w:vAlign w:val="bottom"/>
            <w:hideMark/>
          </w:tcPr>
          <w:p w14:paraId="71BC5380"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bovine animals, other than pure-bred breed</w:t>
            </w:r>
          </w:p>
        </w:tc>
        <w:tc>
          <w:tcPr>
            <w:tcW w:w="960" w:type="dxa"/>
            <w:tcBorders>
              <w:top w:val="nil"/>
              <w:left w:val="nil"/>
              <w:bottom w:val="single" w:sz="4" w:space="0" w:color="auto"/>
              <w:right w:val="single" w:sz="4" w:space="0" w:color="auto"/>
            </w:tcBorders>
            <w:shd w:val="clear" w:color="auto" w:fill="auto"/>
            <w:noWrap/>
            <w:vAlign w:val="bottom"/>
            <w:hideMark/>
          </w:tcPr>
          <w:p w14:paraId="60DC476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70000</w:t>
            </w:r>
          </w:p>
        </w:tc>
        <w:tc>
          <w:tcPr>
            <w:tcW w:w="960" w:type="dxa"/>
            <w:tcBorders>
              <w:top w:val="nil"/>
              <w:left w:val="nil"/>
              <w:bottom w:val="single" w:sz="4" w:space="0" w:color="auto"/>
              <w:right w:val="single" w:sz="8" w:space="0" w:color="auto"/>
            </w:tcBorders>
            <w:shd w:val="clear" w:color="auto" w:fill="auto"/>
            <w:noWrap/>
            <w:vAlign w:val="bottom"/>
            <w:hideMark/>
          </w:tcPr>
          <w:p w14:paraId="7DABA4C3"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125728</w:t>
            </w:r>
          </w:p>
        </w:tc>
      </w:tr>
      <w:tr w:rsidR="008E2273" w:rsidRPr="00C10B28" w14:paraId="77C3BCDB"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DBB162"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2010</w:t>
            </w:r>
          </w:p>
        </w:tc>
        <w:tc>
          <w:tcPr>
            <w:tcW w:w="5020" w:type="dxa"/>
            <w:tcBorders>
              <w:top w:val="nil"/>
              <w:left w:val="nil"/>
              <w:bottom w:val="single" w:sz="4" w:space="0" w:color="auto"/>
              <w:right w:val="single" w:sz="4" w:space="0" w:color="auto"/>
            </w:tcBorders>
            <w:shd w:val="clear" w:color="auto" w:fill="auto"/>
            <w:noWrap/>
            <w:vAlign w:val="bottom"/>
            <w:hideMark/>
          </w:tcPr>
          <w:p w14:paraId="5931032C"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Trailers for housing or camping</w:t>
            </w:r>
          </w:p>
        </w:tc>
        <w:tc>
          <w:tcPr>
            <w:tcW w:w="960" w:type="dxa"/>
            <w:tcBorders>
              <w:top w:val="nil"/>
              <w:left w:val="nil"/>
              <w:bottom w:val="single" w:sz="4" w:space="0" w:color="auto"/>
              <w:right w:val="single" w:sz="4" w:space="0" w:color="auto"/>
            </w:tcBorders>
            <w:shd w:val="clear" w:color="auto" w:fill="auto"/>
            <w:noWrap/>
            <w:vAlign w:val="bottom"/>
            <w:hideMark/>
          </w:tcPr>
          <w:p w14:paraId="4853918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4400</w:t>
            </w:r>
          </w:p>
        </w:tc>
        <w:tc>
          <w:tcPr>
            <w:tcW w:w="960" w:type="dxa"/>
            <w:tcBorders>
              <w:top w:val="nil"/>
              <w:left w:val="nil"/>
              <w:bottom w:val="single" w:sz="4" w:space="0" w:color="auto"/>
              <w:right w:val="single" w:sz="8" w:space="0" w:color="auto"/>
            </w:tcBorders>
            <w:shd w:val="clear" w:color="auto" w:fill="auto"/>
            <w:noWrap/>
            <w:vAlign w:val="bottom"/>
            <w:hideMark/>
          </w:tcPr>
          <w:p w14:paraId="49024952"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56816</w:t>
            </w:r>
          </w:p>
        </w:tc>
      </w:tr>
      <w:tr w:rsidR="008E2273" w:rsidRPr="00C10B28" w14:paraId="479DDECB"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31173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2010</w:t>
            </w:r>
          </w:p>
        </w:tc>
        <w:tc>
          <w:tcPr>
            <w:tcW w:w="5020" w:type="dxa"/>
            <w:tcBorders>
              <w:top w:val="nil"/>
              <w:left w:val="nil"/>
              <w:bottom w:val="single" w:sz="4" w:space="0" w:color="auto"/>
              <w:right w:val="single" w:sz="4" w:space="0" w:color="auto"/>
            </w:tcBorders>
            <w:shd w:val="clear" w:color="auto" w:fill="auto"/>
            <w:noWrap/>
            <w:vAlign w:val="bottom"/>
            <w:hideMark/>
          </w:tcPr>
          <w:p w14:paraId="15557EC4"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goats</w:t>
            </w:r>
          </w:p>
        </w:tc>
        <w:tc>
          <w:tcPr>
            <w:tcW w:w="960" w:type="dxa"/>
            <w:tcBorders>
              <w:top w:val="nil"/>
              <w:left w:val="nil"/>
              <w:bottom w:val="single" w:sz="4" w:space="0" w:color="auto"/>
              <w:right w:val="single" w:sz="4" w:space="0" w:color="auto"/>
            </w:tcBorders>
            <w:shd w:val="clear" w:color="auto" w:fill="auto"/>
            <w:noWrap/>
            <w:vAlign w:val="bottom"/>
            <w:hideMark/>
          </w:tcPr>
          <w:p w14:paraId="0BECE57F"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3650</w:t>
            </w:r>
          </w:p>
        </w:tc>
        <w:tc>
          <w:tcPr>
            <w:tcW w:w="960" w:type="dxa"/>
            <w:tcBorders>
              <w:top w:val="nil"/>
              <w:left w:val="nil"/>
              <w:bottom w:val="single" w:sz="4" w:space="0" w:color="auto"/>
              <w:right w:val="single" w:sz="8" w:space="0" w:color="auto"/>
            </w:tcBorders>
            <w:shd w:val="clear" w:color="auto" w:fill="auto"/>
            <w:noWrap/>
            <w:vAlign w:val="bottom"/>
            <w:hideMark/>
          </w:tcPr>
          <w:p w14:paraId="1A2CE6C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6188</w:t>
            </w:r>
          </w:p>
        </w:tc>
      </w:tr>
      <w:tr w:rsidR="008E2273" w:rsidRPr="00C10B28" w14:paraId="43B42788"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78F9A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520F12DA" w14:textId="3F24F58D" w:rsidR="008E2273" w:rsidRPr="00C10B28" w:rsidRDefault="008E2273" w:rsidP="004D3684">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Guavas, mangoes and mangos</w:t>
            </w:r>
            <w:r w:rsidR="004D3684">
              <w:rPr>
                <w:rFonts w:ascii="Calibri" w:eastAsia="Times New Roman" w:hAnsi="Calibri" w:cs="Times New Roman"/>
                <w:color w:val="000000"/>
                <w:sz w:val="18"/>
                <w:szCs w:val="18"/>
                <w:lang w:val="en-GB" w:eastAsia="en-GB"/>
              </w:rPr>
              <w:t xml:space="preserve"> </w:t>
            </w:r>
            <w:r w:rsidRPr="00C10B28">
              <w:rPr>
                <w:rFonts w:ascii="Calibri" w:eastAsia="Times New Roman" w:hAnsi="Calibri" w:cs="Times New Roman"/>
                <w:color w:val="000000"/>
                <w:sz w:val="18"/>
                <w:szCs w:val="18"/>
                <w:lang w:val="en-GB" w:eastAsia="en-GB"/>
              </w:rPr>
              <w:t>, fresh or dried</w:t>
            </w:r>
          </w:p>
        </w:tc>
        <w:tc>
          <w:tcPr>
            <w:tcW w:w="960" w:type="dxa"/>
            <w:tcBorders>
              <w:top w:val="nil"/>
              <w:left w:val="nil"/>
              <w:bottom w:val="single" w:sz="4" w:space="0" w:color="auto"/>
              <w:right w:val="single" w:sz="4" w:space="0" w:color="auto"/>
            </w:tcBorders>
            <w:shd w:val="clear" w:color="auto" w:fill="auto"/>
            <w:noWrap/>
            <w:vAlign w:val="bottom"/>
            <w:hideMark/>
          </w:tcPr>
          <w:p w14:paraId="2753071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2862240</w:t>
            </w:r>
          </w:p>
        </w:tc>
        <w:tc>
          <w:tcPr>
            <w:tcW w:w="960" w:type="dxa"/>
            <w:tcBorders>
              <w:top w:val="nil"/>
              <w:left w:val="nil"/>
              <w:bottom w:val="single" w:sz="4" w:space="0" w:color="auto"/>
              <w:right w:val="single" w:sz="8" w:space="0" w:color="auto"/>
            </w:tcBorders>
            <w:shd w:val="clear" w:color="auto" w:fill="auto"/>
            <w:noWrap/>
            <w:vAlign w:val="bottom"/>
            <w:hideMark/>
          </w:tcPr>
          <w:p w14:paraId="3743EBA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2873603</w:t>
            </w:r>
          </w:p>
        </w:tc>
      </w:tr>
      <w:tr w:rsidR="008E2273" w:rsidRPr="00C10B28" w14:paraId="04AD0031"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15D5948"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53706EF"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999999</w:t>
            </w:r>
          </w:p>
        </w:tc>
        <w:tc>
          <w:tcPr>
            <w:tcW w:w="960" w:type="dxa"/>
            <w:tcBorders>
              <w:top w:val="nil"/>
              <w:left w:val="nil"/>
              <w:bottom w:val="single" w:sz="4" w:space="0" w:color="auto"/>
              <w:right w:val="single" w:sz="4" w:space="0" w:color="auto"/>
            </w:tcBorders>
            <w:shd w:val="clear" w:color="auto" w:fill="auto"/>
            <w:noWrap/>
            <w:vAlign w:val="bottom"/>
            <w:hideMark/>
          </w:tcPr>
          <w:p w14:paraId="4B11C854"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14:paraId="043F1FA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1863106</w:t>
            </w:r>
          </w:p>
        </w:tc>
      </w:tr>
      <w:tr w:rsidR="008E2273" w:rsidRPr="00C10B28" w14:paraId="16309202"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BECFAB7"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D5B310C"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proofErr w:type="spellStart"/>
            <w:r w:rsidRPr="00C10B28">
              <w:rPr>
                <w:rFonts w:ascii="Calibri" w:eastAsia="Times New Roman" w:hAnsi="Calibri" w:cs="Times New Roman"/>
                <w:color w:val="000000"/>
                <w:sz w:val="18"/>
                <w:szCs w:val="18"/>
                <w:lang w:val="en-GB" w:eastAsia="en-GB"/>
              </w:rPr>
              <w:t>Photogrammetrical</w:t>
            </w:r>
            <w:proofErr w:type="spellEnd"/>
            <w:r w:rsidRPr="00C10B28">
              <w:rPr>
                <w:rFonts w:ascii="Calibri" w:eastAsia="Times New Roman" w:hAnsi="Calibri" w:cs="Times New Roman"/>
                <w:color w:val="000000"/>
                <w:sz w:val="18"/>
                <w:szCs w:val="18"/>
                <w:lang w:val="en-GB" w:eastAsia="en-GB"/>
              </w:rPr>
              <w:t xml:space="preserve"> surveying instruments and app</w:t>
            </w:r>
          </w:p>
        </w:tc>
        <w:tc>
          <w:tcPr>
            <w:tcW w:w="960" w:type="dxa"/>
            <w:tcBorders>
              <w:top w:val="nil"/>
              <w:left w:val="nil"/>
              <w:bottom w:val="single" w:sz="4" w:space="0" w:color="auto"/>
              <w:right w:val="single" w:sz="4" w:space="0" w:color="auto"/>
            </w:tcBorders>
            <w:shd w:val="clear" w:color="auto" w:fill="auto"/>
            <w:noWrap/>
            <w:vAlign w:val="bottom"/>
            <w:hideMark/>
          </w:tcPr>
          <w:p w14:paraId="3E7568D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1008</w:t>
            </w:r>
          </w:p>
        </w:tc>
        <w:tc>
          <w:tcPr>
            <w:tcW w:w="960" w:type="dxa"/>
            <w:tcBorders>
              <w:top w:val="nil"/>
              <w:left w:val="nil"/>
              <w:bottom w:val="single" w:sz="4" w:space="0" w:color="auto"/>
              <w:right w:val="single" w:sz="8" w:space="0" w:color="auto"/>
            </w:tcBorders>
            <w:shd w:val="clear" w:color="auto" w:fill="auto"/>
            <w:noWrap/>
            <w:vAlign w:val="bottom"/>
            <w:hideMark/>
          </w:tcPr>
          <w:p w14:paraId="39448F0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1576702</w:t>
            </w:r>
          </w:p>
        </w:tc>
      </w:tr>
      <w:tr w:rsidR="008E2273" w:rsidRPr="00C10B28" w14:paraId="062C2634"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5E179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14BCC76B"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Electric conductors, for a voltage &gt;80V but not</w:t>
            </w:r>
          </w:p>
        </w:tc>
        <w:tc>
          <w:tcPr>
            <w:tcW w:w="960" w:type="dxa"/>
            <w:tcBorders>
              <w:top w:val="nil"/>
              <w:left w:val="nil"/>
              <w:bottom w:val="single" w:sz="4" w:space="0" w:color="auto"/>
              <w:right w:val="single" w:sz="4" w:space="0" w:color="auto"/>
            </w:tcBorders>
            <w:shd w:val="clear" w:color="auto" w:fill="auto"/>
            <w:noWrap/>
            <w:vAlign w:val="bottom"/>
            <w:hideMark/>
          </w:tcPr>
          <w:p w14:paraId="293AFE22"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560</w:t>
            </w:r>
          </w:p>
        </w:tc>
        <w:tc>
          <w:tcPr>
            <w:tcW w:w="960" w:type="dxa"/>
            <w:tcBorders>
              <w:top w:val="nil"/>
              <w:left w:val="nil"/>
              <w:bottom w:val="single" w:sz="4" w:space="0" w:color="auto"/>
              <w:right w:val="single" w:sz="8" w:space="0" w:color="auto"/>
            </w:tcBorders>
            <w:shd w:val="clear" w:color="auto" w:fill="auto"/>
            <w:noWrap/>
            <w:vAlign w:val="bottom"/>
            <w:hideMark/>
          </w:tcPr>
          <w:p w14:paraId="573422E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1210139</w:t>
            </w:r>
          </w:p>
        </w:tc>
      </w:tr>
      <w:tr w:rsidR="008E2273" w:rsidRPr="00C10B28" w14:paraId="5004292A"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C25F65"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9D2A2F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Diesel powered trucks with a GVW </w:t>
            </w:r>
            <w:proofErr w:type="spellStart"/>
            <w:r w:rsidRPr="00C10B28">
              <w:rPr>
                <w:rFonts w:ascii="Calibri" w:eastAsia="Times New Roman" w:hAnsi="Calibri" w:cs="Times New Roman"/>
                <w:color w:val="000000"/>
                <w:sz w:val="18"/>
                <w:szCs w:val="18"/>
                <w:lang w:val="en-GB" w:eastAsia="en-GB"/>
              </w:rPr>
              <w:t>exc</w:t>
            </w:r>
            <w:proofErr w:type="spellEnd"/>
            <w:r w:rsidRPr="00C10B28">
              <w:rPr>
                <w:rFonts w:ascii="Calibri" w:eastAsia="Times New Roman" w:hAnsi="Calibri" w:cs="Times New Roman"/>
                <w:color w:val="000000"/>
                <w:sz w:val="18"/>
                <w:szCs w:val="18"/>
                <w:lang w:val="en-GB" w:eastAsia="en-GB"/>
              </w:rPr>
              <w:t xml:space="preserve"> five tonne</w:t>
            </w:r>
          </w:p>
        </w:tc>
        <w:tc>
          <w:tcPr>
            <w:tcW w:w="960" w:type="dxa"/>
            <w:tcBorders>
              <w:top w:val="nil"/>
              <w:left w:val="nil"/>
              <w:bottom w:val="single" w:sz="4" w:space="0" w:color="auto"/>
              <w:right w:val="single" w:sz="4" w:space="0" w:color="auto"/>
            </w:tcBorders>
            <w:shd w:val="clear" w:color="auto" w:fill="auto"/>
            <w:noWrap/>
            <w:vAlign w:val="bottom"/>
            <w:hideMark/>
          </w:tcPr>
          <w:p w14:paraId="30C2F8E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166860</w:t>
            </w:r>
          </w:p>
        </w:tc>
        <w:tc>
          <w:tcPr>
            <w:tcW w:w="960" w:type="dxa"/>
            <w:tcBorders>
              <w:top w:val="nil"/>
              <w:left w:val="nil"/>
              <w:bottom w:val="single" w:sz="4" w:space="0" w:color="auto"/>
              <w:right w:val="single" w:sz="8" w:space="0" w:color="auto"/>
            </w:tcBorders>
            <w:shd w:val="clear" w:color="auto" w:fill="auto"/>
            <w:noWrap/>
            <w:vAlign w:val="bottom"/>
            <w:hideMark/>
          </w:tcPr>
          <w:p w14:paraId="42D3BCF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993584</w:t>
            </w:r>
          </w:p>
        </w:tc>
      </w:tr>
      <w:tr w:rsidR="008E2273" w:rsidRPr="00C10B28" w14:paraId="48F44F67"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AC1244"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64584A8"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sheep</w:t>
            </w:r>
          </w:p>
        </w:tc>
        <w:tc>
          <w:tcPr>
            <w:tcW w:w="960" w:type="dxa"/>
            <w:tcBorders>
              <w:top w:val="nil"/>
              <w:left w:val="nil"/>
              <w:bottom w:val="single" w:sz="4" w:space="0" w:color="auto"/>
              <w:right w:val="single" w:sz="4" w:space="0" w:color="auto"/>
            </w:tcBorders>
            <w:shd w:val="clear" w:color="auto" w:fill="auto"/>
            <w:noWrap/>
            <w:vAlign w:val="bottom"/>
            <w:hideMark/>
          </w:tcPr>
          <w:p w14:paraId="73FF059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347598</w:t>
            </w:r>
          </w:p>
        </w:tc>
        <w:tc>
          <w:tcPr>
            <w:tcW w:w="960" w:type="dxa"/>
            <w:tcBorders>
              <w:top w:val="nil"/>
              <w:left w:val="nil"/>
              <w:bottom w:val="single" w:sz="4" w:space="0" w:color="auto"/>
              <w:right w:val="single" w:sz="8" w:space="0" w:color="auto"/>
            </w:tcBorders>
            <w:shd w:val="clear" w:color="auto" w:fill="auto"/>
            <w:noWrap/>
            <w:vAlign w:val="bottom"/>
            <w:hideMark/>
          </w:tcPr>
          <w:p w14:paraId="19861C3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644214</w:t>
            </w:r>
          </w:p>
        </w:tc>
      </w:tr>
      <w:tr w:rsidR="008E2273" w:rsidRPr="00C10B28" w14:paraId="69ED6D9B"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9706D2"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FED8F6A"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Instruments and apparatus for physical or </w:t>
            </w:r>
            <w:proofErr w:type="spellStart"/>
            <w:r w:rsidRPr="00C10B28">
              <w:rPr>
                <w:rFonts w:ascii="Calibri" w:eastAsia="Times New Roman" w:hAnsi="Calibri" w:cs="Times New Roman"/>
                <w:color w:val="000000"/>
                <w:sz w:val="18"/>
                <w:szCs w:val="18"/>
                <w:lang w:val="en-GB" w:eastAsia="en-GB"/>
              </w:rPr>
              <w:t>chemi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7A3A94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10011</w:t>
            </w:r>
          </w:p>
        </w:tc>
        <w:tc>
          <w:tcPr>
            <w:tcW w:w="960" w:type="dxa"/>
            <w:tcBorders>
              <w:top w:val="nil"/>
              <w:left w:val="nil"/>
              <w:bottom w:val="single" w:sz="4" w:space="0" w:color="auto"/>
              <w:right w:val="single" w:sz="8" w:space="0" w:color="auto"/>
            </w:tcBorders>
            <w:shd w:val="clear" w:color="auto" w:fill="auto"/>
            <w:noWrap/>
            <w:vAlign w:val="bottom"/>
            <w:hideMark/>
          </w:tcPr>
          <w:p w14:paraId="7CA1E57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540399</w:t>
            </w:r>
          </w:p>
        </w:tc>
      </w:tr>
      <w:tr w:rsidR="008E2273" w:rsidRPr="00C10B28" w14:paraId="7B044FEF"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92CFEA"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1F3F207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bovine animals, other than pure-bred breed</w:t>
            </w:r>
          </w:p>
        </w:tc>
        <w:tc>
          <w:tcPr>
            <w:tcW w:w="960" w:type="dxa"/>
            <w:tcBorders>
              <w:top w:val="nil"/>
              <w:left w:val="nil"/>
              <w:bottom w:val="single" w:sz="4" w:space="0" w:color="auto"/>
              <w:right w:val="single" w:sz="4" w:space="0" w:color="auto"/>
            </w:tcBorders>
            <w:shd w:val="clear" w:color="auto" w:fill="auto"/>
            <w:noWrap/>
            <w:vAlign w:val="bottom"/>
            <w:hideMark/>
          </w:tcPr>
          <w:p w14:paraId="53CD7AF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191000</w:t>
            </w:r>
          </w:p>
        </w:tc>
        <w:tc>
          <w:tcPr>
            <w:tcW w:w="960" w:type="dxa"/>
            <w:tcBorders>
              <w:top w:val="nil"/>
              <w:left w:val="nil"/>
              <w:bottom w:val="single" w:sz="4" w:space="0" w:color="auto"/>
              <w:right w:val="single" w:sz="8" w:space="0" w:color="auto"/>
            </w:tcBorders>
            <w:shd w:val="clear" w:color="auto" w:fill="auto"/>
            <w:noWrap/>
            <w:vAlign w:val="bottom"/>
            <w:hideMark/>
          </w:tcPr>
          <w:p w14:paraId="0CF3AB6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360052</w:t>
            </w:r>
          </w:p>
        </w:tc>
      </w:tr>
      <w:tr w:rsidR="008E2273" w:rsidRPr="00C10B28" w14:paraId="40595695"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F7B6DC5"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6D2F189F"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Special purpose motor vehicles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2D087EB"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83500</w:t>
            </w:r>
          </w:p>
        </w:tc>
        <w:tc>
          <w:tcPr>
            <w:tcW w:w="960" w:type="dxa"/>
            <w:tcBorders>
              <w:top w:val="nil"/>
              <w:left w:val="nil"/>
              <w:bottom w:val="single" w:sz="4" w:space="0" w:color="auto"/>
              <w:right w:val="single" w:sz="8" w:space="0" w:color="auto"/>
            </w:tcBorders>
            <w:shd w:val="clear" w:color="auto" w:fill="auto"/>
            <w:noWrap/>
            <w:vAlign w:val="bottom"/>
            <w:hideMark/>
          </w:tcPr>
          <w:p w14:paraId="54FB1B76"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301386</w:t>
            </w:r>
          </w:p>
        </w:tc>
      </w:tr>
      <w:tr w:rsidR="008E2273" w:rsidRPr="00C10B28" w14:paraId="608327F9"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E5B6E5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54A5D6A0"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proofErr w:type="spellStart"/>
            <w:r w:rsidRPr="00C10B28">
              <w:rPr>
                <w:rFonts w:ascii="Calibri" w:eastAsia="Times New Roman" w:hAnsi="Calibri" w:cs="Times New Roman"/>
                <w:color w:val="000000"/>
                <w:sz w:val="18"/>
                <w:szCs w:val="18"/>
                <w:lang w:val="en-GB" w:eastAsia="en-GB"/>
              </w:rPr>
              <w:t>Surveying,hydrographic,oceanographic,meteorolog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927A71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430</w:t>
            </w:r>
          </w:p>
        </w:tc>
        <w:tc>
          <w:tcPr>
            <w:tcW w:w="960" w:type="dxa"/>
            <w:tcBorders>
              <w:top w:val="nil"/>
              <w:left w:val="nil"/>
              <w:bottom w:val="single" w:sz="4" w:space="0" w:color="auto"/>
              <w:right w:val="single" w:sz="8" w:space="0" w:color="auto"/>
            </w:tcBorders>
            <w:shd w:val="clear" w:color="auto" w:fill="auto"/>
            <w:noWrap/>
            <w:vAlign w:val="bottom"/>
            <w:hideMark/>
          </w:tcPr>
          <w:p w14:paraId="01421DF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290890</w:t>
            </w:r>
          </w:p>
        </w:tc>
      </w:tr>
      <w:tr w:rsidR="008E2273" w:rsidRPr="00C10B28" w14:paraId="329ACB02"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A1669C"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4EA23DF" w14:textId="07ECEAAF"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Electrical apparatus for line telephony or line telegraphy,</w:t>
            </w:r>
            <w:r w:rsidR="00B902A5">
              <w:rPr>
                <w:rFonts w:ascii="Calibri" w:eastAsia="Times New Roman" w:hAnsi="Calibri" w:cs="Times New Roman"/>
                <w:color w:val="000000"/>
                <w:sz w:val="18"/>
                <w:szCs w:val="18"/>
                <w:lang w:val="en-GB" w:eastAsia="en-GB"/>
              </w:rPr>
              <w:t xml:space="preserve">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6EFA8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635</w:t>
            </w:r>
          </w:p>
        </w:tc>
        <w:tc>
          <w:tcPr>
            <w:tcW w:w="960" w:type="dxa"/>
            <w:tcBorders>
              <w:top w:val="nil"/>
              <w:left w:val="nil"/>
              <w:bottom w:val="single" w:sz="4" w:space="0" w:color="auto"/>
              <w:right w:val="single" w:sz="8" w:space="0" w:color="auto"/>
            </w:tcBorders>
            <w:shd w:val="clear" w:color="auto" w:fill="auto"/>
            <w:noWrap/>
            <w:vAlign w:val="bottom"/>
            <w:hideMark/>
          </w:tcPr>
          <w:p w14:paraId="4D8CEE32"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168487</w:t>
            </w:r>
          </w:p>
        </w:tc>
      </w:tr>
      <w:tr w:rsidR="008E2273" w:rsidRPr="00C10B28" w14:paraId="49EF5D90"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6AD335"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58357D08"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Trailers for housing or camping</w:t>
            </w:r>
          </w:p>
        </w:tc>
        <w:tc>
          <w:tcPr>
            <w:tcW w:w="960" w:type="dxa"/>
            <w:tcBorders>
              <w:top w:val="nil"/>
              <w:left w:val="nil"/>
              <w:bottom w:val="single" w:sz="4" w:space="0" w:color="auto"/>
              <w:right w:val="single" w:sz="4" w:space="0" w:color="auto"/>
            </w:tcBorders>
            <w:shd w:val="clear" w:color="auto" w:fill="auto"/>
            <w:noWrap/>
            <w:vAlign w:val="bottom"/>
            <w:hideMark/>
          </w:tcPr>
          <w:p w14:paraId="170A8196"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1202</w:t>
            </w:r>
          </w:p>
        </w:tc>
        <w:tc>
          <w:tcPr>
            <w:tcW w:w="960" w:type="dxa"/>
            <w:tcBorders>
              <w:top w:val="nil"/>
              <w:left w:val="nil"/>
              <w:bottom w:val="single" w:sz="4" w:space="0" w:color="auto"/>
              <w:right w:val="single" w:sz="8" w:space="0" w:color="auto"/>
            </w:tcBorders>
            <w:shd w:val="clear" w:color="auto" w:fill="auto"/>
            <w:noWrap/>
            <w:vAlign w:val="bottom"/>
            <w:hideMark/>
          </w:tcPr>
          <w:p w14:paraId="091A1DA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162842</w:t>
            </w:r>
          </w:p>
        </w:tc>
      </w:tr>
      <w:tr w:rsidR="008E2273" w:rsidRPr="00C10B28" w14:paraId="3094EAD1"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E5405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BE334EF" w14:textId="26F3E17D"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Parts &amp; access for </w:t>
            </w:r>
            <w:proofErr w:type="spellStart"/>
            <w:r w:rsidRPr="00C10B28">
              <w:rPr>
                <w:rFonts w:ascii="Calibri" w:eastAsia="Times New Roman" w:hAnsi="Calibri" w:cs="Times New Roman"/>
                <w:color w:val="000000"/>
                <w:sz w:val="18"/>
                <w:szCs w:val="18"/>
                <w:lang w:val="en-GB" w:eastAsia="en-GB"/>
              </w:rPr>
              <w:t>inst</w:t>
            </w:r>
            <w:proofErr w:type="spellEnd"/>
            <w:r w:rsidRPr="00C10B28">
              <w:rPr>
                <w:rFonts w:ascii="Calibri" w:eastAsia="Times New Roman" w:hAnsi="Calibri" w:cs="Times New Roman"/>
                <w:color w:val="000000"/>
                <w:sz w:val="18"/>
                <w:szCs w:val="18"/>
                <w:lang w:val="en-GB" w:eastAsia="en-GB"/>
              </w:rPr>
              <w:t xml:space="preserve">&amp; app for </w:t>
            </w:r>
            <w:proofErr w:type="spellStart"/>
            <w:r w:rsidRPr="00C10B28">
              <w:rPr>
                <w:rFonts w:ascii="Calibri" w:eastAsia="Times New Roman" w:hAnsi="Calibri" w:cs="Times New Roman"/>
                <w:color w:val="000000"/>
                <w:sz w:val="18"/>
                <w:szCs w:val="18"/>
                <w:lang w:val="en-GB" w:eastAsia="en-GB"/>
              </w:rPr>
              <w:t>meas</w:t>
            </w:r>
            <w:proofErr w:type="spellEnd"/>
            <w:r w:rsidRPr="00C10B28">
              <w:rPr>
                <w:rFonts w:ascii="Calibri" w:eastAsia="Times New Roman" w:hAnsi="Calibri" w:cs="Times New Roman"/>
                <w:color w:val="000000"/>
                <w:sz w:val="18"/>
                <w:szCs w:val="18"/>
                <w:lang w:val="en-GB" w:eastAsia="en-GB"/>
              </w:rPr>
              <w:t xml:space="preserve"> or check</w:t>
            </w:r>
          </w:p>
        </w:tc>
        <w:tc>
          <w:tcPr>
            <w:tcW w:w="960" w:type="dxa"/>
            <w:tcBorders>
              <w:top w:val="nil"/>
              <w:left w:val="nil"/>
              <w:bottom w:val="single" w:sz="4" w:space="0" w:color="auto"/>
              <w:right w:val="single" w:sz="4" w:space="0" w:color="auto"/>
            </w:tcBorders>
            <w:shd w:val="clear" w:color="auto" w:fill="auto"/>
            <w:noWrap/>
            <w:vAlign w:val="bottom"/>
            <w:hideMark/>
          </w:tcPr>
          <w:p w14:paraId="1672862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1000</w:t>
            </w:r>
          </w:p>
        </w:tc>
        <w:tc>
          <w:tcPr>
            <w:tcW w:w="960" w:type="dxa"/>
            <w:tcBorders>
              <w:top w:val="nil"/>
              <w:left w:val="nil"/>
              <w:bottom w:val="single" w:sz="4" w:space="0" w:color="auto"/>
              <w:right w:val="single" w:sz="8" w:space="0" w:color="auto"/>
            </w:tcBorders>
            <w:shd w:val="clear" w:color="auto" w:fill="auto"/>
            <w:noWrap/>
            <w:vAlign w:val="bottom"/>
            <w:hideMark/>
          </w:tcPr>
          <w:p w14:paraId="4290302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119993</w:t>
            </w:r>
          </w:p>
        </w:tc>
      </w:tr>
      <w:tr w:rsidR="008E2273" w:rsidRPr="00C10B28" w14:paraId="2D61561E"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C011DC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1E1456C"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Diesel powered trucks with a GVW exceeding </w:t>
            </w:r>
            <w:proofErr w:type="spellStart"/>
            <w:r w:rsidRPr="00C10B28">
              <w:rPr>
                <w:rFonts w:ascii="Calibri" w:eastAsia="Times New Roman" w:hAnsi="Calibri" w:cs="Times New Roman"/>
                <w:color w:val="000000"/>
                <w:sz w:val="18"/>
                <w:szCs w:val="18"/>
                <w:lang w:val="en-GB" w:eastAsia="en-GB"/>
              </w:rPr>
              <w:t>twen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31150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14400</w:t>
            </w:r>
          </w:p>
        </w:tc>
        <w:tc>
          <w:tcPr>
            <w:tcW w:w="960" w:type="dxa"/>
            <w:tcBorders>
              <w:top w:val="nil"/>
              <w:left w:val="nil"/>
              <w:bottom w:val="single" w:sz="4" w:space="0" w:color="auto"/>
              <w:right w:val="single" w:sz="8" w:space="0" w:color="auto"/>
            </w:tcBorders>
            <w:shd w:val="clear" w:color="auto" w:fill="auto"/>
            <w:noWrap/>
            <w:vAlign w:val="bottom"/>
            <w:hideMark/>
          </w:tcPr>
          <w:p w14:paraId="3801853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108690</w:t>
            </w:r>
          </w:p>
        </w:tc>
      </w:tr>
      <w:tr w:rsidR="008E2273" w:rsidRPr="00C10B28" w14:paraId="6668EC1D"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319864"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BAFDF7D"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Transmission apparatus for radio-</w:t>
            </w:r>
            <w:proofErr w:type="spellStart"/>
            <w:r w:rsidRPr="00C10B28">
              <w:rPr>
                <w:rFonts w:ascii="Calibri" w:eastAsia="Times New Roman" w:hAnsi="Calibri" w:cs="Times New Roman"/>
                <w:color w:val="000000"/>
                <w:sz w:val="18"/>
                <w:szCs w:val="18"/>
                <w:lang w:val="en-GB" w:eastAsia="en-GB"/>
              </w:rPr>
              <w:t>teleph</w:t>
            </w:r>
            <w:proofErr w:type="spellEnd"/>
            <w:r w:rsidRPr="00C10B28">
              <w:rPr>
                <w:rFonts w:ascii="Calibri" w:eastAsia="Times New Roman" w:hAnsi="Calibri" w:cs="Times New Roman"/>
                <w:color w:val="000000"/>
                <w:sz w:val="18"/>
                <w:szCs w:val="18"/>
                <w:lang w:val="en-GB" w:eastAsia="en-GB"/>
              </w:rPr>
              <w:t xml:space="preserve"> radio-b</w:t>
            </w:r>
          </w:p>
        </w:tc>
        <w:tc>
          <w:tcPr>
            <w:tcW w:w="960" w:type="dxa"/>
            <w:tcBorders>
              <w:top w:val="nil"/>
              <w:left w:val="nil"/>
              <w:bottom w:val="single" w:sz="4" w:space="0" w:color="auto"/>
              <w:right w:val="single" w:sz="4" w:space="0" w:color="auto"/>
            </w:tcBorders>
            <w:shd w:val="clear" w:color="auto" w:fill="auto"/>
            <w:noWrap/>
            <w:vAlign w:val="bottom"/>
            <w:hideMark/>
          </w:tcPr>
          <w:p w14:paraId="151D89D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1750</w:t>
            </w:r>
          </w:p>
        </w:tc>
        <w:tc>
          <w:tcPr>
            <w:tcW w:w="960" w:type="dxa"/>
            <w:tcBorders>
              <w:top w:val="nil"/>
              <w:left w:val="nil"/>
              <w:bottom w:val="single" w:sz="4" w:space="0" w:color="auto"/>
              <w:right w:val="single" w:sz="8" w:space="0" w:color="auto"/>
            </w:tcBorders>
            <w:shd w:val="clear" w:color="auto" w:fill="auto"/>
            <w:noWrap/>
            <w:vAlign w:val="bottom"/>
            <w:hideMark/>
          </w:tcPr>
          <w:p w14:paraId="293EB9C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96859</w:t>
            </w:r>
          </w:p>
        </w:tc>
      </w:tr>
      <w:tr w:rsidR="008E2273" w:rsidRPr="00C10B28" w14:paraId="4B97B96B"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370DEB"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751DD41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Camping goods of other textiles (excl. cotton a</w:t>
            </w:r>
          </w:p>
        </w:tc>
        <w:tc>
          <w:tcPr>
            <w:tcW w:w="960" w:type="dxa"/>
            <w:tcBorders>
              <w:top w:val="nil"/>
              <w:left w:val="nil"/>
              <w:bottom w:val="single" w:sz="4" w:space="0" w:color="auto"/>
              <w:right w:val="single" w:sz="4" w:space="0" w:color="auto"/>
            </w:tcBorders>
            <w:shd w:val="clear" w:color="auto" w:fill="auto"/>
            <w:noWrap/>
            <w:vAlign w:val="bottom"/>
            <w:hideMark/>
          </w:tcPr>
          <w:p w14:paraId="145EBA3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30000</w:t>
            </w:r>
          </w:p>
        </w:tc>
        <w:tc>
          <w:tcPr>
            <w:tcW w:w="960" w:type="dxa"/>
            <w:tcBorders>
              <w:top w:val="nil"/>
              <w:left w:val="nil"/>
              <w:bottom w:val="single" w:sz="4" w:space="0" w:color="auto"/>
              <w:right w:val="single" w:sz="8" w:space="0" w:color="auto"/>
            </w:tcBorders>
            <w:shd w:val="clear" w:color="auto" w:fill="auto"/>
            <w:noWrap/>
            <w:vAlign w:val="bottom"/>
            <w:hideMark/>
          </w:tcPr>
          <w:p w14:paraId="111AC8D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66611</w:t>
            </w:r>
          </w:p>
        </w:tc>
      </w:tr>
      <w:tr w:rsidR="008E2273" w:rsidRPr="00C10B28" w14:paraId="1F10FDB3"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B12B7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5DE50A6"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Boards, panels, including numerical control pan</w:t>
            </w:r>
          </w:p>
        </w:tc>
        <w:tc>
          <w:tcPr>
            <w:tcW w:w="960" w:type="dxa"/>
            <w:tcBorders>
              <w:top w:val="nil"/>
              <w:left w:val="nil"/>
              <w:bottom w:val="single" w:sz="4" w:space="0" w:color="auto"/>
              <w:right w:val="single" w:sz="4" w:space="0" w:color="auto"/>
            </w:tcBorders>
            <w:shd w:val="clear" w:color="auto" w:fill="auto"/>
            <w:noWrap/>
            <w:vAlign w:val="bottom"/>
            <w:hideMark/>
          </w:tcPr>
          <w:p w14:paraId="5CC8BBE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1610</w:t>
            </w:r>
          </w:p>
        </w:tc>
        <w:tc>
          <w:tcPr>
            <w:tcW w:w="960" w:type="dxa"/>
            <w:tcBorders>
              <w:top w:val="nil"/>
              <w:left w:val="nil"/>
              <w:bottom w:val="single" w:sz="4" w:space="0" w:color="auto"/>
              <w:right w:val="single" w:sz="8" w:space="0" w:color="auto"/>
            </w:tcBorders>
            <w:shd w:val="clear" w:color="auto" w:fill="auto"/>
            <w:noWrap/>
            <w:vAlign w:val="bottom"/>
            <w:hideMark/>
          </w:tcPr>
          <w:p w14:paraId="1BDD97B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25454</w:t>
            </w:r>
          </w:p>
        </w:tc>
      </w:tr>
      <w:tr w:rsidR="008E2273" w:rsidRPr="00C10B28" w14:paraId="36A7D60D"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E18FCC"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0D5661CD"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Air conditioning machines window or wall types,</w:t>
            </w:r>
          </w:p>
        </w:tc>
        <w:tc>
          <w:tcPr>
            <w:tcW w:w="960" w:type="dxa"/>
            <w:tcBorders>
              <w:top w:val="nil"/>
              <w:left w:val="nil"/>
              <w:bottom w:val="single" w:sz="4" w:space="0" w:color="auto"/>
              <w:right w:val="single" w:sz="4" w:space="0" w:color="auto"/>
            </w:tcBorders>
            <w:shd w:val="clear" w:color="auto" w:fill="auto"/>
            <w:noWrap/>
            <w:vAlign w:val="bottom"/>
            <w:hideMark/>
          </w:tcPr>
          <w:p w14:paraId="45F29D0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2355</w:t>
            </w:r>
          </w:p>
        </w:tc>
        <w:tc>
          <w:tcPr>
            <w:tcW w:w="960" w:type="dxa"/>
            <w:tcBorders>
              <w:top w:val="nil"/>
              <w:left w:val="nil"/>
              <w:bottom w:val="single" w:sz="4" w:space="0" w:color="auto"/>
              <w:right w:val="single" w:sz="8" w:space="0" w:color="auto"/>
            </w:tcBorders>
            <w:shd w:val="clear" w:color="auto" w:fill="auto"/>
            <w:noWrap/>
            <w:vAlign w:val="bottom"/>
            <w:hideMark/>
          </w:tcPr>
          <w:p w14:paraId="077F388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21956</w:t>
            </w:r>
          </w:p>
        </w:tc>
      </w:tr>
      <w:tr w:rsidR="008E2273" w:rsidRPr="00C10B28" w14:paraId="3EBE9F91"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CB901B"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1F643E6B" w14:textId="751E4ECD"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Transmission apparatus, for </w:t>
            </w:r>
            <w:proofErr w:type="spellStart"/>
            <w:r w:rsidRPr="00C10B28">
              <w:rPr>
                <w:rFonts w:ascii="Calibri" w:eastAsia="Times New Roman" w:hAnsi="Calibri" w:cs="Times New Roman"/>
                <w:color w:val="000000"/>
                <w:sz w:val="18"/>
                <w:szCs w:val="18"/>
                <w:lang w:val="en-GB" w:eastAsia="en-GB"/>
              </w:rPr>
              <w:t>radioteleph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3BB43D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915</w:t>
            </w:r>
          </w:p>
        </w:tc>
        <w:tc>
          <w:tcPr>
            <w:tcW w:w="960" w:type="dxa"/>
            <w:tcBorders>
              <w:top w:val="nil"/>
              <w:left w:val="nil"/>
              <w:bottom w:val="single" w:sz="4" w:space="0" w:color="auto"/>
              <w:right w:val="single" w:sz="8" w:space="0" w:color="auto"/>
            </w:tcBorders>
            <w:shd w:val="clear" w:color="auto" w:fill="auto"/>
            <w:noWrap/>
            <w:vAlign w:val="bottom"/>
            <w:hideMark/>
          </w:tcPr>
          <w:p w14:paraId="22269F6B"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19970</w:t>
            </w:r>
          </w:p>
        </w:tc>
      </w:tr>
      <w:tr w:rsidR="008E2273" w:rsidRPr="00C10B28" w14:paraId="1C7F982C"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FC5365"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8181BBD"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Diesel powered buses with a seating capacity of</w:t>
            </w:r>
          </w:p>
        </w:tc>
        <w:tc>
          <w:tcPr>
            <w:tcW w:w="960" w:type="dxa"/>
            <w:tcBorders>
              <w:top w:val="nil"/>
              <w:left w:val="nil"/>
              <w:bottom w:val="single" w:sz="4" w:space="0" w:color="auto"/>
              <w:right w:val="single" w:sz="4" w:space="0" w:color="auto"/>
            </w:tcBorders>
            <w:shd w:val="clear" w:color="auto" w:fill="auto"/>
            <w:noWrap/>
            <w:vAlign w:val="bottom"/>
            <w:hideMark/>
          </w:tcPr>
          <w:p w14:paraId="0FECF78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4320</w:t>
            </w:r>
          </w:p>
        </w:tc>
        <w:tc>
          <w:tcPr>
            <w:tcW w:w="960" w:type="dxa"/>
            <w:tcBorders>
              <w:top w:val="nil"/>
              <w:left w:val="nil"/>
              <w:bottom w:val="single" w:sz="4" w:space="0" w:color="auto"/>
              <w:right w:val="single" w:sz="8" w:space="0" w:color="auto"/>
            </w:tcBorders>
            <w:shd w:val="clear" w:color="auto" w:fill="auto"/>
            <w:noWrap/>
            <w:vAlign w:val="bottom"/>
            <w:hideMark/>
          </w:tcPr>
          <w:p w14:paraId="10E0D60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19371</w:t>
            </w:r>
          </w:p>
        </w:tc>
      </w:tr>
      <w:tr w:rsidR="008E2273" w:rsidRPr="00C10B28" w14:paraId="7FBE81FA"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FD8A5A"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AB18BA4"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Automobiles with reciprocating piston engine di</w:t>
            </w:r>
          </w:p>
        </w:tc>
        <w:tc>
          <w:tcPr>
            <w:tcW w:w="960" w:type="dxa"/>
            <w:tcBorders>
              <w:top w:val="nil"/>
              <w:left w:val="nil"/>
              <w:bottom w:val="single" w:sz="4" w:space="0" w:color="auto"/>
              <w:right w:val="single" w:sz="4" w:space="0" w:color="auto"/>
            </w:tcBorders>
            <w:shd w:val="clear" w:color="auto" w:fill="auto"/>
            <w:noWrap/>
            <w:vAlign w:val="bottom"/>
            <w:hideMark/>
          </w:tcPr>
          <w:p w14:paraId="1846F07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3900</w:t>
            </w:r>
          </w:p>
        </w:tc>
        <w:tc>
          <w:tcPr>
            <w:tcW w:w="960" w:type="dxa"/>
            <w:tcBorders>
              <w:top w:val="nil"/>
              <w:left w:val="nil"/>
              <w:bottom w:val="single" w:sz="4" w:space="0" w:color="auto"/>
              <w:right w:val="single" w:sz="8" w:space="0" w:color="auto"/>
            </w:tcBorders>
            <w:shd w:val="clear" w:color="auto" w:fill="auto"/>
            <w:noWrap/>
            <w:vAlign w:val="bottom"/>
            <w:hideMark/>
          </w:tcPr>
          <w:p w14:paraId="7483CF8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17871</w:t>
            </w:r>
          </w:p>
        </w:tc>
      </w:tr>
      <w:tr w:rsidR="008E2273" w:rsidRPr="00C10B28" w14:paraId="727238AD"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8D5CB7"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C2AACED"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Gas powered trucks with a GVW not exceeding </w:t>
            </w:r>
            <w:proofErr w:type="spellStart"/>
            <w:r w:rsidRPr="00C10B28">
              <w:rPr>
                <w:rFonts w:ascii="Calibri" w:eastAsia="Times New Roman" w:hAnsi="Calibri" w:cs="Times New Roman"/>
                <w:color w:val="000000"/>
                <w:sz w:val="18"/>
                <w:szCs w:val="18"/>
                <w:lang w:val="en-GB" w:eastAsia="en-GB"/>
              </w:rPr>
              <w:t>fiv</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C38CEC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2600</w:t>
            </w:r>
          </w:p>
        </w:tc>
        <w:tc>
          <w:tcPr>
            <w:tcW w:w="960" w:type="dxa"/>
            <w:tcBorders>
              <w:top w:val="nil"/>
              <w:left w:val="nil"/>
              <w:bottom w:val="single" w:sz="4" w:space="0" w:color="auto"/>
              <w:right w:val="single" w:sz="8" w:space="0" w:color="auto"/>
            </w:tcBorders>
            <w:shd w:val="clear" w:color="auto" w:fill="auto"/>
            <w:noWrap/>
            <w:vAlign w:val="bottom"/>
            <w:hideMark/>
          </w:tcPr>
          <w:p w14:paraId="2A61512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16465</w:t>
            </w:r>
          </w:p>
        </w:tc>
      </w:tr>
      <w:tr w:rsidR="008E2273" w:rsidRPr="00C10B28" w14:paraId="1621BB76"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F52EF3"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316DB8C"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Automatic data processing machines and units thereof,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EF1575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512</w:t>
            </w:r>
          </w:p>
        </w:tc>
        <w:tc>
          <w:tcPr>
            <w:tcW w:w="960" w:type="dxa"/>
            <w:tcBorders>
              <w:top w:val="nil"/>
              <w:left w:val="nil"/>
              <w:bottom w:val="single" w:sz="4" w:space="0" w:color="auto"/>
              <w:right w:val="single" w:sz="8" w:space="0" w:color="auto"/>
            </w:tcBorders>
            <w:shd w:val="clear" w:color="auto" w:fill="auto"/>
            <w:noWrap/>
            <w:vAlign w:val="bottom"/>
            <w:hideMark/>
          </w:tcPr>
          <w:p w14:paraId="5BB0510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12360</w:t>
            </w:r>
          </w:p>
        </w:tc>
      </w:tr>
      <w:tr w:rsidR="008E2273" w:rsidRPr="00C10B28" w14:paraId="34E723C7"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2154A4"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4B8E8F3"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proofErr w:type="spellStart"/>
            <w:r w:rsidRPr="00C10B28">
              <w:rPr>
                <w:rFonts w:ascii="Calibri" w:eastAsia="Times New Roman" w:hAnsi="Calibri" w:cs="Times New Roman"/>
                <w:color w:val="000000"/>
                <w:sz w:val="18"/>
                <w:szCs w:val="18"/>
                <w:lang w:val="en-GB" w:eastAsia="en-GB"/>
              </w:rPr>
              <w:t>Boards,panels,etc</w:t>
            </w:r>
            <w:proofErr w:type="spellEnd"/>
            <w:r w:rsidRPr="00C10B28">
              <w:rPr>
                <w:rFonts w:ascii="Calibri" w:eastAsia="Times New Roman" w:hAnsi="Calibri" w:cs="Times New Roman"/>
                <w:color w:val="000000"/>
                <w:sz w:val="18"/>
                <w:szCs w:val="18"/>
                <w:lang w:val="en-GB" w:eastAsia="en-GB"/>
              </w:rPr>
              <w:t xml:space="preserve"> for </w:t>
            </w:r>
            <w:proofErr w:type="spellStart"/>
            <w:r w:rsidRPr="00C10B28">
              <w:rPr>
                <w:rFonts w:ascii="Calibri" w:eastAsia="Times New Roman" w:hAnsi="Calibri" w:cs="Times New Roman"/>
                <w:color w:val="000000"/>
                <w:sz w:val="18"/>
                <w:szCs w:val="18"/>
                <w:lang w:val="en-GB" w:eastAsia="en-GB"/>
              </w:rPr>
              <w:t>gds</w:t>
            </w:r>
            <w:proofErr w:type="spellEnd"/>
            <w:r w:rsidRPr="00C10B28">
              <w:rPr>
                <w:rFonts w:ascii="Calibri" w:eastAsia="Times New Roman" w:hAnsi="Calibri" w:cs="Times New Roman"/>
                <w:color w:val="000000"/>
                <w:sz w:val="18"/>
                <w:szCs w:val="18"/>
                <w:lang w:val="en-GB" w:eastAsia="en-GB"/>
              </w:rPr>
              <w:t xml:space="preserve"> of heading 85.37, not</w:t>
            </w:r>
          </w:p>
        </w:tc>
        <w:tc>
          <w:tcPr>
            <w:tcW w:w="960" w:type="dxa"/>
            <w:tcBorders>
              <w:top w:val="nil"/>
              <w:left w:val="nil"/>
              <w:bottom w:val="single" w:sz="4" w:space="0" w:color="auto"/>
              <w:right w:val="single" w:sz="4" w:space="0" w:color="auto"/>
            </w:tcBorders>
            <w:shd w:val="clear" w:color="auto" w:fill="auto"/>
            <w:noWrap/>
            <w:vAlign w:val="bottom"/>
            <w:hideMark/>
          </w:tcPr>
          <w:p w14:paraId="04CD962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647</w:t>
            </w:r>
          </w:p>
        </w:tc>
        <w:tc>
          <w:tcPr>
            <w:tcW w:w="960" w:type="dxa"/>
            <w:tcBorders>
              <w:top w:val="nil"/>
              <w:left w:val="nil"/>
              <w:bottom w:val="single" w:sz="4" w:space="0" w:color="auto"/>
              <w:right w:val="single" w:sz="8" w:space="0" w:color="auto"/>
            </w:tcBorders>
            <w:shd w:val="clear" w:color="auto" w:fill="auto"/>
            <w:noWrap/>
            <w:vAlign w:val="bottom"/>
            <w:hideMark/>
          </w:tcPr>
          <w:p w14:paraId="5E065B3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11533</w:t>
            </w:r>
          </w:p>
        </w:tc>
      </w:tr>
      <w:tr w:rsidR="008E2273" w:rsidRPr="00C10B28" w14:paraId="543E7190"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54635C"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1A7480A3"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Imitation jewellery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277BA3F"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11258</w:t>
            </w:r>
          </w:p>
        </w:tc>
        <w:tc>
          <w:tcPr>
            <w:tcW w:w="960" w:type="dxa"/>
            <w:tcBorders>
              <w:top w:val="nil"/>
              <w:left w:val="nil"/>
              <w:bottom w:val="single" w:sz="4" w:space="0" w:color="auto"/>
              <w:right w:val="single" w:sz="8" w:space="0" w:color="auto"/>
            </w:tcBorders>
            <w:shd w:val="clear" w:color="auto" w:fill="auto"/>
            <w:noWrap/>
            <w:vAlign w:val="bottom"/>
            <w:hideMark/>
          </w:tcPr>
          <w:p w14:paraId="4630ABDF"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9618</w:t>
            </w:r>
          </w:p>
        </w:tc>
      </w:tr>
      <w:tr w:rsidR="008E2273" w:rsidRPr="00C10B28" w14:paraId="06E101E1"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979333"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3F70F54"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goats</w:t>
            </w:r>
          </w:p>
        </w:tc>
        <w:tc>
          <w:tcPr>
            <w:tcW w:w="960" w:type="dxa"/>
            <w:tcBorders>
              <w:top w:val="nil"/>
              <w:left w:val="nil"/>
              <w:bottom w:val="single" w:sz="4" w:space="0" w:color="auto"/>
              <w:right w:val="single" w:sz="4" w:space="0" w:color="auto"/>
            </w:tcBorders>
            <w:shd w:val="clear" w:color="auto" w:fill="auto"/>
            <w:noWrap/>
            <w:vAlign w:val="bottom"/>
            <w:hideMark/>
          </w:tcPr>
          <w:p w14:paraId="5813D07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4500</w:t>
            </w:r>
          </w:p>
        </w:tc>
        <w:tc>
          <w:tcPr>
            <w:tcW w:w="960" w:type="dxa"/>
            <w:tcBorders>
              <w:top w:val="nil"/>
              <w:left w:val="nil"/>
              <w:bottom w:val="single" w:sz="4" w:space="0" w:color="auto"/>
              <w:right w:val="single" w:sz="8" w:space="0" w:color="auto"/>
            </w:tcBorders>
            <w:shd w:val="clear" w:color="auto" w:fill="auto"/>
            <w:noWrap/>
            <w:vAlign w:val="bottom"/>
            <w:hideMark/>
          </w:tcPr>
          <w:p w14:paraId="0B318C53"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8006</w:t>
            </w:r>
          </w:p>
        </w:tc>
      </w:tr>
      <w:tr w:rsidR="008E2273" w:rsidRPr="00C10B28" w14:paraId="1585EC70"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111D14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3968802" w14:textId="26C1F8DF"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Air </w:t>
            </w:r>
            <w:proofErr w:type="spellStart"/>
            <w:r w:rsidRPr="00C10B28">
              <w:rPr>
                <w:rFonts w:ascii="Calibri" w:eastAsia="Times New Roman" w:hAnsi="Calibri" w:cs="Times New Roman"/>
                <w:color w:val="000000"/>
                <w:sz w:val="18"/>
                <w:szCs w:val="18"/>
                <w:lang w:val="en-GB" w:eastAsia="en-GB"/>
              </w:rPr>
              <w:t>cond</w:t>
            </w:r>
            <w:proofErr w:type="spellEnd"/>
            <w:r w:rsidR="004D3684">
              <w:rPr>
                <w:rFonts w:ascii="Calibri" w:eastAsia="Times New Roman" w:hAnsi="Calibri" w:cs="Times New Roman"/>
                <w:color w:val="000000"/>
                <w:sz w:val="18"/>
                <w:szCs w:val="18"/>
                <w:lang w:val="en-GB" w:eastAsia="en-GB"/>
              </w:rPr>
              <w:t xml:space="preserve"> </w:t>
            </w:r>
            <w:r w:rsidRPr="00C10B28">
              <w:rPr>
                <w:rFonts w:ascii="Calibri" w:eastAsia="Times New Roman" w:hAnsi="Calibri" w:cs="Times New Roman"/>
                <w:color w:val="000000"/>
                <w:sz w:val="18"/>
                <w:szCs w:val="18"/>
                <w:lang w:val="en-GB" w:eastAsia="en-GB"/>
              </w:rPr>
              <w:t>mach</w:t>
            </w:r>
            <w:r w:rsidR="004D3684">
              <w:rPr>
                <w:rFonts w:ascii="Calibri" w:eastAsia="Times New Roman" w:hAnsi="Calibri" w:cs="Times New Roman"/>
                <w:color w:val="000000"/>
                <w:sz w:val="18"/>
                <w:szCs w:val="18"/>
                <w:lang w:val="en-GB" w:eastAsia="en-GB"/>
              </w:rPr>
              <w:t>i</w:t>
            </w:r>
            <w:r w:rsidRPr="00C10B28">
              <w:rPr>
                <w:rFonts w:ascii="Calibri" w:eastAsia="Times New Roman" w:hAnsi="Calibri" w:cs="Times New Roman"/>
                <w:color w:val="000000"/>
                <w:sz w:val="18"/>
                <w:szCs w:val="18"/>
                <w:lang w:val="en-GB" w:eastAsia="en-GB"/>
              </w:rPr>
              <w:t xml:space="preserve">nes, </w:t>
            </w:r>
            <w:proofErr w:type="spellStart"/>
            <w:r w:rsidRPr="00C10B28">
              <w:rPr>
                <w:rFonts w:ascii="Calibri" w:eastAsia="Times New Roman" w:hAnsi="Calibri" w:cs="Times New Roman"/>
                <w:color w:val="000000"/>
                <w:sz w:val="18"/>
                <w:szCs w:val="18"/>
                <w:lang w:val="en-GB" w:eastAsia="en-GB"/>
              </w:rPr>
              <w:t>inc</w:t>
            </w:r>
            <w:proofErr w:type="spellEnd"/>
            <w:r w:rsidRPr="00C10B28">
              <w:rPr>
                <w:rFonts w:ascii="Calibri" w:eastAsia="Times New Roman" w:hAnsi="Calibri" w:cs="Times New Roman"/>
                <w:color w:val="000000"/>
                <w:sz w:val="18"/>
                <w:szCs w:val="18"/>
                <w:lang w:val="en-GB" w:eastAsia="en-GB"/>
              </w:rPr>
              <w:t xml:space="preserve"> a refrigerating unit</w:t>
            </w:r>
          </w:p>
        </w:tc>
        <w:tc>
          <w:tcPr>
            <w:tcW w:w="960" w:type="dxa"/>
            <w:tcBorders>
              <w:top w:val="nil"/>
              <w:left w:val="nil"/>
              <w:bottom w:val="single" w:sz="4" w:space="0" w:color="auto"/>
              <w:right w:val="single" w:sz="4" w:space="0" w:color="auto"/>
            </w:tcBorders>
            <w:shd w:val="clear" w:color="auto" w:fill="auto"/>
            <w:noWrap/>
            <w:vAlign w:val="bottom"/>
            <w:hideMark/>
          </w:tcPr>
          <w:p w14:paraId="60EC67D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112</w:t>
            </w:r>
          </w:p>
        </w:tc>
        <w:tc>
          <w:tcPr>
            <w:tcW w:w="960" w:type="dxa"/>
            <w:tcBorders>
              <w:top w:val="nil"/>
              <w:left w:val="nil"/>
              <w:bottom w:val="single" w:sz="4" w:space="0" w:color="auto"/>
              <w:right w:val="single" w:sz="8" w:space="0" w:color="auto"/>
            </w:tcBorders>
            <w:shd w:val="clear" w:color="auto" w:fill="auto"/>
            <w:noWrap/>
            <w:vAlign w:val="bottom"/>
            <w:hideMark/>
          </w:tcPr>
          <w:p w14:paraId="685810B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6200</w:t>
            </w:r>
          </w:p>
        </w:tc>
      </w:tr>
      <w:tr w:rsidR="008E2273" w:rsidRPr="00C10B28" w14:paraId="2952BE38"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DCC41C1"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0036461" w14:textId="7A755A26"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Electrical app for switching or </w:t>
            </w:r>
          </w:p>
        </w:tc>
        <w:tc>
          <w:tcPr>
            <w:tcW w:w="960" w:type="dxa"/>
            <w:tcBorders>
              <w:top w:val="nil"/>
              <w:left w:val="nil"/>
              <w:bottom w:val="single" w:sz="4" w:space="0" w:color="auto"/>
              <w:right w:val="single" w:sz="4" w:space="0" w:color="auto"/>
            </w:tcBorders>
            <w:shd w:val="clear" w:color="auto" w:fill="auto"/>
            <w:noWrap/>
            <w:vAlign w:val="bottom"/>
            <w:hideMark/>
          </w:tcPr>
          <w:p w14:paraId="0D2E99D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1236</w:t>
            </w:r>
          </w:p>
        </w:tc>
        <w:tc>
          <w:tcPr>
            <w:tcW w:w="960" w:type="dxa"/>
            <w:tcBorders>
              <w:top w:val="nil"/>
              <w:left w:val="nil"/>
              <w:bottom w:val="single" w:sz="4" w:space="0" w:color="auto"/>
              <w:right w:val="single" w:sz="8" w:space="0" w:color="auto"/>
            </w:tcBorders>
            <w:shd w:val="clear" w:color="auto" w:fill="auto"/>
            <w:noWrap/>
            <w:vAlign w:val="bottom"/>
            <w:hideMark/>
          </w:tcPr>
          <w:p w14:paraId="4FD13E6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4842</w:t>
            </w:r>
          </w:p>
        </w:tc>
      </w:tr>
      <w:tr w:rsidR="008E2273" w:rsidRPr="00C10B28" w14:paraId="3D62EE09"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583FE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6298B81E"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New pneumatic tyres, of rubber of a kind used o</w:t>
            </w:r>
          </w:p>
        </w:tc>
        <w:tc>
          <w:tcPr>
            <w:tcW w:w="960" w:type="dxa"/>
            <w:tcBorders>
              <w:top w:val="nil"/>
              <w:left w:val="nil"/>
              <w:bottom w:val="single" w:sz="4" w:space="0" w:color="auto"/>
              <w:right w:val="single" w:sz="4" w:space="0" w:color="auto"/>
            </w:tcBorders>
            <w:shd w:val="clear" w:color="auto" w:fill="auto"/>
            <w:noWrap/>
            <w:vAlign w:val="bottom"/>
            <w:hideMark/>
          </w:tcPr>
          <w:p w14:paraId="17DC3503"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854</w:t>
            </w:r>
          </w:p>
        </w:tc>
        <w:tc>
          <w:tcPr>
            <w:tcW w:w="960" w:type="dxa"/>
            <w:tcBorders>
              <w:top w:val="nil"/>
              <w:left w:val="nil"/>
              <w:bottom w:val="single" w:sz="4" w:space="0" w:color="auto"/>
              <w:right w:val="single" w:sz="8" w:space="0" w:color="auto"/>
            </w:tcBorders>
            <w:shd w:val="clear" w:color="auto" w:fill="auto"/>
            <w:noWrap/>
            <w:vAlign w:val="bottom"/>
            <w:hideMark/>
          </w:tcPr>
          <w:p w14:paraId="75EA6CF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4821</w:t>
            </w:r>
          </w:p>
        </w:tc>
      </w:tr>
      <w:tr w:rsidR="008E2273" w:rsidRPr="00C10B28" w14:paraId="1C080087"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52B2DA"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5AA41808"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Still image video cameras and other video camera recorders</w:t>
            </w:r>
          </w:p>
        </w:tc>
        <w:tc>
          <w:tcPr>
            <w:tcW w:w="960" w:type="dxa"/>
            <w:tcBorders>
              <w:top w:val="nil"/>
              <w:left w:val="nil"/>
              <w:bottom w:val="single" w:sz="4" w:space="0" w:color="auto"/>
              <w:right w:val="single" w:sz="4" w:space="0" w:color="auto"/>
            </w:tcBorders>
            <w:shd w:val="clear" w:color="auto" w:fill="auto"/>
            <w:noWrap/>
            <w:vAlign w:val="bottom"/>
            <w:hideMark/>
          </w:tcPr>
          <w:p w14:paraId="643AC5A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62</w:t>
            </w:r>
          </w:p>
        </w:tc>
        <w:tc>
          <w:tcPr>
            <w:tcW w:w="960" w:type="dxa"/>
            <w:tcBorders>
              <w:top w:val="nil"/>
              <w:left w:val="nil"/>
              <w:bottom w:val="single" w:sz="4" w:space="0" w:color="auto"/>
              <w:right w:val="single" w:sz="8" w:space="0" w:color="auto"/>
            </w:tcBorders>
            <w:shd w:val="clear" w:color="auto" w:fill="auto"/>
            <w:noWrap/>
            <w:vAlign w:val="bottom"/>
            <w:hideMark/>
          </w:tcPr>
          <w:p w14:paraId="3DBD2382"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3159</w:t>
            </w:r>
          </w:p>
        </w:tc>
      </w:tr>
      <w:tr w:rsidR="008E2273" w:rsidRPr="00C10B28" w14:paraId="1EFBC70B"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090DC3"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861E00F"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Prefabricated buildings</w:t>
            </w:r>
          </w:p>
        </w:tc>
        <w:tc>
          <w:tcPr>
            <w:tcW w:w="960" w:type="dxa"/>
            <w:tcBorders>
              <w:top w:val="nil"/>
              <w:left w:val="nil"/>
              <w:bottom w:val="single" w:sz="4" w:space="0" w:color="auto"/>
              <w:right w:val="single" w:sz="4" w:space="0" w:color="auto"/>
            </w:tcBorders>
            <w:shd w:val="clear" w:color="auto" w:fill="auto"/>
            <w:noWrap/>
            <w:vAlign w:val="bottom"/>
            <w:hideMark/>
          </w:tcPr>
          <w:p w14:paraId="6DDD80C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200</w:t>
            </w:r>
          </w:p>
        </w:tc>
        <w:tc>
          <w:tcPr>
            <w:tcW w:w="960" w:type="dxa"/>
            <w:tcBorders>
              <w:top w:val="nil"/>
              <w:left w:val="nil"/>
              <w:bottom w:val="single" w:sz="4" w:space="0" w:color="auto"/>
              <w:right w:val="single" w:sz="8" w:space="0" w:color="auto"/>
            </w:tcBorders>
            <w:shd w:val="clear" w:color="auto" w:fill="auto"/>
            <w:noWrap/>
            <w:vAlign w:val="bottom"/>
            <w:hideMark/>
          </w:tcPr>
          <w:p w14:paraId="65A2509F"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2929</w:t>
            </w:r>
          </w:p>
        </w:tc>
      </w:tr>
      <w:tr w:rsidR="008E2273" w:rsidRPr="00C10B28" w14:paraId="06A882CA"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C0FBE53"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43053B03"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Inductors, electric</w:t>
            </w:r>
          </w:p>
        </w:tc>
        <w:tc>
          <w:tcPr>
            <w:tcW w:w="960" w:type="dxa"/>
            <w:tcBorders>
              <w:top w:val="nil"/>
              <w:left w:val="nil"/>
              <w:bottom w:val="single" w:sz="4" w:space="0" w:color="auto"/>
              <w:right w:val="single" w:sz="4" w:space="0" w:color="auto"/>
            </w:tcBorders>
            <w:shd w:val="clear" w:color="auto" w:fill="auto"/>
            <w:noWrap/>
            <w:vAlign w:val="bottom"/>
            <w:hideMark/>
          </w:tcPr>
          <w:p w14:paraId="3AB5B92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1100</w:t>
            </w:r>
          </w:p>
        </w:tc>
        <w:tc>
          <w:tcPr>
            <w:tcW w:w="960" w:type="dxa"/>
            <w:tcBorders>
              <w:top w:val="nil"/>
              <w:left w:val="nil"/>
              <w:bottom w:val="single" w:sz="4" w:space="0" w:color="auto"/>
              <w:right w:val="single" w:sz="8" w:space="0" w:color="auto"/>
            </w:tcBorders>
            <w:shd w:val="clear" w:color="auto" w:fill="auto"/>
            <w:noWrap/>
            <w:vAlign w:val="bottom"/>
            <w:hideMark/>
          </w:tcPr>
          <w:p w14:paraId="688D0FE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2722</w:t>
            </w:r>
          </w:p>
        </w:tc>
      </w:tr>
      <w:tr w:rsidR="008E2273" w:rsidRPr="00C10B28" w14:paraId="7B95EBA4"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9AE3FC0"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7CD05D5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Printing machinery,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9A0CC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50</w:t>
            </w:r>
          </w:p>
        </w:tc>
        <w:tc>
          <w:tcPr>
            <w:tcW w:w="960" w:type="dxa"/>
            <w:tcBorders>
              <w:top w:val="nil"/>
              <w:left w:val="nil"/>
              <w:bottom w:val="single" w:sz="4" w:space="0" w:color="auto"/>
              <w:right w:val="single" w:sz="8" w:space="0" w:color="auto"/>
            </w:tcBorders>
            <w:shd w:val="clear" w:color="auto" w:fill="auto"/>
            <w:noWrap/>
            <w:vAlign w:val="bottom"/>
            <w:hideMark/>
          </w:tcPr>
          <w:p w14:paraId="10E9FCD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2043</w:t>
            </w:r>
          </w:p>
        </w:tc>
      </w:tr>
      <w:tr w:rsidR="008E2273" w:rsidRPr="00C10B28" w14:paraId="3CE23C3A"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7DF87A"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18B22A94" w14:textId="03106D8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Ceramic sinks, wash basins </w:t>
            </w:r>
            <w:proofErr w:type="spellStart"/>
            <w:r w:rsidRPr="00C10B28">
              <w:rPr>
                <w:rFonts w:ascii="Calibri" w:eastAsia="Times New Roman" w:hAnsi="Calibri" w:cs="Times New Roman"/>
                <w:color w:val="000000"/>
                <w:sz w:val="18"/>
                <w:szCs w:val="18"/>
                <w:lang w:val="en-GB" w:eastAsia="en-GB"/>
              </w:rPr>
              <w:t>etc</w:t>
            </w:r>
            <w:proofErr w:type="spellEnd"/>
            <w:r w:rsidRPr="00C10B28">
              <w:rPr>
                <w:rFonts w:ascii="Calibri" w:eastAsia="Times New Roman" w:hAnsi="Calibri" w:cs="Times New Roman"/>
                <w:color w:val="000000"/>
                <w:sz w:val="18"/>
                <w:szCs w:val="18"/>
                <w:lang w:val="en-GB" w:eastAsia="en-GB"/>
              </w:rPr>
              <w:t xml:space="preserve">&amp; similar </w:t>
            </w:r>
            <w:proofErr w:type="spellStart"/>
            <w:r w:rsidRPr="00C10B28">
              <w:rPr>
                <w:rFonts w:ascii="Calibri" w:eastAsia="Times New Roman" w:hAnsi="Calibri" w:cs="Times New Roman"/>
                <w:color w:val="000000"/>
                <w:sz w:val="18"/>
                <w:szCs w:val="18"/>
                <w:lang w:val="en-GB" w:eastAsia="en-GB"/>
              </w:rPr>
              <w:t>sanita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618237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685</w:t>
            </w:r>
          </w:p>
        </w:tc>
        <w:tc>
          <w:tcPr>
            <w:tcW w:w="960" w:type="dxa"/>
            <w:tcBorders>
              <w:top w:val="nil"/>
              <w:left w:val="nil"/>
              <w:bottom w:val="single" w:sz="4" w:space="0" w:color="auto"/>
              <w:right w:val="single" w:sz="8" w:space="0" w:color="auto"/>
            </w:tcBorders>
            <w:shd w:val="clear" w:color="auto" w:fill="auto"/>
            <w:noWrap/>
            <w:vAlign w:val="bottom"/>
            <w:hideMark/>
          </w:tcPr>
          <w:p w14:paraId="671572CE"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1252</w:t>
            </w:r>
          </w:p>
        </w:tc>
      </w:tr>
      <w:tr w:rsidR="008E2273" w:rsidRPr="00C10B28" w14:paraId="3AFA3A43"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E2D4C6B"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AD98C6C"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Image projectors,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6ECE61F"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93</w:t>
            </w:r>
          </w:p>
        </w:tc>
        <w:tc>
          <w:tcPr>
            <w:tcW w:w="960" w:type="dxa"/>
            <w:tcBorders>
              <w:top w:val="nil"/>
              <w:left w:val="nil"/>
              <w:bottom w:val="single" w:sz="4" w:space="0" w:color="auto"/>
              <w:right w:val="single" w:sz="8" w:space="0" w:color="auto"/>
            </w:tcBorders>
            <w:shd w:val="clear" w:color="auto" w:fill="auto"/>
            <w:noWrap/>
            <w:vAlign w:val="bottom"/>
            <w:hideMark/>
          </w:tcPr>
          <w:p w14:paraId="094519C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1092</w:t>
            </w:r>
          </w:p>
        </w:tc>
      </w:tr>
      <w:tr w:rsidR="008E2273" w:rsidRPr="00C10B28" w14:paraId="756B49F6"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99EFD0"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891BF61"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Seats </w:t>
            </w:r>
            <w:proofErr w:type="spellStart"/>
            <w:r w:rsidRPr="00C10B28">
              <w:rPr>
                <w:rFonts w:ascii="Calibri" w:eastAsia="Times New Roman" w:hAnsi="Calibri" w:cs="Times New Roman"/>
                <w:color w:val="000000"/>
                <w:sz w:val="18"/>
                <w:szCs w:val="18"/>
                <w:lang w:val="en-GB" w:eastAsia="en-GB"/>
              </w:rPr>
              <w:t>nes</w:t>
            </w:r>
            <w:proofErr w:type="spellEnd"/>
            <w:r w:rsidRPr="00C10B28">
              <w:rPr>
                <w:rFonts w:ascii="Calibri" w:eastAsia="Times New Roman" w:hAnsi="Calibri" w:cs="Times New Roman"/>
                <w:color w:val="000000"/>
                <w:sz w:val="18"/>
                <w:szCs w:val="18"/>
                <w:lang w:val="en-GB" w:eastAsia="en-GB"/>
              </w:rPr>
              <w:t>, other than those of heading No 94.02</w:t>
            </w:r>
          </w:p>
        </w:tc>
        <w:tc>
          <w:tcPr>
            <w:tcW w:w="960" w:type="dxa"/>
            <w:tcBorders>
              <w:top w:val="nil"/>
              <w:left w:val="nil"/>
              <w:bottom w:val="single" w:sz="4" w:space="0" w:color="auto"/>
              <w:right w:val="single" w:sz="4" w:space="0" w:color="auto"/>
            </w:tcBorders>
            <w:shd w:val="clear" w:color="auto" w:fill="auto"/>
            <w:noWrap/>
            <w:vAlign w:val="bottom"/>
            <w:hideMark/>
          </w:tcPr>
          <w:p w14:paraId="7A67A448"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50</w:t>
            </w:r>
          </w:p>
        </w:tc>
        <w:tc>
          <w:tcPr>
            <w:tcW w:w="960" w:type="dxa"/>
            <w:tcBorders>
              <w:top w:val="nil"/>
              <w:left w:val="nil"/>
              <w:bottom w:val="single" w:sz="4" w:space="0" w:color="auto"/>
              <w:right w:val="single" w:sz="8" w:space="0" w:color="auto"/>
            </w:tcBorders>
            <w:shd w:val="clear" w:color="auto" w:fill="auto"/>
            <w:noWrap/>
            <w:vAlign w:val="bottom"/>
            <w:hideMark/>
          </w:tcPr>
          <w:p w14:paraId="75165943"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741</w:t>
            </w:r>
          </w:p>
        </w:tc>
      </w:tr>
      <w:tr w:rsidR="008E2273" w:rsidRPr="00C10B28" w14:paraId="3E495F48"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014E7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3D2CEF72"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Refrigerators, household type,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FEAC0A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74</w:t>
            </w:r>
          </w:p>
        </w:tc>
        <w:tc>
          <w:tcPr>
            <w:tcW w:w="960" w:type="dxa"/>
            <w:tcBorders>
              <w:top w:val="nil"/>
              <w:left w:val="nil"/>
              <w:bottom w:val="single" w:sz="4" w:space="0" w:color="auto"/>
              <w:right w:val="single" w:sz="8" w:space="0" w:color="auto"/>
            </w:tcBorders>
            <w:shd w:val="clear" w:color="auto" w:fill="auto"/>
            <w:noWrap/>
            <w:vAlign w:val="bottom"/>
            <w:hideMark/>
          </w:tcPr>
          <w:p w14:paraId="6BEEAC0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370</w:t>
            </w:r>
          </w:p>
        </w:tc>
      </w:tr>
      <w:tr w:rsidR="008E2273" w:rsidRPr="00C10B28" w14:paraId="7A6216A0"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D91A8F"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66DCABC6"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Parts and accessories of automatic data process</w:t>
            </w:r>
          </w:p>
        </w:tc>
        <w:tc>
          <w:tcPr>
            <w:tcW w:w="960" w:type="dxa"/>
            <w:tcBorders>
              <w:top w:val="nil"/>
              <w:left w:val="nil"/>
              <w:bottom w:val="single" w:sz="4" w:space="0" w:color="auto"/>
              <w:right w:val="single" w:sz="4" w:space="0" w:color="auto"/>
            </w:tcBorders>
            <w:shd w:val="clear" w:color="auto" w:fill="auto"/>
            <w:noWrap/>
            <w:vAlign w:val="bottom"/>
            <w:hideMark/>
          </w:tcPr>
          <w:p w14:paraId="3AB6C43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210</w:t>
            </w:r>
          </w:p>
        </w:tc>
        <w:tc>
          <w:tcPr>
            <w:tcW w:w="960" w:type="dxa"/>
            <w:tcBorders>
              <w:top w:val="nil"/>
              <w:left w:val="nil"/>
              <w:bottom w:val="single" w:sz="4" w:space="0" w:color="auto"/>
              <w:right w:val="single" w:sz="8" w:space="0" w:color="auto"/>
            </w:tcBorders>
            <w:shd w:val="clear" w:color="auto" w:fill="auto"/>
            <w:noWrap/>
            <w:vAlign w:val="bottom"/>
            <w:hideMark/>
          </w:tcPr>
          <w:p w14:paraId="109334E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269</w:t>
            </w:r>
          </w:p>
        </w:tc>
      </w:tr>
      <w:tr w:rsidR="008E2273" w:rsidRPr="00C10B28" w14:paraId="1CFC3046"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0AF09D"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5EBD6D82"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Curtains and interior blinds; curtain/bed </w:t>
            </w:r>
            <w:proofErr w:type="spellStart"/>
            <w:r w:rsidRPr="00C10B28">
              <w:rPr>
                <w:rFonts w:ascii="Calibri" w:eastAsia="Times New Roman" w:hAnsi="Calibri" w:cs="Times New Roman"/>
                <w:color w:val="000000"/>
                <w:sz w:val="18"/>
                <w:szCs w:val="18"/>
                <w:lang w:val="en-GB" w:eastAsia="en-GB"/>
              </w:rPr>
              <w:t>valan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41EF01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60</w:t>
            </w:r>
          </w:p>
        </w:tc>
        <w:tc>
          <w:tcPr>
            <w:tcW w:w="960" w:type="dxa"/>
            <w:tcBorders>
              <w:top w:val="nil"/>
              <w:left w:val="nil"/>
              <w:bottom w:val="single" w:sz="4" w:space="0" w:color="auto"/>
              <w:right w:val="single" w:sz="8" w:space="0" w:color="auto"/>
            </w:tcBorders>
            <w:shd w:val="clear" w:color="auto" w:fill="auto"/>
            <w:noWrap/>
            <w:vAlign w:val="bottom"/>
            <w:hideMark/>
          </w:tcPr>
          <w:p w14:paraId="51ED705B"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257</w:t>
            </w:r>
          </w:p>
        </w:tc>
      </w:tr>
      <w:tr w:rsidR="008E2273" w:rsidRPr="00C10B28" w14:paraId="081830BA"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1D49F6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24F4388B"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Shampoos</w:t>
            </w:r>
          </w:p>
        </w:tc>
        <w:tc>
          <w:tcPr>
            <w:tcW w:w="960" w:type="dxa"/>
            <w:tcBorders>
              <w:top w:val="nil"/>
              <w:left w:val="nil"/>
              <w:bottom w:val="single" w:sz="4" w:space="0" w:color="auto"/>
              <w:right w:val="single" w:sz="4" w:space="0" w:color="auto"/>
            </w:tcBorders>
            <w:shd w:val="clear" w:color="auto" w:fill="auto"/>
            <w:noWrap/>
            <w:vAlign w:val="bottom"/>
            <w:hideMark/>
          </w:tcPr>
          <w:p w14:paraId="4829E53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242</w:t>
            </w:r>
          </w:p>
        </w:tc>
        <w:tc>
          <w:tcPr>
            <w:tcW w:w="960" w:type="dxa"/>
            <w:tcBorders>
              <w:top w:val="nil"/>
              <w:left w:val="nil"/>
              <w:bottom w:val="single" w:sz="4" w:space="0" w:color="auto"/>
              <w:right w:val="single" w:sz="8" w:space="0" w:color="auto"/>
            </w:tcBorders>
            <w:shd w:val="clear" w:color="auto" w:fill="auto"/>
            <w:noWrap/>
            <w:vAlign w:val="bottom"/>
            <w:hideMark/>
          </w:tcPr>
          <w:p w14:paraId="0A4B5C1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219</w:t>
            </w:r>
          </w:p>
        </w:tc>
      </w:tr>
      <w:tr w:rsidR="008E2273" w:rsidRPr="00C10B28" w14:paraId="1546AC74"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1211A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2011</w:t>
            </w:r>
          </w:p>
        </w:tc>
        <w:tc>
          <w:tcPr>
            <w:tcW w:w="5020" w:type="dxa"/>
            <w:tcBorders>
              <w:top w:val="nil"/>
              <w:left w:val="nil"/>
              <w:bottom w:val="single" w:sz="4" w:space="0" w:color="auto"/>
              <w:right w:val="single" w:sz="4" w:space="0" w:color="auto"/>
            </w:tcBorders>
            <w:shd w:val="clear" w:color="auto" w:fill="auto"/>
            <w:noWrap/>
            <w:vAlign w:val="bottom"/>
            <w:hideMark/>
          </w:tcPr>
          <w:p w14:paraId="073C3BD1"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Sweet biscuits; waffles and wafers</w:t>
            </w:r>
          </w:p>
        </w:tc>
        <w:tc>
          <w:tcPr>
            <w:tcW w:w="960" w:type="dxa"/>
            <w:tcBorders>
              <w:top w:val="nil"/>
              <w:left w:val="nil"/>
              <w:bottom w:val="single" w:sz="4" w:space="0" w:color="auto"/>
              <w:right w:val="single" w:sz="4" w:space="0" w:color="auto"/>
            </w:tcBorders>
            <w:shd w:val="clear" w:color="auto" w:fill="auto"/>
            <w:noWrap/>
            <w:vAlign w:val="bottom"/>
            <w:hideMark/>
          </w:tcPr>
          <w:p w14:paraId="2CCF75FA"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36</w:t>
            </w:r>
          </w:p>
        </w:tc>
        <w:tc>
          <w:tcPr>
            <w:tcW w:w="960" w:type="dxa"/>
            <w:tcBorders>
              <w:top w:val="nil"/>
              <w:left w:val="nil"/>
              <w:bottom w:val="single" w:sz="4" w:space="0" w:color="auto"/>
              <w:right w:val="single" w:sz="8" w:space="0" w:color="auto"/>
            </w:tcBorders>
            <w:shd w:val="clear" w:color="auto" w:fill="auto"/>
            <w:noWrap/>
            <w:vAlign w:val="bottom"/>
            <w:hideMark/>
          </w:tcPr>
          <w:p w14:paraId="2DEDC26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90</w:t>
            </w:r>
          </w:p>
        </w:tc>
      </w:tr>
      <w:tr w:rsidR="008E2273" w:rsidRPr="00C10B28" w14:paraId="66A9B23D"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528DD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lastRenderedPageBreak/>
              <w:t>2011</w:t>
            </w:r>
          </w:p>
        </w:tc>
        <w:tc>
          <w:tcPr>
            <w:tcW w:w="5020" w:type="dxa"/>
            <w:tcBorders>
              <w:top w:val="nil"/>
              <w:left w:val="nil"/>
              <w:bottom w:val="single" w:sz="4" w:space="0" w:color="auto"/>
              <w:right w:val="single" w:sz="4" w:space="0" w:color="auto"/>
            </w:tcBorders>
            <w:shd w:val="clear" w:color="auto" w:fill="auto"/>
            <w:noWrap/>
            <w:vAlign w:val="bottom"/>
            <w:hideMark/>
          </w:tcPr>
          <w:p w14:paraId="2119728A"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Other live animals,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84BD965"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w:t>
            </w:r>
          </w:p>
        </w:tc>
        <w:tc>
          <w:tcPr>
            <w:tcW w:w="960" w:type="dxa"/>
            <w:tcBorders>
              <w:top w:val="nil"/>
              <w:left w:val="nil"/>
              <w:bottom w:val="single" w:sz="4" w:space="0" w:color="auto"/>
              <w:right w:val="single" w:sz="8" w:space="0" w:color="auto"/>
            </w:tcBorders>
            <w:shd w:val="clear" w:color="auto" w:fill="auto"/>
            <w:noWrap/>
            <w:vAlign w:val="bottom"/>
            <w:hideMark/>
          </w:tcPr>
          <w:p w14:paraId="40DFD98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3</w:t>
            </w:r>
          </w:p>
        </w:tc>
      </w:tr>
      <w:tr w:rsidR="008E2273" w:rsidRPr="00C10B28" w14:paraId="09414F0F"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27BAF5"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2012</w:t>
            </w:r>
          </w:p>
        </w:tc>
        <w:tc>
          <w:tcPr>
            <w:tcW w:w="5020" w:type="dxa"/>
            <w:tcBorders>
              <w:top w:val="nil"/>
              <w:left w:val="nil"/>
              <w:bottom w:val="single" w:sz="4" w:space="0" w:color="auto"/>
              <w:right w:val="single" w:sz="4" w:space="0" w:color="auto"/>
            </w:tcBorders>
            <w:shd w:val="clear" w:color="auto" w:fill="auto"/>
            <w:noWrap/>
            <w:vAlign w:val="bottom"/>
            <w:hideMark/>
          </w:tcPr>
          <w:p w14:paraId="6A3C18F3"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Cotton, carded or combed</w:t>
            </w:r>
          </w:p>
        </w:tc>
        <w:tc>
          <w:tcPr>
            <w:tcW w:w="960" w:type="dxa"/>
            <w:tcBorders>
              <w:top w:val="nil"/>
              <w:left w:val="nil"/>
              <w:bottom w:val="single" w:sz="4" w:space="0" w:color="auto"/>
              <w:right w:val="single" w:sz="4" w:space="0" w:color="auto"/>
            </w:tcBorders>
            <w:shd w:val="clear" w:color="auto" w:fill="auto"/>
            <w:noWrap/>
            <w:vAlign w:val="bottom"/>
            <w:hideMark/>
          </w:tcPr>
          <w:p w14:paraId="1E961B3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500000</w:t>
            </w:r>
          </w:p>
        </w:tc>
        <w:tc>
          <w:tcPr>
            <w:tcW w:w="960" w:type="dxa"/>
            <w:tcBorders>
              <w:top w:val="nil"/>
              <w:left w:val="nil"/>
              <w:bottom w:val="single" w:sz="4" w:space="0" w:color="auto"/>
              <w:right w:val="single" w:sz="8" w:space="0" w:color="auto"/>
            </w:tcBorders>
            <w:shd w:val="clear" w:color="auto" w:fill="auto"/>
            <w:noWrap/>
            <w:vAlign w:val="bottom"/>
            <w:hideMark/>
          </w:tcPr>
          <w:p w14:paraId="7F9EC6E6"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1160552</w:t>
            </w:r>
          </w:p>
        </w:tc>
      </w:tr>
      <w:tr w:rsidR="008E2273" w:rsidRPr="00C10B28" w14:paraId="307470F5"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9829C56"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2012</w:t>
            </w:r>
          </w:p>
        </w:tc>
        <w:tc>
          <w:tcPr>
            <w:tcW w:w="5020" w:type="dxa"/>
            <w:tcBorders>
              <w:top w:val="nil"/>
              <w:left w:val="nil"/>
              <w:bottom w:val="single" w:sz="4" w:space="0" w:color="auto"/>
              <w:right w:val="single" w:sz="4" w:space="0" w:color="auto"/>
            </w:tcBorders>
            <w:shd w:val="clear" w:color="auto" w:fill="auto"/>
            <w:noWrap/>
            <w:vAlign w:val="bottom"/>
            <w:hideMark/>
          </w:tcPr>
          <w:p w14:paraId="12B45754"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Guavas, mangoes and </w:t>
            </w:r>
            <w:proofErr w:type="spellStart"/>
            <w:r w:rsidRPr="00C10B28">
              <w:rPr>
                <w:rFonts w:ascii="Calibri" w:eastAsia="Times New Roman" w:hAnsi="Calibri" w:cs="Times New Roman"/>
                <w:color w:val="000000"/>
                <w:sz w:val="18"/>
                <w:szCs w:val="18"/>
                <w:lang w:val="en-GB" w:eastAsia="en-GB"/>
              </w:rPr>
              <w:t>mangosteens</w:t>
            </w:r>
            <w:proofErr w:type="spellEnd"/>
            <w:r w:rsidRPr="00C10B28">
              <w:rPr>
                <w:rFonts w:ascii="Calibri" w:eastAsia="Times New Roman" w:hAnsi="Calibri" w:cs="Times New Roman"/>
                <w:color w:val="000000"/>
                <w:sz w:val="18"/>
                <w:szCs w:val="18"/>
                <w:lang w:val="en-GB" w:eastAsia="en-GB"/>
              </w:rPr>
              <w:t>, fresh or dried</w:t>
            </w:r>
          </w:p>
        </w:tc>
        <w:tc>
          <w:tcPr>
            <w:tcW w:w="960" w:type="dxa"/>
            <w:tcBorders>
              <w:top w:val="nil"/>
              <w:left w:val="nil"/>
              <w:bottom w:val="single" w:sz="4" w:space="0" w:color="auto"/>
              <w:right w:val="single" w:sz="4" w:space="0" w:color="auto"/>
            </w:tcBorders>
            <w:shd w:val="clear" w:color="auto" w:fill="auto"/>
            <w:noWrap/>
            <w:vAlign w:val="bottom"/>
            <w:hideMark/>
          </w:tcPr>
          <w:p w14:paraId="2B86DAF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466000</w:t>
            </w:r>
          </w:p>
        </w:tc>
        <w:tc>
          <w:tcPr>
            <w:tcW w:w="960" w:type="dxa"/>
            <w:tcBorders>
              <w:top w:val="nil"/>
              <w:left w:val="nil"/>
              <w:bottom w:val="single" w:sz="4" w:space="0" w:color="auto"/>
              <w:right w:val="single" w:sz="8" w:space="0" w:color="auto"/>
            </w:tcBorders>
            <w:shd w:val="clear" w:color="auto" w:fill="auto"/>
            <w:noWrap/>
            <w:vAlign w:val="bottom"/>
            <w:hideMark/>
          </w:tcPr>
          <w:p w14:paraId="6F8A8746"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286428</w:t>
            </w:r>
          </w:p>
        </w:tc>
      </w:tr>
      <w:tr w:rsidR="008E2273" w:rsidRPr="00C10B28" w14:paraId="7617ABE9"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1E2976"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2012</w:t>
            </w:r>
          </w:p>
        </w:tc>
        <w:tc>
          <w:tcPr>
            <w:tcW w:w="5020" w:type="dxa"/>
            <w:tcBorders>
              <w:top w:val="nil"/>
              <w:left w:val="nil"/>
              <w:bottom w:val="single" w:sz="4" w:space="0" w:color="auto"/>
              <w:right w:val="single" w:sz="4" w:space="0" w:color="auto"/>
            </w:tcBorders>
            <w:shd w:val="clear" w:color="auto" w:fill="auto"/>
            <w:noWrap/>
            <w:vAlign w:val="bottom"/>
            <w:hideMark/>
          </w:tcPr>
          <w:p w14:paraId="6629987D"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 xml:space="preserve">Other live animals, </w:t>
            </w:r>
            <w:proofErr w:type="spellStart"/>
            <w:r w:rsidRPr="00C10B28">
              <w:rPr>
                <w:rFonts w:ascii="Calibri" w:eastAsia="Times New Roman" w:hAnsi="Calibri" w:cs="Times New Roman"/>
                <w:color w:val="000000"/>
                <w:sz w:val="18"/>
                <w:szCs w:val="18"/>
                <w:lang w:val="en-GB" w:eastAsia="en-GB"/>
              </w:rPr>
              <w:t>nes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4CBE09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165760</w:t>
            </w:r>
          </w:p>
        </w:tc>
        <w:tc>
          <w:tcPr>
            <w:tcW w:w="960" w:type="dxa"/>
            <w:tcBorders>
              <w:top w:val="nil"/>
              <w:left w:val="nil"/>
              <w:bottom w:val="single" w:sz="4" w:space="0" w:color="auto"/>
              <w:right w:val="single" w:sz="8" w:space="0" w:color="auto"/>
            </w:tcBorders>
            <w:shd w:val="clear" w:color="auto" w:fill="auto"/>
            <w:noWrap/>
            <w:vAlign w:val="bottom"/>
            <w:hideMark/>
          </w:tcPr>
          <w:p w14:paraId="7C73808D"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246626</w:t>
            </w:r>
          </w:p>
        </w:tc>
      </w:tr>
      <w:tr w:rsidR="008E2273" w:rsidRPr="00C10B28" w14:paraId="12B83177"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2B123E"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2012</w:t>
            </w:r>
          </w:p>
        </w:tc>
        <w:tc>
          <w:tcPr>
            <w:tcW w:w="5020" w:type="dxa"/>
            <w:tcBorders>
              <w:top w:val="nil"/>
              <w:left w:val="nil"/>
              <w:bottom w:val="single" w:sz="4" w:space="0" w:color="auto"/>
              <w:right w:val="single" w:sz="4" w:space="0" w:color="auto"/>
            </w:tcBorders>
            <w:shd w:val="clear" w:color="auto" w:fill="auto"/>
            <w:noWrap/>
            <w:vAlign w:val="bottom"/>
            <w:hideMark/>
          </w:tcPr>
          <w:p w14:paraId="60678D18"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Live sheep</w:t>
            </w:r>
          </w:p>
        </w:tc>
        <w:tc>
          <w:tcPr>
            <w:tcW w:w="960" w:type="dxa"/>
            <w:tcBorders>
              <w:top w:val="nil"/>
              <w:left w:val="nil"/>
              <w:bottom w:val="single" w:sz="4" w:space="0" w:color="auto"/>
              <w:right w:val="single" w:sz="4" w:space="0" w:color="auto"/>
            </w:tcBorders>
            <w:shd w:val="clear" w:color="auto" w:fill="auto"/>
            <w:noWrap/>
            <w:vAlign w:val="bottom"/>
            <w:hideMark/>
          </w:tcPr>
          <w:p w14:paraId="7F9CB0E0"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77840</w:t>
            </w:r>
          </w:p>
        </w:tc>
        <w:tc>
          <w:tcPr>
            <w:tcW w:w="960" w:type="dxa"/>
            <w:tcBorders>
              <w:top w:val="nil"/>
              <w:left w:val="nil"/>
              <w:bottom w:val="single" w:sz="4" w:space="0" w:color="auto"/>
              <w:right w:val="single" w:sz="8" w:space="0" w:color="auto"/>
            </w:tcBorders>
            <w:shd w:val="clear" w:color="auto" w:fill="auto"/>
            <w:noWrap/>
            <w:vAlign w:val="bottom"/>
            <w:hideMark/>
          </w:tcPr>
          <w:p w14:paraId="393A7571"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151888</w:t>
            </w:r>
          </w:p>
        </w:tc>
      </w:tr>
      <w:tr w:rsidR="008E2273" w:rsidRPr="00C10B28" w14:paraId="72FA9995" w14:textId="77777777" w:rsidTr="008E2273">
        <w:trPr>
          <w:trHeight w:val="22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4E6BA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2012</w:t>
            </w:r>
          </w:p>
        </w:tc>
        <w:tc>
          <w:tcPr>
            <w:tcW w:w="5020" w:type="dxa"/>
            <w:tcBorders>
              <w:top w:val="nil"/>
              <w:left w:val="nil"/>
              <w:bottom w:val="single" w:sz="4" w:space="0" w:color="auto"/>
              <w:right w:val="single" w:sz="4" w:space="0" w:color="auto"/>
            </w:tcBorders>
            <w:shd w:val="clear" w:color="auto" w:fill="auto"/>
            <w:noWrap/>
            <w:vAlign w:val="bottom"/>
            <w:hideMark/>
          </w:tcPr>
          <w:p w14:paraId="3E850C89"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Dates, fresh or dried</w:t>
            </w:r>
          </w:p>
        </w:tc>
        <w:tc>
          <w:tcPr>
            <w:tcW w:w="960" w:type="dxa"/>
            <w:tcBorders>
              <w:top w:val="nil"/>
              <w:left w:val="nil"/>
              <w:bottom w:val="single" w:sz="4" w:space="0" w:color="auto"/>
              <w:right w:val="single" w:sz="4" w:space="0" w:color="auto"/>
            </w:tcBorders>
            <w:shd w:val="clear" w:color="auto" w:fill="auto"/>
            <w:noWrap/>
            <w:vAlign w:val="bottom"/>
            <w:hideMark/>
          </w:tcPr>
          <w:p w14:paraId="113EAAF4"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22000</w:t>
            </w:r>
          </w:p>
        </w:tc>
        <w:tc>
          <w:tcPr>
            <w:tcW w:w="960" w:type="dxa"/>
            <w:tcBorders>
              <w:top w:val="nil"/>
              <w:left w:val="nil"/>
              <w:bottom w:val="single" w:sz="4" w:space="0" w:color="auto"/>
              <w:right w:val="single" w:sz="8" w:space="0" w:color="auto"/>
            </w:tcBorders>
            <w:shd w:val="clear" w:color="auto" w:fill="auto"/>
            <w:noWrap/>
            <w:vAlign w:val="bottom"/>
            <w:hideMark/>
          </w:tcPr>
          <w:p w14:paraId="2C311B8C"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5366</w:t>
            </w:r>
          </w:p>
        </w:tc>
      </w:tr>
      <w:tr w:rsidR="008E2273" w:rsidRPr="00C10B28" w14:paraId="6BA5FDA0" w14:textId="77777777" w:rsidTr="008E2273">
        <w:trPr>
          <w:trHeight w:val="222"/>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2E2CD29" w14:textId="77777777" w:rsidR="008E2273" w:rsidRPr="00C10B28"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C10B28">
              <w:rPr>
                <w:rFonts w:ascii="Calibri" w:eastAsia="Times New Roman" w:hAnsi="Calibri" w:cs="Times New Roman"/>
                <w:i/>
                <w:iCs/>
                <w:color w:val="000000"/>
                <w:sz w:val="18"/>
                <w:szCs w:val="18"/>
                <w:lang w:val="en-GB" w:eastAsia="en-GB"/>
              </w:rPr>
              <w:t>2012</w:t>
            </w:r>
          </w:p>
        </w:tc>
        <w:tc>
          <w:tcPr>
            <w:tcW w:w="5020" w:type="dxa"/>
            <w:tcBorders>
              <w:top w:val="nil"/>
              <w:left w:val="nil"/>
              <w:bottom w:val="single" w:sz="8" w:space="0" w:color="auto"/>
              <w:right w:val="single" w:sz="4" w:space="0" w:color="auto"/>
            </w:tcBorders>
            <w:shd w:val="clear" w:color="auto" w:fill="auto"/>
            <w:noWrap/>
            <w:vAlign w:val="bottom"/>
            <w:hideMark/>
          </w:tcPr>
          <w:p w14:paraId="21E56441" w14:textId="77777777" w:rsidR="008E2273" w:rsidRPr="00C10B28" w:rsidRDefault="008E2273" w:rsidP="008E2273">
            <w:pPr>
              <w:spacing w:after="0" w:line="240" w:lineRule="auto"/>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Motorcycles with reciprocating piston engine di</w:t>
            </w:r>
          </w:p>
        </w:tc>
        <w:tc>
          <w:tcPr>
            <w:tcW w:w="960" w:type="dxa"/>
            <w:tcBorders>
              <w:top w:val="nil"/>
              <w:left w:val="nil"/>
              <w:bottom w:val="single" w:sz="8" w:space="0" w:color="auto"/>
              <w:right w:val="single" w:sz="4" w:space="0" w:color="auto"/>
            </w:tcBorders>
            <w:shd w:val="clear" w:color="auto" w:fill="auto"/>
            <w:noWrap/>
            <w:vAlign w:val="bottom"/>
            <w:hideMark/>
          </w:tcPr>
          <w:p w14:paraId="7843DA97"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120</w:t>
            </w:r>
          </w:p>
        </w:tc>
        <w:tc>
          <w:tcPr>
            <w:tcW w:w="960" w:type="dxa"/>
            <w:tcBorders>
              <w:top w:val="nil"/>
              <w:left w:val="nil"/>
              <w:bottom w:val="single" w:sz="8" w:space="0" w:color="auto"/>
              <w:right w:val="single" w:sz="8" w:space="0" w:color="auto"/>
            </w:tcBorders>
            <w:shd w:val="clear" w:color="auto" w:fill="auto"/>
            <w:noWrap/>
            <w:vAlign w:val="bottom"/>
            <w:hideMark/>
          </w:tcPr>
          <w:p w14:paraId="5E25CFE9" w14:textId="77777777" w:rsidR="008E2273" w:rsidRPr="00C10B28" w:rsidRDefault="008E2273" w:rsidP="008E2273">
            <w:pPr>
              <w:spacing w:after="0" w:line="240" w:lineRule="auto"/>
              <w:jc w:val="right"/>
              <w:rPr>
                <w:rFonts w:ascii="Calibri" w:eastAsia="Times New Roman" w:hAnsi="Calibri" w:cs="Times New Roman"/>
                <w:color w:val="000000"/>
                <w:sz w:val="18"/>
                <w:szCs w:val="18"/>
                <w:lang w:val="en-GB" w:eastAsia="en-GB"/>
              </w:rPr>
            </w:pPr>
            <w:r w:rsidRPr="00C10B28">
              <w:rPr>
                <w:rFonts w:ascii="Calibri" w:eastAsia="Times New Roman" w:hAnsi="Calibri" w:cs="Times New Roman"/>
                <w:color w:val="000000"/>
                <w:sz w:val="18"/>
                <w:szCs w:val="18"/>
                <w:lang w:val="en-GB" w:eastAsia="en-GB"/>
              </w:rPr>
              <w:t>878</w:t>
            </w:r>
          </w:p>
        </w:tc>
      </w:tr>
    </w:tbl>
    <w:p w14:paraId="59FFD71D" w14:textId="77777777" w:rsidR="008E2273" w:rsidRDefault="008E2273" w:rsidP="008E2273"/>
    <w:p w14:paraId="46EC5444" w14:textId="77777777" w:rsidR="008E2273" w:rsidRPr="00B37BE9" w:rsidRDefault="008E2273" w:rsidP="00B37BE9">
      <w:pPr>
        <w:pStyle w:val="Heading1"/>
        <w:rPr>
          <w:sz w:val="24"/>
          <w:szCs w:val="24"/>
        </w:rPr>
      </w:pPr>
      <w:bookmarkStart w:id="49" w:name="_Toc373155797"/>
      <w:bookmarkStart w:id="50" w:name="_Toc384903172"/>
      <w:bookmarkStart w:id="51" w:name="_Toc386104463"/>
      <w:r w:rsidRPr="00B37BE9">
        <w:rPr>
          <w:sz w:val="24"/>
          <w:szCs w:val="24"/>
        </w:rPr>
        <w:t xml:space="preserve">Annexe </w:t>
      </w:r>
      <w:r w:rsidRPr="00B37BE9">
        <w:rPr>
          <w:sz w:val="24"/>
          <w:szCs w:val="24"/>
        </w:rPr>
        <w:fldChar w:fldCharType="begin"/>
      </w:r>
      <w:r w:rsidRPr="00B37BE9">
        <w:rPr>
          <w:sz w:val="24"/>
          <w:szCs w:val="24"/>
        </w:rPr>
        <w:instrText xml:space="preserve"> SEQ Annexe \* ARABIC </w:instrText>
      </w:r>
      <w:r w:rsidRPr="00B37BE9">
        <w:rPr>
          <w:sz w:val="24"/>
          <w:szCs w:val="24"/>
        </w:rPr>
        <w:fldChar w:fldCharType="separate"/>
      </w:r>
      <w:r w:rsidR="008229BD">
        <w:rPr>
          <w:noProof/>
          <w:sz w:val="24"/>
          <w:szCs w:val="24"/>
        </w:rPr>
        <w:t>3</w:t>
      </w:r>
      <w:r w:rsidRPr="00B37BE9">
        <w:rPr>
          <w:sz w:val="24"/>
          <w:szCs w:val="24"/>
        </w:rPr>
        <w:fldChar w:fldCharType="end"/>
      </w:r>
      <w:r w:rsidRPr="00B37BE9">
        <w:rPr>
          <w:sz w:val="24"/>
          <w:szCs w:val="24"/>
        </w:rPr>
        <w:t>: Les importations algériennes officielles en provenance du Mali</w:t>
      </w:r>
      <w:bookmarkEnd w:id="49"/>
      <w:bookmarkEnd w:id="50"/>
      <w:bookmarkEnd w:id="51"/>
    </w:p>
    <w:tbl>
      <w:tblPr>
        <w:tblW w:w="8808" w:type="dxa"/>
        <w:tblInd w:w="93" w:type="dxa"/>
        <w:tblLook w:val="04A0" w:firstRow="1" w:lastRow="0" w:firstColumn="1" w:lastColumn="0" w:noHBand="0" w:noVBand="1"/>
      </w:tblPr>
      <w:tblGrid>
        <w:gridCol w:w="700"/>
        <w:gridCol w:w="6260"/>
        <w:gridCol w:w="993"/>
        <w:gridCol w:w="855"/>
      </w:tblGrid>
      <w:tr w:rsidR="008E2273" w:rsidRPr="00147A56" w14:paraId="79388C29" w14:textId="77777777" w:rsidTr="008E2273">
        <w:trPr>
          <w:trHeight w:val="222"/>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69A1A5" w14:textId="77777777" w:rsidR="008E2273" w:rsidRPr="00147A56" w:rsidRDefault="008E2273" w:rsidP="008E2273">
            <w:pPr>
              <w:spacing w:after="0" w:line="240" w:lineRule="auto"/>
              <w:rPr>
                <w:rFonts w:ascii="Calibri" w:eastAsia="Times New Roman" w:hAnsi="Calibri" w:cs="Times New Roman"/>
                <w:b/>
                <w:bCs/>
                <w:color w:val="000000"/>
                <w:sz w:val="18"/>
                <w:szCs w:val="18"/>
                <w:lang w:val="en-GB" w:eastAsia="en-GB"/>
              </w:rPr>
            </w:pPr>
            <w:proofErr w:type="spellStart"/>
            <w:r w:rsidRPr="00147A56">
              <w:rPr>
                <w:rFonts w:ascii="Calibri" w:eastAsia="Times New Roman" w:hAnsi="Calibri" w:cs="Times New Roman"/>
                <w:b/>
                <w:bCs/>
                <w:color w:val="000000"/>
                <w:sz w:val="18"/>
                <w:szCs w:val="18"/>
                <w:lang w:val="en-GB" w:eastAsia="en-GB"/>
              </w:rPr>
              <w:t>Annee</w:t>
            </w:r>
            <w:proofErr w:type="spellEnd"/>
          </w:p>
        </w:tc>
        <w:tc>
          <w:tcPr>
            <w:tcW w:w="6260" w:type="dxa"/>
            <w:tcBorders>
              <w:top w:val="single" w:sz="8" w:space="0" w:color="auto"/>
              <w:left w:val="nil"/>
              <w:bottom w:val="single" w:sz="8" w:space="0" w:color="auto"/>
              <w:right w:val="single" w:sz="4" w:space="0" w:color="auto"/>
            </w:tcBorders>
            <w:shd w:val="clear" w:color="auto" w:fill="auto"/>
            <w:noWrap/>
            <w:vAlign w:val="bottom"/>
            <w:hideMark/>
          </w:tcPr>
          <w:p w14:paraId="366B3B31" w14:textId="77777777" w:rsidR="008E2273" w:rsidRPr="00147A56" w:rsidRDefault="008E2273" w:rsidP="008E2273">
            <w:pPr>
              <w:spacing w:after="0" w:line="240" w:lineRule="auto"/>
              <w:rPr>
                <w:rFonts w:ascii="Calibri" w:eastAsia="Times New Roman" w:hAnsi="Calibri" w:cs="Times New Roman"/>
                <w:b/>
                <w:bCs/>
                <w:color w:val="000000"/>
                <w:sz w:val="18"/>
                <w:szCs w:val="18"/>
                <w:lang w:val="en-GB" w:eastAsia="en-GB"/>
              </w:rPr>
            </w:pPr>
            <w:r w:rsidRPr="00147A56">
              <w:rPr>
                <w:rFonts w:ascii="Calibri" w:eastAsia="Times New Roman" w:hAnsi="Calibri" w:cs="Times New Roman"/>
                <w:b/>
                <w:bCs/>
                <w:color w:val="000000"/>
                <w:sz w:val="18"/>
                <w:szCs w:val="18"/>
                <w:lang w:val="en-GB" w:eastAsia="en-GB"/>
              </w:rPr>
              <w:t>Description</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4ACA9134" w14:textId="77777777" w:rsidR="008E2273" w:rsidRPr="00147A56" w:rsidRDefault="008E2273" w:rsidP="008E2273">
            <w:pPr>
              <w:spacing w:after="0" w:line="240" w:lineRule="auto"/>
              <w:rPr>
                <w:rFonts w:ascii="Calibri" w:eastAsia="Times New Roman" w:hAnsi="Calibri" w:cs="Times New Roman"/>
                <w:b/>
                <w:bCs/>
                <w:color w:val="000000"/>
                <w:sz w:val="18"/>
                <w:szCs w:val="18"/>
                <w:lang w:val="en-GB" w:eastAsia="en-GB"/>
              </w:rPr>
            </w:pPr>
            <w:proofErr w:type="spellStart"/>
            <w:r w:rsidRPr="00147A56">
              <w:rPr>
                <w:rFonts w:ascii="Calibri" w:eastAsia="Times New Roman" w:hAnsi="Calibri" w:cs="Times New Roman"/>
                <w:b/>
                <w:bCs/>
                <w:color w:val="000000"/>
                <w:sz w:val="18"/>
                <w:szCs w:val="18"/>
                <w:lang w:val="en-GB" w:eastAsia="en-GB"/>
              </w:rPr>
              <w:t>Poids</w:t>
            </w:r>
            <w:proofErr w:type="spellEnd"/>
            <w:r w:rsidRPr="00147A56">
              <w:rPr>
                <w:rFonts w:ascii="Calibri" w:eastAsia="Times New Roman" w:hAnsi="Calibri" w:cs="Times New Roman"/>
                <w:b/>
                <w:bCs/>
                <w:color w:val="000000"/>
                <w:sz w:val="18"/>
                <w:szCs w:val="18"/>
                <w:lang w:val="en-GB" w:eastAsia="en-GB"/>
              </w:rPr>
              <w:t xml:space="preserve"> net</w:t>
            </w:r>
          </w:p>
        </w:tc>
        <w:tc>
          <w:tcPr>
            <w:tcW w:w="855" w:type="dxa"/>
            <w:tcBorders>
              <w:top w:val="single" w:sz="8" w:space="0" w:color="auto"/>
              <w:left w:val="nil"/>
              <w:bottom w:val="single" w:sz="8" w:space="0" w:color="auto"/>
              <w:right w:val="single" w:sz="8" w:space="0" w:color="auto"/>
            </w:tcBorders>
            <w:shd w:val="clear" w:color="auto" w:fill="auto"/>
            <w:noWrap/>
            <w:vAlign w:val="bottom"/>
            <w:hideMark/>
          </w:tcPr>
          <w:p w14:paraId="58315FE4" w14:textId="77777777" w:rsidR="008E2273" w:rsidRPr="00147A56" w:rsidRDefault="008E2273" w:rsidP="008E2273">
            <w:pPr>
              <w:spacing w:after="0" w:line="240" w:lineRule="auto"/>
              <w:rPr>
                <w:rFonts w:ascii="Calibri" w:eastAsia="Times New Roman" w:hAnsi="Calibri" w:cs="Times New Roman"/>
                <w:b/>
                <w:bCs/>
                <w:color w:val="000000"/>
                <w:sz w:val="18"/>
                <w:szCs w:val="18"/>
                <w:lang w:val="en-GB" w:eastAsia="en-GB"/>
              </w:rPr>
            </w:pPr>
            <w:proofErr w:type="spellStart"/>
            <w:r w:rsidRPr="00147A56">
              <w:rPr>
                <w:rFonts w:ascii="Calibri" w:eastAsia="Times New Roman" w:hAnsi="Calibri" w:cs="Times New Roman"/>
                <w:b/>
                <w:bCs/>
                <w:color w:val="000000"/>
                <w:sz w:val="18"/>
                <w:szCs w:val="18"/>
                <w:lang w:val="en-GB" w:eastAsia="en-GB"/>
              </w:rPr>
              <w:t>Valeur</w:t>
            </w:r>
            <w:proofErr w:type="spellEnd"/>
          </w:p>
        </w:tc>
      </w:tr>
      <w:tr w:rsidR="008E2273" w:rsidRPr="00147A56" w14:paraId="3384D0C7"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965F509"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27762294" w14:textId="284681FA" w:rsidR="008E2273" w:rsidRPr="00147A56" w:rsidRDefault="008E2273" w:rsidP="004D3684">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Reservoirs, tanks, </w:t>
            </w:r>
            <w:proofErr w:type="spellStart"/>
            <w:r w:rsidRPr="00147A56">
              <w:rPr>
                <w:rFonts w:ascii="Calibri" w:eastAsia="Times New Roman" w:hAnsi="Calibri" w:cs="Times New Roman"/>
                <w:color w:val="000000"/>
                <w:sz w:val="18"/>
                <w:szCs w:val="18"/>
                <w:lang w:val="en-GB" w:eastAsia="en-GB"/>
              </w:rPr>
              <w:t>vat</w:t>
            </w:r>
            <w:r w:rsidR="004D3684">
              <w:rPr>
                <w:rFonts w:ascii="Calibri" w:eastAsia="Times New Roman" w:hAnsi="Calibri" w:cs="Times New Roman"/>
                <w:color w:val="000000"/>
                <w:sz w:val="18"/>
                <w:szCs w:val="18"/>
                <w:lang w:val="en-GB" w:eastAsia="en-GB"/>
              </w:rPr>
              <w:t>ts</w:t>
            </w:r>
            <w:proofErr w:type="spellEnd"/>
            <w:r w:rsidRPr="00147A56">
              <w:rPr>
                <w:rFonts w:ascii="Calibri" w:eastAsia="Times New Roman" w:hAnsi="Calibri" w:cs="Times New Roman"/>
                <w:color w:val="000000"/>
                <w:sz w:val="18"/>
                <w:szCs w:val="18"/>
                <w:lang w:val="en-GB" w:eastAsia="en-GB"/>
              </w:rPr>
              <w:t>, cap &gt;300L,</w:t>
            </w:r>
          </w:p>
        </w:tc>
        <w:tc>
          <w:tcPr>
            <w:tcW w:w="993" w:type="dxa"/>
            <w:tcBorders>
              <w:top w:val="nil"/>
              <w:left w:val="nil"/>
              <w:bottom w:val="single" w:sz="4" w:space="0" w:color="auto"/>
              <w:right w:val="single" w:sz="4" w:space="0" w:color="auto"/>
            </w:tcBorders>
            <w:shd w:val="clear" w:color="auto" w:fill="auto"/>
            <w:noWrap/>
            <w:vAlign w:val="bottom"/>
            <w:hideMark/>
          </w:tcPr>
          <w:p w14:paraId="7A19461A"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11000</w:t>
            </w:r>
          </w:p>
        </w:tc>
        <w:tc>
          <w:tcPr>
            <w:tcW w:w="855" w:type="dxa"/>
            <w:tcBorders>
              <w:top w:val="nil"/>
              <w:left w:val="nil"/>
              <w:bottom w:val="single" w:sz="4" w:space="0" w:color="auto"/>
              <w:right w:val="single" w:sz="8" w:space="0" w:color="auto"/>
            </w:tcBorders>
            <w:shd w:val="clear" w:color="auto" w:fill="auto"/>
            <w:noWrap/>
            <w:vAlign w:val="bottom"/>
            <w:hideMark/>
          </w:tcPr>
          <w:p w14:paraId="36A35872"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160427</w:t>
            </w:r>
          </w:p>
        </w:tc>
      </w:tr>
      <w:tr w:rsidR="008E2273" w:rsidRPr="00147A56" w14:paraId="00916054"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94A2116"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7BE404B5"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Parts of printing machinery &amp; machines for uses</w:t>
            </w:r>
          </w:p>
        </w:tc>
        <w:tc>
          <w:tcPr>
            <w:tcW w:w="993" w:type="dxa"/>
            <w:tcBorders>
              <w:top w:val="nil"/>
              <w:left w:val="nil"/>
              <w:bottom w:val="single" w:sz="4" w:space="0" w:color="auto"/>
              <w:right w:val="single" w:sz="4" w:space="0" w:color="auto"/>
            </w:tcBorders>
            <w:shd w:val="clear" w:color="auto" w:fill="auto"/>
            <w:noWrap/>
            <w:vAlign w:val="bottom"/>
            <w:hideMark/>
          </w:tcPr>
          <w:p w14:paraId="75958B09"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5</w:t>
            </w:r>
          </w:p>
        </w:tc>
        <w:tc>
          <w:tcPr>
            <w:tcW w:w="855" w:type="dxa"/>
            <w:tcBorders>
              <w:top w:val="nil"/>
              <w:left w:val="nil"/>
              <w:bottom w:val="single" w:sz="4" w:space="0" w:color="auto"/>
              <w:right w:val="single" w:sz="8" w:space="0" w:color="auto"/>
            </w:tcBorders>
            <w:shd w:val="clear" w:color="auto" w:fill="auto"/>
            <w:noWrap/>
            <w:vAlign w:val="bottom"/>
            <w:hideMark/>
          </w:tcPr>
          <w:p w14:paraId="0503DF12"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219</w:t>
            </w:r>
          </w:p>
        </w:tc>
      </w:tr>
      <w:tr w:rsidR="008E2273" w:rsidRPr="00147A56" w14:paraId="2B9015D5"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4291F20"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189BF9B4"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Printing machinery,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32C71C9F"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4</w:t>
            </w:r>
          </w:p>
        </w:tc>
        <w:tc>
          <w:tcPr>
            <w:tcW w:w="855" w:type="dxa"/>
            <w:tcBorders>
              <w:top w:val="nil"/>
              <w:left w:val="nil"/>
              <w:bottom w:val="single" w:sz="4" w:space="0" w:color="auto"/>
              <w:right w:val="single" w:sz="8" w:space="0" w:color="auto"/>
            </w:tcBorders>
            <w:shd w:val="clear" w:color="auto" w:fill="auto"/>
            <w:noWrap/>
            <w:vAlign w:val="bottom"/>
            <w:hideMark/>
          </w:tcPr>
          <w:p w14:paraId="1BA1DC60"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95</w:t>
            </w:r>
          </w:p>
        </w:tc>
      </w:tr>
      <w:tr w:rsidR="008E2273" w:rsidRPr="00147A56" w14:paraId="6E702DFF"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51A266BE"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5E4C631C"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Monolithic integrated circuits,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33830C14"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5</w:t>
            </w:r>
          </w:p>
        </w:tc>
        <w:tc>
          <w:tcPr>
            <w:tcW w:w="855" w:type="dxa"/>
            <w:tcBorders>
              <w:top w:val="nil"/>
              <w:left w:val="nil"/>
              <w:bottom w:val="single" w:sz="4" w:space="0" w:color="auto"/>
              <w:right w:val="single" w:sz="8" w:space="0" w:color="auto"/>
            </w:tcBorders>
            <w:shd w:val="clear" w:color="auto" w:fill="auto"/>
            <w:noWrap/>
            <w:vAlign w:val="bottom"/>
            <w:hideMark/>
          </w:tcPr>
          <w:p w14:paraId="45732C1D"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477</w:t>
            </w:r>
          </w:p>
        </w:tc>
      </w:tr>
      <w:tr w:rsidR="008E2273" w:rsidRPr="00147A56" w14:paraId="7BD2658C"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0A18B31"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3065C4DF"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Automatic data processing machines and units thereof,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4B3E7255"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2</w:t>
            </w:r>
          </w:p>
        </w:tc>
        <w:tc>
          <w:tcPr>
            <w:tcW w:w="855" w:type="dxa"/>
            <w:tcBorders>
              <w:top w:val="nil"/>
              <w:left w:val="nil"/>
              <w:bottom w:val="single" w:sz="4" w:space="0" w:color="auto"/>
              <w:right w:val="single" w:sz="8" w:space="0" w:color="auto"/>
            </w:tcBorders>
            <w:shd w:val="clear" w:color="auto" w:fill="auto"/>
            <w:noWrap/>
            <w:vAlign w:val="bottom"/>
            <w:hideMark/>
          </w:tcPr>
          <w:p w14:paraId="35B5001F"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360</w:t>
            </w:r>
          </w:p>
        </w:tc>
      </w:tr>
      <w:tr w:rsidR="008E2273" w:rsidRPr="00147A56" w14:paraId="2553E92F"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518EA637"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688B7DA5"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Storage units of automatic data processing machines</w:t>
            </w:r>
          </w:p>
        </w:tc>
        <w:tc>
          <w:tcPr>
            <w:tcW w:w="993" w:type="dxa"/>
            <w:tcBorders>
              <w:top w:val="nil"/>
              <w:left w:val="nil"/>
              <w:bottom w:val="single" w:sz="4" w:space="0" w:color="auto"/>
              <w:right w:val="single" w:sz="4" w:space="0" w:color="auto"/>
            </w:tcBorders>
            <w:shd w:val="clear" w:color="auto" w:fill="auto"/>
            <w:noWrap/>
            <w:vAlign w:val="bottom"/>
            <w:hideMark/>
          </w:tcPr>
          <w:p w14:paraId="4A6011D6"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6</w:t>
            </w:r>
          </w:p>
        </w:tc>
        <w:tc>
          <w:tcPr>
            <w:tcW w:w="855" w:type="dxa"/>
            <w:tcBorders>
              <w:top w:val="nil"/>
              <w:left w:val="nil"/>
              <w:bottom w:val="single" w:sz="4" w:space="0" w:color="auto"/>
              <w:right w:val="single" w:sz="8" w:space="0" w:color="auto"/>
            </w:tcBorders>
            <w:shd w:val="clear" w:color="auto" w:fill="auto"/>
            <w:noWrap/>
            <w:vAlign w:val="bottom"/>
            <w:hideMark/>
          </w:tcPr>
          <w:p w14:paraId="629911FC"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1030</w:t>
            </w:r>
          </w:p>
        </w:tc>
      </w:tr>
      <w:tr w:rsidR="008E2273" w:rsidRPr="00147A56" w14:paraId="63095113"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F25747C"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2007</w:t>
            </w:r>
          </w:p>
        </w:tc>
        <w:tc>
          <w:tcPr>
            <w:tcW w:w="6260" w:type="dxa"/>
            <w:tcBorders>
              <w:top w:val="nil"/>
              <w:left w:val="nil"/>
              <w:bottom w:val="single" w:sz="4" w:space="0" w:color="auto"/>
              <w:right w:val="single" w:sz="4" w:space="0" w:color="auto"/>
            </w:tcBorders>
            <w:shd w:val="clear" w:color="auto" w:fill="auto"/>
            <w:noWrap/>
            <w:vAlign w:val="bottom"/>
            <w:hideMark/>
          </w:tcPr>
          <w:p w14:paraId="7AF28CAA"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Input or output units, whether or not containing storage units in the same housing</w:t>
            </w:r>
          </w:p>
        </w:tc>
        <w:tc>
          <w:tcPr>
            <w:tcW w:w="993" w:type="dxa"/>
            <w:tcBorders>
              <w:top w:val="nil"/>
              <w:left w:val="nil"/>
              <w:bottom w:val="single" w:sz="4" w:space="0" w:color="auto"/>
              <w:right w:val="single" w:sz="4" w:space="0" w:color="auto"/>
            </w:tcBorders>
            <w:shd w:val="clear" w:color="auto" w:fill="auto"/>
            <w:noWrap/>
            <w:vAlign w:val="bottom"/>
            <w:hideMark/>
          </w:tcPr>
          <w:p w14:paraId="460B4ADF"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11</w:t>
            </w:r>
          </w:p>
        </w:tc>
        <w:tc>
          <w:tcPr>
            <w:tcW w:w="855" w:type="dxa"/>
            <w:tcBorders>
              <w:top w:val="nil"/>
              <w:left w:val="nil"/>
              <w:bottom w:val="single" w:sz="4" w:space="0" w:color="auto"/>
              <w:right w:val="single" w:sz="8" w:space="0" w:color="auto"/>
            </w:tcBorders>
            <w:shd w:val="clear" w:color="auto" w:fill="auto"/>
            <w:noWrap/>
            <w:vAlign w:val="bottom"/>
            <w:hideMark/>
          </w:tcPr>
          <w:p w14:paraId="3A442341"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296</w:t>
            </w:r>
          </w:p>
        </w:tc>
      </w:tr>
      <w:tr w:rsidR="008E2273" w:rsidRPr="00147A56" w14:paraId="0F69EC20"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7782548"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2008</w:t>
            </w:r>
          </w:p>
        </w:tc>
        <w:tc>
          <w:tcPr>
            <w:tcW w:w="6260" w:type="dxa"/>
            <w:tcBorders>
              <w:top w:val="nil"/>
              <w:left w:val="nil"/>
              <w:bottom w:val="single" w:sz="4" w:space="0" w:color="auto"/>
              <w:right w:val="single" w:sz="4" w:space="0" w:color="auto"/>
            </w:tcBorders>
            <w:shd w:val="clear" w:color="auto" w:fill="auto"/>
            <w:noWrap/>
            <w:vAlign w:val="bottom"/>
            <w:hideMark/>
          </w:tcPr>
          <w:p w14:paraId="573B4420"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Steering wheels, steering columns and steering</w:t>
            </w:r>
          </w:p>
        </w:tc>
        <w:tc>
          <w:tcPr>
            <w:tcW w:w="993" w:type="dxa"/>
            <w:tcBorders>
              <w:top w:val="nil"/>
              <w:left w:val="nil"/>
              <w:bottom w:val="single" w:sz="4" w:space="0" w:color="auto"/>
              <w:right w:val="single" w:sz="4" w:space="0" w:color="auto"/>
            </w:tcBorders>
            <w:shd w:val="clear" w:color="auto" w:fill="auto"/>
            <w:noWrap/>
            <w:vAlign w:val="bottom"/>
            <w:hideMark/>
          </w:tcPr>
          <w:p w14:paraId="17B15AF7"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20</w:t>
            </w:r>
          </w:p>
        </w:tc>
        <w:tc>
          <w:tcPr>
            <w:tcW w:w="855" w:type="dxa"/>
            <w:tcBorders>
              <w:top w:val="nil"/>
              <w:left w:val="nil"/>
              <w:bottom w:val="single" w:sz="4" w:space="0" w:color="auto"/>
              <w:right w:val="single" w:sz="8" w:space="0" w:color="auto"/>
            </w:tcBorders>
            <w:shd w:val="clear" w:color="auto" w:fill="auto"/>
            <w:noWrap/>
            <w:vAlign w:val="bottom"/>
            <w:hideMark/>
          </w:tcPr>
          <w:p w14:paraId="09FB7952"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1220</w:t>
            </w:r>
          </w:p>
        </w:tc>
      </w:tr>
      <w:tr w:rsidR="008E2273" w:rsidRPr="00147A56" w14:paraId="1C182986"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D9436FA"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2009</w:t>
            </w:r>
          </w:p>
        </w:tc>
        <w:tc>
          <w:tcPr>
            <w:tcW w:w="6260" w:type="dxa"/>
            <w:tcBorders>
              <w:top w:val="nil"/>
              <w:left w:val="nil"/>
              <w:bottom w:val="single" w:sz="4" w:space="0" w:color="auto"/>
              <w:right w:val="single" w:sz="4" w:space="0" w:color="auto"/>
            </w:tcBorders>
            <w:shd w:val="clear" w:color="auto" w:fill="auto"/>
            <w:noWrap/>
            <w:vAlign w:val="bottom"/>
            <w:hideMark/>
          </w:tcPr>
          <w:p w14:paraId="6A0E0D3A"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Other printed matter,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381E6661"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19</w:t>
            </w:r>
          </w:p>
        </w:tc>
        <w:tc>
          <w:tcPr>
            <w:tcW w:w="855" w:type="dxa"/>
            <w:tcBorders>
              <w:top w:val="nil"/>
              <w:left w:val="nil"/>
              <w:bottom w:val="single" w:sz="4" w:space="0" w:color="auto"/>
              <w:right w:val="single" w:sz="8" w:space="0" w:color="auto"/>
            </w:tcBorders>
            <w:shd w:val="clear" w:color="auto" w:fill="auto"/>
            <w:noWrap/>
            <w:vAlign w:val="bottom"/>
            <w:hideMark/>
          </w:tcPr>
          <w:p w14:paraId="014A57D5"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542</w:t>
            </w:r>
          </w:p>
        </w:tc>
      </w:tr>
      <w:tr w:rsidR="008E2273" w:rsidRPr="00147A56" w14:paraId="6270AB4A"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5FDB46C"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2009</w:t>
            </w:r>
          </w:p>
        </w:tc>
        <w:tc>
          <w:tcPr>
            <w:tcW w:w="6260" w:type="dxa"/>
            <w:tcBorders>
              <w:top w:val="nil"/>
              <w:left w:val="nil"/>
              <w:bottom w:val="single" w:sz="4" w:space="0" w:color="auto"/>
              <w:right w:val="single" w:sz="4" w:space="0" w:color="auto"/>
            </w:tcBorders>
            <w:shd w:val="clear" w:color="auto" w:fill="auto"/>
            <w:noWrap/>
            <w:vAlign w:val="bottom"/>
            <w:hideMark/>
          </w:tcPr>
          <w:p w14:paraId="50FF8829"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Recorded discs for laser reading systems,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761764DB"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32</w:t>
            </w:r>
          </w:p>
        </w:tc>
        <w:tc>
          <w:tcPr>
            <w:tcW w:w="855" w:type="dxa"/>
            <w:tcBorders>
              <w:top w:val="nil"/>
              <w:left w:val="nil"/>
              <w:bottom w:val="single" w:sz="4" w:space="0" w:color="auto"/>
              <w:right w:val="single" w:sz="8" w:space="0" w:color="auto"/>
            </w:tcBorders>
            <w:shd w:val="clear" w:color="auto" w:fill="auto"/>
            <w:noWrap/>
            <w:vAlign w:val="bottom"/>
            <w:hideMark/>
          </w:tcPr>
          <w:p w14:paraId="7A852F33"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871</w:t>
            </w:r>
          </w:p>
        </w:tc>
      </w:tr>
      <w:tr w:rsidR="008E2273" w:rsidRPr="00147A56" w14:paraId="370ED607"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7682827"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2009</w:t>
            </w:r>
          </w:p>
        </w:tc>
        <w:tc>
          <w:tcPr>
            <w:tcW w:w="6260" w:type="dxa"/>
            <w:tcBorders>
              <w:top w:val="nil"/>
              <w:left w:val="nil"/>
              <w:bottom w:val="single" w:sz="4" w:space="0" w:color="auto"/>
              <w:right w:val="single" w:sz="4" w:space="0" w:color="auto"/>
            </w:tcBorders>
            <w:shd w:val="clear" w:color="auto" w:fill="auto"/>
            <w:noWrap/>
            <w:vAlign w:val="bottom"/>
            <w:hideMark/>
          </w:tcPr>
          <w:p w14:paraId="11D913B9"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Unrecorded magnetic discs</w:t>
            </w:r>
          </w:p>
        </w:tc>
        <w:tc>
          <w:tcPr>
            <w:tcW w:w="993" w:type="dxa"/>
            <w:tcBorders>
              <w:top w:val="nil"/>
              <w:left w:val="nil"/>
              <w:bottom w:val="single" w:sz="4" w:space="0" w:color="auto"/>
              <w:right w:val="single" w:sz="4" w:space="0" w:color="auto"/>
            </w:tcBorders>
            <w:shd w:val="clear" w:color="auto" w:fill="auto"/>
            <w:noWrap/>
            <w:vAlign w:val="bottom"/>
            <w:hideMark/>
          </w:tcPr>
          <w:p w14:paraId="4FD6527C"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14</w:t>
            </w:r>
          </w:p>
        </w:tc>
        <w:tc>
          <w:tcPr>
            <w:tcW w:w="855" w:type="dxa"/>
            <w:tcBorders>
              <w:top w:val="nil"/>
              <w:left w:val="nil"/>
              <w:bottom w:val="single" w:sz="4" w:space="0" w:color="auto"/>
              <w:right w:val="single" w:sz="8" w:space="0" w:color="auto"/>
            </w:tcBorders>
            <w:shd w:val="clear" w:color="auto" w:fill="auto"/>
            <w:noWrap/>
            <w:vAlign w:val="bottom"/>
            <w:hideMark/>
          </w:tcPr>
          <w:p w14:paraId="6C273450"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407</w:t>
            </w:r>
          </w:p>
        </w:tc>
      </w:tr>
      <w:tr w:rsidR="008E2273" w:rsidRPr="00147A56" w14:paraId="3E7E145C"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F3592D9"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2009</w:t>
            </w:r>
          </w:p>
        </w:tc>
        <w:tc>
          <w:tcPr>
            <w:tcW w:w="6260" w:type="dxa"/>
            <w:tcBorders>
              <w:top w:val="nil"/>
              <w:left w:val="nil"/>
              <w:bottom w:val="single" w:sz="4" w:space="0" w:color="auto"/>
              <w:right w:val="single" w:sz="4" w:space="0" w:color="auto"/>
            </w:tcBorders>
            <w:shd w:val="clear" w:color="auto" w:fill="auto"/>
            <w:noWrap/>
            <w:vAlign w:val="bottom"/>
            <w:hideMark/>
          </w:tcPr>
          <w:p w14:paraId="554F7389"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Household and toilet articles of plastics,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64102D67"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567</w:t>
            </w:r>
          </w:p>
        </w:tc>
        <w:tc>
          <w:tcPr>
            <w:tcW w:w="855" w:type="dxa"/>
            <w:tcBorders>
              <w:top w:val="nil"/>
              <w:left w:val="nil"/>
              <w:bottom w:val="single" w:sz="4" w:space="0" w:color="auto"/>
              <w:right w:val="single" w:sz="8" w:space="0" w:color="auto"/>
            </w:tcBorders>
            <w:shd w:val="clear" w:color="auto" w:fill="auto"/>
            <w:noWrap/>
            <w:vAlign w:val="bottom"/>
            <w:hideMark/>
          </w:tcPr>
          <w:p w14:paraId="5BAAB211"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592</w:t>
            </w:r>
          </w:p>
        </w:tc>
      </w:tr>
      <w:tr w:rsidR="008E2273" w:rsidRPr="00147A56" w14:paraId="19B6E149"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5DFF3A1"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2011</w:t>
            </w:r>
          </w:p>
        </w:tc>
        <w:tc>
          <w:tcPr>
            <w:tcW w:w="6260" w:type="dxa"/>
            <w:tcBorders>
              <w:top w:val="nil"/>
              <w:left w:val="nil"/>
              <w:bottom w:val="single" w:sz="4" w:space="0" w:color="auto"/>
              <w:right w:val="single" w:sz="4" w:space="0" w:color="auto"/>
            </w:tcBorders>
            <w:shd w:val="clear" w:color="auto" w:fill="auto"/>
            <w:noWrap/>
            <w:vAlign w:val="bottom"/>
            <w:hideMark/>
          </w:tcPr>
          <w:p w14:paraId="7B9211AB"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Frozen boneless bovine meat</w:t>
            </w:r>
          </w:p>
        </w:tc>
        <w:tc>
          <w:tcPr>
            <w:tcW w:w="993" w:type="dxa"/>
            <w:tcBorders>
              <w:top w:val="nil"/>
              <w:left w:val="nil"/>
              <w:bottom w:val="single" w:sz="4" w:space="0" w:color="auto"/>
              <w:right w:val="single" w:sz="4" w:space="0" w:color="auto"/>
            </w:tcBorders>
            <w:shd w:val="clear" w:color="auto" w:fill="auto"/>
            <w:noWrap/>
            <w:vAlign w:val="bottom"/>
            <w:hideMark/>
          </w:tcPr>
          <w:p w14:paraId="2DBCD771"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28000</w:t>
            </w:r>
          </w:p>
        </w:tc>
        <w:tc>
          <w:tcPr>
            <w:tcW w:w="855" w:type="dxa"/>
            <w:tcBorders>
              <w:top w:val="nil"/>
              <w:left w:val="nil"/>
              <w:bottom w:val="single" w:sz="4" w:space="0" w:color="auto"/>
              <w:right w:val="single" w:sz="8" w:space="0" w:color="auto"/>
            </w:tcBorders>
            <w:shd w:val="clear" w:color="auto" w:fill="auto"/>
            <w:noWrap/>
            <w:vAlign w:val="bottom"/>
            <w:hideMark/>
          </w:tcPr>
          <w:p w14:paraId="40A1C95E"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85013</w:t>
            </w:r>
          </w:p>
        </w:tc>
      </w:tr>
      <w:tr w:rsidR="008E2273" w:rsidRPr="00147A56" w14:paraId="678DD2D5"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7ED6199"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2011</w:t>
            </w:r>
          </w:p>
        </w:tc>
        <w:tc>
          <w:tcPr>
            <w:tcW w:w="6260" w:type="dxa"/>
            <w:tcBorders>
              <w:top w:val="nil"/>
              <w:left w:val="nil"/>
              <w:bottom w:val="single" w:sz="4" w:space="0" w:color="auto"/>
              <w:right w:val="single" w:sz="4" w:space="0" w:color="auto"/>
            </w:tcBorders>
            <w:shd w:val="clear" w:color="auto" w:fill="auto"/>
            <w:noWrap/>
            <w:vAlign w:val="bottom"/>
            <w:hideMark/>
          </w:tcPr>
          <w:p w14:paraId="08C5E747"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Parts of cranes, work-trucks, shovels, and </w:t>
            </w:r>
            <w:proofErr w:type="spellStart"/>
            <w:r w:rsidRPr="00147A56">
              <w:rPr>
                <w:rFonts w:ascii="Calibri" w:eastAsia="Times New Roman" w:hAnsi="Calibri" w:cs="Times New Roman"/>
                <w:color w:val="000000"/>
                <w:sz w:val="18"/>
                <w:szCs w:val="18"/>
                <w:lang w:val="en-GB" w:eastAsia="en-GB"/>
              </w:rPr>
              <w:t>othe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2B464737"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106</w:t>
            </w:r>
          </w:p>
        </w:tc>
        <w:tc>
          <w:tcPr>
            <w:tcW w:w="855" w:type="dxa"/>
            <w:tcBorders>
              <w:top w:val="nil"/>
              <w:left w:val="nil"/>
              <w:bottom w:val="single" w:sz="4" w:space="0" w:color="auto"/>
              <w:right w:val="single" w:sz="8" w:space="0" w:color="auto"/>
            </w:tcBorders>
            <w:shd w:val="clear" w:color="auto" w:fill="auto"/>
            <w:noWrap/>
            <w:vAlign w:val="bottom"/>
            <w:hideMark/>
          </w:tcPr>
          <w:p w14:paraId="4226DA34"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17441</w:t>
            </w:r>
          </w:p>
        </w:tc>
      </w:tr>
      <w:tr w:rsidR="008E2273" w:rsidRPr="00147A56" w14:paraId="1EB17CFE"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6DE1C55"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2011</w:t>
            </w:r>
          </w:p>
        </w:tc>
        <w:tc>
          <w:tcPr>
            <w:tcW w:w="6260" w:type="dxa"/>
            <w:tcBorders>
              <w:top w:val="nil"/>
              <w:left w:val="nil"/>
              <w:bottom w:val="single" w:sz="4" w:space="0" w:color="auto"/>
              <w:right w:val="single" w:sz="4" w:space="0" w:color="auto"/>
            </w:tcBorders>
            <w:shd w:val="clear" w:color="auto" w:fill="auto"/>
            <w:noWrap/>
            <w:vAlign w:val="bottom"/>
            <w:hideMark/>
          </w:tcPr>
          <w:p w14:paraId="51F1B262"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Electrical fuses, for a voltage not exceeding 1</w:t>
            </w:r>
          </w:p>
        </w:tc>
        <w:tc>
          <w:tcPr>
            <w:tcW w:w="993" w:type="dxa"/>
            <w:tcBorders>
              <w:top w:val="nil"/>
              <w:left w:val="nil"/>
              <w:bottom w:val="single" w:sz="4" w:space="0" w:color="auto"/>
              <w:right w:val="single" w:sz="4" w:space="0" w:color="auto"/>
            </w:tcBorders>
            <w:shd w:val="clear" w:color="auto" w:fill="auto"/>
            <w:noWrap/>
            <w:vAlign w:val="bottom"/>
            <w:hideMark/>
          </w:tcPr>
          <w:p w14:paraId="40553AB5"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1</w:t>
            </w:r>
          </w:p>
        </w:tc>
        <w:tc>
          <w:tcPr>
            <w:tcW w:w="855" w:type="dxa"/>
            <w:tcBorders>
              <w:top w:val="nil"/>
              <w:left w:val="nil"/>
              <w:bottom w:val="single" w:sz="4" w:space="0" w:color="auto"/>
              <w:right w:val="single" w:sz="8" w:space="0" w:color="auto"/>
            </w:tcBorders>
            <w:shd w:val="clear" w:color="auto" w:fill="auto"/>
            <w:noWrap/>
            <w:vAlign w:val="bottom"/>
            <w:hideMark/>
          </w:tcPr>
          <w:p w14:paraId="20BA1B2E"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40</w:t>
            </w:r>
          </w:p>
        </w:tc>
      </w:tr>
      <w:tr w:rsidR="008E2273" w:rsidRPr="00147A56" w14:paraId="2E3DCA38"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A14E87A"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2011</w:t>
            </w:r>
          </w:p>
        </w:tc>
        <w:tc>
          <w:tcPr>
            <w:tcW w:w="6260" w:type="dxa"/>
            <w:tcBorders>
              <w:top w:val="nil"/>
              <w:left w:val="nil"/>
              <w:bottom w:val="single" w:sz="4" w:space="0" w:color="auto"/>
              <w:right w:val="single" w:sz="4" w:space="0" w:color="auto"/>
            </w:tcBorders>
            <w:shd w:val="clear" w:color="auto" w:fill="auto"/>
            <w:noWrap/>
            <w:vAlign w:val="bottom"/>
            <w:hideMark/>
          </w:tcPr>
          <w:p w14:paraId="2F275FBF"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Radio </w:t>
            </w:r>
            <w:proofErr w:type="spellStart"/>
            <w:r w:rsidRPr="00147A56">
              <w:rPr>
                <w:rFonts w:ascii="Calibri" w:eastAsia="Times New Roman" w:hAnsi="Calibri" w:cs="Times New Roman"/>
                <w:color w:val="000000"/>
                <w:sz w:val="18"/>
                <w:szCs w:val="18"/>
                <w:lang w:val="en-GB" w:eastAsia="en-GB"/>
              </w:rPr>
              <w:t>rece</w:t>
            </w:r>
            <w:proofErr w:type="spellEnd"/>
            <w:r w:rsidRPr="00147A56">
              <w:rPr>
                <w:rFonts w:ascii="Calibri" w:eastAsia="Times New Roman" w:hAnsi="Calibri" w:cs="Times New Roman"/>
                <w:color w:val="000000"/>
                <w:sz w:val="18"/>
                <w:szCs w:val="18"/>
                <w:lang w:val="en-GB" w:eastAsia="en-GB"/>
              </w:rPr>
              <w:t xml:space="preserve"> not capable of op w/o </w:t>
            </w:r>
            <w:proofErr w:type="spellStart"/>
            <w:r w:rsidRPr="00147A56">
              <w:rPr>
                <w:rFonts w:ascii="Calibri" w:eastAsia="Times New Roman" w:hAnsi="Calibri" w:cs="Times New Roman"/>
                <w:color w:val="000000"/>
                <w:sz w:val="18"/>
                <w:szCs w:val="18"/>
                <w:lang w:val="en-GB" w:eastAsia="en-GB"/>
              </w:rPr>
              <w:t>ext</w:t>
            </w:r>
            <w:proofErr w:type="spellEnd"/>
            <w:r w:rsidRPr="00147A56">
              <w:rPr>
                <w:rFonts w:ascii="Calibri" w:eastAsia="Times New Roman" w:hAnsi="Calibri" w:cs="Times New Roman"/>
                <w:color w:val="000000"/>
                <w:sz w:val="18"/>
                <w:szCs w:val="18"/>
                <w:lang w:val="en-GB" w:eastAsia="en-GB"/>
              </w:rPr>
              <w:t xml:space="preserve"> source of</w:t>
            </w:r>
          </w:p>
        </w:tc>
        <w:tc>
          <w:tcPr>
            <w:tcW w:w="993" w:type="dxa"/>
            <w:tcBorders>
              <w:top w:val="nil"/>
              <w:left w:val="nil"/>
              <w:bottom w:val="single" w:sz="4" w:space="0" w:color="auto"/>
              <w:right w:val="single" w:sz="4" w:space="0" w:color="auto"/>
            </w:tcBorders>
            <w:shd w:val="clear" w:color="auto" w:fill="auto"/>
            <w:noWrap/>
            <w:vAlign w:val="bottom"/>
            <w:hideMark/>
          </w:tcPr>
          <w:p w14:paraId="1490EA8C"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98</w:t>
            </w:r>
          </w:p>
        </w:tc>
        <w:tc>
          <w:tcPr>
            <w:tcW w:w="855" w:type="dxa"/>
            <w:tcBorders>
              <w:top w:val="nil"/>
              <w:left w:val="nil"/>
              <w:bottom w:val="single" w:sz="4" w:space="0" w:color="auto"/>
              <w:right w:val="single" w:sz="8" w:space="0" w:color="auto"/>
            </w:tcBorders>
            <w:shd w:val="clear" w:color="auto" w:fill="auto"/>
            <w:noWrap/>
            <w:vAlign w:val="bottom"/>
            <w:hideMark/>
          </w:tcPr>
          <w:p w14:paraId="1682AD44"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3070</w:t>
            </w:r>
          </w:p>
        </w:tc>
      </w:tr>
      <w:tr w:rsidR="008E2273" w:rsidRPr="00147A56" w14:paraId="7C375A4F"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38388E2"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2012</w:t>
            </w:r>
          </w:p>
        </w:tc>
        <w:tc>
          <w:tcPr>
            <w:tcW w:w="6260" w:type="dxa"/>
            <w:tcBorders>
              <w:top w:val="nil"/>
              <w:left w:val="nil"/>
              <w:bottom w:val="single" w:sz="4" w:space="0" w:color="auto"/>
              <w:right w:val="single" w:sz="4" w:space="0" w:color="auto"/>
            </w:tcBorders>
            <w:shd w:val="clear" w:color="auto" w:fill="auto"/>
            <w:noWrap/>
            <w:vAlign w:val="bottom"/>
            <w:hideMark/>
          </w:tcPr>
          <w:p w14:paraId="382704F8"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Instruments and apparatus for measuring or </w:t>
            </w:r>
            <w:proofErr w:type="spellStart"/>
            <w:r w:rsidRPr="00147A56">
              <w:rPr>
                <w:rFonts w:ascii="Calibri" w:eastAsia="Times New Roman" w:hAnsi="Calibri" w:cs="Times New Roman"/>
                <w:color w:val="000000"/>
                <w:sz w:val="18"/>
                <w:szCs w:val="18"/>
                <w:lang w:val="en-GB" w:eastAsia="en-GB"/>
              </w:rPr>
              <w:t>dete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4BF660C8"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0</w:t>
            </w:r>
          </w:p>
        </w:tc>
        <w:tc>
          <w:tcPr>
            <w:tcW w:w="855" w:type="dxa"/>
            <w:tcBorders>
              <w:top w:val="nil"/>
              <w:left w:val="nil"/>
              <w:bottom w:val="single" w:sz="4" w:space="0" w:color="auto"/>
              <w:right w:val="single" w:sz="8" w:space="0" w:color="auto"/>
            </w:tcBorders>
            <w:shd w:val="clear" w:color="auto" w:fill="auto"/>
            <w:noWrap/>
            <w:vAlign w:val="bottom"/>
            <w:hideMark/>
          </w:tcPr>
          <w:p w14:paraId="45EBA575"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77</w:t>
            </w:r>
          </w:p>
        </w:tc>
      </w:tr>
      <w:tr w:rsidR="008E2273" w:rsidRPr="00147A56" w14:paraId="3A51C5DE"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2907C9C"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2012</w:t>
            </w:r>
          </w:p>
        </w:tc>
        <w:tc>
          <w:tcPr>
            <w:tcW w:w="6260" w:type="dxa"/>
            <w:tcBorders>
              <w:top w:val="nil"/>
              <w:left w:val="nil"/>
              <w:bottom w:val="single" w:sz="4" w:space="0" w:color="auto"/>
              <w:right w:val="single" w:sz="4" w:space="0" w:color="auto"/>
            </w:tcBorders>
            <w:shd w:val="clear" w:color="auto" w:fill="auto"/>
            <w:noWrap/>
            <w:vAlign w:val="bottom"/>
            <w:hideMark/>
          </w:tcPr>
          <w:p w14:paraId="2C096CE0"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Cotton, not carded or combed</w:t>
            </w:r>
          </w:p>
        </w:tc>
        <w:tc>
          <w:tcPr>
            <w:tcW w:w="993" w:type="dxa"/>
            <w:tcBorders>
              <w:top w:val="nil"/>
              <w:left w:val="nil"/>
              <w:bottom w:val="single" w:sz="4" w:space="0" w:color="auto"/>
              <w:right w:val="single" w:sz="4" w:space="0" w:color="auto"/>
            </w:tcBorders>
            <w:shd w:val="clear" w:color="auto" w:fill="auto"/>
            <w:noWrap/>
            <w:vAlign w:val="bottom"/>
            <w:hideMark/>
          </w:tcPr>
          <w:p w14:paraId="00A29F20"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999084</w:t>
            </w:r>
          </w:p>
        </w:tc>
        <w:tc>
          <w:tcPr>
            <w:tcW w:w="855" w:type="dxa"/>
            <w:tcBorders>
              <w:top w:val="nil"/>
              <w:left w:val="nil"/>
              <w:bottom w:val="single" w:sz="4" w:space="0" w:color="auto"/>
              <w:right w:val="single" w:sz="8" w:space="0" w:color="auto"/>
            </w:tcBorders>
            <w:shd w:val="clear" w:color="auto" w:fill="auto"/>
            <w:noWrap/>
            <w:vAlign w:val="bottom"/>
            <w:hideMark/>
          </w:tcPr>
          <w:p w14:paraId="79BF489E"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2500224</w:t>
            </w:r>
          </w:p>
        </w:tc>
      </w:tr>
      <w:tr w:rsidR="008E2273" w:rsidRPr="00147A56" w14:paraId="4EE8818C" w14:textId="77777777" w:rsidTr="008E2273">
        <w:trPr>
          <w:trHeight w:val="22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E20AD3D"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2012</w:t>
            </w:r>
          </w:p>
        </w:tc>
        <w:tc>
          <w:tcPr>
            <w:tcW w:w="6260" w:type="dxa"/>
            <w:tcBorders>
              <w:top w:val="nil"/>
              <w:left w:val="nil"/>
              <w:bottom w:val="single" w:sz="4" w:space="0" w:color="auto"/>
              <w:right w:val="single" w:sz="4" w:space="0" w:color="auto"/>
            </w:tcBorders>
            <w:shd w:val="clear" w:color="auto" w:fill="auto"/>
            <w:noWrap/>
            <w:vAlign w:val="bottom"/>
            <w:hideMark/>
          </w:tcPr>
          <w:p w14:paraId="76A2E3F5" w14:textId="33F51490"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Ceramic sinks, wash basins </w:t>
            </w:r>
            <w:proofErr w:type="spellStart"/>
            <w:r w:rsidRPr="00147A56">
              <w:rPr>
                <w:rFonts w:ascii="Calibri" w:eastAsia="Times New Roman" w:hAnsi="Calibri" w:cs="Times New Roman"/>
                <w:color w:val="000000"/>
                <w:sz w:val="18"/>
                <w:szCs w:val="18"/>
                <w:lang w:val="en-GB" w:eastAsia="en-GB"/>
              </w:rPr>
              <w:t>etc</w:t>
            </w:r>
            <w:proofErr w:type="spellEnd"/>
            <w:r w:rsidRPr="00147A56">
              <w:rPr>
                <w:rFonts w:ascii="Calibri" w:eastAsia="Times New Roman" w:hAnsi="Calibri" w:cs="Times New Roman"/>
                <w:color w:val="000000"/>
                <w:sz w:val="18"/>
                <w:szCs w:val="18"/>
                <w:lang w:val="en-GB" w:eastAsia="en-GB"/>
              </w:rPr>
              <w:t xml:space="preserve">&amp; similar </w:t>
            </w:r>
            <w:proofErr w:type="spellStart"/>
            <w:r w:rsidRPr="00147A56">
              <w:rPr>
                <w:rFonts w:ascii="Calibri" w:eastAsia="Times New Roman" w:hAnsi="Calibri" w:cs="Times New Roman"/>
                <w:color w:val="000000"/>
                <w:sz w:val="18"/>
                <w:szCs w:val="18"/>
                <w:lang w:val="en-GB" w:eastAsia="en-GB"/>
              </w:rPr>
              <w:t>sanita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6210364C"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757</w:t>
            </w:r>
          </w:p>
        </w:tc>
        <w:tc>
          <w:tcPr>
            <w:tcW w:w="855" w:type="dxa"/>
            <w:tcBorders>
              <w:top w:val="nil"/>
              <w:left w:val="nil"/>
              <w:bottom w:val="single" w:sz="4" w:space="0" w:color="auto"/>
              <w:right w:val="single" w:sz="8" w:space="0" w:color="auto"/>
            </w:tcBorders>
            <w:shd w:val="clear" w:color="auto" w:fill="auto"/>
            <w:noWrap/>
            <w:vAlign w:val="bottom"/>
            <w:hideMark/>
          </w:tcPr>
          <w:p w14:paraId="22FFEB09"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1422</w:t>
            </w:r>
          </w:p>
        </w:tc>
      </w:tr>
      <w:tr w:rsidR="008E2273" w:rsidRPr="00147A56" w14:paraId="20B8069B" w14:textId="77777777" w:rsidTr="008E2273">
        <w:trPr>
          <w:trHeight w:val="222"/>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14:paraId="48BECA6D"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2012</w:t>
            </w:r>
          </w:p>
        </w:tc>
        <w:tc>
          <w:tcPr>
            <w:tcW w:w="6260" w:type="dxa"/>
            <w:tcBorders>
              <w:top w:val="nil"/>
              <w:left w:val="nil"/>
              <w:bottom w:val="single" w:sz="8" w:space="0" w:color="auto"/>
              <w:right w:val="single" w:sz="4" w:space="0" w:color="auto"/>
            </w:tcBorders>
            <w:shd w:val="clear" w:color="auto" w:fill="auto"/>
            <w:noWrap/>
            <w:vAlign w:val="bottom"/>
            <w:hideMark/>
          </w:tcPr>
          <w:p w14:paraId="5A688705" w14:textId="77777777" w:rsidR="008E2273" w:rsidRPr="00147A56" w:rsidRDefault="008E2273" w:rsidP="008E2273">
            <w:pPr>
              <w:spacing w:after="0" w:line="240" w:lineRule="auto"/>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 xml:space="preserve">Springs, iron or steel, </w:t>
            </w:r>
            <w:proofErr w:type="spellStart"/>
            <w:r w:rsidRPr="00147A56">
              <w:rPr>
                <w:rFonts w:ascii="Calibri" w:eastAsia="Times New Roman" w:hAnsi="Calibri" w:cs="Times New Roman"/>
                <w:color w:val="000000"/>
                <w:sz w:val="18"/>
                <w:szCs w:val="18"/>
                <w:lang w:val="en-GB" w:eastAsia="en-GB"/>
              </w:rPr>
              <w:t>nes</w:t>
            </w:r>
            <w:proofErr w:type="spellEnd"/>
          </w:p>
        </w:tc>
        <w:tc>
          <w:tcPr>
            <w:tcW w:w="993" w:type="dxa"/>
            <w:tcBorders>
              <w:top w:val="nil"/>
              <w:left w:val="nil"/>
              <w:bottom w:val="single" w:sz="8" w:space="0" w:color="auto"/>
              <w:right w:val="single" w:sz="4" w:space="0" w:color="auto"/>
            </w:tcBorders>
            <w:shd w:val="clear" w:color="auto" w:fill="auto"/>
            <w:noWrap/>
            <w:vAlign w:val="bottom"/>
            <w:hideMark/>
          </w:tcPr>
          <w:p w14:paraId="7710B955" w14:textId="77777777" w:rsidR="008E2273" w:rsidRPr="00147A56" w:rsidRDefault="008E2273" w:rsidP="008E2273">
            <w:pPr>
              <w:spacing w:after="0" w:line="240" w:lineRule="auto"/>
              <w:jc w:val="right"/>
              <w:rPr>
                <w:rFonts w:ascii="Calibri" w:eastAsia="Times New Roman" w:hAnsi="Calibri" w:cs="Times New Roman"/>
                <w:color w:val="000000"/>
                <w:sz w:val="18"/>
                <w:lang w:val="en-GB" w:eastAsia="en-GB"/>
              </w:rPr>
            </w:pPr>
            <w:r w:rsidRPr="00147A56">
              <w:rPr>
                <w:rFonts w:ascii="Calibri" w:eastAsia="Times New Roman" w:hAnsi="Calibri" w:cs="Times New Roman"/>
                <w:color w:val="000000"/>
                <w:sz w:val="18"/>
                <w:lang w:val="en-GB" w:eastAsia="en-GB"/>
              </w:rPr>
              <w:t>7</w:t>
            </w:r>
          </w:p>
        </w:tc>
        <w:tc>
          <w:tcPr>
            <w:tcW w:w="855" w:type="dxa"/>
            <w:tcBorders>
              <w:top w:val="nil"/>
              <w:left w:val="nil"/>
              <w:bottom w:val="single" w:sz="8" w:space="0" w:color="auto"/>
              <w:right w:val="single" w:sz="8" w:space="0" w:color="auto"/>
            </w:tcBorders>
            <w:shd w:val="clear" w:color="auto" w:fill="auto"/>
            <w:noWrap/>
            <w:vAlign w:val="bottom"/>
            <w:hideMark/>
          </w:tcPr>
          <w:p w14:paraId="57A2EF02" w14:textId="77777777" w:rsidR="008E2273" w:rsidRPr="00147A56" w:rsidRDefault="008E2273" w:rsidP="008E2273">
            <w:pPr>
              <w:spacing w:after="0" w:line="240" w:lineRule="auto"/>
              <w:jc w:val="right"/>
              <w:rPr>
                <w:rFonts w:ascii="Calibri" w:eastAsia="Times New Roman" w:hAnsi="Calibri" w:cs="Times New Roman"/>
                <w:color w:val="000000"/>
                <w:sz w:val="18"/>
                <w:szCs w:val="18"/>
                <w:lang w:val="en-GB" w:eastAsia="en-GB"/>
              </w:rPr>
            </w:pPr>
            <w:r w:rsidRPr="00147A56">
              <w:rPr>
                <w:rFonts w:ascii="Calibri" w:eastAsia="Times New Roman" w:hAnsi="Calibri" w:cs="Times New Roman"/>
                <w:color w:val="000000"/>
                <w:sz w:val="18"/>
                <w:szCs w:val="18"/>
                <w:lang w:val="en-GB" w:eastAsia="en-GB"/>
              </w:rPr>
              <w:t>1256</w:t>
            </w:r>
          </w:p>
        </w:tc>
      </w:tr>
    </w:tbl>
    <w:p w14:paraId="4EE22AD8" w14:textId="77777777" w:rsidR="008E2273" w:rsidRDefault="008E2273" w:rsidP="008E2273"/>
    <w:p w14:paraId="559285B2" w14:textId="4A1FDDC9" w:rsidR="008D72DB" w:rsidRPr="001A327B" w:rsidRDefault="001A327B" w:rsidP="00A70F8C">
      <w:pPr>
        <w:pStyle w:val="Heading1"/>
        <w:jc w:val="both"/>
      </w:pPr>
      <w:bookmarkStart w:id="52" w:name="_Toc373155791"/>
      <w:bookmarkStart w:id="53" w:name="_Toc386104464"/>
      <w:r w:rsidRPr="001A327B">
        <w:t xml:space="preserve">Annexe </w:t>
      </w:r>
      <w:r w:rsidRPr="001A327B">
        <w:fldChar w:fldCharType="begin"/>
      </w:r>
      <w:r w:rsidRPr="001A327B">
        <w:instrText xml:space="preserve"> SEQ Annexe \* ARABIC </w:instrText>
      </w:r>
      <w:r w:rsidRPr="001A327B">
        <w:fldChar w:fldCharType="separate"/>
      </w:r>
      <w:r w:rsidR="008229BD">
        <w:rPr>
          <w:noProof/>
        </w:rPr>
        <w:t>4</w:t>
      </w:r>
      <w:r w:rsidRPr="001A327B">
        <w:fldChar w:fldCharType="end"/>
      </w:r>
      <w:r w:rsidRPr="001A327B">
        <w:t xml:space="preserve"> : </w:t>
      </w:r>
      <w:r w:rsidR="008D72DB" w:rsidRPr="001A327B">
        <w:t>Biens reportés de part et d'autre de la frontière dans le sens Algérie Mali</w:t>
      </w:r>
      <w:bookmarkEnd w:id="52"/>
      <w:bookmarkEnd w:id="53"/>
    </w:p>
    <w:tbl>
      <w:tblPr>
        <w:tblW w:w="10076" w:type="dxa"/>
        <w:tblInd w:w="93" w:type="dxa"/>
        <w:tblLook w:val="04A0" w:firstRow="1" w:lastRow="0" w:firstColumn="1" w:lastColumn="0" w:noHBand="0" w:noVBand="1"/>
      </w:tblPr>
      <w:tblGrid>
        <w:gridCol w:w="755"/>
        <w:gridCol w:w="5316"/>
        <w:gridCol w:w="1340"/>
        <w:gridCol w:w="1320"/>
        <w:gridCol w:w="1345"/>
      </w:tblGrid>
      <w:tr w:rsidR="008D72DB" w:rsidRPr="00081070" w14:paraId="0F70FB89" w14:textId="77777777" w:rsidTr="00610EF0">
        <w:trPr>
          <w:trHeight w:val="1416"/>
        </w:trPr>
        <w:tc>
          <w:tcPr>
            <w:tcW w:w="75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1FE6B6" w14:textId="77777777" w:rsidR="008D72DB" w:rsidRPr="008D72DB" w:rsidRDefault="008D72DB" w:rsidP="00610EF0">
            <w:pPr>
              <w:spacing w:after="0" w:line="240" w:lineRule="auto"/>
              <w:rPr>
                <w:rFonts w:ascii="Calibri" w:eastAsia="Times New Roman" w:hAnsi="Calibri" w:cs="Times New Roman"/>
                <w:b/>
                <w:bCs/>
                <w:i/>
                <w:iCs/>
                <w:color w:val="000000"/>
                <w:sz w:val="18"/>
                <w:szCs w:val="18"/>
                <w:lang w:val="en-GB" w:eastAsia="en-GB"/>
              </w:rPr>
            </w:pPr>
            <w:proofErr w:type="spellStart"/>
            <w:r w:rsidRPr="008D72DB">
              <w:rPr>
                <w:rFonts w:ascii="Calibri" w:eastAsia="Times New Roman" w:hAnsi="Calibri" w:cs="Times New Roman"/>
                <w:b/>
                <w:bCs/>
                <w:i/>
                <w:iCs/>
                <w:color w:val="000000"/>
                <w:sz w:val="18"/>
                <w:szCs w:val="18"/>
                <w:lang w:val="en-GB" w:eastAsia="en-GB"/>
              </w:rPr>
              <w:t>Année</w:t>
            </w:r>
            <w:proofErr w:type="spellEnd"/>
          </w:p>
        </w:tc>
        <w:tc>
          <w:tcPr>
            <w:tcW w:w="5316" w:type="dxa"/>
            <w:tcBorders>
              <w:top w:val="single" w:sz="8" w:space="0" w:color="auto"/>
              <w:left w:val="nil"/>
              <w:bottom w:val="single" w:sz="4" w:space="0" w:color="auto"/>
              <w:right w:val="single" w:sz="4" w:space="0" w:color="auto"/>
            </w:tcBorders>
            <w:shd w:val="clear" w:color="auto" w:fill="auto"/>
            <w:vAlign w:val="center"/>
            <w:hideMark/>
          </w:tcPr>
          <w:p w14:paraId="6FE2C748" w14:textId="1E5C3259" w:rsidR="008D72DB" w:rsidRPr="008D72DB" w:rsidRDefault="008D72DB" w:rsidP="00610EF0">
            <w:pPr>
              <w:spacing w:after="0" w:line="240" w:lineRule="auto"/>
              <w:rPr>
                <w:rFonts w:ascii="Calibri" w:eastAsia="Times New Roman" w:hAnsi="Calibri" w:cs="Times New Roman"/>
                <w:b/>
                <w:bCs/>
                <w:i/>
                <w:iCs/>
                <w:color w:val="000000"/>
                <w:sz w:val="18"/>
                <w:szCs w:val="18"/>
                <w:lang w:val="en-GB" w:eastAsia="en-GB"/>
              </w:rPr>
            </w:pPr>
            <w:proofErr w:type="spellStart"/>
            <w:r w:rsidRPr="008D72DB">
              <w:rPr>
                <w:rFonts w:ascii="Calibri" w:eastAsia="Times New Roman" w:hAnsi="Calibri" w:cs="Times New Roman"/>
                <w:b/>
                <w:bCs/>
                <w:i/>
                <w:iCs/>
                <w:color w:val="000000"/>
                <w:sz w:val="18"/>
                <w:szCs w:val="18"/>
                <w:lang w:val="en-GB" w:eastAsia="en-GB"/>
              </w:rPr>
              <w:t>Produit</w:t>
            </w:r>
            <w:proofErr w:type="spellEnd"/>
            <w:r w:rsidR="004D3684">
              <w:rPr>
                <w:rFonts w:ascii="Calibri" w:eastAsia="Times New Roman" w:hAnsi="Calibri" w:cs="Times New Roman"/>
                <w:b/>
                <w:bCs/>
                <w:i/>
                <w:iCs/>
                <w:color w:val="000000"/>
                <w:sz w:val="18"/>
                <w:szCs w:val="18"/>
                <w:lang w:val="en-GB" w:eastAsia="en-GB"/>
              </w:rPr>
              <w:t xml:space="preserve"> </w:t>
            </w:r>
            <w:proofErr w:type="spellStart"/>
            <w:r w:rsidRPr="008D72DB">
              <w:rPr>
                <w:rFonts w:ascii="Calibri" w:eastAsia="Times New Roman" w:hAnsi="Calibri" w:cs="Times New Roman"/>
                <w:b/>
                <w:bCs/>
                <w:i/>
                <w:iCs/>
                <w:color w:val="000000"/>
                <w:sz w:val="18"/>
                <w:szCs w:val="18"/>
                <w:lang w:val="en-GB" w:eastAsia="en-GB"/>
              </w:rPr>
              <w:t>échangé</w:t>
            </w:r>
            <w:proofErr w:type="spellEnd"/>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6A03F609" w14:textId="77777777" w:rsidR="008D72DB" w:rsidRPr="008D72DB" w:rsidRDefault="008D72DB" w:rsidP="00610EF0">
            <w:pPr>
              <w:spacing w:after="0" w:line="240" w:lineRule="auto"/>
              <w:rPr>
                <w:rFonts w:ascii="Calibri" w:eastAsia="Times New Roman" w:hAnsi="Calibri" w:cs="Times New Roman"/>
                <w:b/>
                <w:bCs/>
                <w:i/>
                <w:iCs/>
                <w:color w:val="000000"/>
                <w:sz w:val="18"/>
                <w:szCs w:val="18"/>
                <w:lang w:eastAsia="en-GB"/>
              </w:rPr>
            </w:pPr>
            <w:r w:rsidRPr="008D72DB">
              <w:rPr>
                <w:rFonts w:ascii="Calibri" w:eastAsia="Times New Roman" w:hAnsi="Calibri" w:cs="Times New Roman"/>
                <w:b/>
                <w:bCs/>
                <w:i/>
                <w:iCs/>
                <w:color w:val="000000"/>
                <w:sz w:val="18"/>
                <w:szCs w:val="18"/>
                <w:lang w:eastAsia="en-GB"/>
              </w:rPr>
              <w:t>valeur déclarée à l'importation (USD courant)</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502B23A" w14:textId="77777777" w:rsidR="008D72DB" w:rsidRPr="008D72DB" w:rsidRDefault="008D72DB" w:rsidP="00610EF0">
            <w:pPr>
              <w:spacing w:after="0" w:line="240" w:lineRule="auto"/>
              <w:rPr>
                <w:rFonts w:ascii="Calibri" w:eastAsia="Times New Roman" w:hAnsi="Calibri" w:cs="Times New Roman"/>
                <w:b/>
                <w:bCs/>
                <w:i/>
                <w:iCs/>
                <w:color w:val="000000"/>
                <w:sz w:val="18"/>
                <w:szCs w:val="18"/>
                <w:lang w:eastAsia="en-GB"/>
              </w:rPr>
            </w:pPr>
            <w:r w:rsidRPr="008D72DB">
              <w:rPr>
                <w:rFonts w:ascii="Calibri" w:eastAsia="Times New Roman" w:hAnsi="Calibri" w:cs="Times New Roman"/>
                <w:b/>
                <w:bCs/>
                <w:i/>
                <w:iCs/>
                <w:color w:val="000000"/>
                <w:sz w:val="18"/>
                <w:szCs w:val="18"/>
                <w:lang w:eastAsia="en-GB"/>
              </w:rPr>
              <w:t>valeur déclarée à l'exportation (USD courant)</w:t>
            </w:r>
          </w:p>
        </w:tc>
        <w:tc>
          <w:tcPr>
            <w:tcW w:w="1345" w:type="dxa"/>
            <w:tcBorders>
              <w:top w:val="single" w:sz="8" w:space="0" w:color="auto"/>
              <w:left w:val="nil"/>
              <w:bottom w:val="single" w:sz="4" w:space="0" w:color="auto"/>
              <w:right w:val="single" w:sz="8" w:space="0" w:color="auto"/>
            </w:tcBorders>
            <w:shd w:val="clear" w:color="auto" w:fill="auto"/>
            <w:vAlign w:val="center"/>
            <w:hideMark/>
          </w:tcPr>
          <w:p w14:paraId="437C37AF" w14:textId="77777777" w:rsidR="008D72DB" w:rsidRPr="008D72DB" w:rsidRDefault="008D72DB" w:rsidP="00610EF0">
            <w:pPr>
              <w:spacing w:after="0" w:line="240" w:lineRule="auto"/>
              <w:rPr>
                <w:rFonts w:ascii="Calibri" w:eastAsia="Times New Roman" w:hAnsi="Calibri" w:cs="Times New Roman"/>
                <w:b/>
                <w:bCs/>
                <w:i/>
                <w:iCs/>
                <w:color w:val="000000"/>
                <w:sz w:val="18"/>
                <w:szCs w:val="18"/>
                <w:lang w:eastAsia="en-GB"/>
              </w:rPr>
            </w:pPr>
            <w:r w:rsidRPr="008D72DB">
              <w:rPr>
                <w:rFonts w:ascii="Calibri" w:eastAsia="Times New Roman" w:hAnsi="Calibri" w:cs="Times New Roman"/>
                <w:b/>
                <w:bCs/>
                <w:i/>
                <w:iCs/>
                <w:color w:val="000000"/>
                <w:sz w:val="18"/>
                <w:szCs w:val="18"/>
                <w:lang w:eastAsia="en-GB"/>
              </w:rPr>
              <w:t>Ratio entre valeur déclarée à l’importation et à l’exportation</w:t>
            </w:r>
          </w:p>
        </w:tc>
      </w:tr>
      <w:tr w:rsidR="008D72DB" w:rsidRPr="00081070" w14:paraId="5984B9E0"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C6E6AC4"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2007</w:t>
            </w:r>
          </w:p>
        </w:tc>
        <w:tc>
          <w:tcPr>
            <w:tcW w:w="5316" w:type="dxa"/>
            <w:tcBorders>
              <w:top w:val="nil"/>
              <w:left w:val="nil"/>
              <w:bottom w:val="single" w:sz="4" w:space="0" w:color="auto"/>
              <w:right w:val="single" w:sz="4" w:space="0" w:color="auto"/>
            </w:tcBorders>
            <w:shd w:val="clear" w:color="auto" w:fill="auto"/>
            <w:noWrap/>
            <w:vAlign w:val="center"/>
            <w:hideMark/>
          </w:tcPr>
          <w:p w14:paraId="3302E3A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Perfumes and toilet waters</w:t>
            </w:r>
          </w:p>
        </w:tc>
        <w:tc>
          <w:tcPr>
            <w:tcW w:w="1340" w:type="dxa"/>
            <w:tcBorders>
              <w:top w:val="nil"/>
              <w:left w:val="nil"/>
              <w:bottom w:val="single" w:sz="4" w:space="0" w:color="auto"/>
              <w:right w:val="single" w:sz="4" w:space="0" w:color="auto"/>
            </w:tcBorders>
            <w:shd w:val="clear" w:color="auto" w:fill="auto"/>
            <w:noWrap/>
            <w:hideMark/>
          </w:tcPr>
          <w:p w14:paraId="10E460A7"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87</w:t>
            </w:r>
          </w:p>
        </w:tc>
        <w:tc>
          <w:tcPr>
            <w:tcW w:w="1320" w:type="dxa"/>
            <w:tcBorders>
              <w:top w:val="nil"/>
              <w:left w:val="nil"/>
              <w:bottom w:val="single" w:sz="4" w:space="0" w:color="auto"/>
              <w:right w:val="single" w:sz="4" w:space="0" w:color="auto"/>
            </w:tcBorders>
            <w:shd w:val="clear" w:color="auto" w:fill="auto"/>
            <w:noWrap/>
            <w:hideMark/>
          </w:tcPr>
          <w:p w14:paraId="245C981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83</w:t>
            </w:r>
          </w:p>
        </w:tc>
        <w:tc>
          <w:tcPr>
            <w:tcW w:w="1345" w:type="dxa"/>
            <w:tcBorders>
              <w:top w:val="nil"/>
              <w:left w:val="nil"/>
              <w:bottom w:val="single" w:sz="4" w:space="0" w:color="auto"/>
              <w:right w:val="single" w:sz="8" w:space="0" w:color="auto"/>
            </w:tcBorders>
            <w:shd w:val="clear" w:color="auto" w:fill="auto"/>
            <w:noWrap/>
          </w:tcPr>
          <w:p w14:paraId="0F44B29C"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1.0</w:t>
            </w:r>
          </w:p>
        </w:tc>
      </w:tr>
      <w:tr w:rsidR="008D72DB" w:rsidRPr="00081070" w14:paraId="6E67B126"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3DBB0D9"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2007</w:t>
            </w:r>
          </w:p>
        </w:tc>
        <w:tc>
          <w:tcPr>
            <w:tcW w:w="5316" w:type="dxa"/>
            <w:tcBorders>
              <w:top w:val="nil"/>
              <w:left w:val="nil"/>
              <w:bottom w:val="single" w:sz="4" w:space="0" w:color="auto"/>
              <w:right w:val="single" w:sz="4" w:space="0" w:color="auto"/>
            </w:tcBorders>
            <w:shd w:val="clear" w:color="auto" w:fill="auto"/>
            <w:noWrap/>
            <w:vAlign w:val="center"/>
            <w:hideMark/>
          </w:tcPr>
          <w:p w14:paraId="2E1C52F2" w14:textId="5C22A064"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Electrical app for switching</w:t>
            </w:r>
          </w:p>
        </w:tc>
        <w:tc>
          <w:tcPr>
            <w:tcW w:w="1340" w:type="dxa"/>
            <w:tcBorders>
              <w:top w:val="nil"/>
              <w:left w:val="nil"/>
              <w:bottom w:val="single" w:sz="4" w:space="0" w:color="auto"/>
              <w:right w:val="single" w:sz="4" w:space="0" w:color="auto"/>
            </w:tcBorders>
            <w:shd w:val="clear" w:color="auto" w:fill="auto"/>
            <w:noWrap/>
            <w:hideMark/>
          </w:tcPr>
          <w:p w14:paraId="0FA6C6C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10865</w:t>
            </w:r>
          </w:p>
        </w:tc>
        <w:tc>
          <w:tcPr>
            <w:tcW w:w="1320" w:type="dxa"/>
            <w:tcBorders>
              <w:top w:val="nil"/>
              <w:left w:val="nil"/>
              <w:bottom w:val="single" w:sz="4" w:space="0" w:color="auto"/>
              <w:right w:val="single" w:sz="4" w:space="0" w:color="auto"/>
            </w:tcBorders>
            <w:shd w:val="clear" w:color="auto" w:fill="auto"/>
            <w:noWrap/>
            <w:hideMark/>
          </w:tcPr>
          <w:p w14:paraId="0C24E1B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4896</w:t>
            </w:r>
          </w:p>
        </w:tc>
        <w:tc>
          <w:tcPr>
            <w:tcW w:w="1345" w:type="dxa"/>
            <w:tcBorders>
              <w:top w:val="nil"/>
              <w:left w:val="nil"/>
              <w:bottom w:val="single" w:sz="4" w:space="0" w:color="auto"/>
              <w:right w:val="single" w:sz="8" w:space="0" w:color="auto"/>
            </w:tcBorders>
            <w:shd w:val="clear" w:color="auto" w:fill="auto"/>
            <w:noWrap/>
          </w:tcPr>
          <w:p w14:paraId="7DF30084"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2.2</w:t>
            </w:r>
          </w:p>
        </w:tc>
      </w:tr>
      <w:tr w:rsidR="008D72DB" w:rsidRPr="00081070" w14:paraId="101F5BFA"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B03FFE9"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2007</w:t>
            </w:r>
          </w:p>
        </w:tc>
        <w:tc>
          <w:tcPr>
            <w:tcW w:w="5316" w:type="dxa"/>
            <w:tcBorders>
              <w:top w:val="nil"/>
              <w:left w:val="nil"/>
              <w:bottom w:val="single" w:sz="4" w:space="0" w:color="auto"/>
              <w:right w:val="single" w:sz="4" w:space="0" w:color="auto"/>
            </w:tcBorders>
            <w:shd w:val="clear" w:color="auto" w:fill="auto"/>
            <w:noWrap/>
            <w:vAlign w:val="center"/>
            <w:hideMark/>
          </w:tcPr>
          <w:p w14:paraId="037D3FE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New pneumatic tyres, of rubber of a kind used o</w:t>
            </w:r>
          </w:p>
        </w:tc>
        <w:tc>
          <w:tcPr>
            <w:tcW w:w="1340" w:type="dxa"/>
            <w:tcBorders>
              <w:top w:val="nil"/>
              <w:left w:val="nil"/>
              <w:bottom w:val="single" w:sz="4" w:space="0" w:color="auto"/>
              <w:right w:val="single" w:sz="4" w:space="0" w:color="auto"/>
            </w:tcBorders>
            <w:shd w:val="clear" w:color="auto" w:fill="auto"/>
            <w:noWrap/>
            <w:hideMark/>
          </w:tcPr>
          <w:p w14:paraId="770A160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224199</w:t>
            </w:r>
          </w:p>
        </w:tc>
        <w:tc>
          <w:tcPr>
            <w:tcW w:w="1320" w:type="dxa"/>
            <w:tcBorders>
              <w:top w:val="nil"/>
              <w:left w:val="nil"/>
              <w:bottom w:val="single" w:sz="4" w:space="0" w:color="auto"/>
              <w:right w:val="single" w:sz="4" w:space="0" w:color="auto"/>
            </w:tcBorders>
            <w:shd w:val="clear" w:color="auto" w:fill="auto"/>
            <w:noWrap/>
            <w:hideMark/>
          </w:tcPr>
          <w:p w14:paraId="58FAF2F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64773</w:t>
            </w:r>
          </w:p>
        </w:tc>
        <w:tc>
          <w:tcPr>
            <w:tcW w:w="1345" w:type="dxa"/>
            <w:tcBorders>
              <w:top w:val="nil"/>
              <w:left w:val="nil"/>
              <w:bottom w:val="single" w:sz="4" w:space="0" w:color="auto"/>
              <w:right w:val="single" w:sz="8" w:space="0" w:color="auto"/>
            </w:tcBorders>
            <w:shd w:val="clear" w:color="auto" w:fill="auto"/>
            <w:noWrap/>
          </w:tcPr>
          <w:p w14:paraId="2E47B60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3.5</w:t>
            </w:r>
          </w:p>
        </w:tc>
      </w:tr>
      <w:tr w:rsidR="008D72DB" w:rsidRPr="00081070" w14:paraId="5B158A73"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E183E18"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2007</w:t>
            </w:r>
          </w:p>
        </w:tc>
        <w:tc>
          <w:tcPr>
            <w:tcW w:w="5316" w:type="dxa"/>
            <w:tcBorders>
              <w:top w:val="nil"/>
              <w:left w:val="nil"/>
              <w:bottom w:val="single" w:sz="4" w:space="0" w:color="auto"/>
              <w:right w:val="single" w:sz="4" w:space="0" w:color="auto"/>
            </w:tcBorders>
            <w:shd w:val="clear" w:color="auto" w:fill="auto"/>
            <w:noWrap/>
            <w:vAlign w:val="center"/>
            <w:hideMark/>
          </w:tcPr>
          <w:p w14:paraId="2312E20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Electrical switches for a voltage not exceeding 1,000 volts,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26751E8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22305</w:t>
            </w:r>
          </w:p>
        </w:tc>
        <w:tc>
          <w:tcPr>
            <w:tcW w:w="1320" w:type="dxa"/>
            <w:tcBorders>
              <w:top w:val="nil"/>
              <w:left w:val="nil"/>
              <w:bottom w:val="single" w:sz="4" w:space="0" w:color="auto"/>
              <w:right w:val="single" w:sz="4" w:space="0" w:color="auto"/>
            </w:tcBorders>
            <w:shd w:val="clear" w:color="auto" w:fill="auto"/>
            <w:noWrap/>
            <w:hideMark/>
          </w:tcPr>
          <w:p w14:paraId="7621C70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5237</w:t>
            </w:r>
          </w:p>
        </w:tc>
        <w:tc>
          <w:tcPr>
            <w:tcW w:w="1345" w:type="dxa"/>
            <w:tcBorders>
              <w:top w:val="nil"/>
              <w:left w:val="nil"/>
              <w:bottom w:val="single" w:sz="4" w:space="0" w:color="auto"/>
              <w:right w:val="single" w:sz="8" w:space="0" w:color="auto"/>
            </w:tcBorders>
            <w:shd w:val="clear" w:color="auto" w:fill="auto"/>
            <w:noWrap/>
          </w:tcPr>
          <w:p w14:paraId="08DE815D"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4.3</w:t>
            </w:r>
          </w:p>
        </w:tc>
      </w:tr>
      <w:tr w:rsidR="008D72DB" w:rsidRPr="00081070" w14:paraId="72F813CB"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46D4A6C"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2007</w:t>
            </w:r>
          </w:p>
        </w:tc>
        <w:tc>
          <w:tcPr>
            <w:tcW w:w="5316" w:type="dxa"/>
            <w:tcBorders>
              <w:top w:val="nil"/>
              <w:left w:val="nil"/>
              <w:bottom w:val="single" w:sz="4" w:space="0" w:color="auto"/>
              <w:right w:val="single" w:sz="4" w:space="0" w:color="auto"/>
            </w:tcBorders>
            <w:shd w:val="clear" w:color="auto" w:fill="auto"/>
            <w:noWrap/>
            <w:vAlign w:val="center"/>
            <w:hideMark/>
          </w:tcPr>
          <w:p w14:paraId="4FCCF99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Needles, catheters, </w:t>
            </w:r>
            <w:proofErr w:type="spellStart"/>
            <w:r w:rsidRPr="008D72DB">
              <w:rPr>
                <w:rFonts w:ascii="Calibri" w:eastAsia="Times New Roman" w:hAnsi="Calibri" w:cs="Times New Roman"/>
                <w:color w:val="000000"/>
                <w:sz w:val="18"/>
                <w:szCs w:val="18"/>
                <w:lang w:val="en-GB" w:eastAsia="en-GB"/>
              </w:rPr>
              <w:t>cannulae</w:t>
            </w:r>
            <w:proofErr w:type="spellEnd"/>
            <w:r w:rsidRPr="008D72DB">
              <w:rPr>
                <w:rFonts w:ascii="Calibri" w:eastAsia="Times New Roman" w:hAnsi="Calibri" w:cs="Times New Roman"/>
                <w:color w:val="000000"/>
                <w:sz w:val="18"/>
                <w:szCs w:val="18"/>
                <w:lang w:val="en-GB" w:eastAsia="en-GB"/>
              </w:rPr>
              <w:t xml:space="preserve"> and the like,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0590B07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23859</w:t>
            </w:r>
          </w:p>
        </w:tc>
        <w:tc>
          <w:tcPr>
            <w:tcW w:w="1320" w:type="dxa"/>
            <w:tcBorders>
              <w:top w:val="nil"/>
              <w:left w:val="nil"/>
              <w:bottom w:val="single" w:sz="4" w:space="0" w:color="auto"/>
              <w:right w:val="single" w:sz="4" w:space="0" w:color="auto"/>
            </w:tcBorders>
            <w:shd w:val="clear" w:color="auto" w:fill="auto"/>
            <w:noWrap/>
            <w:hideMark/>
          </w:tcPr>
          <w:p w14:paraId="1ACF649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46642</w:t>
            </w:r>
          </w:p>
        </w:tc>
        <w:tc>
          <w:tcPr>
            <w:tcW w:w="1345" w:type="dxa"/>
            <w:tcBorders>
              <w:top w:val="nil"/>
              <w:left w:val="nil"/>
              <w:bottom w:val="single" w:sz="4" w:space="0" w:color="auto"/>
              <w:right w:val="single" w:sz="8" w:space="0" w:color="auto"/>
            </w:tcBorders>
            <w:shd w:val="clear" w:color="auto" w:fill="auto"/>
            <w:noWrap/>
          </w:tcPr>
          <w:p w14:paraId="2152724F"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0.5</w:t>
            </w:r>
          </w:p>
        </w:tc>
      </w:tr>
      <w:tr w:rsidR="008D72DB" w:rsidRPr="00081070" w14:paraId="79BD6DF8"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21C3D72"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2007</w:t>
            </w:r>
          </w:p>
        </w:tc>
        <w:tc>
          <w:tcPr>
            <w:tcW w:w="5316" w:type="dxa"/>
            <w:tcBorders>
              <w:top w:val="nil"/>
              <w:left w:val="nil"/>
              <w:bottom w:val="single" w:sz="4" w:space="0" w:color="auto"/>
              <w:right w:val="single" w:sz="4" w:space="0" w:color="auto"/>
            </w:tcBorders>
            <w:shd w:val="clear" w:color="auto" w:fill="auto"/>
            <w:noWrap/>
            <w:vAlign w:val="center"/>
            <w:hideMark/>
          </w:tcPr>
          <w:p w14:paraId="006E0B1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Sodium </w:t>
            </w:r>
            <w:proofErr w:type="spellStart"/>
            <w:r w:rsidRPr="008D72DB">
              <w:rPr>
                <w:rFonts w:ascii="Calibri" w:eastAsia="Times New Roman" w:hAnsi="Calibri" w:cs="Times New Roman"/>
                <w:color w:val="000000"/>
                <w:sz w:val="18"/>
                <w:szCs w:val="18"/>
                <w:lang w:val="en-GB" w:eastAsia="en-GB"/>
              </w:rPr>
              <w:t>hydrogencarbonate</w:t>
            </w:r>
            <w:proofErr w:type="spellEnd"/>
            <w:r w:rsidRPr="008D72DB">
              <w:rPr>
                <w:rFonts w:ascii="Calibri" w:eastAsia="Times New Roman" w:hAnsi="Calibri" w:cs="Times New Roman"/>
                <w:color w:val="000000"/>
                <w:sz w:val="18"/>
                <w:szCs w:val="18"/>
                <w:lang w:val="en-GB" w:eastAsia="en-GB"/>
              </w:rPr>
              <w:t xml:space="preserve"> (sodium bicarbonate)</w:t>
            </w:r>
          </w:p>
        </w:tc>
        <w:tc>
          <w:tcPr>
            <w:tcW w:w="1340" w:type="dxa"/>
            <w:tcBorders>
              <w:top w:val="nil"/>
              <w:left w:val="nil"/>
              <w:bottom w:val="single" w:sz="4" w:space="0" w:color="auto"/>
              <w:right w:val="single" w:sz="4" w:space="0" w:color="auto"/>
            </w:tcBorders>
            <w:shd w:val="clear" w:color="auto" w:fill="auto"/>
            <w:noWrap/>
            <w:hideMark/>
          </w:tcPr>
          <w:p w14:paraId="18AB5E0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1578</w:t>
            </w:r>
          </w:p>
        </w:tc>
        <w:tc>
          <w:tcPr>
            <w:tcW w:w="1320" w:type="dxa"/>
            <w:tcBorders>
              <w:top w:val="nil"/>
              <w:left w:val="nil"/>
              <w:bottom w:val="single" w:sz="4" w:space="0" w:color="auto"/>
              <w:right w:val="single" w:sz="4" w:space="0" w:color="auto"/>
            </w:tcBorders>
            <w:shd w:val="clear" w:color="auto" w:fill="auto"/>
            <w:noWrap/>
            <w:hideMark/>
          </w:tcPr>
          <w:p w14:paraId="0143C82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6053</w:t>
            </w:r>
          </w:p>
        </w:tc>
        <w:tc>
          <w:tcPr>
            <w:tcW w:w="1345" w:type="dxa"/>
            <w:tcBorders>
              <w:top w:val="nil"/>
              <w:left w:val="nil"/>
              <w:bottom w:val="single" w:sz="4" w:space="0" w:color="auto"/>
              <w:right w:val="single" w:sz="8" w:space="0" w:color="auto"/>
            </w:tcBorders>
            <w:shd w:val="clear" w:color="auto" w:fill="auto"/>
            <w:noWrap/>
          </w:tcPr>
          <w:p w14:paraId="206264B0"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0.3</w:t>
            </w:r>
          </w:p>
        </w:tc>
      </w:tr>
      <w:tr w:rsidR="008D72DB" w:rsidRPr="00081070" w14:paraId="2A4034D3"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330AF5D"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2008</w:t>
            </w:r>
          </w:p>
        </w:tc>
        <w:tc>
          <w:tcPr>
            <w:tcW w:w="5316" w:type="dxa"/>
            <w:tcBorders>
              <w:top w:val="nil"/>
              <w:left w:val="nil"/>
              <w:bottom w:val="single" w:sz="4" w:space="0" w:color="auto"/>
              <w:right w:val="single" w:sz="4" w:space="0" w:color="auto"/>
            </w:tcBorders>
            <w:shd w:val="clear" w:color="auto" w:fill="auto"/>
            <w:noWrap/>
            <w:vAlign w:val="center"/>
            <w:hideMark/>
          </w:tcPr>
          <w:p w14:paraId="2DC46EC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New pneumatic tyres, of rubber of a kind used o</w:t>
            </w:r>
          </w:p>
        </w:tc>
        <w:tc>
          <w:tcPr>
            <w:tcW w:w="1340" w:type="dxa"/>
            <w:tcBorders>
              <w:top w:val="nil"/>
              <w:left w:val="nil"/>
              <w:bottom w:val="single" w:sz="4" w:space="0" w:color="auto"/>
              <w:right w:val="single" w:sz="4" w:space="0" w:color="auto"/>
            </w:tcBorders>
            <w:shd w:val="clear" w:color="auto" w:fill="auto"/>
            <w:noWrap/>
            <w:hideMark/>
          </w:tcPr>
          <w:p w14:paraId="63D9D89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256727</w:t>
            </w:r>
          </w:p>
        </w:tc>
        <w:tc>
          <w:tcPr>
            <w:tcW w:w="1320" w:type="dxa"/>
            <w:tcBorders>
              <w:top w:val="nil"/>
              <w:left w:val="nil"/>
              <w:bottom w:val="single" w:sz="4" w:space="0" w:color="auto"/>
              <w:right w:val="single" w:sz="4" w:space="0" w:color="auto"/>
            </w:tcBorders>
            <w:shd w:val="clear" w:color="auto" w:fill="auto"/>
            <w:noWrap/>
            <w:hideMark/>
          </w:tcPr>
          <w:p w14:paraId="37565FE9"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109014</w:t>
            </w:r>
          </w:p>
        </w:tc>
        <w:tc>
          <w:tcPr>
            <w:tcW w:w="1345" w:type="dxa"/>
            <w:tcBorders>
              <w:top w:val="nil"/>
              <w:left w:val="nil"/>
              <w:bottom w:val="single" w:sz="4" w:space="0" w:color="auto"/>
              <w:right w:val="single" w:sz="8" w:space="0" w:color="auto"/>
            </w:tcBorders>
            <w:shd w:val="clear" w:color="auto" w:fill="auto"/>
            <w:noWrap/>
          </w:tcPr>
          <w:p w14:paraId="07AA45B0"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2.4</w:t>
            </w:r>
          </w:p>
        </w:tc>
      </w:tr>
      <w:tr w:rsidR="008D72DB" w:rsidRPr="00081070" w14:paraId="05C58251"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C374BDB"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2008</w:t>
            </w:r>
          </w:p>
        </w:tc>
        <w:tc>
          <w:tcPr>
            <w:tcW w:w="5316" w:type="dxa"/>
            <w:tcBorders>
              <w:top w:val="nil"/>
              <w:left w:val="nil"/>
              <w:bottom w:val="single" w:sz="4" w:space="0" w:color="auto"/>
              <w:right w:val="single" w:sz="4" w:space="0" w:color="auto"/>
            </w:tcBorders>
            <w:shd w:val="clear" w:color="auto" w:fill="auto"/>
            <w:noWrap/>
            <w:vAlign w:val="center"/>
            <w:hideMark/>
          </w:tcPr>
          <w:p w14:paraId="7065FC27"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Inner tubes, of rubber,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13875E1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5068</w:t>
            </w:r>
          </w:p>
        </w:tc>
        <w:tc>
          <w:tcPr>
            <w:tcW w:w="1320" w:type="dxa"/>
            <w:tcBorders>
              <w:top w:val="nil"/>
              <w:left w:val="nil"/>
              <w:bottom w:val="single" w:sz="4" w:space="0" w:color="auto"/>
              <w:right w:val="single" w:sz="4" w:space="0" w:color="auto"/>
            </w:tcBorders>
            <w:shd w:val="clear" w:color="auto" w:fill="auto"/>
            <w:noWrap/>
            <w:hideMark/>
          </w:tcPr>
          <w:p w14:paraId="4B30ED1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274</w:t>
            </w:r>
          </w:p>
        </w:tc>
        <w:tc>
          <w:tcPr>
            <w:tcW w:w="1345" w:type="dxa"/>
            <w:tcBorders>
              <w:top w:val="nil"/>
              <w:left w:val="nil"/>
              <w:bottom w:val="single" w:sz="4" w:space="0" w:color="auto"/>
              <w:right w:val="single" w:sz="8" w:space="0" w:color="auto"/>
            </w:tcBorders>
            <w:shd w:val="clear" w:color="auto" w:fill="auto"/>
            <w:noWrap/>
          </w:tcPr>
          <w:p w14:paraId="2F059F85"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18.5</w:t>
            </w:r>
          </w:p>
        </w:tc>
      </w:tr>
      <w:tr w:rsidR="008D72DB" w:rsidRPr="00081070" w14:paraId="2D658CED"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5251E78"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2008</w:t>
            </w:r>
          </w:p>
        </w:tc>
        <w:tc>
          <w:tcPr>
            <w:tcW w:w="5316" w:type="dxa"/>
            <w:tcBorders>
              <w:top w:val="nil"/>
              <w:left w:val="nil"/>
              <w:bottom w:val="single" w:sz="4" w:space="0" w:color="auto"/>
              <w:right w:val="single" w:sz="4" w:space="0" w:color="auto"/>
            </w:tcBorders>
            <w:shd w:val="clear" w:color="auto" w:fill="auto"/>
            <w:noWrap/>
            <w:vAlign w:val="center"/>
            <w:hideMark/>
          </w:tcPr>
          <w:p w14:paraId="7C0E882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Other perfumery, cosmetic or toilet preparation</w:t>
            </w:r>
          </w:p>
        </w:tc>
        <w:tc>
          <w:tcPr>
            <w:tcW w:w="1340" w:type="dxa"/>
            <w:tcBorders>
              <w:top w:val="nil"/>
              <w:left w:val="nil"/>
              <w:bottom w:val="single" w:sz="4" w:space="0" w:color="auto"/>
              <w:right w:val="single" w:sz="4" w:space="0" w:color="auto"/>
            </w:tcBorders>
            <w:shd w:val="clear" w:color="auto" w:fill="auto"/>
            <w:noWrap/>
            <w:hideMark/>
          </w:tcPr>
          <w:p w14:paraId="548B3B7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568</w:t>
            </w:r>
          </w:p>
        </w:tc>
        <w:tc>
          <w:tcPr>
            <w:tcW w:w="1320" w:type="dxa"/>
            <w:tcBorders>
              <w:top w:val="nil"/>
              <w:left w:val="nil"/>
              <w:bottom w:val="single" w:sz="4" w:space="0" w:color="auto"/>
              <w:right w:val="single" w:sz="4" w:space="0" w:color="auto"/>
            </w:tcBorders>
            <w:shd w:val="clear" w:color="auto" w:fill="auto"/>
            <w:noWrap/>
            <w:hideMark/>
          </w:tcPr>
          <w:p w14:paraId="7C74BCC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1220</w:t>
            </w:r>
          </w:p>
        </w:tc>
        <w:tc>
          <w:tcPr>
            <w:tcW w:w="1345" w:type="dxa"/>
            <w:tcBorders>
              <w:top w:val="nil"/>
              <w:left w:val="nil"/>
              <w:bottom w:val="single" w:sz="4" w:space="0" w:color="auto"/>
              <w:right w:val="single" w:sz="8" w:space="0" w:color="auto"/>
            </w:tcBorders>
            <w:shd w:val="clear" w:color="auto" w:fill="auto"/>
            <w:noWrap/>
          </w:tcPr>
          <w:p w14:paraId="257C5214"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0.5</w:t>
            </w:r>
          </w:p>
        </w:tc>
      </w:tr>
      <w:tr w:rsidR="008D72DB" w:rsidRPr="00081070" w14:paraId="204EB82A"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BDC3AC3"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2008</w:t>
            </w:r>
          </w:p>
        </w:tc>
        <w:tc>
          <w:tcPr>
            <w:tcW w:w="5316" w:type="dxa"/>
            <w:tcBorders>
              <w:top w:val="nil"/>
              <w:left w:val="nil"/>
              <w:bottom w:val="single" w:sz="4" w:space="0" w:color="auto"/>
              <w:right w:val="single" w:sz="4" w:space="0" w:color="auto"/>
            </w:tcBorders>
            <w:shd w:val="clear" w:color="auto" w:fill="auto"/>
            <w:noWrap/>
            <w:vAlign w:val="center"/>
            <w:hideMark/>
          </w:tcPr>
          <w:p w14:paraId="3AC71C7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Soap and organic surface-active products in bar</w:t>
            </w:r>
          </w:p>
        </w:tc>
        <w:tc>
          <w:tcPr>
            <w:tcW w:w="1340" w:type="dxa"/>
            <w:tcBorders>
              <w:top w:val="nil"/>
              <w:left w:val="nil"/>
              <w:bottom w:val="single" w:sz="4" w:space="0" w:color="auto"/>
              <w:right w:val="single" w:sz="4" w:space="0" w:color="auto"/>
            </w:tcBorders>
            <w:shd w:val="clear" w:color="auto" w:fill="auto"/>
            <w:noWrap/>
            <w:hideMark/>
          </w:tcPr>
          <w:p w14:paraId="039AC71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94</w:t>
            </w:r>
          </w:p>
        </w:tc>
        <w:tc>
          <w:tcPr>
            <w:tcW w:w="1320" w:type="dxa"/>
            <w:tcBorders>
              <w:top w:val="nil"/>
              <w:left w:val="nil"/>
              <w:bottom w:val="single" w:sz="4" w:space="0" w:color="auto"/>
              <w:right w:val="single" w:sz="4" w:space="0" w:color="auto"/>
            </w:tcBorders>
            <w:shd w:val="clear" w:color="auto" w:fill="auto"/>
            <w:noWrap/>
            <w:hideMark/>
          </w:tcPr>
          <w:p w14:paraId="63D54F8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3330</w:t>
            </w:r>
          </w:p>
        </w:tc>
        <w:tc>
          <w:tcPr>
            <w:tcW w:w="1345" w:type="dxa"/>
            <w:tcBorders>
              <w:top w:val="nil"/>
              <w:left w:val="nil"/>
              <w:bottom w:val="single" w:sz="4" w:space="0" w:color="auto"/>
              <w:right w:val="single" w:sz="8" w:space="0" w:color="auto"/>
            </w:tcBorders>
            <w:shd w:val="clear" w:color="auto" w:fill="auto"/>
            <w:noWrap/>
          </w:tcPr>
          <w:p w14:paraId="09586CB3"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0.0</w:t>
            </w:r>
          </w:p>
        </w:tc>
      </w:tr>
      <w:tr w:rsidR="008D72DB" w:rsidRPr="00081070" w14:paraId="51624187"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6FBF263"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0A8E6C4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Sanitary towels and tampons, napkins and napkin</w:t>
            </w:r>
          </w:p>
        </w:tc>
        <w:tc>
          <w:tcPr>
            <w:tcW w:w="1340" w:type="dxa"/>
            <w:tcBorders>
              <w:top w:val="nil"/>
              <w:left w:val="nil"/>
              <w:bottom w:val="single" w:sz="4" w:space="0" w:color="auto"/>
              <w:right w:val="single" w:sz="4" w:space="0" w:color="auto"/>
            </w:tcBorders>
            <w:shd w:val="clear" w:color="auto" w:fill="auto"/>
            <w:noWrap/>
            <w:hideMark/>
          </w:tcPr>
          <w:p w14:paraId="14DB942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91782</w:t>
            </w:r>
          </w:p>
        </w:tc>
        <w:tc>
          <w:tcPr>
            <w:tcW w:w="1320" w:type="dxa"/>
            <w:tcBorders>
              <w:top w:val="nil"/>
              <w:left w:val="nil"/>
              <w:bottom w:val="single" w:sz="4" w:space="0" w:color="auto"/>
              <w:right w:val="single" w:sz="4" w:space="0" w:color="auto"/>
            </w:tcBorders>
            <w:shd w:val="clear" w:color="auto" w:fill="auto"/>
            <w:noWrap/>
            <w:hideMark/>
          </w:tcPr>
          <w:p w14:paraId="46CEE81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96022</w:t>
            </w:r>
          </w:p>
        </w:tc>
        <w:tc>
          <w:tcPr>
            <w:tcW w:w="1345" w:type="dxa"/>
            <w:tcBorders>
              <w:top w:val="nil"/>
              <w:left w:val="nil"/>
              <w:bottom w:val="single" w:sz="4" w:space="0" w:color="auto"/>
              <w:right w:val="single" w:sz="8" w:space="0" w:color="auto"/>
            </w:tcBorders>
            <w:shd w:val="clear" w:color="auto" w:fill="auto"/>
            <w:noWrap/>
          </w:tcPr>
          <w:p w14:paraId="0AAAB158"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1.0</w:t>
            </w:r>
          </w:p>
        </w:tc>
      </w:tr>
      <w:tr w:rsidR="008D72DB" w:rsidRPr="00081070" w14:paraId="077B8699"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178B99A"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4F750F7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Filtering or purifying machinery and apparatus</w:t>
            </w:r>
          </w:p>
        </w:tc>
        <w:tc>
          <w:tcPr>
            <w:tcW w:w="1340" w:type="dxa"/>
            <w:tcBorders>
              <w:top w:val="nil"/>
              <w:left w:val="nil"/>
              <w:bottom w:val="single" w:sz="4" w:space="0" w:color="auto"/>
              <w:right w:val="single" w:sz="4" w:space="0" w:color="auto"/>
            </w:tcBorders>
            <w:shd w:val="clear" w:color="auto" w:fill="auto"/>
            <w:noWrap/>
            <w:hideMark/>
          </w:tcPr>
          <w:p w14:paraId="58DEAC0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62936</w:t>
            </w:r>
          </w:p>
        </w:tc>
        <w:tc>
          <w:tcPr>
            <w:tcW w:w="1320" w:type="dxa"/>
            <w:tcBorders>
              <w:top w:val="nil"/>
              <w:left w:val="nil"/>
              <w:bottom w:val="single" w:sz="4" w:space="0" w:color="auto"/>
              <w:right w:val="single" w:sz="4" w:space="0" w:color="auto"/>
            </w:tcBorders>
            <w:shd w:val="clear" w:color="auto" w:fill="auto"/>
            <w:noWrap/>
            <w:hideMark/>
          </w:tcPr>
          <w:p w14:paraId="717B89E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68040</w:t>
            </w:r>
          </w:p>
        </w:tc>
        <w:tc>
          <w:tcPr>
            <w:tcW w:w="1345" w:type="dxa"/>
            <w:tcBorders>
              <w:top w:val="nil"/>
              <w:left w:val="nil"/>
              <w:bottom w:val="single" w:sz="4" w:space="0" w:color="auto"/>
              <w:right w:val="single" w:sz="8" w:space="0" w:color="auto"/>
            </w:tcBorders>
            <w:shd w:val="clear" w:color="auto" w:fill="auto"/>
            <w:noWrap/>
          </w:tcPr>
          <w:p w14:paraId="2B661D37"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0.9</w:t>
            </w:r>
          </w:p>
        </w:tc>
      </w:tr>
      <w:tr w:rsidR="008D72DB" w:rsidRPr="00081070" w14:paraId="784E8690"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8E7573A"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lastRenderedPageBreak/>
              <w:t>2010</w:t>
            </w:r>
          </w:p>
        </w:tc>
        <w:tc>
          <w:tcPr>
            <w:tcW w:w="5316" w:type="dxa"/>
            <w:tcBorders>
              <w:top w:val="nil"/>
              <w:left w:val="nil"/>
              <w:bottom w:val="single" w:sz="4" w:space="0" w:color="auto"/>
              <w:right w:val="single" w:sz="4" w:space="0" w:color="auto"/>
            </w:tcBorders>
            <w:shd w:val="clear" w:color="auto" w:fill="auto"/>
            <w:noWrap/>
            <w:vAlign w:val="center"/>
            <w:hideMark/>
          </w:tcPr>
          <w:p w14:paraId="4E0A160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Electrical switches for a voltage not exceeding 1,000 volts,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73FBC8BB"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7911</w:t>
            </w:r>
          </w:p>
        </w:tc>
        <w:tc>
          <w:tcPr>
            <w:tcW w:w="1320" w:type="dxa"/>
            <w:tcBorders>
              <w:top w:val="nil"/>
              <w:left w:val="nil"/>
              <w:bottom w:val="single" w:sz="4" w:space="0" w:color="auto"/>
              <w:right w:val="single" w:sz="4" w:space="0" w:color="auto"/>
            </w:tcBorders>
            <w:shd w:val="clear" w:color="auto" w:fill="auto"/>
            <w:noWrap/>
            <w:hideMark/>
          </w:tcPr>
          <w:p w14:paraId="1D50A4F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6493</w:t>
            </w:r>
          </w:p>
        </w:tc>
        <w:tc>
          <w:tcPr>
            <w:tcW w:w="1345" w:type="dxa"/>
            <w:tcBorders>
              <w:top w:val="nil"/>
              <w:left w:val="nil"/>
              <w:bottom w:val="single" w:sz="4" w:space="0" w:color="auto"/>
              <w:right w:val="single" w:sz="8" w:space="0" w:color="auto"/>
            </w:tcBorders>
            <w:shd w:val="clear" w:color="auto" w:fill="auto"/>
            <w:noWrap/>
          </w:tcPr>
          <w:p w14:paraId="39D6963D"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1.2</w:t>
            </w:r>
          </w:p>
        </w:tc>
      </w:tr>
      <w:tr w:rsidR="008D72DB" w:rsidRPr="00081070" w14:paraId="5EDE8B7C"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78D2B6F"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7DC83B87" w14:textId="23D224C0" w:rsidR="008D72DB" w:rsidRPr="008D72DB" w:rsidRDefault="008D72DB" w:rsidP="00610EF0">
            <w:pPr>
              <w:spacing w:after="0" w:line="240" w:lineRule="auto"/>
              <w:jc w:val="center"/>
              <w:rPr>
                <w:rFonts w:ascii="Calibri" w:eastAsia="Times New Roman" w:hAnsi="Calibri" w:cs="Times New Roman"/>
                <w:color w:val="000000"/>
                <w:sz w:val="18"/>
                <w:szCs w:val="18"/>
                <w:lang w:eastAsia="en-GB"/>
              </w:rPr>
            </w:pPr>
            <w:proofErr w:type="spellStart"/>
            <w:r w:rsidRPr="008D72DB">
              <w:rPr>
                <w:rFonts w:ascii="Calibri" w:eastAsia="Times New Roman" w:hAnsi="Calibri" w:cs="Times New Roman"/>
                <w:color w:val="000000"/>
                <w:sz w:val="18"/>
                <w:szCs w:val="18"/>
                <w:lang w:eastAsia="en-GB"/>
              </w:rPr>
              <w:t>Other</w:t>
            </w:r>
            <w:proofErr w:type="spellEnd"/>
            <w:r w:rsidR="004D3684">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jams</w:t>
            </w:r>
            <w:proofErr w:type="spellEnd"/>
            <w:r w:rsidRPr="008D72DB">
              <w:rPr>
                <w:rFonts w:ascii="Calibri" w:eastAsia="Times New Roman" w:hAnsi="Calibri" w:cs="Times New Roman"/>
                <w:color w:val="000000"/>
                <w:sz w:val="18"/>
                <w:szCs w:val="18"/>
                <w:lang w:eastAsia="en-GB"/>
              </w:rPr>
              <w:t xml:space="preserve">, fruit </w:t>
            </w:r>
            <w:proofErr w:type="spellStart"/>
            <w:r w:rsidRPr="008D72DB">
              <w:rPr>
                <w:rFonts w:ascii="Calibri" w:eastAsia="Times New Roman" w:hAnsi="Calibri" w:cs="Times New Roman"/>
                <w:color w:val="000000"/>
                <w:sz w:val="18"/>
                <w:szCs w:val="18"/>
                <w:lang w:eastAsia="en-GB"/>
              </w:rPr>
              <w:t>jellies</w:t>
            </w:r>
            <w:proofErr w:type="spellEnd"/>
            <w:r w:rsidRPr="008D72DB">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marmalades</w:t>
            </w:r>
            <w:proofErr w:type="spellEnd"/>
            <w:r w:rsidRPr="008D72DB">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etc</w:t>
            </w:r>
            <w:proofErr w:type="spellEnd"/>
            <w:r w:rsidRPr="008D72DB">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bei</w:t>
            </w:r>
            <w:proofErr w:type="spellEnd"/>
          </w:p>
        </w:tc>
        <w:tc>
          <w:tcPr>
            <w:tcW w:w="1340" w:type="dxa"/>
            <w:tcBorders>
              <w:top w:val="nil"/>
              <w:left w:val="nil"/>
              <w:bottom w:val="single" w:sz="4" w:space="0" w:color="auto"/>
              <w:right w:val="single" w:sz="4" w:space="0" w:color="auto"/>
            </w:tcBorders>
            <w:shd w:val="clear" w:color="auto" w:fill="auto"/>
            <w:noWrap/>
            <w:hideMark/>
          </w:tcPr>
          <w:p w14:paraId="05A0B42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223</w:t>
            </w:r>
          </w:p>
        </w:tc>
        <w:tc>
          <w:tcPr>
            <w:tcW w:w="1320" w:type="dxa"/>
            <w:tcBorders>
              <w:top w:val="nil"/>
              <w:left w:val="nil"/>
              <w:bottom w:val="single" w:sz="4" w:space="0" w:color="auto"/>
              <w:right w:val="single" w:sz="4" w:space="0" w:color="auto"/>
            </w:tcBorders>
            <w:shd w:val="clear" w:color="auto" w:fill="auto"/>
            <w:noWrap/>
            <w:hideMark/>
          </w:tcPr>
          <w:p w14:paraId="012B739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129</w:t>
            </w:r>
          </w:p>
        </w:tc>
        <w:tc>
          <w:tcPr>
            <w:tcW w:w="1345" w:type="dxa"/>
            <w:tcBorders>
              <w:top w:val="nil"/>
              <w:left w:val="nil"/>
              <w:bottom w:val="single" w:sz="4" w:space="0" w:color="auto"/>
              <w:right w:val="single" w:sz="8" w:space="0" w:color="auto"/>
            </w:tcBorders>
            <w:shd w:val="clear" w:color="auto" w:fill="auto"/>
            <w:noWrap/>
          </w:tcPr>
          <w:p w14:paraId="7AFD34C6"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1.7</w:t>
            </w:r>
          </w:p>
        </w:tc>
      </w:tr>
      <w:tr w:rsidR="008D72DB" w:rsidRPr="00081070" w14:paraId="346C2EAD"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A9A0D82"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2304F89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Needles, catheters, </w:t>
            </w:r>
            <w:proofErr w:type="spellStart"/>
            <w:r w:rsidRPr="008D72DB">
              <w:rPr>
                <w:rFonts w:ascii="Calibri" w:eastAsia="Times New Roman" w:hAnsi="Calibri" w:cs="Times New Roman"/>
                <w:color w:val="000000"/>
                <w:sz w:val="18"/>
                <w:szCs w:val="18"/>
                <w:lang w:val="en-GB" w:eastAsia="en-GB"/>
              </w:rPr>
              <w:t>cannulae</w:t>
            </w:r>
            <w:proofErr w:type="spellEnd"/>
            <w:r w:rsidRPr="008D72DB">
              <w:rPr>
                <w:rFonts w:ascii="Calibri" w:eastAsia="Times New Roman" w:hAnsi="Calibri" w:cs="Times New Roman"/>
                <w:color w:val="000000"/>
                <w:sz w:val="18"/>
                <w:szCs w:val="18"/>
                <w:lang w:val="en-GB" w:eastAsia="en-GB"/>
              </w:rPr>
              <w:t xml:space="preserve"> and the like,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10C078F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13503</w:t>
            </w:r>
          </w:p>
        </w:tc>
        <w:tc>
          <w:tcPr>
            <w:tcW w:w="1320" w:type="dxa"/>
            <w:tcBorders>
              <w:top w:val="nil"/>
              <w:left w:val="nil"/>
              <w:bottom w:val="single" w:sz="4" w:space="0" w:color="auto"/>
              <w:right w:val="single" w:sz="4" w:space="0" w:color="auto"/>
            </w:tcBorders>
            <w:shd w:val="clear" w:color="auto" w:fill="auto"/>
            <w:noWrap/>
            <w:hideMark/>
          </w:tcPr>
          <w:p w14:paraId="42ED6E9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19390</w:t>
            </w:r>
          </w:p>
        </w:tc>
        <w:tc>
          <w:tcPr>
            <w:tcW w:w="1345" w:type="dxa"/>
            <w:tcBorders>
              <w:top w:val="nil"/>
              <w:left w:val="nil"/>
              <w:bottom w:val="single" w:sz="4" w:space="0" w:color="auto"/>
              <w:right w:val="single" w:sz="8" w:space="0" w:color="auto"/>
            </w:tcBorders>
            <w:shd w:val="clear" w:color="auto" w:fill="auto"/>
            <w:noWrap/>
          </w:tcPr>
          <w:p w14:paraId="29B8DFBD"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0.7</w:t>
            </w:r>
          </w:p>
        </w:tc>
      </w:tr>
      <w:tr w:rsidR="008D72DB" w:rsidRPr="00081070" w14:paraId="14976A0D"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5477498"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1150CB9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Electrical plugs and sockets, for a voltage not exceeding 1,000 volts</w:t>
            </w:r>
          </w:p>
        </w:tc>
        <w:tc>
          <w:tcPr>
            <w:tcW w:w="1340" w:type="dxa"/>
            <w:tcBorders>
              <w:top w:val="nil"/>
              <w:left w:val="nil"/>
              <w:bottom w:val="single" w:sz="4" w:space="0" w:color="auto"/>
              <w:right w:val="single" w:sz="4" w:space="0" w:color="auto"/>
            </w:tcBorders>
            <w:shd w:val="clear" w:color="auto" w:fill="auto"/>
            <w:noWrap/>
            <w:hideMark/>
          </w:tcPr>
          <w:p w14:paraId="639EB6D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5794</w:t>
            </w:r>
          </w:p>
        </w:tc>
        <w:tc>
          <w:tcPr>
            <w:tcW w:w="1320" w:type="dxa"/>
            <w:tcBorders>
              <w:top w:val="nil"/>
              <w:left w:val="nil"/>
              <w:bottom w:val="single" w:sz="4" w:space="0" w:color="auto"/>
              <w:right w:val="single" w:sz="4" w:space="0" w:color="auto"/>
            </w:tcBorders>
            <w:shd w:val="clear" w:color="auto" w:fill="auto"/>
            <w:noWrap/>
            <w:hideMark/>
          </w:tcPr>
          <w:p w14:paraId="5ADA552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9629</w:t>
            </w:r>
          </w:p>
        </w:tc>
        <w:tc>
          <w:tcPr>
            <w:tcW w:w="1345" w:type="dxa"/>
            <w:tcBorders>
              <w:top w:val="nil"/>
              <w:left w:val="nil"/>
              <w:bottom w:val="single" w:sz="4" w:space="0" w:color="auto"/>
              <w:right w:val="single" w:sz="8" w:space="0" w:color="auto"/>
            </w:tcBorders>
            <w:shd w:val="clear" w:color="auto" w:fill="auto"/>
            <w:noWrap/>
          </w:tcPr>
          <w:p w14:paraId="05010E8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0.6</w:t>
            </w:r>
          </w:p>
        </w:tc>
      </w:tr>
      <w:tr w:rsidR="008D72DB" w:rsidRPr="00081070" w14:paraId="2E2C9A86"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FCC24C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25AAC42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Sodium </w:t>
            </w:r>
            <w:proofErr w:type="spellStart"/>
            <w:r w:rsidRPr="008D72DB">
              <w:rPr>
                <w:rFonts w:ascii="Calibri" w:eastAsia="Times New Roman" w:hAnsi="Calibri" w:cs="Times New Roman"/>
                <w:color w:val="000000"/>
                <w:sz w:val="18"/>
                <w:szCs w:val="18"/>
                <w:lang w:val="en-GB" w:eastAsia="en-GB"/>
              </w:rPr>
              <w:t>hydrogencarbonate</w:t>
            </w:r>
            <w:proofErr w:type="spellEnd"/>
            <w:r w:rsidRPr="008D72DB">
              <w:rPr>
                <w:rFonts w:ascii="Calibri" w:eastAsia="Times New Roman" w:hAnsi="Calibri" w:cs="Times New Roman"/>
                <w:color w:val="000000"/>
                <w:sz w:val="18"/>
                <w:szCs w:val="18"/>
                <w:lang w:val="en-GB" w:eastAsia="en-GB"/>
              </w:rPr>
              <w:t xml:space="preserve"> (sodium bicarbonate)</w:t>
            </w:r>
          </w:p>
        </w:tc>
        <w:tc>
          <w:tcPr>
            <w:tcW w:w="1340" w:type="dxa"/>
            <w:tcBorders>
              <w:top w:val="nil"/>
              <w:left w:val="nil"/>
              <w:bottom w:val="single" w:sz="4" w:space="0" w:color="auto"/>
              <w:right w:val="single" w:sz="4" w:space="0" w:color="auto"/>
            </w:tcBorders>
            <w:shd w:val="clear" w:color="auto" w:fill="auto"/>
            <w:noWrap/>
            <w:hideMark/>
          </w:tcPr>
          <w:p w14:paraId="2333BCF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83574</w:t>
            </w:r>
          </w:p>
        </w:tc>
        <w:tc>
          <w:tcPr>
            <w:tcW w:w="1320" w:type="dxa"/>
            <w:tcBorders>
              <w:top w:val="nil"/>
              <w:left w:val="nil"/>
              <w:bottom w:val="single" w:sz="4" w:space="0" w:color="auto"/>
              <w:right w:val="single" w:sz="4" w:space="0" w:color="auto"/>
            </w:tcBorders>
            <w:shd w:val="clear" w:color="auto" w:fill="auto"/>
            <w:noWrap/>
            <w:hideMark/>
          </w:tcPr>
          <w:p w14:paraId="12E4734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10918</w:t>
            </w:r>
          </w:p>
        </w:tc>
        <w:tc>
          <w:tcPr>
            <w:tcW w:w="1345" w:type="dxa"/>
            <w:tcBorders>
              <w:top w:val="nil"/>
              <w:left w:val="nil"/>
              <w:bottom w:val="single" w:sz="4" w:space="0" w:color="auto"/>
              <w:right w:val="single" w:sz="8" w:space="0" w:color="auto"/>
            </w:tcBorders>
            <w:shd w:val="clear" w:color="auto" w:fill="auto"/>
            <w:noWrap/>
          </w:tcPr>
          <w:p w14:paraId="6126F25C"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7.7</w:t>
            </w:r>
          </w:p>
        </w:tc>
      </w:tr>
      <w:tr w:rsidR="008D72DB" w:rsidRPr="00081070" w14:paraId="08A4203F"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030DE20"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2010</w:t>
            </w:r>
          </w:p>
        </w:tc>
        <w:tc>
          <w:tcPr>
            <w:tcW w:w="5316" w:type="dxa"/>
            <w:tcBorders>
              <w:top w:val="nil"/>
              <w:left w:val="nil"/>
              <w:bottom w:val="single" w:sz="4" w:space="0" w:color="auto"/>
              <w:right w:val="single" w:sz="4" w:space="0" w:color="auto"/>
            </w:tcBorders>
            <w:shd w:val="clear" w:color="auto" w:fill="auto"/>
            <w:noWrap/>
            <w:vAlign w:val="center"/>
            <w:hideMark/>
          </w:tcPr>
          <w:p w14:paraId="6DC6242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Perfumes and toilet waters</w:t>
            </w:r>
          </w:p>
        </w:tc>
        <w:tc>
          <w:tcPr>
            <w:tcW w:w="1340" w:type="dxa"/>
            <w:tcBorders>
              <w:top w:val="nil"/>
              <w:left w:val="nil"/>
              <w:bottom w:val="single" w:sz="4" w:space="0" w:color="auto"/>
              <w:right w:val="single" w:sz="4" w:space="0" w:color="auto"/>
            </w:tcBorders>
            <w:shd w:val="clear" w:color="auto" w:fill="auto"/>
            <w:noWrap/>
            <w:hideMark/>
          </w:tcPr>
          <w:p w14:paraId="6564C9C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1197</w:t>
            </w:r>
          </w:p>
        </w:tc>
        <w:tc>
          <w:tcPr>
            <w:tcW w:w="1320" w:type="dxa"/>
            <w:tcBorders>
              <w:top w:val="nil"/>
              <w:left w:val="nil"/>
              <w:bottom w:val="single" w:sz="4" w:space="0" w:color="auto"/>
              <w:right w:val="single" w:sz="4" w:space="0" w:color="auto"/>
            </w:tcBorders>
            <w:shd w:val="clear" w:color="auto" w:fill="auto"/>
            <w:noWrap/>
            <w:hideMark/>
          </w:tcPr>
          <w:p w14:paraId="669E8E0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44</w:t>
            </w:r>
          </w:p>
        </w:tc>
        <w:tc>
          <w:tcPr>
            <w:tcW w:w="1345" w:type="dxa"/>
            <w:tcBorders>
              <w:top w:val="nil"/>
              <w:left w:val="nil"/>
              <w:bottom w:val="single" w:sz="4" w:space="0" w:color="auto"/>
              <w:right w:val="single" w:sz="8" w:space="0" w:color="auto"/>
            </w:tcBorders>
            <w:shd w:val="clear" w:color="auto" w:fill="auto"/>
            <w:noWrap/>
          </w:tcPr>
          <w:p w14:paraId="6BBB39C5"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27.2</w:t>
            </w:r>
          </w:p>
        </w:tc>
      </w:tr>
      <w:tr w:rsidR="008D72DB" w:rsidRPr="00081070" w14:paraId="0DAA61B7"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B75D719"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12C9952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Perfumes and toilet waters</w:t>
            </w:r>
          </w:p>
        </w:tc>
        <w:tc>
          <w:tcPr>
            <w:tcW w:w="1340" w:type="dxa"/>
            <w:tcBorders>
              <w:top w:val="nil"/>
              <w:left w:val="nil"/>
              <w:bottom w:val="single" w:sz="4" w:space="0" w:color="auto"/>
              <w:right w:val="single" w:sz="4" w:space="0" w:color="auto"/>
            </w:tcBorders>
            <w:shd w:val="clear" w:color="auto" w:fill="auto"/>
            <w:noWrap/>
            <w:hideMark/>
          </w:tcPr>
          <w:p w14:paraId="5A6ACB8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29</w:t>
            </w:r>
          </w:p>
        </w:tc>
        <w:tc>
          <w:tcPr>
            <w:tcW w:w="1320" w:type="dxa"/>
            <w:tcBorders>
              <w:top w:val="nil"/>
              <w:left w:val="nil"/>
              <w:bottom w:val="single" w:sz="4" w:space="0" w:color="auto"/>
              <w:right w:val="single" w:sz="4" w:space="0" w:color="auto"/>
            </w:tcBorders>
            <w:shd w:val="clear" w:color="auto" w:fill="auto"/>
            <w:noWrap/>
            <w:hideMark/>
          </w:tcPr>
          <w:p w14:paraId="4E100C1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29</w:t>
            </w:r>
          </w:p>
        </w:tc>
        <w:tc>
          <w:tcPr>
            <w:tcW w:w="1345" w:type="dxa"/>
            <w:tcBorders>
              <w:top w:val="nil"/>
              <w:left w:val="nil"/>
              <w:bottom w:val="single" w:sz="4" w:space="0" w:color="auto"/>
              <w:right w:val="single" w:sz="8" w:space="0" w:color="auto"/>
            </w:tcBorders>
            <w:shd w:val="clear" w:color="auto" w:fill="auto"/>
            <w:noWrap/>
          </w:tcPr>
          <w:p w14:paraId="58AD5BDF"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1.0</w:t>
            </w:r>
          </w:p>
        </w:tc>
      </w:tr>
      <w:tr w:rsidR="008D72DB" w:rsidRPr="00081070" w14:paraId="1FD73530"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C736BF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5300DAC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Instruments and appliances used in medical or v</w:t>
            </w:r>
          </w:p>
        </w:tc>
        <w:tc>
          <w:tcPr>
            <w:tcW w:w="1340" w:type="dxa"/>
            <w:tcBorders>
              <w:top w:val="nil"/>
              <w:left w:val="nil"/>
              <w:bottom w:val="single" w:sz="4" w:space="0" w:color="auto"/>
              <w:right w:val="single" w:sz="4" w:space="0" w:color="auto"/>
            </w:tcBorders>
            <w:shd w:val="clear" w:color="auto" w:fill="auto"/>
            <w:noWrap/>
            <w:hideMark/>
          </w:tcPr>
          <w:p w14:paraId="62D7245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135414</w:t>
            </w:r>
          </w:p>
        </w:tc>
        <w:tc>
          <w:tcPr>
            <w:tcW w:w="1320" w:type="dxa"/>
            <w:tcBorders>
              <w:top w:val="nil"/>
              <w:left w:val="nil"/>
              <w:bottom w:val="single" w:sz="4" w:space="0" w:color="auto"/>
              <w:right w:val="single" w:sz="4" w:space="0" w:color="auto"/>
            </w:tcBorders>
            <w:shd w:val="clear" w:color="auto" w:fill="auto"/>
            <w:noWrap/>
            <w:hideMark/>
          </w:tcPr>
          <w:p w14:paraId="729B1CF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157758</w:t>
            </w:r>
          </w:p>
        </w:tc>
        <w:tc>
          <w:tcPr>
            <w:tcW w:w="1345" w:type="dxa"/>
            <w:tcBorders>
              <w:top w:val="nil"/>
              <w:left w:val="nil"/>
              <w:bottom w:val="single" w:sz="4" w:space="0" w:color="auto"/>
              <w:right w:val="single" w:sz="8" w:space="0" w:color="auto"/>
            </w:tcBorders>
            <w:shd w:val="clear" w:color="auto" w:fill="auto"/>
            <w:noWrap/>
          </w:tcPr>
          <w:p w14:paraId="43B20784"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0.9</w:t>
            </w:r>
          </w:p>
        </w:tc>
      </w:tr>
      <w:tr w:rsidR="008D72DB" w:rsidRPr="00081070" w14:paraId="7EC9493C"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E202AF0"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531BEB0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Citric acid</w:t>
            </w:r>
          </w:p>
        </w:tc>
        <w:tc>
          <w:tcPr>
            <w:tcW w:w="1340" w:type="dxa"/>
            <w:tcBorders>
              <w:top w:val="nil"/>
              <w:left w:val="nil"/>
              <w:bottom w:val="single" w:sz="4" w:space="0" w:color="auto"/>
              <w:right w:val="single" w:sz="4" w:space="0" w:color="auto"/>
            </w:tcBorders>
            <w:shd w:val="clear" w:color="auto" w:fill="auto"/>
            <w:noWrap/>
            <w:hideMark/>
          </w:tcPr>
          <w:p w14:paraId="7113CA4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18994</w:t>
            </w:r>
          </w:p>
        </w:tc>
        <w:tc>
          <w:tcPr>
            <w:tcW w:w="1320" w:type="dxa"/>
            <w:tcBorders>
              <w:top w:val="nil"/>
              <w:left w:val="nil"/>
              <w:bottom w:val="single" w:sz="4" w:space="0" w:color="auto"/>
              <w:right w:val="single" w:sz="4" w:space="0" w:color="auto"/>
            </w:tcBorders>
            <w:shd w:val="clear" w:color="auto" w:fill="auto"/>
            <w:noWrap/>
            <w:hideMark/>
          </w:tcPr>
          <w:p w14:paraId="1F43C6C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2819</w:t>
            </w:r>
          </w:p>
        </w:tc>
        <w:tc>
          <w:tcPr>
            <w:tcW w:w="1345" w:type="dxa"/>
            <w:tcBorders>
              <w:top w:val="nil"/>
              <w:left w:val="nil"/>
              <w:bottom w:val="single" w:sz="4" w:space="0" w:color="auto"/>
              <w:right w:val="single" w:sz="8" w:space="0" w:color="auto"/>
            </w:tcBorders>
            <w:shd w:val="clear" w:color="auto" w:fill="auto"/>
            <w:noWrap/>
          </w:tcPr>
          <w:p w14:paraId="062CC68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6.7</w:t>
            </w:r>
          </w:p>
        </w:tc>
      </w:tr>
      <w:tr w:rsidR="008D72DB" w:rsidRPr="00081070" w14:paraId="72F67897"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B0B9057"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55AD11B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Dates, fresh or dried</w:t>
            </w:r>
          </w:p>
        </w:tc>
        <w:tc>
          <w:tcPr>
            <w:tcW w:w="1340" w:type="dxa"/>
            <w:tcBorders>
              <w:top w:val="nil"/>
              <w:left w:val="nil"/>
              <w:bottom w:val="single" w:sz="4" w:space="0" w:color="auto"/>
              <w:right w:val="single" w:sz="4" w:space="0" w:color="auto"/>
            </w:tcBorders>
            <w:shd w:val="clear" w:color="auto" w:fill="auto"/>
            <w:noWrap/>
            <w:hideMark/>
          </w:tcPr>
          <w:p w14:paraId="6B8DE84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947290</w:t>
            </w:r>
          </w:p>
        </w:tc>
        <w:tc>
          <w:tcPr>
            <w:tcW w:w="1320" w:type="dxa"/>
            <w:tcBorders>
              <w:top w:val="nil"/>
              <w:left w:val="nil"/>
              <w:bottom w:val="single" w:sz="4" w:space="0" w:color="auto"/>
              <w:right w:val="single" w:sz="4" w:space="0" w:color="auto"/>
            </w:tcBorders>
            <w:shd w:val="clear" w:color="auto" w:fill="auto"/>
            <w:noWrap/>
            <w:hideMark/>
          </w:tcPr>
          <w:p w14:paraId="3E14F89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107840</w:t>
            </w:r>
          </w:p>
        </w:tc>
        <w:tc>
          <w:tcPr>
            <w:tcW w:w="1345" w:type="dxa"/>
            <w:tcBorders>
              <w:top w:val="nil"/>
              <w:left w:val="nil"/>
              <w:bottom w:val="single" w:sz="4" w:space="0" w:color="auto"/>
              <w:right w:val="single" w:sz="8" w:space="0" w:color="auto"/>
            </w:tcBorders>
            <w:shd w:val="clear" w:color="auto" w:fill="auto"/>
            <w:noWrap/>
          </w:tcPr>
          <w:p w14:paraId="459151A8"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8.8</w:t>
            </w:r>
          </w:p>
        </w:tc>
      </w:tr>
      <w:tr w:rsidR="008D72DB" w:rsidRPr="00081070" w14:paraId="4D336437"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47D1B88"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7E96392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Sanitary towels and tampons, napkins and napkin</w:t>
            </w:r>
          </w:p>
        </w:tc>
        <w:tc>
          <w:tcPr>
            <w:tcW w:w="1340" w:type="dxa"/>
            <w:tcBorders>
              <w:top w:val="nil"/>
              <w:left w:val="nil"/>
              <w:bottom w:val="single" w:sz="4" w:space="0" w:color="auto"/>
              <w:right w:val="single" w:sz="4" w:space="0" w:color="auto"/>
            </w:tcBorders>
            <w:shd w:val="clear" w:color="auto" w:fill="auto"/>
            <w:noWrap/>
            <w:hideMark/>
          </w:tcPr>
          <w:p w14:paraId="641B53A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84175</w:t>
            </w:r>
          </w:p>
        </w:tc>
        <w:tc>
          <w:tcPr>
            <w:tcW w:w="1320" w:type="dxa"/>
            <w:tcBorders>
              <w:top w:val="nil"/>
              <w:left w:val="nil"/>
              <w:bottom w:val="single" w:sz="4" w:space="0" w:color="auto"/>
              <w:right w:val="single" w:sz="4" w:space="0" w:color="auto"/>
            </w:tcBorders>
            <w:shd w:val="clear" w:color="auto" w:fill="auto"/>
            <w:noWrap/>
            <w:hideMark/>
          </w:tcPr>
          <w:p w14:paraId="0765EAD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3495</w:t>
            </w:r>
          </w:p>
        </w:tc>
        <w:tc>
          <w:tcPr>
            <w:tcW w:w="1345" w:type="dxa"/>
            <w:tcBorders>
              <w:top w:val="nil"/>
              <w:left w:val="nil"/>
              <w:bottom w:val="single" w:sz="4" w:space="0" w:color="auto"/>
              <w:right w:val="single" w:sz="8" w:space="0" w:color="auto"/>
            </w:tcBorders>
            <w:shd w:val="clear" w:color="auto" w:fill="auto"/>
            <w:noWrap/>
          </w:tcPr>
          <w:p w14:paraId="6BEF0F85"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24.1</w:t>
            </w:r>
          </w:p>
        </w:tc>
      </w:tr>
      <w:tr w:rsidR="008D72DB" w:rsidRPr="00081070" w14:paraId="327DE6B4"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7987868"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3F50133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Salt and pure sodium chloride; sea water</w:t>
            </w:r>
          </w:p>
        </w:tc>
        <w:tc>
          <w:tcPr>
            <w:tcW w:w="1340" w:type="dxa"/>
            <w:tcBorders>
              <w:top w:val="nil"/>
              <w:left w:val="nil"/>
              <w:bottom w:val="single" w:sz="4" w:space="0" w:color="auto"/>
              <w:right w:val="single" w:sz="4" w:space="0" w:color="auto"/>
            </w:tcBorders>
            <w:shd w:val="clear" w:color="auto" w:fill="auto"/>
            <w:noWrap/>
            <w:hideMark/>
          </w:tcPr>
          <w:p w14:paraId="7DFEBC6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1913</w:t>
            </w:r>
          </w:p>
        </w:tc>
        <w:tc>
          <w:tcPr>
            <w:tcW w:w="1320" w:type="dxa"/>
            <w:tcBorders>
              <w:top w:val="nil"/>
              <w:left w:val="nil"/>
              <w:bottom w:val="single" w:sz="4" w:space="0" w:color="auto"/>
              <w:right w:val="single" w:sz="4" w:space="0" w:color="auto"/>
            </w:tcBorders>
            <w:shd w:val="clear" w:color="auto" w:fill="auto"/>
            <w:noWrap/>
            <w:hideMark/>
          </w:tcPr>
          <w:p w14:paraId="308E08C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4961</w:t>
            </w:r>
          </w:p>
        </w:tc>
        <w:tc>
          <w:tcPr>
            <w:tcW w:w="1345" w:type="dxa"/>
            <w:tcBorders>
              <w:top w:val="nil"/>
              <w:left w:val="nil"/>
              <w:bottom w:val="single" w:sz="4" w:space="0" w:color="auto"/>
              <w:right w:val="single" w:sz="8" w:space="0" w:color="auto"/>
            </w:tcBorders>
            <w:shd w:val="clear" w:color="auto" w:fill="auto"/>
            <w:noWrap/>
          </w:tcPr>
          <w:p w14:paraId="53F32922"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0.4</w:t>
            </w:r>
          </w:p>
        </w:tc>
      </w:tr>
      <w:tr w:rsidR="008D72DB" w:rsidRPr="00081070" w14:paraId="37313C14"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30849B4"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10004EB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Sodium </w:t>
            </w:r>
            <w:proofErr w:type="spellStart"/>
            <w:r w:rsidRPr="008D72DB">
              <w:rPr>
                <w:rFonts w:ascii="Calibri" w:eastAsia="Times New Roman" w:hAnsi="Calibri" w:cs="Times New Roman"/>
                <w:color w:val="000000"/>
                <w:sz w:val="18"/>
                <w:szCs w:val="18"/>
                <w:lang w:val="en-GB" w:eastAsia="en-GB"/>
              </w:rPr>
              <w:t>hydrogencarbonate</w:t>
            </w:r>
            <w:proofErr w:type="spellEnd"/>
            <w:r w:rsidRPr="008D72DB">
              <w:rPr>
                <w:rFonts w:ascii="Calibri" w:eastAsia="Times New Roman" w:hAnsi="Calibri" w:cs="Times New Roman"/>
                <w:color w:val="000000"/>
                <w:sz w:val="18"/>
                <w:szCs w:val="18"/>
                <w:lang w:val="en-GB" w:eastAsia="en-GB"/>
              </w:rPr>
              <w:t xml:space="preserve"> (sodium bicarbonate)</w:t>
            </w:r>
          </w:p>
        </w:tc>
        <w:tc>
          <w:tcPr>
            <w:tcW w:w="1340" w:type="dxa"/>
            <w:tcBorders>
              <w:top w:val="nil"/>
              <w:left w:val="nil"/>
              <w:bottom w:val="single" w:sz="4" w:space="0" w:color="auto"/>
              <w:right w:val="single" w:sz="4" w:space="0" w:color="auto"/>
            </w:tcBorders>
            <w:shd w:val="clear" w:color="auto" w:fill="auto"/>
            <w:noWrap/>
            <w:hideMark/>
          </w:tcPr>
          <w:p w14:paraId="76D89187"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19471</w:t>
            </w:r>
          </w:p>
        </w:tc>
        <w:tc>
          <w:tcPr>
            <w:tcW w:w="1320" w:type="dxa"/>
            <w:tcBorders>
              <w:top w:val="nil"/>
              <w:left w:val="nil"/>
              <w:bottom w:val="single" w:sz="4" w:space="0" w:color="auto"/>
              <w:right w:val="single" w:sz="4" w:space="0" w:color="auto"/>
            </w:tcBorders>
            <w:shd w:val="clear" w:color="auto" w:fill="auto"/>
            <w:noWrap/>
            <w:hideMark/>
          </w:tcPr>
          <w:p w14:paraId="6D53DA1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53345</w:t>
            </w:r>
          </w:p>
        </w:tc>
        <w:tc>
          <w:tcPr>
            <w:tcW w:w="1345" w:type="dxa"/>
            <w:tcBorders>
              <w:top w:val="nil"/>
              <w:left w:val="nil"/>
              <w:bottom w:val="single" w:sz="4" w:space="0" w:color="auto"/>
              <w:right w:val="single" w:sz="8" w:space="0" w:color="auto"/>
            </w:tcBorders>
            <w:shd w:val="clear" w:color="auto" w:fill="auto"/>
            <w:noWrap/>
          </w:tcPr>
          <w:p w14:paraId="44E24300"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0.4</w:t>
            </w:r>
          </w:p>
        </w:tc>
      </w:tr>
      <w:tr w:rsidR="008D72DB" w:rsidRPr="00081070" w14:paraId="5C77649D"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6DAA660"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3D2DAC4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Trade advertising material, commercial </w:t>
            </w:r>
            <w:proofErr w:type="spellStart"/>
            <w:r w:rsidRPr="008D72DB">
              <w:rPr>
                <w:rFonts w:ascii="Calibri" w:eastAsia="Times New Roman" w:hAnsi="Calibri" w:cs="Times New Roman"/>
                <w:color w:val="000000"/>
                <w:sz w:val="18"/>
                <w:szCs w:val="18"/>
                <w:lang w:val="en-GB" w:eastAsia="en-GB"/>
              </w:rPr>
              <w:t>catalogu</w:t>
            </w:r>
            <w:proofErr w:type="spellEnd"/>
          </w:p>
        </w:tc>
        <w:tc>
          <w:tcPr>
            <w:tcW w:w="1340" w:type="dxa"/>
            <w:tcBorders>
              <w:top w:val="nil"/>
              <w:left w:val="nil"/>
              <w:bottom w:val="single" w:sz="4" w:space="0" w:color="auto"/>
              <w:right w:val="single" w:sz="4" w:space="0" w:color="auto"/>
            </w:tcBorders>
            <w:shd w:val="clear" w:color="auto" w:fill="auto"/>
            <w:noWrap/>
            <w:hideMark/>
          </w:tcPr>
          <w:p w14:paraId="1C37264B"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68</w:t>
            </w:r>
          </w:p>
        </w:tc>
        <w:tc>
          <w:tcPr>
            <w:tcW w:w="1320" w:type="dxa"/>
            <w:tcBorders>
              <w:top w:val="nil"/>
              <w:left w:val="nil"/>
              <w:bottom w:val="single" w:sz="4" w:space="0" w:color="auto"/>
              <w:right w:val="single" w:sz="4" w:space="0" w:color="auto"/>
            </w:tcBorders>
            <w:shd w:val="clear" w:color="auto" w:fill="auto"/>
            <w:noWrap/>
            <w:hideMark/>
          </w:tcPr>
          <w:p w14:paraId="0AC4C07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263</w:t>
            </w:r>
          </w:p>
        </w:tc>
        <w:tc>
          <w:tcPr>
            <w:tcW w:w="1345" w:type="dxa"/>
            <w:tcBorders>
              <w:top w:val="nil"/>
              <w:left w:val="nil"/>
              <w:bottom w:val="single" w:sz="4" w:space="0" w:color="auto"/>
              <w:right w:val="single" w:sz="8" w:space="0" w:color="auto"/>
            </w:tcBorders>
            <w:shd w:val="clear" w:color="auto" w:fill="auto"/>
            <w:noWrap/>
          </w:tcPr>
          <w:p w14:paraId="3917ADE8"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0.3</w:t>
            </w:r>
          </w:p>
        </w:tc>
      </w:tr>
      <w:tr w:rsidR="008D72DB" w:rsidRPr="00081070" w14:paraId="1A5C7420"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B5BB1E0"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37C3CC3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Bentonite</w:t>
            </w:r>
          </w:p>
        </w:tc>
        <w:tc>
          <w:tcPr>
            <w:tcW w:w="1340" w:type="dxa"/>
            <w:tcBorders>
              <w:top w:val="nil"/>
              <w:left w:val="nil"/>
              <w:bottom w:val="single" w:sz="4" w:space="0" w:color="auto"/>
              <w:right w:val="single" w:sz="4" w:space="0" w:color="auto"/>
            </w:tcBorders>
            <w:shd w:val="clear" w:color="auto" w:fill="auto"/>
            <w:noWrap/>
            <w:hideMark/>
          </w:tcPr>
          <w:p w14:paraId="6D7E651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1162</w:t>
            </w:r>
          </w:p>
        </w:tc>
        <w:tc>
          <w:tcPr>
            <w:tcW w:w="1320" w:type="dxa"/>
            <w:tcBorders>
              <w:top w:val="nil"/>
              <w:left w:val="nil"/>
              <w:bottom w:val="single" w:sz="4" w:space="0" w:color="auto"/>
              <w:right w:val="single" w:sz="4" w:space="0" w:color="auto"/>
            </w:tcBorders>
            <w:shd w:val="clear" w:color="auto" w:fill="auto"/>
            <w:noWrap/>
            <w:hideMark/>
          </w:tcPr>
          <w:p w14:paraId="24FA3BD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11188</w:t>
            </w:r>
          </w:p>
        </w:tc>
        <w:tc>
          <w:tcPr>
            <w:tcW w:w="1345" w:type="dxa"/>
            <w:tcBorders>
              <w:top w:val="nil"/>
              <w:left w:val="nil"/>
              <w:bottom w:val="single" w:sz="4" w:space="0" w:color="auto"/>
              <w:right w:val="single" w:sz="8" w:space="0" w:color="auto"/>
            </w:tcBorders>
            <w:shd w:val="clear" w:color="auto" w:fill="auto"/>
            <w:noWrap/>
          </w:tcPr>
          <w:p w14:paraId="2ED772D0"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0.1</w:t>
            </w:r>
          </w:p>
        </w:tc>
      </w:tr>
      <w:tr w:rsidR="008D72DB" w:rsidRPr="00081070" w14:paraId="17FBE30A"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7DFABF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0AD41ED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Tubular metal needles and needles for sutures</w:t>
            </w:r>
          </w:p>
        </w:tc>
        <w:tc>
          <w:tcPr>
            <w:tcW w:w="1340" w:type="dxa"/>
            <w:tcBorders>
              <w:top w:val="nil"/>
              <w:left w:val="nil"/>
              <w:bottom w:val="single" w:sz="4" w:space="0" w:color="auto"/>
              <w:right w:val="single" w:sz="4" w:space="0" w:color="auto"/>
            </w:tcBorders>
            <w:shd w:val="clear" w:color="auto" w:fill="auto"/>
            <w:noWrap/>
            <w:hideMark/>
          </w:tcPr>
          <w:p w14:paraId="06B09D6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1426</w:t>
            </w:r>
          </w:p>
        </w:tc>
        <w:tc>
          <w:tcPr>
            <w:tcW w:w="1320" w:type="dxa"/>
            <w:tcBorders>
              <w:top w:val="nil"/>
              <w:left w:val="nil"/>
              <w:bottom w:val="single" w:sz="4" w:space="0" w:color="auto"/>
              <w:right w:val="single" w:sz="4" w:space="0" w:color="auto"/>
            </w:tcBorders>
            <w:shd w:val="clear" w:color="auto" w:fill="auto"/>
            <w:noWrap/>
            <w:hideMark/>
          </w:tcPr>
          <w:p w14:paraId="4092B309"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16297</w:t>
            </w:r>
          </w:p>
        </w:tc>
        <w:tc>
          <w:tcPr>
            <w:tcW w:w="1345" w:type="dxa"/>
            <w:tcBorders>
              <w:top w:val="nil"/>
              <w:left w:val="nil"/>
              <w:bottom w:val="single" w:sz="4" w:space="0" w:color="auto"/>
              <w:right w:val="single" w:sz="8" w:space="0" w:color="auto"/>
            </w:tcBorders>
            <w:shd w:val="clear" w:color="auto" w:fill="auto"/>
            <w:noWrap/>
          </w:tcPr>
          <w:p w14:paraId="56EB3277"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0.1</w:t>
            </w:r>
          </w:p>
        </w:tc>
      </w:tr>
      <w:tr w:rsidR="008D72DB" w:rsidRPr="00081070" w14:paraId="33EBAF8C"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541A803"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32D74977"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Mineral waters and aerated waters, unsweetened</w:t>
            </w:r>
          </w:p>
        </w:tc>
        <w:tc>
          <w:tcPr>
            <w:tcW w:w="1340" w:type="dxa"/>
            <w:tcBorders>
              <w:top w:val="nil"/>
              <w:left w:val="nil"/>
              <w:bottom w:val="single" w:sz="4" w:space="0" w:color="auto"/>
              <w:right w:val="single" w:sz="4" w:space="0" w:color="auto"/>
            </w:tcBorders>
            <w:shd w:val="clear" w:color="auto" w:fill="auto"/>
            <w:noWrap/>
            <w:hideMark/>
          </w:tcPr>
          <w:p w14:paraId="082A33E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275</w:t>
            </w:r>
          </w:p>
        </w:tc>
        <w:tc>
          <w:tcPr>
            <w:tcW w:w="1320" w:type="dxa"/>
            <w:tcBorders>
              <w:top w:val="nil"/>
              <w:left w:val="nil"/>
              <w:bottom w:val="single" w:sz="4" w:space="0" w:color="auto"/>
              <w:right w:val="single" w:sz="4" w:space="0" w:color="auto"/>
            </w:tcBorders>
            <w:shd w:val="clear" w:color="auto" w:fill="auto"/>
            <w:noWrap/>
            <w:hideMark/>
          </w:tcPr>
          <w:p w14:paraId="5616A87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33327</w:t>
            </w:r>
          </w:p>
        </w:tc>
        <w:tc>
          <w:tcPr>
            <w:tcW w:w="1345" w:type="dxa"/>
            <w:tcBorders>
              <w:top w:val="nil"/>
              <w:left w:val="nil"/>
              <w:bottom w:val="single" w:sz="4" w:space="0" w:color="auto"/>
              <w:right w:val="single" w:sz="8" w:space="0" w:color="auto"/>
            </w:tcBorders>
            <w:shd w:val="clear" w:color="auto" w:fill="auto"/>
            <w:noWrap/>
          </w:tcPr>
          <w:p w14:paraId="3E49E53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0.0</w:t>
            </w:r>
          </w:p>
        </w:tc>
      </w:tr>
      <w:tr w:rsidR="008D72DB" w:rsidRPr="00081070" w14:paraId="3E32D884"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3BA60A7"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2011</w:t>
            </w:r>
          </w:p>
        </w:tc>
        <w:tc>
          <w:tcPr>
            <w:tcW w:w="5316" w:type="dxa"/>
            <w:tcBorders>
              <w:top w:val="nil"/>
              <w:left w:val="nil"/>
              <w:bottom w:val="single" w:sz="4" w:space="0" w:color="auto"/>
              <w:right w:val="single" w:sz="4" w:space="0" w:color="auto"/>
            </w:tcBorders>
            <w:shd w:val="clear" w:color="auto" w:fill="auto"/>
            <w:noWrap/>
            <w:vAlign w:val="center"/>
            <w:hideMark/>
          </w:tcPr>
          <w:p w14:paraId="501ADBDB"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Filtering or purifying machinery and apparatus</w:t>
            </w:r>
          </w:p>
        </w:tc>
        <w:tc>
          <w:tcPr>
            <w:tcW w:w="1340" w:type="dxa"/>
            <w:tcBorders>
              <w:top w:val="nil"/>
              <w:left w:val="nil"/>
              <w:bottom w:val="single" w:sz="4" w:space="0" w:color="auto"/>
              <w:right w:val="single" w:sz="4" w:space="0" w:color="auto"/>
            </w:tcBorders>
            <w:shd w:val="clear" w:color="auto" w:fill="auto"/>
            <w:noWrap/>
            <w:hideMark/>
          </w:tcPr>
          <w:p w14:paraId="31713DB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398</w:t>
            </w:r>
          </w:p>
        </w:tc>
        <w:tc>
          <w:tcPr>
            <w:tcW w:w="1320" w:type="dxa"/>
            <w:tcBorders>
              <w:top w:val="nil"/>
              <w:left w:val="nil"/>
              <w:bottom w:val="single" w:sz="4" w:space="0" w:color="auto"/>
              <w:right w:val="single" w:sz="4" w:space="0" w:color="auto"/>
            </w:tcBorders>
            <w:shd w:val="clear" w:color="auto" w:fill="auto"/>
            <w:noWrap/>
            <w:hideMark/>
          </w:tcPr>
          <w:p w14:paraId="6058A709"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350764</w:t>
            </w:r>
          </w:p>
        </w:tc>
        <w:tc>
          <w:tcPr>
            <w:tcW w:w="1345" w:type="dxa"/>
            <w:tcBorders>
              <w:top w:val="nil"/>
              <w:left w:val="nil"/>
              <w:bottom w:val="single" w:sz="4" w:space="0" w:color="auto"/>
              <w:right w:val="single" w:sz="8" w:space="0" w:color="auto"/>
            </w:tcBorders>
            <w:shd w:val="clear" w:color="auto" w:fill="auto"/>
            <w:noWrap/>
          </w:tcPr>
          <w:p w14:paraId="440CE826"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0.0</w:t>
            </w:r>
          </w:p>
        </w:tc>
      </w:tr>
      <w:tr w:rsidR="008D72DB" w:rsidRPr="00081070" w14:paraId="3BBD8D66"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FA90A35"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52F96D5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Vinegar and substitutes for vinegar obtained </w:t>
            </w:r>
            <w:proofErr w:type="spellStart"/>
            <w:r w:rsidRPr="008D72DB">
              <w:rPr>
                <w:rFonts w:ascii="Calibri" w:eastAsia="Times New Roman" w:hAnsi="Calibri" w:cs="Times New Roman"/>
                <w:color w:val="000000"/>
                <w:sz w:val="18"/>
                <w:szCs w:val="18"/>
                <w:lang w:val="en-GB" w:eastAsia="en-GB"/>
              </w:rPr>
              <w:t>fr</w:t>
            </w:r>
            <w:proofErr w:type="spellEnd"/>
          </w:p>
        </w:tc>
        <w:tc>
          <w:tcPr>
            <w:tcW w:w="1340" w:type="dxa"/>
            <w:tcBorders>
              <w:top w:val="nil"/>
              <w:left w:val="nil"/>
              <w:bottom w:val="single" w:sz="4" w:space="0" w:color="auto"/>
              <w:right w:val="single" w:sz="4" w:space="0" w:color="auto"/>
            </w:tcBorders>
            <w:shd w:val="clear" w:color="auto" w:fill="auto"/>
            <w:noWrap/>
            <w:hideMark/>
          </w:tcPr>
          <w:p w14:paraId="45E3A30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160</w:t>
            </w:r>
          </w:p>
        </w:tc>
        <w:tc>
          <w:tcPr>
            <w:tcW w:w="1320" w:type="dxa"/>
            <w:tcBorders>
              <w:top w:val="nil"/>
              <w:left w:val="nil"/>
              <w:bottom w:val="single" w:sz="4" w:space="0" w:color="auto"/>
              <w:right w:val="single" w:sz="4" w:space="0" w:color="auto"/>
            </w:tcBorders>
            <w:shd w:val="clear" w:color="auto" w:fill="auto"/>
            <w:noWrap/>
            <w:hideMark/>
          </w:tcPr>
          <w:p w14:paraId="48F12A6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160</w:t>
            </w:r>
          </w:p>
        </w:tc>
        <w:tc>
          <w:tcPr>
            <w:tcW w:w="1345" w:type="dxa"/>
            <w:tcBorders>
              <w:top w:val="nil"/>
              <w:left w:val="nil"/>
              <w:bottom w:val="single" w:sz="4" w:space="0" w:color="auto"/>
              <w:right w:val="single" w:sz="8" w:space="0" w:color="auto"/>
            </w:tcBorders>
            <w:shd w:val="clear" w:color="auto" w:fill="auto"/>
            <w:noWrap/>
          </w:tcPr>
          <w:p w14:paraId="66F40DAD"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1.0</w:t>
            </w:r>
          </w:p>
        </w:tc>
      </w:tr>
      <w:tr w:rsidR="008D72DB" w:rsidRPr="00081070" w14:paraId="0B58DCB4"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1E65CF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2D88700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Surgical gloves</w:t>
            </w:r>
          </w:p>
        </w:tc>
        <w:tc>
          <w:tcPr>
            <w:tcW w:w="1340" w:type="dxa"/>
            <w:tcBorders>
              <w:top w:val="nil"/>
              <w:left w:val="nil"/>
              <w:bottom w:val="single" w:sz="4" w:space="0" w:color="auto"/>
              <w:right w:val="single" w:sz="4" w:space="0" w:color="auto"/>
            </w:tcBorders>
            <w:shd w:val="clear" w:color="auto" w:fill="auto"/>
            <w:noWrap/>
            <w:hideMark/>
          </w:tcPr>
          <w:p w14:paraId="663F8F2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333</w:t>
            </w:r>
          </w:p>
        </w:tc>
        <w:tc>
          <w:tcPr>
            <w:tcW w:w="1320" w:type="dxa"/>
            <w:tcBorders>
              <w:top w:val="nil"/>
              <w:left w:val="nil"/>
              <w:bottom w:val="single" w:sz="4" w:space="0" w:color="auto"/>
              <w:right w:val="single" w:sz="4" w:space="0" w:color="auto"/>
            </w:tcBorders>
            <w:shd w:val="clear" w:color="auto" w:fill="auto"/>
            <w:noWrap/>
            <w:hideMark/>
          </w:tcPr>
          <w:p w14:paraId="2F6351E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349</w:t>
            </w:r>
          </w:p>
        </w:tc>
        <w:tc>
          <w:tcPr>
            <w:tcW w:w="1345" w:type="dxa"/>
            <w:tcBorders>
              <w:top w:val="nil"/>
              <w:left w:val="nil"/>
              <w:bottom w:val="single" w:sz="4" w:space="0" w:color="auto"/>
              <w:right w:val="single" w:sz="8" w:space="0" w:color="auto"/>
            </w:tcBorders>
            <w:shd w:val="clear" w:color="auto" w:fill="auto"/>
            <w:noWrap/>
          </w:tcPr>
          <w:p w14:paraId="104A3ED3"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1.0</w:t>
            </w:r>
          </w:p>
        </w:tc>
      </w:tr>
      <w:tr w:rsidR="008D72DB" w:rsidRPr="00081070" w14:paraId="63A15551"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B1793C5"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028CD71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Syringes, with or without needles</w:t>
            </w:r>
          </w:p>
        </w:tc>
        <w:tc>
          <w:tcPr>
            <w:tcW w:w="1340" w:type="dxa"/>
            <w:tcBorders>
              <w:top w:val="nil"/>
              <w:left w:val="nil"/>
              <w:bottom w:val="single" w:sz="4" w:space="0" w:color="auto"/>
              <w:right w:val="single" w:sz="4" w:space="0" w:color="auto"/>
            </w:tcBorders>
            <w:shd w:val="clear" w:color="auto" w:fill="auto"/>
            <w:noWrap/>
            <w:hideMark/>
          </w:tcPr>
          <w:p w14:paraId="7025589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244</w:t>
            </w:r>
          </w:p>
        </w:tc>
        <w:tc>
          <w:tcPr>
            <w:tcW w:w="1320" w:type="dxa"/>
            <w:tcBorders>
              <w:top w:val="nil"/>
              <w:left w:val="nil"/>
              <w:bottom w:val="single" w:sz="4" w:space="0" w:color="auto"/>
              <w:right w:val="single" w:sz="4" w:space="0" w:color="auto"/>
            </w:tcBorders>
            <w:shd w:val="clear" w:color="auto" w:fill="auto"/>
            <w:noWrap/>
            <w:hideMark/>
          </w:tcPr>
          <w:p w14:paraId="63C55A2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264</w:t>
            </w:r>
          </w:p>
        </w:tc>
        <w:tc>
          <w:tcPr>
            <w:tcW w:w="1345" w:type="dxa"/>
            <w:tcBorders>
              <w:top w:val="nil"/>
              <w:left w:val="nil"/>
              <w:bottom w:val="single" w:sz="4" w:space="0" w:color="auto"/>
              <w:right w:val="single" w:sz="8" w:space="0" w:color="auto"/>
            </w:tcBorders>
            <w:shd w:val="clear" w:color="auto" w:fill="auto"/>
            <w:noWrap/>
          </w:tcPr>
          <w:p w14:paraId="25204FC7"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0.9</w:t>
            </w:r>
          </w:p>
        </w:tc>
      </w:tr>
      <w:tr w:rsidR="008D72DB" w:rsidRPr="00081070" w14:paraId="0CEC9E56"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F52DDF7"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691A28E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Eye make-up preparations</w:t>
            </w:r>
          </w:p>
        </w:tc>
        <w:tc>
          <w:tcPr>
            <w:tcW w:w="1340" w:type="dxa"/>
            <w:tcBorders>
              <w:top w:val="nil"/>
              <w:left w:val="nil"/>
              <w:bottom w:val="single" w:sz="4" w:space="0" w:color="auto"/>
              <w:right w:val="single" w:sz="4" w:space="0" w:color="auto"/>
            </w:tcBorders>
            <w:shd w:val="clear" w:color="auto" w:fill="auto"/>
            <w:noWrap/>
            <w:hideMark/>
          </w:tcPr>
          <w:p w14:paraId="2B9F9CB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118</w:t>
            </w:r>
          </w:p>
        </w:tc>
        <w:tc>
          <w:tcPr>
            <w:tcW w:w="1320" w:type="dxa"/>
            <w:tcBorders>
              <w:top w:val="nil"/>
              <w:left w:val="nil"/>
              <w:bottom w:val="single" w:sz="4" w:space="0" w:color="auto"/>
              <w:right w:val="single" w:sz="4" w:space="0" w:color="auto"/>
            </w:tcBorders>
            <w:shd w:val="clear" w:color="auto" w:fill="auto"/>
            <w:noWrap/>
            <w:hideMark/>
          </w:tcPr>
          <w:p w14:paraId="254B721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107</w:t>
            </w:r>
          </w:p>
        </w:tc>
        <w:tc>
          <w:tcPr>
            <w:tcW w:w="1345" w:type="dxa"/>
            <w:tcBorders>
              <w:top w:val="nil"/>
              <w:left w:val="nil"/>
              <w:bottom w:val="single" w:sz="4" w:space="0" w:color="auto"/>
              <w:right w:val="single" w:sz="8" w:space="0" w:color="auto"/>
            </w:tcBorders>
            <w:shd w:val="clear" w:color="auto" w:fill="auto"/>
            <w:noWrap/>
          </w:tcPr>
          <w:p w14:paraId="5A65C2BC"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1.1</w:t>
            </w:r>
          </w:p>
        </w:tc>
      </w:tr>
      <w:tr w:rsidR="008D72DB" w:rsidRPr="00081070" w14:paraId="3D27E3CD"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C82FC44"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7814B14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Freezers of the upright type, not exceeding 900</w:t>
            </w:r>
          </w:p>
        </w:tc>
        <w:tc>
          <w:tcPr>
            <w:tcW w:w="1340" w:type="dxa"/>
            <w:tcBorders>
              <w:top w:val="nil"/>
              <w:left w:val="nil"/>
              <w:bottom w:val="single" w:sz="4" w:space="0" w:color="auto"/>
              <w:right w:val="single" w:sz="4" w:space="0" w:color="auto"/>
            </w:tcBorders>
            <w:shd w:val="clear" w:color="auto" w:fill="auto"/>
            <w:noWrap/>
            <w:hideMark/>
          </w:tcPr>
          <w:p w14:paraId="4CE25600"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6734</w:t>
            </w:r>
          </w:p>
        </w:tc>
        <w:tc>
          <w:tcPr>
            <w:tcW w:w="1320" w:type="dxa"/>
            <w:tcBorders>
              <w:top w:val="nil"/>
              <w:left w:val="nil"/>
              <w:bottom w:val="single" w:sz="4" w:space="0" w:color="auto"/>
              <w:right w:val="single" w:sz="4" w:space="0" w:color="auto"/>
            </w:tcBorders>
            <w:shd w:val="clear" w:color="auto" w:fill="auto"/>
            <w:noWrap/>
            <w:hideMark/>
          </w:tcPr>
          <w:p w14:paraId="220A0A0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4859</w:t>
            </w:r>
          </w:p>
        </w:tc>
        <w:tc>
          <w:tcPr>
            <w:tcW w:w="1345" w:type="dxa"/>
            <w:tcBorders>
              <w:top w:val="nil"/>
              <w:left w:val="nil"/>
              <w:bottom w:val="single" w:sz="4" w:space="0" w:color="auto"/>
              <w:right w:val="single" w:sz="8" w:space="0" w:color="auto"/>
            </w:tcBorders>
            <w:shd w:val="clear" w:color="auto" w:fill="auto"/>
            <w:noWrap/>
          </w:tcPr>
          <w:p w14:paraId="76307C92"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1.4</w:t>
            </w:r>
          </w:p>
        </w:tc>
      </w:tr>
      <w:tr w:rsidR="008D72DB" w:rsidRPr="00081070" w14:paraId="72E142D1"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E5B059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44F15A33" w14:textId="4FD88D86" w:rsidR="008D72DB" w:rsidRPr="008D72DB" w:rsidRDefault="008D72DB" w:rsidP="00610EF0">
            <w:pPr>
              <w:spacing w:after="0" w:line="240" w:lineRule="auto"/>
              <w:jc w:val="center"/>
              <w:rPr>
                <w:rFonts w:ascii="Calibri" w:eastAsia="Times New Roman" w:hAnsi="Calibri" w:cs="Times New Roman"/>
                <w:color w:val="000000"/>
                <w:sz w:val="18"/>
                <w:szCs w:val="18"/>
                <w:lang w:eastAsia="en-GB"/>
              </w:rPr>
            </w:pPr>
            <w:proofErr w:type="spellStart"/>
            <w:r w:rsidRPr="008D72DB">
              <w:rPr>
                <w:rFonts w:ascii="Calibri" w:eastAsia="Times New Roman" w:hAnsi="Calibri" w:cs="Times New Roman"/>
                <w:color w:val="000000"/>
                <w:sz w:val="18"/>
                <w:szCs w:val="18"/>
                <w:lang w:eastAsia="en-GB"/>
              </w:rPr>
              <w:t>Other</w:t>
            </w:r>
            <w:proofErr w:type="spellEnd"/>
            <w:r w:rsidR="004D3684">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jams</w:t>
            </w:r>
            <w:proofErr w:type="spellEnd"/>
            <w:r w:rsidRPr="008D72DB">
              <w:rPr>
                <w:rFonts w:ascii="Calibri" w:eastAsia="Times New Roman" w:hAnsi="Calibri" w:cs="Times New Roman"/>
                <w:color w:val="000000"/>
                <w:sz w:val="18"/>
                <w:szCs w:val="18"/>
                <w:lang w:eastAsia="en-GB"/>
              </w:rPr>
              <w:t xml:space="preserve">, fruit </w:t>
            </w:r>
            <w:proofErr w:type="spellStart"/>
            <w:r w:rsidRPr="008D72DB">
              <w:rPr>
                <w:rFonts w:ascii="Calibri" w:eastAsia="Times New Roman" w:hAnsi="Calibri" w:cs="Times New Roman"/>
                <w:color w:val="000000"/>
                <w:sz w:val="18"/>
                <w:szCs w:val="18"/>
                <w:lang w:eastAsia="en-GB"/>
              </w:rPr>
              <w:t>jellies</w:t>
            </w:r>
            <w:proofErr w:type="spellEnd"/>
            <w:r w:rsidRPr="008D72DB">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marmalades</w:t>
            </w:r>
            <w:proofErr w:type="spellEnd"/>
            <w:r w:rsidRPr="008D72DB">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etc</w:t>
            </w:r>
            <w:proofErr w:type="spellEnd"/>
            <w:r w:rsidRPr="008D72DB">
              <w:rPr>
                <w:rFonts w:ascii="Calibri" w:eastAsia="Times New Roman" w:hAnsi="Calibri" w:cs="Times New Roman"/>
                <w:color w:val="000000"/>
                <w:sz w:val="18"/>
                <w:szCs w:val="18"/>
                <w:lang w:eastAsia="en-GB"/>
              </w:rPr>
              <w:t xml:space="preserve">, </w:t>
            </w:r>
            <w:proofErr w:type="spellStart"/>
            <w:r w:rsidRPr="008D72DB">
              <w:rPr>
                <w:rFonts w:ascii="Calibri" w:eastAsia="Times New Roman" w:hAnsi="Calibri" w:cs="Times New Roman"/>
                <w:color w:val="000000"/>
                <w:sz w:val="18"/>
                <w:szCs w:val="18"/>
                <w:lang w:eastAsia="en-GB"/>
              </w:rPr>
              <w:t>bei</w:t>
            </w:r>
            <w:proofErr w:type="spellEnd"/>
          </w:p>
        </w:tc>
        <w:tc>
          <w:tcPr>
            <w:tcW w:w="1340" w:type="dxa"/>
            <w:tcBorders>
              <w:top w:val="nil"/>
              <w:left w:val="nil"/>
              <w:bottom w:val="single" w:sz="4" w:space="0" w:color="auto"/>
              <w:right w:val="single" w:sz="4" w:space="0" w:color="auto"/>
            </w:tcBorders>
            <w:shd w:val="clear" w:color="auto" w:fill="auto"/>
            <w:noWrap/>
            <w:hideMark/>
          </w:tcPr>
          <w:p w14:paraId="7A1E3E2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997</w:t>
            </w:r>
          </w:p>
        </w:tc>
        <w:tc>
          <w:tcPr>
            <w:tcW w:w="1320" w:type="dxa"/>
            <w:tcBorders>
              <w:top w:val="nil"/>
              <w:left w:val="nil"/>
              <w:bottom w:val="single" w:sz="4" w:space="0" w:color="auto"/>
              <w:right w:val="single" w:sz="4" w:space="0" w:color="auto"/>
            </w:tcBorders>
            <w:shd w:val="clear" w:color="auto" w:fill="auto"/>
            <w:noWrap/>
            <w:hideMark/>
          </w:tcPr>
          <w:p w14:paraId="75434005"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1559</w:t>
            </w:r>
          </w:p>
        </w:tc>
        <w:tc>
          <w:tcPr>
            <w:tcW w:w="1345" w:type="dxa"/>
            <w:tcBorders>
              <w:top w:val="nil"/>
              <w:left w:val="nil"/>
              <w:bottom w:val="single" w:sz="4" w:space="0" w:color="auto"/>
              <w:right w:val="single" w:sz="8" w:space="0" w:color="auto"/>
            </w:tcBorders>
            <w:shd w:val="clear" w:color="auto" w:fill="auto"/>
            <w:noWrap/>
          </w:tcPr>
          <w:p w14:paraId="2FFC0890"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0.6</w:t>
            </w:r>
          </w:p>
        </w:tc>
      </w:tr>
      <w:tr w:rsidR="008D72DB" w:rsidRPr="00081070" w14:paraId="452D7A34"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6CD4935"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4C7E44B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Sanitary towels and tampons, napkins and napkin</w:t>
            </w:r>
          </w:p>
        </w:tc>
        <w:tc>
          <w:tcPr>
            <w:tcW w:w="1340" w:type="dxa"/>
            <w:tcBorders>
              <w:top w:val="nil"/>
              <w:left w:val="nil"/>
              <w:bottom w:val="single" w:sz="4" w:space="0" w:color="auto"/>
              <w:right w:val="single" w:sz="4" w:space="0" w:color="auto"/>
            </w:tcBorders>
            <w:shd w:val="clear" w:color="auto" w:fill="auto"/>
            <w:noWrap/>
            <w:hideMark/>
          </w:tcPr>
          <w:p w14:paraId="231E8E0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74338</w:t>
            </w:r>
          </w:p>
        </w:tc>
        <w:tc>
          <w:tcPr>
            <w:tcW w:w="1320" w:type="dxa"/>
            <w:tcBorders>
              <w:top w:val="nil"/>
              <w:left w:val="nil"/>
              <w:bottom w:val="single" w:sz="4" w:space="0" w:color="auto"/>
              <w:right w:val="single" w:sz="4" w:space="0" w:color="auto"/>
            </w:tcBorders>
            <w:shd w:val="clear" w:color="auto" w:fill="auto"/>
            <w:noWrap/>
            <w:hideMark/>
          </w:tcPr>
          <w:p w14:paraId="663C485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31932</w:t>
            </w:r>
          </w:p>
        </w:tc>
        <w:tc>
          <w:tcPr>
            <w:tcW w:w="1345" w:type="dxa"/>
            <w:tcBorders>
              <w:top w:val="nil"/>
              <w:left w:val="nil"/>
              <w:bottom w:val="single" w:sz="4" w:space="0" w:color="auto"/>
              <w:right w:val="single" w:sz="8" w:space="0" w:color="auto"/>
            </w:tcBorders>
            <w:shd w:val="clear" w:color="auto" w:fill="auto"/>
            <w:noWrap/>
          </w:tcPr>
          <w:p w14:paraId="31AFED40"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2.3</w:t>
            </w:r>
          </w:p>
        </w:tc>
      </w:tr>
      <w:tr w:rsidR="008D72DB" w:rsidRPr="00081070" w14:paraId="03D1ADB7"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CB6017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6D62431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Soap and organic surface-active products in bar</w:t>
            </w:r>
          </w:p>
        </w:tc>
        <w:tc>
          <w:tcPr>
            <w:tcW w:w="1340" w:type="dxa"/>
            <w:tcBorders>
              <w:top w:val="nil"/>
              <w:left w:val="nil"/>
              <w:bottom w:val="single" w:sz="4" w:space="0" w:color="auto"/>
              <w:right w:val="single" w:sz="4" w:space="0" w:color="auto"/>
            </w:tcBorders>
            <w:shd w:val="clear" w:color="auto" w:fill="auto"/>
            <w:noWrap/>
            <w:hideMark/>
          </w:tcPr>
          <w:p w14:paraId="6DB57B2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882</w:t>
            </w:r>
          </w:p>
        </w:tc>
        <w:tc>
          <w:tcPr>
            <w:tcW w:w="1320" w:type="dxa"/>
            <w:tcBorders>
              <w:top w:val="nil"/>
              <w:left w:val="nil"/>
              <w:bottom w:val="single" w:sz="4" w:space="0" w:color="auto"/>
              <w:right w:val="single" w:sz="4" w:space="0" w:color="auto"/>
            </w:tcBorders>
            <w:shd w:val="clear" w:color="auto" w:fill="auto"/>
            <w:noWrap/>
            <w:hideMark/>
          </w:tcPr>
          <w:p w14:paraId="6641D23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278</w:t>
            </w:r>
          </w:p>
        </w:tc>
        <w:tc>
          <w:tcPr>
            <w:tcW w:w="1345" w:type="dxa"/>
            <w:tcBorders>
              <w:top w:val="nil"/>
              <w:left w:val="nil"/>
              <w:bottom w:val="single" w:sz="4" w:space="0" w:color="auto"/>
              <w:right w:val="single" w:sz="8" w:space="0" w:color="auto"/>
            </w:tcBorders>
            <w:shd w:val="clear" w:color="auto" w:fill="auto"/>
            <w:noWrap/>
          </w:tcPr>
          <w:p w14:paraId="062991F9"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3.2</w:t>
            </w:r>
          </w:p>
        </w:tc>
      </w:tr>
      <w:tr w:rsidR="008D72DB" w:rsidRPr="00081070" w14:paraId="1EBE3905"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E01F80F"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4C96223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Sodium </w:t>
            </w:r>
            <w:proofErr w:type="spellStart"/>
            <w:r w:rsidRPr="008D72DB">
              <w:rPr>
                <w:rFonts w:ascii="Calibri" w:eastAsia="Times New Roman" w:hAnsi="Calibri" w:cs="Times New Roman"/>
                <w:color w:val="000000"/>
                <w:sz w:val="18"/>
                <w:szCs w:val="18"/>
                <w:lang w:val="en-GB" w:eastAsia="en-GB"/>
              </w:rPr>
              <w:t>hydrogencarbonate</w:t>
            </w:r>
            <w:proofErr w:type="spellEnd"/>
            <w:r w:rsidRPr="008D72DB">
              <w:rPr>
                <w:rFonts w:ascii="Calibri" w:eastAsia="Times New Roman" w:hAnsi="Calibri" w:cs="Times New Roman"/>
                <w:color w:val="000000"/>
                <w:sz w:val="18"/>
                <w:szCs w:val="18"/>
                <w:lang w:val="en-GB" w:eastAsia="en-GB"/>
              </w:rPr>
              <w:t xml:space="preserve"> (sodium bicarbonate)</w:t>
            </w:r>
          </w:p>
        </w:tc>
        <w:tc>
          <w:tcPr>
            <w:tcW w:w="1340" w:type="dxa"/>
            <w:tcBorders>
              <w:top w:val="nil"/>
              <w:left w:val="nil"/>
              <w:bottom w:val="single" w:sz="4" w:space="0" w:color="auto"/>
              <w:right w:val="single" w:sz="4" w:space="0" w:color="auto"/>
            </w:tcBorders>
            <w:shd w:val="clear" w:color="auto" w:fill="auto"/>
            <w:noWrap/>
            <w:hideMark/>
          </w:tcPr>
          <w:p w14:paraId="36ABEF8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26487</w:t>
            </w:r>
          </w:p>
        </w:tc>
        <w:tc>
          <w:tcPr>
            <w:tcW w:w="1320" w:type="dxa"/>
            <w:tcBorders>
              <w:top w:val="nil"/>
              <w:left w:val="nil"/>
              <w:bottom w:val="single" w:sz="4" w:space="0" w:color="auto"/>
              <w:right w:val="single" w:sz="4" w:space="0" w:color="auto"/>
            </w:tcBorders>
            <w:shd w:val="clear" w:color="auto" w:fill="auto"/>
            <w:noWrap/>
            <w:hideMark/>
          </w:tcPr>
          <w:p w14:paraId="7D11BDF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46570</w:t>
            </w:r>
          </w:p>
        </w:tc>
        <w:tc>
          <w:tcPr>
            <w:tcW w:w="1345" w:type="dxa"/>
            <w:tcBorders>
              <w:top w:val="nil"/>
              <w:left w:val="nil"/>
              <w:bottom w:val="single" w:sz="4" w:space="0" w:color="auto"/>
              <w:right w:val="single" w:sz="8" w:space="0" w:color="auto"/>
            </w:tcBorders>
            <w:shd w:val="clear" w:color="auto" w:fill="auto"/>
            <w:noWrap/>
          </w:tcPr>
          <w:p w14:paraId="2CB1094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0.6</w:t>
            </w:r>
          </w:p>
        </w:tc>
      </w:tr>
      <w:tr w:rsidR="008D72DB" w:rsidRPr="00081070" w14:paraId="65632953"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29E4631" w14:textId="77777777" w:rsidR="008D72DB" w:rsidRPr="008D72DB" w:rsidRDefault="008D72DB" w:rsidP="00610EF0">
            <w:pPr>
              <w:spacing w:after="0" w:line="240" w:lineRule="auto"/>
              <w:jc w:val="center"/>
              <w:rPr>
                <w:rFonts w:ascii="Calibri" w:eastAsia="Times New Roman" w:hAnsi="Calibri" w:cs="Times New Roman"/>
                <w:b/>
                <w:i/>
                <w:iCs/>
                <w:color w:val="000000"/>
                <w:sz w:val="18"/>
                <w:szCs w:val="18"/>
                <w:lang w:val="en-GB" w:eastAsia="en-GB"/>
              </w:rPr>
            </w:pPr>
            <w:r w:rsidRPr="008D72DB">
              <w:rPr>
                <w:rFonts w:ascii="Calibri" w:eastAsia="Times New Roman" w:hAnsi="Calibri" w:cs="Times New Roman"/>
                <w:b/>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0CF78352" w14:textId="77777777" w:rsidR="008D72DB" w:rsidRPr="008D72DB" w:rsidRDefault="008D72DB" w:rsidP="00610EF0">
            <w:pPr>
              <w:spacing w:after="0" w:line="240" w:lineRule="auto"/>
              <w:jc w:val="center"/>
              <w:rPr>
                <w:rFonts w:ascii="Calibri" w:eastAsia="Times New Roman" w:hAnsi="Calibri" w:cs="Times New Roman"/>
                <w:b/>
                <w:color w:val="000000"/>
                <w:sz w:val="18"/>
                <w:szCs w:val="18"/>
                <w:lang w:val="en-GB" w:eastAsia="en-GB"/>
              </w:rPr>
            </w:pPr>
            <w:r w:rsidRPr="008D72DB">
              <w:rPr>
                <w:rFonts w:ascii="Calibri" w:eastAsia="Times New Roman" w:hAnsi="Calibri" w:cs="Times New Roman"/>
                <w:b/>
                <w:color w:val="000000"/>
                <w:sz w:val="18"/>
                <w:szCs w:val="18"/>
                <w:lang w:val="en-GB" w:eastAsia="en-GB"/>
              </w:rPr>
              <w:t xml:space="preserve">Garments of cotton, knitted or crocheted, </w:t>
            </w:r>
            <w:proofErr w:type="spellStart"/>
            <w:r w:rsidRPr="008D72DB">
              <w:rPr>
                <w:rFonts w:ascii="Calibri" w:eastAsia="Times New Roman" w:hAnsi="Calibri" w:cs="Times New Roman"/>
                <w:b/>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0E75992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1287</w:t>
            </w:r>
          </w:p>
        </w:tc>
        <w:tc>
          <w:tcPr>
            <w:tcW w:w="1320" w:type="dxa"/>
            <w:tcBorders>
              <w:top w:val="nil"/>
              <w:left w:val="nil"/>
              <w:bottom w:val="single" w:sz="4" w:space="0" w:color="auto"/>
              <w:right w:val="single" w:sz="4" w:space="0" w:color="auto"/>
            </w:tcBorders>
            <w:shd w:val="clear" w:color="auto" w:fill="auto"/>
            <w:noWrap/>
            <w:hideMark/>
          </w:tcPr>
          <w:p w14:paraId="5080B4F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25</w:t>
            </w:r>
          </w:p>
        </w:tc>
        <w:tc>
          <w:tcPr>
            <w:tcW w:w="1345" w:type="dxa"/>
            <w:tcBorders>
              <w:top w:val="nil"/>
              <w:left w:val="nil"/>
              <w:bottom w:val="single" w:sz="4" w:space="0" w:color="auto"/>
              <w:right w:val="single" w:sz="8" w:space="0" w:color="auto"/>
            </w:tcBorders>
            <w:shd w:val="clear" w:color="auto" w:fill="auto"/>
            <w:noWrap/>
          </w:tcPr>
          <w:p w14:paraId="74AB297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51.5</w:t>
            </w:r>
          </w:p>
        </w:tc>
      </w:tr>
      <w:tr w:rsidR="008D72DB" w:rsidRPr="00081070" w14:paraId="71F99496"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83546AC" w14:textId="77777777" w:rsidR="008D72DB" w:rsidRPr="008D72DB" w:rsidRDefault="008D72DB" w:rsidP="00610EF0">
            <w:pPr>
              <w:spacing w:after="0" w:line="240" w:lineRule="auto"/>
              <w:jc w:val="center"/>
              <w:rPr>
                <w:rFonts w:ascii="Calibri" w:eastAsia="Times New Roman" w:hAnsi="Calibri" w:cs="Times New Roman"/>
                <w:b/>
                <w:i/>
                <w:iCs/>
                <w:color w:val="000000"/>
                <w:sz w:val="18"/>
                <w:szCs w:val="18"/>
                <w:lang w:val="en-GB" w:eastAsia="en-GB"/>
              </w:rPr>
            </w:pPr>
            <w:r w:rsidRPr="008D72DB">
              <w:rPr>
                <w:rFonts w:ascii="Calibri" w:eastAsia="Times New Roman" w:hAnsi="Calibri" w:cs="Times New Roman"/>
                <w:b/>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1EE4EF15" w14:textId="77777777" w:rsidR="008D72DB" w:rsidRPr="008D72DB" w:rsidRDefault="008D72DB" w:rsidP="00610EF0">
            <w:pPr>
              <w:spacing w:after="0" w:line="240" w:lineRule="auto"/>
              <w:jc w:val="center"/>
              <w:rPr>
                <w:rFonts w:ascii="Calibri" w:eastAsia="Times New Roman" w:hAnsi="Calibri" w:cs="Times New Roman"/>
                <w:b/>
                <w:color w:val="000000"/>
                <w:sz w:val="18"/>
                <w:szCs w:val="18"/>
                <w:lang w:val="en-GB" w:eastAsia="en-GB"/>
              </w:rPr>
            </w:pPr>
            <w:r w:rsidRPr="008D72DB">
              <w:rPr>
                <w:rFonts w:ascii="Calibri" w:eastAsia="Times New Roman" w:hAnsi="Calibri" w:cs="Times New Roman"/>
                <w:b/>
                <w:color w:val="000000"/>
                <w:sz w:val="18"/>
                <w:szCs w:val="18"/>
                <w:lang w:val="en-GB" w:eastAsia="en-GB"/>
              </w:rPr>
              <w:t xml:space="preserve">Uncooked pasta, not containing eggs, not </w:t>
            </w:r>
            <w:proofErr w:type="spellStart"/>
            <w:r w:rsidRPr="008D72DB">
              <w:rPr>
                <w:rFonts w:ascii="Calibri" w:eastAsia="Times New Roman" w:hAnsi="Calibri" w:cs="Times New Roman"/>
                <w:b/>
                <w:color w:val="000000"/>
                <w:sz w:val="18"/>
                <w:szCs w:val="18"/>
                <w:lang w:val="en-GB" w:eastAsia="en-GB"/>
              </w:rPr>
              <w:t>stuffe</w:t>
            </w:r>
            <w:proofErr w:type="spellEnd"/>
          </w:p>
        </w:tc>
        <w:tc>
          <w:tcPr>
            <w:tcW w:w="1340" w:type="dxa"/>
            <w:tcBorders>
              <w:top w:val="nil"/>
              <w:left w:val="nil"/>
              <w:bottom w:val="single" w:sz="4" w:space="0" w:color="auto"/>
              <w:right w:val="single" w:sz="4" w:space="0" w:color="auto"/>
            </w:tcBorders>
            <w:shd w:val="clear" w:color="auto" w:fill="auto"/>
            <w:noWrap/>
            <w:hideMark/>
          </w:tcPr>
          <w:p w14:paraId="4FB4ADC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43181</w:t>
            </w:r>
          </w:p>
        </w:tc>
        <w:tc>
          <w:tcPr>
            <w:tcW w:w="1320" w:type="dxa"/>
            <w:tcBorders>
              <w:top w:val="nil"/>
              <w:left w:val="nil"/>
              <w:bottom w:val="single" w:sz="4" w:space="0" w:color="auto"/>
              <w:right w:val="single" w:sz="4" w:space="0" w:color="auto"/>
            </w:tcBorders>
            <w:shd w:val="clear" w:color="auto" w:fill="auto"/>
            <w:noWrap/>
            <w:hideMark/>
          </w:tcPr>
          <w:p w14:paraId="617A96A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760</w:t>
            </w:r>
          </w:p>
        </w:tc>
        <w:tc>
          <w:tcPr>
            <w:tcW w:w="1345" w:type="dxa"/>
            <w:tcBorders>
              <w:top w:val="nil"/>
              <w:left w:val="nil"/>
              <w:bottom w:val="single" w:sz="4" w:space="0" w:color="auto"/>
              <w:right w:val="single" w:sz="8" w:space="0" w:color="auto"/>
            </w:tcBorders>
            <w:shd w:val="clear" w:color="auto" w:fill="auto"/>
            <w:noWrap/>
          </w:tcPr>
          <w:p w14:paraId="36F1B6AB"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56.8</w:t>
            </w:r>
          </w:p>
        </w:tc>
      </w:tr>
      <w:tr w:rsidR="008D72DB" w:rsidRPr="00081070" w14:paraId="7773CFAF"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EC62FDD" w14:textId="77777777" w:rsidR="008D72DB" w:rsidRPr="008D72DB" w:rsidRDefault="008D72DB" w:rsidP="00610EF0">
            <w:pPr>
              <w:spacing w:after="0" w:line="240" w:lineRule="auto"/>
              <w:jc w:val="center"/>
              <w:rPr>
                <w:rFonts w:ascii="Calibri" w:eastAsia="Times New Roman" w:hAnsi="Calibri" w:cs="Times New Roman"/>
                <w:b/>
                <w:i/>
                <w:iCs/>
                <w:color w:val="000000"/>
                <w:sz w:val="18"/>
                <w:szCs w:val="18"/>
                <w:lang w:val="en-GB" w:eastAsia="en-GB"/>
              </w:rPr>
            </w:pPr>
            <w:r w:rsidRPr="008D72DB">
              <w:rPr>
                <w:rFonts w:ascii="Calibri" w:eastAsia="Times New Roman" w:hAnsi="Calibri" w:cs="Times New Roman"/>
                <w:b/>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6426DE04" w14:textId="77777777" w:rsidR="008D72DB" w:rsidRPr="008D72DB" w:rsidRDefault="008D72DB" w:rsidP="00610EF0">
            <w:pPr>
              <w:spacing w:after="0" w:line="240" w:lineRule="auto"/>
              <w:jc w:val="center"/>
              <w:rPr>
                <w:rFonts w:ascii="Calibri" w:eastAsia="Times New Roman" w:hAnsi="Calibri" w:cs="Times New Roman"/>
                <w:b/>
                <w:color w:val="000000"/>
                <w:sz w:val="18"/>
                <w:szCs w:val="18"/>
                <w:lang w:val="en-GB" w:eastAsia="en-GB"/>
              </w:rPr>
            </w:pPr>
            <w:r w:rsidRPr="008D72DB">
              <w:rPr>
                <w:rFonts w:ascii="Calibri" w:eastAsia="Times New Roman" w:hAnsi="Calibri" w:cs="Times New Roman"/>
                <w:b/>
                <w:color w:val="000000"/>
                <w:sz w:val="18"/>
                <w:szCs w:val="18"/>
                <w:lang w:val="en-GB" w:eastAsia="en-GB"/>
              </w:rPr>
              <w:t>Couscous</w:t>
            </w:r>
          </w:p>
        </w:tc>
        <w:tc>
          <w:tcPr>
            <w:tcW w:w="1340" w:type="dxa"/>
            <w:tcBorders>
              <w:top w:val="nil"/>
              <w:left w:val="nil"/>
              <w:bottom w:val="single" w:sz="4" w:space="0" w:color="auto"/>
              <w:right w:val="single" w:sz="4" w:space="0" w:color="auto"/>
            </w:tcBorders>
            <w:shd w:val="clear" w:color="auto" w:fill="auto"/>
            <w:noWrap/>
            <w:hideMark/>
          </w:tcPr>
          <w:p w14:paraId="42202A27"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229277</w:t>
            </w:r>
          </w:p>
        </w:tc>
        <w:tc>
          <w:tcPr>
            <w:tcW w:w="1320" w:type="dxa"/>
            <w:tcBorders>
              <w:top w:val="nil"/>
              <w:left w:val="nil"/>
              <w:bottom w:val="single" w:sz="4" w:space="0" w:color="auto"/>
              <w:right w:val="single" w:sz="4" w:space="0" w:color="auto"/>
            </w:tcBorders>
            <w:shd w:val="clear" w:color="auto" w:fill="auto"/>
            <w:noWrap/>
            <w:hideMark/>
          </w:tcPr>
          <w:p w14:paraId="66FDE6D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1901</w:t>
            </w:r>
          </w:p>
        </w:tc>
        <w:tc>
          <w:tcPr>
            <w:tcW w:w="1345" w:type="dxa"/>
            <w:tcBorders>
              <w:top w:val="nil"/>
              <w:left w:val="nil"/>
              <w:bottom w:val="single" w:sz="4" w:space="0" w:color="auto"/>
              <w:right w:val="single" w:sz="8" w:space="0" w:color="auto"/>
            </w:tcBorders>
            <w:shd w:val="clear" w:color="auto" w:fill="auto"/>
            <w:noWrap/>
          </w:tcPr>
          <w:p w14:paraId="358CD929"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120.6</w:t>
            </w:r>
          </w:p>
        </w:tc>
      </w:tr>
      <w:tr w:rsidR="008D72DB" w:rsidRPr="00081070" w14:paraId="4C76ED44"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0F36BF4"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0581416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Beauty, make-up, skin-care (incl. suntan),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4AB6535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723</w:t>
            </w:r>
          </w:p>
        </w:tc>
        <w:tc>
          <w:tcPr>
            <w:tcW w:w="1320" w:type="dxa"/>
            <w:tcBorders>
              <w:top w:val="nil"/>
              <w:left w:val="nil"/>
              <w:bottom w:val="single" w:sz="4" w:space="0" w:color="auto"/>
              <w:right w:val="single" w:sz="4" w:space="0" w:color="auto"/>
            </w:tcBorders>
            <w:shd w:val="clear" w:color="auto" w:fill="auto"/>
            <w:noWrap/>
            <w:hideMark/>
          </w:tcPr>
          <w:p w14:paraId="4FA7614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1602</w:t>
            </w:r>
          </w:p>
        </w:tc>
        <w:tc>
          <w:tcPr>
            <w:tcW w:w="1345" w:type="dxa"/>
            <w:tcBorders>
              <w:top w:val="nil"/>
              <w:left w:val="nil"/>
              <w:bottom w:val="single" w:sz="4" w:space="0" w:color="auto"/>
              <w:right w:val="single" w:sz="8" w:space="0" w:color="auto"/>
            </w:tcBorders>
            <w:shd w:val="clear" w:color="auto" w:fill="auto"/>
            <w:noWrap/>
          </w:tcPr>
          <w:p w14:paraId="634AED1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0.5</w:t>
            </w:r>
          </w:p>
        </w:tc>
      </w:tr>
      <w:tr w:rsidR="008D72DB" w:rsidRPr="00081070" w14:paraId="5BCB827E"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97915FC"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054D1494"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Vegetable products, </w:t>
            </w:r>
            <w:proofErr w:type="spellStart"/>
            <w:r w:rsidRPr="008D72DB">
              <w:rPr>
                <w:rFonts w:ascii="Calibri" w:eastAsia="Times New Roman" w:hAnsi="Calibri" w:cs="Times New Roman"/>
                <w:color w:val="000000"/>
                <w:sz w:val="18"/>
                <w:szCs w:val="18"/>
                <w:lang w:val="en-GB" w:eastAsia="en-GB"/>
              </w:rPr>
              <w:t>nes</w:t>
            </w:r>
            <w:proofErr w:type="spellEnd"/>
          </w:p>
        </w:tc>
        <w:tc>
          <w:tcPr>
            <w:tcW w:w="1340" w:type="dxa"/>
            <w:tcBorders>
              <w:top w:val="nil"/>
              <w:left w:val="nil"/>
              <w:bottom w:val="single" w:sz="4" w:space="0" w:color="auto"/>
              <w:right w:val="single" w:sz="4" w:space="0" w:color="auto"/>
            </w:tcBorders>
            <w:shd w:val="clear" w:color="auto" w:fill="auto"/>
            <w:noWrap/>
            <w:hideMark/>
          </w:tcPr>
          <w:p w14:paraId="791B35CC"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132</w:t>
            </w:r>
          </w:p>
        </w:tc>
        <w:tc>
          <w:tcPr>
            <w:tcW w:w="1320" w:type="dxa"/>
            <w:tcBorders>
              <w:top w:val="nil"/>
              <w:left w:val="nil"/>
              <w:bottom w:val="single" w:sz="4" w:space="0" w:color="auto"/>
              <w:right w:val="single" w:sz="4" w:space="0" w:color="auto"/>
            </w:tcBorders>
            <w:shd w:val="clear" w:color="auto" w:fill="auto"/>
            <w:noWrap/>
            <w:hideMark/>
          </w:tcPr>
          <w:p w14:paraId="23EBD09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357</w:t>
            </w:r>
          </w:p>
        </w:tc>
        <w:tc>
          <w:tcPr>
            <w:tcW w:w="1345" w:type="dxa"/>
            <w:tcBorders>
              <w:top w:val="nil"/>
              <w:left w:val="nil"/>
              <w:bottom w:val="single" w:sz="4" w:space="0" w:color="auto"/>
              <w:right w:val="single" w:sz="8" w:space="0" w:color="auto"/>
            </w:tcBorders>
            <w:shd w:val="clear" w:color="auto" w:fill="auto"/>
            <w:noWrap/>
          </w:tcPr>
          <w:p w14:paraId="28AEFA77"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0.4</w:t>
            </w:r>
          </w:p>
        </w:tc>
      </w:tr>
      <w:tr w:rsidR="008D72DB" w:rsidRPr="00081070" w14:paraId="72BBEFD3"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959FEC1"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7C8F09ED"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Unfrozen orange juice, unfermented, not contain</w:t>
            </w:r>
          </w:p>
        </w:tc>
        <w:tc>
          <w:tcPr>
            <w:tcW w:w="1340" w:type="dxa"/>
            <w:tcBorders>
              <w:top w:val="nil"/>
              <w:left w:val="nil"/>
              <w:bottom w:val="single" w:sz="4" w:space="0" w:color="auto"/>
              <w:right w:val="single" w:sz="4" w:space="0" w:color="auto"/>
            </w:tcBorders>
            <w:shd w:val="clear" w:color="auto" w:fill="auto"/>
            <w:noWrap/>
            <w:hideMark/>
          </w:tcPr>
          <w:p w14:paraId="167CC4C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1216</w:t>
            </w:r>
          </w:p>
        </w:tc>
        <w:tc>
          <w:tcPr>
            <w:tcW w:w="1320" w:type="dxa"/>
            <w:tcBorders>
              <w:top w:val="nil"/>
              <w:left w:val="nil"/>
              <w:bottom w:val="single" w:sz="4" w:space="0" w:color="auto"/>
              <w:right w:val="single" w:sz="4" w:space="0" w:color="auto"/>
            </w:tcBorders>
            <w:shd w:val="clear" w:color="auto" w:fill="auto"/>
            <w:noWrap/>
            <w:hideMark/>
          </w:tcPr>
          <w:p w14:paraId="4B96E87B"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4771</w:t>
            </w:r>
          </w:p>
        </w:tc>
        <w:tc>
          <w:tcPr>
            <w:tcW w:w="1345" w:type="dxa"/>
            <w:tcBorders>
              <w:top w:val="nil"/>
              <w:left w:val="nil"/>
              <w:bottom w:val="single" w:sz="4" w:space="0" w:color="auto"/>
              <w:right w:val="single" w:sz="8" w:space="0" w:color="auto"/>
            </w:tcBorders>
            <w:shd w:val="clear" w:color="auto" w:fill="auto"/>
            <w:noWrap/>
          </w:tcPr>
          <w:p w14:paraId="776181C2"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0.3</w:t>
            </w:r>
          </w:p>
        </w:tc>
      </w:tr>
      <w:tr w:rsidR="008D72DB" w:rsidRPr="00081070" w14:paraId="05816AD3"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EEC77B3"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40B8E63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Perfumes and toilet waters</w:t>
            </w:r>
          </w:p>
        </w:tc>
        <w:tc>
          <w:tcPr>
            <w:tcW w:w="1340" w:type="dxa"/>
            <w:tcBorders>
              <w:top w:val="nil"/>
              <w:left w:val="nil"/>
              <w:bottom w:val="single" w:sz="4" w:space="0" w:color="auto"/>
              <w:right w:val="single" w:sz="4" w:space="0" w:color="auto"/>
            </w:tcBorders>
            <w:shd w:val="clear" w:color="auto" w:fill="auto"/>
            <w:noWrap/>
            <w:hideMark/>
          </w:tcPr>
          <w:p w14:paraId="1064C42B"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84</w:t>
            </w:r>
          </w:p>
        </w:tc>
        <w:tc>
          <w:tcPr>
            <w:tcW w:w="1320" w:type="dxa"/>
            <w:tcBorders>
              <w:top w:val="nil"/>
              <w:left w:val="nil"/>
              <w:bottom w:val="single" w:sz="4" w:space="0" w:color="auto"/>
              <w:right w:val="single" w:sz="4" w:space="0" w:color="auto"/>
            </w:tcBorders>
            <w:shd w:val="clear" w:color="auto" w:fill="auto"/>
            <w:noWrap/>
            <w:hideMark/>
          </w:tcPr>
          <w:p w14:paraId="04C66696"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345</w:t>
            </w:r>
          </w:p>
        </w:tc>
        <w:tc>
          <w:tcPr>
            <w:tcW w:w="1345" w:type="dxa"/>
            <w:tcBorders>
              <w:top w:val="nil"/>
              <w:left w:val="nil"/>
              <w:bottom w:val="single" w:sz="4" w:space="0" w:color="auto"/>
              <w:right w:val="single" w:sz="8" w:space="0" w:color="auto"/>
            </w:tcBorders>
            <w:shd w:val="clear" w:color="auto" w:fill="auto"/>
            <w:noWrap/>
          </w:tcPr>
          <w:p w14:paraId="4A5A4E7A"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0.2</w:t>
            </w:r>
          </w:p>
        </w:tc>
      </w:tr>
      <w:tr w:rsidR="008D72DB" w:rsidRPr="00081070" w14:paraId="6BF878C1"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0EBE596"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04D38988"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Manicure or pedicure preparations</w:t>
            </w:r>
          </w:p>
        </w:tc>
        <w:tc>
          <w:tcPr>
            <w:tcW w:w="1340" w:type="dxa"/>
            <w:tcBorders>
              <w:top w:val="nil"/>
              <w:left w:val="nil"/>
              <w:bottom w:val="single" w:sz="4" w:space="0" w:color="auto"/>
              <w:right w:val="single" w:sz="4" w:space="0" w:color="auto"/>
            </w:tcBorders>
            <w:shd w:val="clear" w:color="auto" w:fill="auto"/>
            <w:noWrap/>
            <w:hideMark/>
          </w:tcPr>
          <w:p w14:paraId="424FD84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86</w:t>
            </w:r>
          </w:p>
        </w:tc>
        <w:tc>
          <w:tcPr>
            <w:tcW w:w="1320" w:type="dxa"/>
            <w:tcBorders>
              <w:top w:val="nil"/>
              <w:left w:val="nil"/>
              <w:bottom w:val="single" w:sz="4" w:space="0" w:color="auto"/>
              <w:right w:val="single" w:sz="4" w:space="0" w:color="auto"/>
            </w:tcBorders>
            <w:shd w:val="clear" w:color="auto" w:fill="auto"/>
            <w:noWrap/>
            <w:hideMark/>
          </w:tcPr>
          <w:p w14:paraId="0C2A277E"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480</w:t>
            </w:r>
          </w:p>
        </w:tc>
        <w:tc>
          <w:tcPr>
            <w:tcW w:w="1345" w:type="dxa"/>
            <w:tcBorders>
              <w:top w:val="nil"/>
              <w:left w:val="nil"/>
              <w:bottom w:val="single" w:sz="4" w:space="0" w:color="auto"/>
              <w:right w:val="single" w:sz="8" w:space="0" w:color="auto"/>
            </w:tcBorders>
            <w:shd w:val="clear" w:color="auto" w:fill="auto"/>
            <w:noWrap/>
          </w:tcPr>
          <w:p w14:paraId="4839C99D"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0.2</w:t>
            </w:r>
          </w:p>
        </w:tc>
      </w:tr>
      <w:tr w:rsidR="008D72DB" w:rsidRPr="00081070" w14:paraId="1FA8220C"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63D7375"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6E832632"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 xml:space="preserve">Trade advertising material, commercial </w:t>
            </w:r>
            <w:proofErr w:type="spellStart"/>
            <w:r w:rsidRPr="008D72DB">
              <w:rPr>
                <w:rFonts w:ascii="Calibri" w:eastAsia="Times New Roman" w:hAnsi="Calibri" w:cs="Times New Roman"/>
                <w:color w:val="000000"/>
                <w:sz w:val="18"/>
                <w:szCs w:val="18"/>
                <w:lang w:val="en-GB" w:eastAsia="en-GB"/>
              </w:rPr>
              <w:t>catalogu</w:t>
            </w:r>
            <w:proofErr w:type="spellEnd"/>
          </w:p>
        </w:tc>
        <w:tc>
          <w:tcPr>
            <w:tcW w:w="1340" w:type="dxa"/>
            <w:tcBorders>
              <w:top w:val="nil"/>
              <w:left w:val="nil"/>
              <w:bottom w:val="single" w:sz="4" w:space="0" w:color="auto"/>
              <w:right w:val="single" w:sz="4" w:space="0" w:color="auto"/>
            </w:tcBorders>
            <w:shd w:val="clear" w:color="auto" w:fill="auto"/>
            <w:noWrap/>
            <w:hideMark/>
          </w:tcPr>
          <w:p w14:paraId="385D2C1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89</w:t>
            </w:r>
          </w:p>
        </w:tc>
        <w:tc>
          <w:tcPr>
            <w:tcW w:w="1320" w:type="dxa"/>
            <w:tcBorders>
              <w:top w:val="nil"/>
              <w:left w:val="nil"/>
              <w:bottom w:val="single" w:sz="4" w:space="0" w:color="auto"/>
              <w:right w:val="single" w:sz="4" w:space="0" w:color="auto"/>
            </w:tcBorders>
            <w:shd w:val="clear" w:color="auto" w:fill="auto"/>
            <w:noWrap/>
            <w:hideMark/>
          </w:tcPr>
          <w:p w14:paraId="69709B8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596</w:t>
            </w:r>
          </w:p>
        </w:tc>
        <w:tc>
          <w:tcPr>
            <w:tcW w:w="1345" w:type="dxa"/>
            <w:tcBorders>
              <w:top w:val="nil"/>
              <w:left w:val="nil"/>
              <w:bottom w:val="single" w:sz="4" w:space="0" w:color="auto"/>
              <w:right w:val="single" w:sz="8" w:space="0" w:color="auto"/>
            </w:tcBorders>
            <w:shd w:val="clear" w:color="auto" w:fill="auto"/>
            <w:noWrap/>
          </w:tcPr>
          <w:p w14:paraId="200CA1CE"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0.1</w:t>
            </w:r>
          </w:p>
        </w:tc>
      </w:tr>
      <w:tr w:rsidR="008D72DB" w:rsidRPr="00081070" w14:paraId="36812DAC" w14:textId="77777777" w:rsidTr="00610EF0">
        <w:trPr>
          <w:trHeight w:val="22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02EE168"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4" w:space="0" w:color="auto"/>
              <w:right w:val="single" w:sz="4" w:space="0" w:color="auto"/>
            </w:tcBorders>
            <w:shd w:val="clear" w:color="auto" w:fill="auto"/>
            <w:noWrap/>
            <w:vAlign w:val="center"/>
            <w:hideMark/>
          </w:tcPr>
          <w:p w14:paraId="718A0B59"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Tubular metal needles and needles for sutures</w:t>
            </w:r>
          </w:p>
        </w:tc>
        <w:tc>
          <w:tcPr>
            <w:tcW w:w="1340" w:type="dxa"/>
            <w:tcBorders>
              <w:top w:val="nil"/>
              <w:left w:val="nil"/>
              <w:bottom w:val="single" w:sz="4" w:space="0" w:color="auto"/>
              <w:right w:val="single" w:sz="4" w:space="0" w:color="auto"/>
            </w:tcBorders>
            <w:shd w:val="clear" w:color="auto" w:fill="auto"/>
            <w:noWrap/>
            <w:hideMark/>
          </w:tcPr>
          <w:p w14:paraId="57E25ADA"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1906</w:t>
            </w:r>
          </w:p>
        </w:tc>
        <w:tc>
          <w:tcPr>
            <w:tcW w:w="1320" w:type="dxa"/>
            <w:tcBorders>
              <w:top w:val="nil"/>
              <w:left w:val="nil"/>
              <w:bottom w:val="single" w:sz="4" w:space="0" w:color="auto"/>
              <w:right w:val="single" w:sz="4" w:space="0" w:color="auto"/>
            </w:tcBorders>
            <w:shd w:val="clear" w:color="auto" w:fill="auto"/>
            <w:noWrap/>
            <w:hideMark/>
          </w:tcPr>
          <w:p w14:paraId="21C45143"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15732</w:t>
            </w:r>
          </w:p>
        </w:tc>
        <w:tc>
          <w:tcPr>
            <w:tcW w:w="1345" w:type="dxa"/>
            <w:tcBorders>
              <w:top w:val="nil"/>
              <w:left w:val="nil"/>
              <w:bottom w:val="single" w:sz="4" w:space="0" w:color="auto"/>
              <w:right w:val="single" w:sz="8" w:space="0" w:color="auto"/>
            </w:tcBorders>
            <w:shd w:val="clear" w:color="auto" w:fill="auto"/>
            <w:noWrap/>
          </w:tcPr>
          <w:p w14:paraId="036E38AE"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0.1</w:t>
            </w:r>
          </w:p>
        </w:tc>
      </w:tr>
      <w:tr w:rsidR="008D72DB" w:rsidRPr="00081070" w14:paraId="41042653" w14:textId="77777777" w:rsidTr="00610EF0">
        <w:trPr>
          <w:trHeight w:val="22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14C1FDBF" w14:textId="77777777" w:rsidR="008D72DB" w:rsidRPr="008D72DB" w:rsidRDefault="008D72DB" w:rsidP="00610EF0">
            <w:pPr>
              <w:spacing w:after="0" w:line="240" w:lineRule="auto"/>
              <w:jc w:val="center"/>
              <w:rPr>
                <w:rFonts w:ascii="Calibri" w:eastAsia="Times New Roman" w:hAnsi="Calibri" w:cs="Times New Roman"/>
                <w:i/>
                <w:iCs/>
                <w:color w:val="000000"/>
                <w:sz w:val="18"/>
                <w:szCs w:val="18"/>
                <w:lang w:val="en-GB" w:eastAsia="en-GB"/>
              </w:rPr>
            </w:pPr>
            <w:r w:rsidRPr="008D72DB">
              <w:rPr>
                <w:rFonts w:ascii="Calibri" w:eastAsia="Times New Roman" w:hAnsi="Calibri" w:cs="Times New Roman"/>
                <w:i/>
                <w:iCs/>
                <w:color w:val="000000"/>
                <w:sz w:val="18"/>
                <w:szCs w:val="18"/>
                <w:lang w:val="en-GB" w:eastAsia="en-GB"/>
              </w:rPr>
              <w:t>2012</w:t>
            </w:r>
          </w:p>
        </w:tc>
        <w:tc>
          <w:tcPr>
            <w:tcW w:w="5316" w:type="dxa"/>
            <w:tcBorders>
              <w:top w:val="nil"/>
              <w:left w:val="nil"/>
              <w:bottom w:val="single" w:sz="8" w:space="0" w:color="auto"/>
              <w:right w:val="single" w:sz="4" w:space="0" w:color="auto"/>
            </w:tcBorders>
            <w:shd w:val="clear" w:color="auto" w:fill="auto"/>
            <w:noWrap/>
            <w:vAlign w:val="center"/>
            <w:hideMark/>
          </w:tcPr>
          <w:p w14:paraId="71304F31"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Shampoos</w:t>
            </w:r>
          </w:p>
        </w:tc>
        <w:tc>
          <w:tcPr>
            <w:tcW w:w="1340" w:type="dxa"/>
            <w:tcBorders>
              <w:top w:val="nil"/>
              <w:left w:val="nil"/>
              <w:bottom w:val="single" w:sz="8" w:space="0" w:color="auto"/>
              <w:right w:val="single" w:sz="4" w:space="0" w:color="auto"/>
            </w:tcBorders>
            <w:shd w:val="clear" w:color="auto" w:fill="auto"/>
            <w:noWrap/>
            <w:hideMark/>
          </w:tcPr>
          <w:p w14:paraId="655AFD97"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51</w:t>
            </w:r>
          </w:p>
        </w:tc>
        <w:tc>
          <w:tcPr>
            <w:tcW w:w="1320" w:type="dxa"/>
            <w:tcBorders>
              <w:top w:val="nil"/>
              <w:left w:val="nil"/>
              <w:bottom w:val="single" w:sz="8" w:space="0" w:color="auto"/>
              <w:right w:val="single" w:sz="4" w:space="0" w:color="auto"/>
            </w:tcBorders>
            <w:shd w:val="clear" w:color="auto" w:fill="auto"/>
            <w:noWrap/>
            <w:hideMark/>
          </w:tcPr>
          <w:p w14:paraId="6EBF6E2F" w14:textId="77777777" w:rsidR="008D72DB" w:rsidRPr="008D72DB" w:rsidRDefault="008D72DB" w:rsidP="00610EF0">
            <w:pPr>
              <w:spacing w:after="0" w:line="240" w:lineRule="auto"/>
              <w:jc w:val="center"/>
              <w:rPr>
                <w:rFonts w:ascii="Calibri" w:eastAsia="Times New Roman" w:hAnsi="Calibri" w:cs="Times New Roman"/>
                <w:color w:val="000000"/>
                <w:sz w:val="18"/>
                <w:szCs w:val="18"/>
                <w:lang w:val="en-GB" w:eastAsia="en-GB"/>
              </w:rPr>
            </w:pPr>
            <w:r w:rsidRPr="008D72DB">
              <w:rPr>
                <w:rFonts w:ascii="Calibri" w:eastAsia="Times New Roman" w:hAnsi="Calibri" w:cs="Times New Roman"/>
                <w:color w:val="000000"/>
                <w:sz w:val="18"/>
                <w:szCs w:val="18"/>
                <w:lang w:val="en-GB" w:eastAsia="en-GB"/>
              </w:rPr>
              <w:t>688</w:t>
            </w:r>
          </w:p>
        </w:tc>
        <w:tc>
          <w:tcPr>
            <w:tcW w:w="1345" w:type="dxa"/>
            <w:tcBorders>
              <w:top w:val="nil"/>
              <w:left w:val="nil"/>
              <w:bottom w:val="single" w:sz="8" w:space="0" w:color="auto"/>
              <w:right w:val="single" w:sz="8" w:space="0" w:color="auto"/>
            </w:tcBorders>
            <w:shd w:val="clear" w:color="auto" w:fill="auto"/>
            <w:noWrap/>
          </w:tcPr>
          <w:p w14:paraId="40F2E33B" w14:textId="77777777" w:rsidR="008D72DB" w:rsidRPr="008D72DB" w:rsidRDefault="008D72DB" w:rsidP="00610EF0">
            <w:pPr>
              <w:spacing w:after="0"/>
              <w:jc w:val="center"/>
              <w:rPr>
                <w:rFonts w:ascii="Calibri" w:hAnsi="Calibri"/>
                <w:b/>
                <w:color w:val="000000"/>
                <w:sz w:val="18"/>
                <w:szCs w:val="18"/>
              </w:rPr>
            </w:pPr>
            <w:r w:rsidRPr="008D72DB">
              <w:rPr>
                <w:rFonts w:ascii="Calibri" w:hAnsi="Calibri"/>
                <w:b/>
                <w:color w:val="000000"/>
                <w:sz w:val="18"/>
                <w:szCs w:val="18"/>
                <w:lang w:val="en-GB"/>
              </w:rPr>
              <w:t>0.1</w:t>
            </w:r>
          </w:p>
        </w:tc>
      </w:tr>
    </w:tbl>
    <w:p w14:paraId="573F1A77" w14:textId="77777777" w:rsidR="008D72DB" w:rsidRDefault="008D72DB" w:rsidP="008D72DB">
      <w:pPr>
        <w:jc w:val="both"/>
        <w:rPr>
          <w:b/>
        </w:rPr>
      </w:pPr>
    </w:p>
    <w:p w14:paraId="2AE718AE" w14:textId="77777777" w:rsidR="00D41212" w:rsidRDefault="00D41212">
      <w:pPr>
        <w:rPr>
          <w:b/>
          <w:bCs/>
          <w:color w:val="4F81BD" w:themeColor="accent1"/>
          <w:sz w:val="18"/>
          <w:szCs w:val="18"/>
        </w:rPr>
      </w:pPr>
      <w:r>
        <w:br w:type="page"/>
      </w:r>
    </w:p>
    <w:p w14:paraId="7EAA8FB1" w14:textId="77777777" w:rsidR="008E2273" w:rsidRPr="00B37BE9" w:rsidRDefault="008E2273" w:rsidP="00B37BE9">
      <w:pPr>
        <w:pStyle w:val="Heading1"/>
        <w:jc w:val="both"/>
        <w:rPr>
          <w:sz w:val="24"/>
          <w:szCs w:val="24"/>
        </w:rPr>
      </w:pPr>
      <w:bookmarkStart w:id="54" w:name="_Toc384903173"/>
      <w:bookmarkStart w:id="55" w:name="_Toc386104465"/>
      <w:r w:rsidRPr="00B37BE9">
        <w:rPr>
          <w:sz w:val="24"/>
          <w:szCs w:val="24"/>
        </w:rPr>
        <w:lastRenderedPageBreak/>
        <w:t xml:space="preserve">Annexe </w:t>
      </w:r>
      <w:r w:rsidRPr="00B37BE9">
        <w:rPr>
          <w:sz w:val="24"/>
          <w:szCs w:val="24"/>
        </w:rPr>
        <w:fldChar w:fldCharType="begin"/>
      </w:r>
      <w:r w:rsidRPr="00B37BE9">
        <w:rPr>
          <w:sz w:val="24"/>
          <w:szCs w:val="24"/>
        </w:rPr>
        <w:instrText xml:space="preserve"> SEQ Annexe \* ARABIC </w:instrText>
      </w:r>
      <w:r w:rsidRPr="00B37BE9">
        <w:rPr>
          <w:sz w:val="24"/>
          <w:szCs w:val="24"/>
        </w:rPr>
        <w:fldChar w:fldCharType="separate"/>
      </w:r>
      <w:r w:rsidR="008229BD">
        <w:rPr>
          <w:noProof/>
          <w:sz w:val="24"/>
          <w:szCs w:val="24"/>
        </w:rPr>
        <w:t>5</w:t>
      </w:r>
      <w:r w:rsidRPr="00B37BE9">
        <w:rPr>
          <w:sz w:val="24"/>
          <w:szCs w:val="24"/>
        </w:rPr>
        <w:fldChar w:fldCharType="end"/>
      </w:r>
      <w:r w:rsidRPr="00B37BE9">
        <w:rPr>
          <w:sz w:val="24"/>
          <w:szCs w:val="24"/>
        </w:rPr>
        <w:t>: Les importations maliennes</w:t>
      </w:r>
      <w:r w:rsidR="00D90E05" w:rsidRPr="00B37BE9">
        <w:rPr>
          <w:sz w:val="24"/>
          <w:szCs w:val="24"/>
        </w:rPr>
        <w:t xml:space="preserve"> totales</w:t>
      </w:r>
      <w:r w:rsidRPr="00B37BE9">
        <w:rPr>
          <w:sz w:val="24"/>
          <w:szCs w:val="24"/>
        </w:rPr>
        <w:t xml:space="preserve"> de cigarettes et d’essence</w:t>
      </w:r>
      <w:bookmarkEnd w:id="46"/>
      <w:bookmarkEnd w:id="54"/>
      <w:bookmarkEnd w:id="55"/>
    </w:p>
    <w:tbl>
      <w:tblPr>
        <w:tblW w:w="6540" w:type="dxa"/>
        <w:tblInd w:w="93" w:type="dxa"/>
        <w:tblLook w:val="04A0" w:firstRow="1" w:lastRow="0" w:firstColumn="1" w:lastColumn="0" w:noHBand="0" w:noVBand="1"/>
      </w:tblPr>
      <w:tblGrid>
        <w:gridCol w:w="980"/>
        <w:gridCol w:w="1280"/>
        <w:gridCol w:w="1160"/>
        <w:gridCol w:w="1160"/>
        <w:gridCol w:w="980"/>
        <w:gridCol w:w="980"/>
      </w:tblGrid>
      <w:tr w:rsidR="008E2273" w:rsidRPr="000A7220" w14:paraId="40F251AA" w14:textId="77777777" w:rsidTr="008E2273">
        <w:trPr>
          <w:trHeight w:val="1050"/>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577A40"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proofErr w:type="spellStart"/>
            <w:r w:rsidRPr="000A7220">
              <w:rPr>
                <w:rFonts w:ascii="Calibri" w:eastAsia="Times New Roman" w:hAnsi="Calibri" w:cs="Times New Roman"/>
                <w:color w:val="000000"/>
                <w:sz w:val="18"/>
                <w:szCs w:val="18"/>
                <w:lang w:val="en-GB" w:eastAsia="en-GB"/>
              </w:rPr>
              <w:t>Année</w:t>
            </w:r>
            <w:proofErr w:type="spellEnd"/>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14:paraId="66F9DA51" w14:textId="3770127E"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proofErr w:type="spellStart"/>
            <w:r w:rsidRPr="000A7220">
              <w:rPr>
                <w:rFonts w:ascii="Calibri" w:eastAsia="Times New Roman" w:hAnsi="Calibri" w:cs="Times New Roman"/>
                <w:color w:val="000000"/>
                <w:sz w:val="18"/>
                <w:szCs w:val="18"/>
                <w:lang w:val="en-GB" w:eastAsia="en-GB"/>
              </w:rPr>
              <w:t>Exportateur</w:t>
            </w:r>
            <w:proofErr w:type="spellEnd"/>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1A393304"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Tonnage (kg)</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1F66CEE9"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proofErr w:type="spellStart"/>
            <w:r w:rsidRPr="000A7220">
              <w:rPr>
                <w:rFonts w:ascii="Calibri" w:eastAsia="Times New Roman" w:hAnsi="Calibri" w:cs="Times New Roman"/>
                <w:color w:val="000000"/>
                <w:sz w:val="18"/>
                <w:szCs w:val="18"/>
                <w:lang w:val="en-GB" w:eastAsia="en-GB"/>
              </w:rPr>
              <w:t>Valeur</w:t>
            </w:r>
            <w:proofErr w:type="spellEnd"/>
          </w:p>
        </w:tc>
        <w:tc>
          <w:tcPr>
            <w:tcW w:w="980" w:type="dxa"/>
            <w:tcBorders>
              <w:top w:val="single" w:sz="8" w:space="0" w:color="auto"/>
              <w:left w:val="nil"/>
              <w:bottom w:val="single" w:sz="4" w:space="0" w:color="auto"/>
              <w:right w:val="single" w:sz="4" w:space="0" w:color="auto"/>
            </w:tcBorders>
            <w:shd w:val="clear" w:color="auto" w:fill="auto"/>
            <w:vAlign w:val="center"/>
            <w:hideMark/>
          </w:tcPr>
          <w:p w14:paraId="461C8BCC" w14:textId="77777777" w:rsidR="008E2273" w:rsidRPr="000A7220" w:rsidRDefault="008E2273" w:rsidP="008E2273">
            <w:pPr>
              <w:spacing w:after="0" w:line="240" w:lineRule="auto"/>
              <w:rPr>
                <w:rFonts w:ascii="Calibri" w:eastAsia="Times New Roman" w:hAnsi="Calibri" w:cs="Times New Roman"/>
                <w:color w:val="000000"/>
                <w:sz w:val="18"/>
                <w:szCs w:val="18"/>
                <w:lang w:eastAsia="en-GB"/>
              </w:rPr>
            </w:pPr>
            <w:r w:rsidRPr="000A7220">
              <w:rPr>
                <w:rFonts w:ascii="Calibri" w:eastAsia="Times New Roman" w:hAnsi="Calibri" w:cs="Times New Roman"/>
                <w:color w:val="000000"/>
                <w:sz w:val="18"/>
                <w:szCs w:val="18"/>
                <w:lang w:eastAsia="en-GB"/>
              </w:rPr>
              <w:t xml:space="preserve">Ratio par rapport au tonnage total </w:t>
            </w:r>
          </w:p>
        </w:tc>
        <w:tc>
          <w:tcPr>
            <w:tcW w:w="980" w:type="dxa"/>
            <w:tcBorders>
              <w:top w:val="single" w:sz="8" w:space="0" w:color="auto"/>
              <w:left w:val="nil"/>
              <w:bottom w:val="single" w:sz="4" w:space="0" w:color="auto"/>
              <w:right w:val="single" w:sz="8" w:space="0" w:color="auto"/>
            </w:tcBorders>
            <w:shd w:val="clear" w:color="auto" w:fill="auto"/>
            <w:vAlign w:val="center"/>
            <w:hideMark/>
          </w:tcPr>
          <w:p w14:paraId="502BF211" w14:textId="77777777" w:rsidR="008E2273" w:rsidRPr="000A7220" w:rsidRDefault="008E2273" w:rsidP="008E2273">
            <w:pPr>
              <w:spacing w:after="0" w:line="240" w:lineRule="auto"/>
              <w:rPr>
                <w:rFonts w:ascii="Calibri" w:eastAsia="Times New Roman" w:hAnsi="Calibri" w:cs="Times New Roman"/>
                <w:color w:val="000000"/>
                <w:sz w:val="18"/>
                <w:szCs w:val="18"/>
                <w:lang w:eastAsia="en-GB"/>
              </w:rPr>
            </w:pPr>
            <w:r w:rsidRPr="000A7220">
              <w:rPr>
                <w:rFonts w:ascii="Calibri" w:eastAsia="Times New Roman" w:hAnsi="Calibri" w:cs="Times New Roman"/>
                <w:color w:val="000000"/>
                <w:sz w:val="18"/>
                <w:szCs w:val="18"/>
                <w:lang w:eastAsia="en-GB"/>
              </w:rPr>
              <w:t xml:space="preserve">Ratio par rapport </w:t>
            </w:r>
            <w:proofErr w:type="spellStart"/>
            <w:proofErr w:type="gramStart"/>
            <w:r w:rsidRPr="000A7220">
              <w:rPr>
                <w:rFonts w:ascii="Calibri" w:eastAsia="Times New Roman" w:hAnsi="Calibri" w:cs="Times New Roman"/>
                <w:color w:val="000000"/>
                <w:sz w:val="18"/>
                <w:szCs w:val="18"/>
                <w:lang w:eastAsia="en-GB"/>
              </w:rPr>
              <w:t>a</w:t>
            </w:r>
            <w:proofErr w:type="spellEnd"/>
            <w:proofErr w:type="gramEnd"/>
            <w:r w:rsidRPr="000A7220">
              <w:rPr>
                <w:rFonts w:ascii="Calibri" w:eastAsia="Times New Roman" w:hAnsi="Calibri" w:cs="Times New Roman"/>
                <w:color w:val="000000"/>
                <w:sz w:val="18"/>
                <w:szCs w:val="18"/>
                <w:lang w:eastAsia="en-GB"/>
              </w:rPr>
              <w:t xml:space="preserve"> la valeur total </w:t>
            </w:r>
          </w:p>
        </w:tc>
      </w:tr>
      <w:tr w:rsidR="008E2273" w:rsidRPr="000A7220" w14:paraId="0DDAD60C"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000000"/>
            <w:noWrap/>
            <w:vAlign w:val="bottom"/>
            <w:hideMark/>
          </w:tcPr>
          <w:p w14:paraId="2B33B848"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Cigarettes</w:t>
            </w:r>
          </w:p>
        </w:tc>
        <w:tc>
          <w:tcPr>
            <w:tcW w:w="1280" w:type="dxa"/>
            <w:tcBorders>
              <w:top w:val="nil"/>
              <w:left w:val="nil"/>
              <w:bottom w:val="single" w:sz="4" w:space="0" w:color="auto"/>
              <w:right w:val="single" w:sz="4" w:space="0" w:color="auto"/>
            </w:tcBorders>
            <w:shd w:val="clear" w:color="000000" w:fill="000000"/>
            <w:noWrap/>
            <w:vAlign w:val="bottom"/>
            <w:hideMark/>
          </w:tcPr>
          <w:p w14:paraId="7A316D9B"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1160" w:type="dxa"/>
            <w:tcBorders>
              <w:top w:val="nil"/>
              <w:left w:val="nil"/>
              <w:bottom w:val="single" w:sz="4" w:space="0" w:color="auto"/>
              <w:right w:val="single" w:sz="4" w:space="0" w:color="auto"/>
            </w:tcBorders>
            <w:shd w:val="clear" w:color="000000" w:fill="000000"/>
            <w:noWrap/>
            <w:vAlign w:val="bottom"/>
            <w:hideMark/>
          </w:tcPr>
          <w:p w14:paraId="5546D023"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1160" w:type="dxa"/>
            <w:tcBorders>
              <w:top w:val="nil"/>
              <w:left w:val="nil"/>
              <w:bottom w:val="single" w:sz="4" w:space="0" w:color="auto"/>
              <w:right w:val="single" w:sz="4" w:space="0" w:color="auto"/>
            </w:tcBorders>
            <w:shd w:val="clear" w:color="000000" w:fill="000000"/>
            <w:noWrap/>
            <w:vAlign w:val="bottom"/>
            <w:hideMark/>
          </w:tcPr>
          <w:p w14:paraId="18ABC016"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980" w:type="dxa"/>
            <w:tcBorders>
              <w:top w:val="nil"/>
              <w:left w:val="nil"/>
              <w:bottom w:val="single" w:sz="4" w:space="0" w:color="auto"/>
              <w:right w:val="single" w:sz="4" w:space="0" w:color="auto"/>
            </w:tcBorders>
            <w:shd w:val="clear" w:color="000000" w:fill="000000"/>
            <w:noWrap/>
            <w:vAlign w:val="bottom"/>
            <w:hideMark/>
          </w:tcPr>
          <w:p w14:paraId="0FF4B8A7"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980" w:type="dxa"/>
            <w:tcBorders>
              <w:top w:val="nil"/>
              <w:left w:val="nil"/>
              <w:bottom w:val="single" w:sz="4" w:space="0" w:color="auto"/>
              <w:right w:val="single" w:sz="8" w:space="0" w:color="auto"/>
            </w:tcBorders>
            <w:shd w:val="clear" w:color="000000" w:fill="000000"/>
            <w:noWrap/>
            <w:vAlign w:val="bottom"/>
            <w:hideMark/>
          </w:tcPr>
          <w:p w14:paraId="3A5C9C09"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r>
      <w:tr w:rsidR="008E2273" w:rsidRPr="000A7220" w14:paraId="175842F5"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1F52367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30015917"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3EC38E9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361800</w:t>
            </w:r>
          </w:p>
        </w:tc>
        <w:tc>
          <w:tcPr>
            <w:tcW w:w="1160" w:type="dxa"/>
            <w:tcBorders>
              <w:top w:val="nil"/>
              <w:left w:val="nil"/>
              <w:bottom w:val="single" w:sz="4" w:space="0" w:color="auto"/>
              <w:right w:val="single" w:sz="4" w:space="0" w:color="auto"/>
            </w:tcBorders>
            <w:shd w:val="clear" w:color="auto" w:fill="auto"/>
            <w:noWrap/>
            <w:vAlign w:val="bottom"/>
            <w:hideMark/>
          </w:tcPr>
          <w:p w14:paraId="6F42ECE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6705806</w:t>
            </w:r>
          </w:p>
        </w:tc>
        <w:tc>
          <w:tcPr>
            <w:tcW w:w="980" w:type="dxa"/>
            <w:tcBorders>
              <w:top w:val="nil"/>
              <w:left w:val="nil"/>
              <w:bottom w:val="single" w:sz="4" w:space="0" w:color="auto"/>
              <w:right w:val="single" w:sz="4" w:space="0" w:color="auto"/>
            </w:tcBorders>
            <w:shd w:val="clear" w:color="auto" w:fill="auto"/>
            <w:noWrap/>
            <w:vAlign w:val="bottom"/>
            <w:hideMark/>
          </w:tcPr>
          <w:p w14:paraId="7587723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37%</w:t>
            </w:r>
          </w:p>
        </w:tc>
        <w:tc>
          <w:tcPr>
            <w:tcW w:w="980" w:type="dxa"/>
            <w:tcBorders>
              <w:top w:val="nil"/>
              <w:left w:val="nil"/>
              <w:bottom w:val="single" w:sz="4" w:space="0" w:color="auto"/>
              <w:right w:val="single" w:sz="8" w:space="0" w:color="auto"/>
            </w:tcBorders>
            <w:shd w:val="clear" w:color="auto" w:fill="auto"/>
            <w:noWrap/>
            <w:vAlign w:val="bottom"/>
            <w:hideMark/>
          </w:tcPr>
          <w:p w14:paraId="6836BF5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29%</w:t>
            </w:r>
          </w:p>
        </w:tc>
      </w:tr>
      <w:tr w:rsidR="008E2273" w:rsidRPr="000A7220" w14:paraId="4A3081B1"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00D614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0C58F9EC"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South Africa</w:t>
            </w:r>
          </w:p>
        </w:tc>
        <w:tc>
          <w:tcPr>
            <w:tcW w:w="1160" w:type="dxa"/>
            <w:tcBorders>
              <w:top w:val="nil"/>
              <w:left w:val="nil"/>
              <w:bottom w:val="single" w:sz="4" w:space="0" w:color="auto"/>
              <w:right w:val="single" w:sz="4" w:space="0" w:color="auto"/>
            </w:tcBorders>
            <w:shd w:val="clear" w:color="auto" w:fill="auto"/>
            <w:noWrap/>
            <w:vAlign w:val="bottom"/>
            <w:hideMark/>
          </w:tcPr>
          <w:p w14:paraId="4C78772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609790</w:t>
            </w:r>
          </w:p>
        </w:tc>
        <w:tc>
          <w:tcPr>
            <w:tcW w:w="1160" w:type="dxa"/>
            <w:tcBorders>
              <w:top w:val="nil"/>
              <w:left w:val="nil"/>
              <w:bottom w:val="single" w:sz="4" w:space="0" w:color="auto"/>
              <w:right w:val="single" w:sz="4" w:space="0" w:color="auto"/>
            </w:tcBorders>
            <w:shd w:val="clear" w:color="auto" w:fill="auto"/>
            <w:noWrap/>
            <w:vAlign w:val="bottom"/>
            <w:hideMark/>
          </w:tcPr>
          <w:p w14:paraId="447FD14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16045517</w:t>
            </w:r>
          </w:p>
        </w:tc>
        <w:tc>
          <w:tcPr>
            <w:tcW w:w="980" w:type="dxa"/>
            <w:tcBorders>
              <w:top w:val="nil"/>
              <w:left w:val="nil"/>
              <w:bottom w:val="single" w:sz="4" w:space="0" w:color="auto"/>
              <w:right w:val="single" w:sz="4" w:space="0" w:color="auto"/>
            </w:tcBorders>
            <w:shd w:val="clear" w:color="auto" w:fill="auto"/>
            <w:noWrap/>
            <w:vAlign w:val="bottom"/>
            <w:hideMark/>
          </w:tcPr>
          <w:p w14:paraId="768CA73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62%</w:t>
            </w:r>
          </w:p>
        </w:tc>
        <w:tc>
          <w:tcPr>
            <w:tcW w:w="980" w:type="dxa"/>
            <w:tcBorders>
              <w:top w:val="nil"/>
              <w:left w:val="nil"/>
              <w:bottom w:val="single" w:sz="4" w:space="0" w:color="auto"/>
              <w:right w:val="single" w:sz="8" w:space="0" w:color="auto"/>
            </w:tcBorders>
            <w:shd w:val="clear" w:color="auto" w:fill="auto"/>
            <w:noWrap/>
            <w:vAlign w:val="bottom"/>
            <w:hideMark/>
          </w:tcPr>
          <w:p w14:paraId="0CF911E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70%</w:t>
            </w:r>
          </w:p>
        </w:tc>
      </w:tr>
      <w:tr w:rsidR="008E2273" w:rsidRPr="000A7220" w14:paraId="2D1D6F4F"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41EC34AC"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000000" w:fill="C5D9F1"/>
            <w:noWrap/>
            <w:vAlign w:val="bottom"/>
            <w:hideMark/>
          </w:tcPr>
          <w:p w14:paraId="1DAD8E5E"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263B647F"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978010</w:t>
            </w:r>
          </w:p>
        </w:tc>
        <w:tc>
          <w:tcPr>
            <w:tcW w:w="1160" w:type="dxa"/>
            <w:tcBorders>
              <w:top w:val="nil"/>
              <w:left w:val="nil"/>
              <w:bottom w:val="single" w:sz="4" w:space="0" w:color="auto"/>
              <w:right w:val="single" w:sz="4" w:space="0" w:color="auto"/>
            </w:tcBorders>
            <w:shd w:val="clear" w:color="000000" w:fill="C5D9F1"/>
            <w:noWrap/>
            <w:vAlign w:val="bottom"/>
            <w:hideMark/>
          </w:tcPr>
          <w:p w14:paraId="4F8B2664"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22870699</w:t>
            </w:r>
          </w:p>
        </w:tc>
        <w:tc>
          <w:tcPr>
            <w:tcW w:w="980" w:type="dxa"/>
            <w:tcBorders>
              <w:top w:val="nil"/>
              <w:left w:val="nil"/>
              <w:bottom w:val="single" w:sz="4" w:space="0" w:color="auto"/>
              <w:right w:val="single" w:sz="4" w:space="0" w:color="auto"/>
            </w:tcBorders>
            <w:shd w:val="clear" w:color="000000" w:fill="C5D9F1"/>
            <w:noWrap/>
            <w:vAlign w:val="bottom"/>
            <w:hideMark/>
          </w:tcPr>
          <w:p w14:paraId="284CA465"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c>
          <w:tcPr>
            <w:tcW w:w="980" w:type="dxa"/>
            <w:tcBorders>
              <w:top w:val="nil"/>
              <w:left w:val="nil"/>
              <w:bottom w:val="single" w:sz="4" w:space="0" w:color="auto"/>
              <w:right w:val="single" w:sz="8" w:space="0" w:color="auto"/>
            </w:tcBorders>
            <w:shd w:val="clear" w:color="000000" w:fill="C5D9F1"/>
            <w:noWrap/>
            <w:vAlign w:val="bottom"/>
            <w:hideMark/>
          </w:tcPr>
          <w:p w14:paraId="1F4B76E8"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r>
      <w:tr w:rsidR="008E2273" w:rsidRPr="000A7220" w14:paraId="09B06B1A"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D43F90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13B628EA"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4E4C4D8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249000</w:t>
            </w:r>
          </w:p>
        </w:tc>
        <w:tc>
          <w:tcPr>
            <w:tcW w:w="1160" w:type="dxa"/>
            <w:tcBorders>
              <w:top w:val="nil"/>
              <w:left w:val="nil"/>
              <w:bottom w:val="single" w:sz="4" w:space="0" w:color="auto"/>
              <w:right w:val="single" w:sz="4" w:space="0" w:color="auto"/>
            </w:tcBorders>
            <w:shd w:val="clear" w:color="auto" w:fill="auto"/>
            <w:noWrap/>
            <w:vAlign w:val="bottom"/>
            <w:hideMark/>
          </w:tcPr>
          <w:p w14:paraId="604740E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4995733</w:t>
            </w:r>
          </w:p>
        </w:tc>
        <w:tc>
          <w:tcPr>
            <w:tcW w:w="980" w:type="dxa"/>
            <w:tcBorders>
              <w:top w:val="nil"/>
              <w:left w:val="nil"/>
              <w:bottom w:val="single" w:sz="4" w:space="0" w:color="auto"/>
              <w:right w:val="single" w:sz="4" w:space="0" w:color="auto"/>
            </w:tcBorders>
            <w:shd w:val="clear" w:color="auto" w:fill="auto"/>
            <w:noWrap/>
            <w:vAlign w:val="bottom"/>
            <w:hideMark/>
          </w:tcPr>
          <w:p w14:paraId="2891F0B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24%</w:t>
            </w:r>
          </w:p>
        </w:tc>
        <w:tc>
          <w:tcPr>
            <w:tcW w:w="980" w:type="dxa"/>
            <w:tcBorders>
              <w:top w:val="nil"/>
              <w:left w:val="nil"/>
              <w:bottom w:val="single" w:sz="4" w:space="0" w:color="auto"/>
              <w:right w:val="single" w:sz="8" w:space="0" w:color="auto"/>
            </w:tcBorders>
            <w:shd w:val="clear" w:color="auto" w:fill="auto"/>
            <w:noWrap/>
            <w:vAlign w:val="bottom"/>
            <w:hideMark/>
          </w:tcPr>
          <w:p w14:paraId="01CBFCD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w:t>
            </w:r>
          </w:p>
        </w:tc>
      </w:tr>
      <w:tr w:rsidR="008E2273" w:rsidRPr="000A7220" w14:paraId="66D66ADD"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0097C7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16F9D984"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South Africa</w:t>
            </w:r>
          </w:p>
        </w:tc>
        <w:tc>
          <w:tcPr>
            <w:tcW w:w="1160" w:type="dxa"/>
            <w:tcBorders>
              <w:top w:val="nil"/>
              <w:left w:val="nil"/>
              <w:bottom w:val="single" w:sz="4" w:space="0" w:color="auto"/>
              <w:right w:val="single" w:sz="4" w:space="0" w:color="auto"/>
            </w:tcBorders>
            <w:shd w:val="clear" w:color="auto" w:fill="auto"/>
            <w:noWrap/>
            <w:vAlign w:val="bottom"/>
            <w:hideMark/>
          </w:tcPr>
          <w:p w14:paraId="0A1A48C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796173</w:t>
            </w:r>
          </w:p>
        </w:tc>
        <w:tc>
          <w:tcPr>
            <w:tcW w:w="1160" w:type="dxa"/>
            <w:tcBorders>
              <w:top w:val="nil"/>
              <w:left w:val="nil"/>
              <w:bottom w:val="single" w:sz="4" w:space="0" w:color="auto"/>
              <w:right w:val="single" w:sz="4" w:space="0" w:color="auto"/>
            </w:tcBorders>
            <w:shd w:val="clear" w:color="auto" w:fill="auto"/>
            <w:noWrap/>
            <w:vAlign w:val="bottom"/>
            <w:hideMark/>
          </w:tcPr>
          <w:p w14:paraId="2D672AD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24020439</w:t>
            </w:r>
          </w:p>
        </w:tc>
        <w:tc>
          <w:tcPr>
            <w:tcW w:w="980" w:type="dxa"/>
            <w:tcBorders>
              <w:top w:val="nil"/>
              <w:left w:val="nil"/>
              <w:bottom w:val="single" w:sz="4" w:space="0" w:color="auto"/>
              <w:right w:val="single" w:sz="4" w:space="0" w:color="auto"/>
            </w:tcBorders>
            <w:shd w:val="clear" w:color="auto" w:fill="auto"/>
            <w:noWrap/>
            <w:vAlign w:val="bottom"/>
            <w:hideMark/>
          </w:tcPr>
          <w:p w14:paraId="69E2B86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76%</w:t>
            </w:r>
          </w:p>
        </w:tc>
        <w:tc>
          <w:tcPr>
            <w:tcW w:w="980" w:type="dxa"/>
            <w:tcBorders>
              <w:top w:val="nil"/>
              <w:left w:val="nil"/>
              <w:bottom w:val="single" w:sz="4" w:space="0" w:color="auto"/>
              <w:right w:val="single" w:sz="8" w:space="0" w:color="auto"/>
            </w:tcBorders>
            <w:shd w:val="clear" w:color="auto" w:fill="auto"/>
            <w:noWrap/>
            <w:vAlign w:val="bottom"/>
            <w:hideMark/>
          </w:tcPr>
          <w:p w14:paraId="39C8C91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83%</w:t>
            </w:r>
          </w:p>
        </w:tc>
      </w:tr>
      <w:tr w:rsidR="008E2273" w:rsidRPr="000A7220" w14:paraId="046DD6E4"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4ACE8A62"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000000" w:fill="C5D9F1"/>
            <w:noWrap/>
            <w:vAlign w:val="bottom"/>
            <w:hideMark/>
          </w:tcPr>
          <w:p w14:paraId="709FB33B"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39ABD246"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1046898</w:t>
            </w:r>
          </w:p>
        </w:tc>
        <w:tc>
          <w:tcPr>
            <w:tcW w:w="1160" w:type="dxa"/>
            <w:tcBorders>
              <w:top w:val="nil"/>
              <w:left w:val="nil"/>
              <w:bottom w:val="single" w:sz="4" w:space="0" w:color="auto"/>
              <w:right w:val="single" w:sz="4" w:space="0" w:color="auto"/>
            </w:tcBorders>
            <w:shd w:val="clear" w:color="000000" w:fill="C5D9F1"/>
            <w:noWrap/>
            <w:vAlign w:val="bottom"/>
            <w:hideMark/>
          </w:tcPr>
          <w:p w14:paraId="0FAE9A3B"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29091779</w:t>
            </w:r>
          </w:p>
        </w:tc>
        <w:tc>
          <w:tcPr>
            <w:tcW w:w="980" w:type="dxa"/>
            <w:tcBorders>
              <w:top w:val="nil"/>
              <w:left w:val="nil"/>
              <w:bottom w:val="single" w:sz="4" w:space="0" w:color="auto"/>
              <w:right w:val="single" w:sz="4" w:space="0" w:color="auto"/>
            </w:tcBorders>
            <w:shd w:val="clear" w:color="000000" w:fill="C5D9F1"/>
            <w:noWrap/>
            <w:vAlign w:val="bottom"/>
            <w:hideMark/>
          </w:tcPr>
          <w:p w14:paraId="385F71E5" w14:textId="61823068"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c>
          <w:tcPr>
            <w:tcW w:w="980" w:type="dxa"/>
            <w:tcBorders>
              <w:top w:val="nil"/>
              <w:left w:val="nil"/>
              <w:bottom w:val="single" w:sz="4" w:space="0" w:color="auto"/>
              <w:right w:val="single" w:sz="8" w:space="0" w:color="auto"/>
            </w:tcBorders>
            <w:shd w:val="clear" w:color="000000" w:fill="C5D9F1"/>
            <w:noWrap/>
            <w:vAlign w:val="bottom"/>
            <w:hideMark/>
          </w:tcPr>
          <w:p w14:paraId="40A13B54"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r>
      <w:tr w:rsidR="008E2273" w:rsidRPr="000A7220" w14:paraId="3D75408F"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4D9A65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2CCF5CAE"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2A23497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20837</w:t>
            </w:r>
          </w:p>
        </w:tc>
        <w:tc>
          <w:tcPr>
            <w:tcW w:w="1160" w:type="dxa"/>
            <w:tcBorders>
              <w:top w:val="nil"/>
              <w:left w:val="nil"/>
              <w:bottom w:val="single" w:sz="4" w:space="0" w:color="auto"/>
              <w:right w:val="single" w:sz="4" w:space="0" w:color="auto"/>
            </w:tcBorders>
            <w:shd w:val="clear" w:color="auto" w:fill="auto"/>
            <w:noWrap/>
            <w:vAlign w:val="bottom"/>
            <w:hideMark/>
          </w:tcPr>
          <w:p w14:paraId="26C6344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386080</w:t>
            </w:r>
          </w:p>
        </w:tc>
        <w:tc>
          <w:tcPr>
            <w:tcW w:w="980" w:type="dxa"/>
            <w:tcBorders>
              <w:top w:val="nil"/>
              <w:left w:val="nil"/>
              <w:bottom w:val="single" w:sz="4" w:space="0" w:color="auto"/>
              <w:right w:val="single" w:sz="4" w:space="0" w:color="auto"/>
            </w:tcBorders>
            <w:shd w:val="clear" w:color="auto" w:fill="auto"/>
            <w:noWrap/>
            <w:vAlign w:val="bottom"/>
            <w:hideMark/>
          </w:tcPr>
          <w:p w14:paraId="1CD107D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c>
          <w:tcPr>
            <w:tcW w:w="980" w:type="dxa"/>
            <w:tcBorders>
              <w:top w:val="nil"/>
              <w:left w:val="nil"/>
              <w:bottom w:val="single" w:sz="4" w:space="0" w:color="auto"/>
              <w:right w:val="single" w:sz="8" w:space="0" w:color="auto"/>
            </w:tcBorders>
            <w:shd w:val="clear" w:color="auto" w:fill="auto"/>
            <w:noWrap/>
            <w:vAlign w:val="bottom"/>
            <w:hideMark/>
          </w:tcPr>
          <w:p w14:paraId="1A25F6A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r>
      <w:tr w:rsidR="008E2273" w:rsidRPr="000A7220" w14:paraId="25A5C73D"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63A958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20862A64"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5614FE7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13444</w:t>
            </w:r>
          </w:p>
        </w:tc>
        <w:tc>
          <w:tcPr>
            <w:tcW w:w="1160" w:type="dxa"/>
            <w:tcBorders>
              <w:top w:val="nil"/>
              <w:left w:val="nil"/>
              <w:bottom w:val="single" w:sz="4" w:space="0" w:color="auto"/>
              <w:right w:val="single" w:sz="4" w:space="0" w:color="auto"/>
            </w:tcBorders>
            <w:shd w:val="clear" w:color="auto" w:fill="auto"/>
            <w:noWrap/>
            <w:vAlign w:val="bottom"/>
            <w:hideMark/>
          </w:tcPr>
          <w:p w14:paraId="7E7307A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491939</w:t>
            </w:r>
          </w:p>
        </w:tc>
        <w:tc>
          <w:tcPr>
            <w:tcW w:w="980" w:type="dxa"/>
            <w:tcBorders>
              <w:top w:val="nil"/>
              <w:left w:val="nil"/>
              <w:bottom w:val="single" w:sz="4" w:space="0" w:color="auto"/>
              <w:right w:val="single" w:sz="4" w:space="0" w:color="auto"/>
            </w:tcBorders>
            <w:shd w:val="clear" w:color="auto" w:fill="auto"/>
            <w:noWrap/>
            <w:vAlign w:val="bottom"/>
            <w:hideMark/>
          </w:tcPr>
          <w:p w14:paraId="1DF9652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c>
          <w:tcPr>
            <w:tcW w:w="980" w:type="dxa"/>
            <w:tcBorders>
              <w:top w:val="nil"/>
              <w:left w:val="nil"/>
              <w:bottom w:val="single" w:sz="4" w:space="0" w:color="auto"/>
              <w:right w:val="single" w:sz="8" w:space="0" w:color="auto"/>
            </w:tcBorders>
            <w:shd w:val="clear" w:color="auto" w:fill="auto"/>
            <w:noWrap/>
            <w:vAlign w:val="bottom"/>
            <w:hideMark/>
          </w:tcPr>
          <w:p w14:paraId="03A9D6E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w:t>
            </w:r>
          </w:p>
        </w:tc>
      </w:tr>
      <w:tr w:rsidR="008E2273" w:rsidRPr="000A7220" w14:paraId="32D81EBE"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3D943E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210EDF78"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South Africa</w:t>
            </w:r>
          </w:p>
        </w:tc>
        <w:tc>
          <w:tcPr>
            <w:tcW w:w="1160" w:type="dxa"/>
            <w:tcBorders>
              <w:top w:val="nil"/>
              <w:left w:val="nil"/>
              <w:bottom w:val="single" w:sz="4" w:space="0" w:color="auto"/>
              <w:right w:val="single" w:sz="4" w:space="0" w:color="auto"/>
            </w:tcBorders>
            <w:shd w:val="clear" w:color="auto" w:fill="auto"/>
            <w:noWrap/>
            <w:vAlign w:val="bottom"/>
            <w:hideMark/>
          </w:tcPr>
          <w:p w14:paraId="529FBD4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1401702</w:t>
            </w:r>
          </w:p>
        </w:tc>
        <w:tc>
          <w:tcPr>
            <w:tcW w:w="1160" w:type="dxa"/>
            <w:tcBorders>
              <w:top w:val="nil"/>
              <w:left w:val="nil"/>
              <w:bottom w:val="single" w:sz="4" w:space="0" w:color="auto"/>
              <w:right w:val="single" w:sz="4" w:space="0" w:color="auto"/>
            </w:tcBorders>
            <w:shd w:val="clear" w:color="auto" w:fill="auto"/>
            <w:noWrap/>
            <w:vAlign w:val="bottom"/>
            <w:hideMark/>
          </w:tcPr>
          <w:p w14:paraId="552E5AD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31660008</w:t>
            </w:r>
          </w:p>
        </w:tc>
        <w:tc>
          <w:tcPr>
            <w:tcW w:w="980" w:type="dxa"/>
            <w:tcBorders>
              <w:top w:val="nil"/>
              <w:left w:val="nil"/>
              <w:bottom w:val="single" w:sz="4" w:space="0" w:color="auto"/>
              <w:right w:val="single" w:sz="4" w:space="0" w:color="auto"/>
            </w:tcBorders>
            <w:shd w:val="clear" w:color="auto" w:fill="auto"/>
            <w:noWrap/>
            <w:vAlign w:val="bottom"/>
            <w:hideMark/>
          </w:tcPr>
          <w:p w14:paraId="6E5EB29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97%</w:t>
            </w:r>
          </w:p>
        </w:tc>
        <w:tc>
          <w:tcPr>
            <w:tcW w:w="980" w:type="dxa"/>
            <w:tcBorders>
              <w:top w:val="nil"/>
              <w:left w:val="nil"/>
              <w:bottom w:val="single" w:sz="4" w:space="0" w:color="auto"/>
              <w:right w:val="single" w:sz="8" w:space="0" w:color="auto"/>
            </w:tcBorders>
            <w:shd w:val="clear" w:color="auto" w:fill="auto"/>
            <w:noWrap/>
            <w:vAlign w:val="bottom"/>
            <w:hideMark/>
          </w:tcPr>
          <w:p w14:paraId="41F6C45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97%</w:t>
            </w:r>
          </w:p>
        </w:tc>
      </w:tr>
      <w:tr w:rsidR="008E2273" w:rsidRPr="000A7220" w14:paraId="35FCEB8B"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28203BA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779CA32B"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Switzerland</w:t>
            </w:r>
          </w:p>
        </w:tc>
        <w:tc>
          <w:tcPr>
            <w:tcW w:w="1160" w:type="dxa"/>
            <w:tcBorders>
              <w:top w:val="nil"/>
              <w:left w:val="nil"/>
              <w:bottom w:val="single" w:sz="4" w:space="0" w:color="auto"/>
              <w:right w:val="single" w:sz="4" w:space="0" w:color="auto"/>
            </w:tcBorders>
            <w:shd w:val="clear" w:color="auto" w:fill="auto"/>
            <w:noWrap/>
            <w:vAlign w:val="bottom"/>
            <w:hideMark/>
          </w:tcPr>
          <w:p w14:paraId="4F2CA95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12436</w:t>
            </w:r>
          </w:p>
        </w:tc>
        <w:tc>
          <w:tcPr>
            <w:tcW w:w="1160" w:type="dxa"/>
            <w:tcBorders>
              <w:top w:val="nil"/>
              <w:left w:val="nil"/>
              <w:bottom w:val="single" w:sz="4" w:space="0" w:color="auto"/>
              <w:right w:val="single" w:sz="4" w:space="0" w:color="auto"/>
            </w:tcBorders>
            <w:shd w:val="clear" w:color="auto" w:fill="auto"/>
            <w:noWrap/>
            <w:vAlign w:val="bottom"/>
            <w:hideMark/>
          </w:tcPr>
          <w:p w14:paraId="7F69976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192432</w:t>
            </w:r>
          </w:p>
        </w:tc>
        <w:tc>
          <w:tcPr>
            <w:tcW w:w="980" w:type="dxa"/>
            <w:tcBorders>
              <w:top w:val="nil"/>
              <w:left w:val="nil"/>
              <w:bottom w:val="single" w:sz="4" w:space="0" w:color="auto"/>
              <w:right w:val="single" w:sz="4" w:space="0" w:color="auto"/>
            </w:tcBorders>
            <w:shd w:val="clear" w:color="auto" w:fill="auto"/>
            <w:noWrap/>
            <w:vAlign w:val="bottom"/>
            <w:hideMark/>
          </w:tcPr>
          <w:p w14:paraId="10E2C6C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c>
          <w:tcPr>
            <w:tcW w:w="980" w:type="dxa"/>
            <w:tcBorders>
              <w:top w:val="nil"/>
              <w:left w:val="nil"/>
              <w:bottom w:val="single" w:sz="4" w:space="0" w:color="auto"/>
              <w:right w:val="single" w:sz="8" w:space="0" w:color="auto"/>
            </w:tcBorders>
            <w:shd w:val="clear" w:color="auto" w:fill="auto"/>
            <w:noWrap/>
            <w:vAlign w:val="bottom"/>
            <w:hideMark/>
          </w:tcPr>
          <w:p w14:paraId="66F0912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r>
      <w:tr w:rsidR="008E2273" w:rsidRPr="000A7220" w14:paraId="75AEAC11"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42E508B1"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000000" w:fill="C5D9F1"/>
            <w:noWrap/>
            <w:vAlign w:val="bottom"/>
            <w:hideMark/>
          </w:tcPr>
          <w:p w14:paraId="678B35EE"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62A0DE2D"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1449631</w:t>
            </w:r>
          </w:p>
        </w:tc>
        <w:tc>
          <w:tcPr>
            <w:tcW w:w="1160" w:type="dxa"/>
            <w:tcBorders>
              <w:top w:val="nil"/>
              <w:left w:val="nil"/>
              <w:bottom w:val="single" w:sz="4" w:space="0" w:color="auto"/>
              <w:right w:val="single" w:sz="4" w:space="0" w:color="auto"/>
            </w:tcBorders>
            <w:shd w:val="clear" w:color="000000" w:fill="C5D9F1"/>
            <w:noWrap/>
            <w:vAlign w:val="bottom"/>
            <w:hideMark/>
          </w:tcPr>
          <w:p w14:paraId="507841B5"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32756290</w:t>
            </w:r>
          </w:p>
        </w:tc>
        <w:tc>
          <w:tcPr>
            <w:tcW w:w="980" w:type="dxa"/>
            <w:tcBorders>
              <w:top w:val="nil"/>
              <w:left w:val="nil"/>
              <w:bottom w:val="single" w:sz="4" w:space="0" w:color="auto"/>
              <w:right w:val="single" w:sz="4" w:space="0" w:color="auto"/>
            </w:tcBorders>
            <w:shd w:val="clear" w:color="000000" w:fill="C5D9F1"/>
            <w:noWrap/>
            <w:vAlign w:val="bottom"/>
            <w:hideMark/>
          </w:tcPr>
          <w:p w14:paraId="307DA308"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c>
          <w:tcPr>
            <w:tcW w:w="980" w:type="dxa"/>
            <w:tcBorders>
              <w:top w:val="nil"/>
              <w:left w:val="nil"/>
              <w:bottom w:val="single" w:sz="4" w:space="0" w:color="auto"/>
              <w:right w:val="single" w:sz="8" w:space="0" w:color="auto"/>
            </w:tcBorders>
            <w:shd w:val="clear" w:color="000000" w:fill="C5D9F1"/>
            <w:noWrap/>
            <w:vAlign w:val="bottom"/>
            <w:hideMark/>
          </w:tcPr>
          <w:p w14:paraId="5EE4416C"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r>
      <w:tr w:rsidR="008E2273" w:rsidRPr="000A7220" w14:paraId="6FE9B3CF"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90BEE3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69BF100B"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61D7623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10704</w:t>
            </w:r>
          </w:p>
        </w:tc>
        <w:tc>
          <w:tcPr>
            <w:tcW w:w="1160" w:type="dxa"/>
            <w:tcBorders>
              <w:top w:val="nil"/>
              <w:left w:val="nil"/>
              <w:bottom w:val="single" w:sz="4" w:space="0" w:color="auto"/>
              <w:right w:val="single" w:sz="4" w:space="0" w:color="auto"/>
            </w:tcBorders>
            <w:shd w:val="clear" w:color="auto" w:fill="auto"/>
            <w:noWrap/>
            <w:vAlign w:val="bottom"/>
            <w:hideMark/>
          </w:tcPr>
          <w:p w14:paraId="1EDED6B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337013</w:t>
            </w:r>
          </w:p>
        </w:tc>
        <w:tc>
          <w:tcPr>
            <w:tcW w:w="980" w:type="dxa"/>
            <w:tcBorders>
              <w:top w:val="nil"/>
              <w:left w:val="nil"/>
              <w:bottom w:val="single" w:sz="4" w:space="0" w:color="auto"/>
              <w:right w:val="single" w:sz="4" w:space="0" w:color="auto"/>
            </w:tcBorders>
            <w:shd w:val="clear" w:color="auto" w:fill="auto"/>
            <w:noWrap/>
            <w:vAlign w:val="bottom"/>
            <w:hideMark/>
          </w:tcPr>
          <w:p w14:paraId="65E0911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0%</w:t>
            </w:r>
          </w:p>
        </w:tc>
        <w:tc>
          <w:tcPr>
            <w:tcW w:w="980" w:type="dxa"/>
            <w:tcBorders>
              <w:top w:val="nil"/>
              <w:left w:val="nil"/>
              <w:bottom w:val="single" w:sz="4" w:space="0" w:color="auto"/>
              <w:right w:val="single" w:sz="8" w:space="0" w:color="auto"/>
            </w:tcBorders>
            <w:shd w:val="clear" w:color="auto" w:fill="auto"/>
            <w:noWrap/>
            <w:vAlign w:val="bottom"/>
            <w:hideMark/>
          </w:tcPr>
          <w:p w14:paraId="732BBC7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r>
      <w:tr w:rsidR="008E2273" w:rsidRPr="000A7220" w14:paraId="22B45C7E"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3A40E3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77C19A0F"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South Africa</w:t>
            </w:r>
          </w:p>
        </w:tc>
        <w:tc>
          <w:tcPr>
            <w:tcW w:w="1160" w:type="dxa"/>
            <w:tcBorders>
              <w:top w:val="nil"/>
              <w:left w:val="nil"/>
              <w:bottom w:val="single" w:sz="4" w:space="0" w:color="auto"/>
              <w:right w:val="single" w:sz="4" w:space="0" w:color="auto"/>
            </w:tcBorders>
            <w:shd w:val="clear" w:color="auto" w:fill="auto"/>
            <w:noWrap/>
            <w:vAlign w:val="bottom"/>
            <w:hideMark/>
          </w:tcPr>
          <w:p w14:paraId="5940221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2236744</w:t>
            </w:r>
          </w:p>
        </w:tc>
        <w:tc>
          <w:tcPr>
            <w:tcW w:w="1160" w:type="dxa"/>
            <w:tcBorders>
              <w:top w:val="nil"/>
              <w:left w:val="nil"/>
              <w:bottom w:val="single" w:sz="4" w:space="0" w:color="auto"/>
              <w:right w:val="single" w:sz="4" w:space="0" w:color="auto"/>
            </w:tcBorders>
            <w:shd w:val="clear" w:color="auto" w:fill="auto"/>
            <w:noWrap/>
            <w:vAlign w:val="bottom"/>
            <w:hideMark/>
          </w:tcPr>
          <w:p w14:paraId="0C67C05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43060097</w:t>
            </w:r>
          </w:p>
        </w:tc>
        <w:tc>
          <w:tcPr>
            <w:tcW w:w="980" w:type="dxa"/>
            <w:tcBorders>
              <w:top w:val="nil"/>
              <w:left w:val="nil"/>
              <w:bottom w:val="single" w:sz="4" w:space="0" w:color="auto"/>
              <w:right w:val="single" w:sz="4" w:space="0" w:color="auto"/>
            </w:tcBorders>
            <w:shd w:val="clear" w:color="auto" w:fill="auto"/>
            <w:noWrap/>
            <w:vAlign w:val="bottom"/>
            <w:hideMark/>
          </w:tcPr>
          <w:p w14:paraId="0349AA9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100%</w:t>
            </w:r>
          </w:p>
        </w:tc>
        <w:tc>
          <w:tcPr>
            <w:tcW w:w="980" w:type="dxa"/>
            <w:tcBorders>
              <w:top w:val="nil"/>
              <w:left w:val="nil"/>
              <w:bottom w:val="single" w:sz="4" w:space="0" w:color="auto"/>
              <w:right w:val="single" w:sz="8" w:space="0" w:color="auto"/>
            </w:tcBorders>
            <w:shd w:val="clear" w:color="auto" w:fill="auto"/>
            <w:noWrap/>
            <w:vAlign w:val="bottom"/>
            <w:hideMark/>
          </w:tcPr>
          <w:p w14:paraId="3C22EB9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99%</w:t>
            </w:r>
          </w:p>
        </w:tc>
      </w:tr>
      <w:tr w:rsidR="008E2273" w:rsidRPr="000A7220" w14:paraId="0A25834B"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7C4D2270"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000000" w:fill="C5D9F1"/>
            <w:noWrap/>
            <w:vAlign w:val="bottom"/>
            <w:hideMark/>
          </w:tcPr>
          <w:p w14:paraId="362F2CA2"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4AD005C3"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2247588</w:t>
            </w:r>
          </w:p>
        </w:tc>
        <w:tc>
          <w:tcPr>
            <w:tcW w:w="1160" w:type="dxa"/>
            <w:tcBorders>
              <w:top w:val="nil"/>
              <w:left w:val="nil"/>
              <w:bottom w:val="single" w:sz="4" w:space="0" w:color="auto"/>
              <w:right w:val="single" w:sz="4" w:space="0" w:color="auto"/>
            </w:tcBorders>
            <w:shd w:val="clear" w:color="000000" w:fill="C5D9F1"/>
            <w:noWrap/>
            <w:vAlign w:val="bottom"/>
            <w:hideMark/>
          </w:tcPr>
          <w:p w14:paraId="2979EB8C"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43397619</w:t>
            </w:r>
          </w:p>
        </w:tc>
        <w:tc>
          <w:tcPr>
            <w:tcW w:w="980" w:type="dxa"/>
            <w:tcBorders>
              <w:top w:val="nil"/>
              <w:left w:val="nil"/>
              <w:bottom w:val="single" w:sz="4" w:space="0" w:color="auto"/>
              <w:right w:val="single" w:sz="4" w:space="0" w:color="auto"/>
            </w:tcBorders>
            <w:shd w:val="clear" w:color="000000" w:fill="C5D9F1"/>
            <w:noWrap/>
            <w:vAlign w:val="bottom"/>
            <w:hideMark/>
          </w:tcPr>
          <w:p w14:paraId="454E2E4E"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c>
          <w:tcPr>
            <w:tcW w:w="980" w:type="dxa"/>
            <w:tcBorders>
              <w:top w:val="nil"/>
              <w:left w:val="nil"/>
              <w:bottom w:val="single" w:sz="4" w:space="0" w:color="auto"/>
              <w:right w:val="single" w:sz="8" w:space="0" w:color="auto"/>
            </w:tcBorders>
            <w:shd w:val="clear" w:color="000000" w:fill="C5D9F1"/>
            <w:noWrap/>
            <w:vAlign w:val="bottom"/>
            <w:hideMark/>
          </w:tcPr>
          <w:p w14:paraId="63533502"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r>
      <w:tr w:rsidR="008E2273" w:rsidRPr="000A7220" w14:paraId="381F58D9"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C2A877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669CF644"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2EA0747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386779</w:t>
            </w:r>
          </w:p>
        </w:tc>
        <w:tc>
          <w:tcPr>
            <w:tcW w:w="1160" w:type="dxa"/>
            <w:tcBorders>
              <w:top w:val="nil"/>
              <w:left w:val="nil"/>
              <w:bottom w:val="single" w:sz="4" w:space="0" w:color="auto"/>
              <w:right w:val="single" w:sz="4" w:space="0" w:color="auto"/>
            </w:tcBorders>
            <w:shd w:val="clear" w:color="auto" w:fill="auto"/>
            <w:noWrap/>
            <w:vAlign w:val="bottom"/>
            <w:hideMark/>
          </w:tcPr>
          <w:p w14:paraId="5CA0799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6460212</w:t>
            </w:r>
          </w:p>
        </w:tc>
        <w:tc>
          <w:tcPr>
            <w:tcW w:w="980" w:type="dxa"/>
            <w:tcBorders>
              <w:top w:val="nil"/>
              <w:left w:val="nil"/>
              <w:bottom w:val="single" w:sz="4" w:space="0" w:color="auto"/>
              <w:right w:val="single" w:sz="4" w:space="0" w:color="auto"/>
            </w:tcBorders>
            <w:shd w:val="clear" w:color="auto" w:fill="auto"/>
            <w:noWrap/>
            <w:vAlign w:val="bottom"/>
            <w:hideMark/>
          </w:tcPr>
          <w:p w14:paraId="136605A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w:t>
            </w:r>
          </w:p>
        </w:tc>
        <w:tc>
          <w:tcPr>
            <w:tcW w:w="980" w:type="dxa"/>
            <w:tcBorders>
              <w:top w:val="nil"/>
              <w:left w:val="nil"/>
              <w:bottom w:val="single" w:sz="4" w:space="0" w:color="auto"/>
              <w:right w:val="single" w:sz="8" w:space="0" w:color="auto"/>
            </w:tcBorders>
            <w:shd w:val="clear" w:color="auto" w:fill="auto"/>
            <w:noWrap/>
            <w:vAlign w:val="bottom"/>
            <w:hideMark/>
          </w:tcPr>
          <w:p w14:paraId="4BF2AE8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w:t>
            </w:r>
          </w:p>
        </w:tc>
      </w:tr>
      <w:tr w:rsidR="008E2273" w:rsidRPr="000A7220" w14:paraId="5E26D1E2"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25A05FD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14888662"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South Africa</w:t>
            </w:r>
          </w:p>
        </w:tc>
        <w:tc>
          <w:tcPr>
            <w:tcW w:w="1160" w:type="dxa"/>
            <w:tcBorders>
              <w:top w:val="nil"/>
              <w:left w:val="nil"/>
              <w:bottom w:val="single" w:sz="4" w:space="0" w:color="auto"/>
              <w:right w:val="single" w:sz="4" w:space="0" w:color="auto"/>
            </w:tcBorders>
            <w:shd w:val="clear" w:color="auto" w:fill="auto"/>
            <w:noWrap/>
            <w:vAlign w:val="bottom"/>
            <w:hideMark/>
          </w:tcPr>
          <w:p w14:paraId="54980C9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1923189</w:t>
            </w:r>
          </w:p>
        </w:tc>
        <w:tc>
          <w:tcPr>
            <w:tcW w:w="1160" w:type="dxa"/>
            <w:tcBorders>
              <w:top w:val="nil"/>
              <w:left w:val="nil"/>
              <w:bottom w:val="single" w:sz="4" w:space="0" w:color="auto"/>
              <w:right w:val="single" w:sz="4" w:space="0" w:color="auto"/>
            </w:tcBorders>
            <w:shd w:val="clear" w:color="auto" w:fill="auto"/>
            <w:noWrap/>
            <w:vAlign w:val="bottom"/>
            <w:hideMark/>
          </w:tcPr>
          <w:p w14:paraId="682785B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31573934</w:t>
            </w:r>
          </w:p>
        </w:tc>
        <w:tc>
          <w:tcPr>
            <w:tcW w:w="980" w:type="dxa"/>
            <w:tcBorders>
              <w:top w:val="nil"/>
              <w:left w:val="nil"/>
              <w:bottom w:val="single" w:sz="4" w:space="0" w:color="auto"/>
              <w:right w:val="single" w:sz="4" w:space="0" w:color="auto"/>
            </w:tcBorders>
            <w:shd w:val="clear" w:color="auto" w:fill="auto"/>
            <w:noWrap/>
            <w:vAlign w:val="bottom"/>
            <w:hideMark/>
          </w:tcPr>
          <w:p w14:paraId="4F40E82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83%</w:t>
            </w:r>
          </w:p>
        </w:tc>
        <w:tc>
          <w:tcPr>
            <w:tcW w:w="980" w:type="dxa"/>
            <w:tcBorders>
              <w:top w:val="nil"/>
              <w:left w:val="nil"/>
              <w:bottom w:val="single" w:sz="4" w:space="0" w:color="auto"/>
              <w:right w:val="single" w:sz="8" w:space="0" w:color="auto"/>
            </w:tcBorders>
            <w:shd w:val="clear" w:color="auto" w:fill="auto"/>
            <w:noWrap/>
            <w:vAlign w:val="bottom"/>
            <w:hideMark/>
          </w:tcPr>
          <w:p w14:paraId="081664D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83%</w:t>
            </w:r>
          </w:p>
        </w:tc>
      </w:tr>
      <w:tr w:rsidR="008E2273" w:rsidRPr="000A7220" w14:paraId="15A27835"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124EC623"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000000" w:fill="C5D9F1"/>
            <w:noWrap/>
            <w:vAlign w:val="bottom"/>
            <w:hideMark/>
          </w:tcPr>
          <w:p w14:paraId="7313E9EE"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5E0238A9"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2309983</w:t>
            </w:r>
          </w:p>
        </w:tc>
        <w:tc>
          <w:tcPr>
            <w:tcW w:w="1160" w:type="dxa"/>
            <w:tcBorders>
              <w:top w:val="nil"/>
              <w:left w:val="nil"/>
              <w:bottom w:val="single" w:sz="4" w:space="0" w:color="auto"/>
              <w:right w:val="single" w:sz="4" w:space="0" w:color="auto"/>
            </w:tcBorders>
            <w:shd w:val="clear" w:color="000000" w:fill="C5D9F1"/>
            <w:noWrap/>
            <w:vAlign w:val="bottom"/>
            <w:hideMark/>
          </w:tcPr>
          <w:p w14:paraId="16448623"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38034177</w:t>
            </w:r>
          </w:p>
        </w:tc>
        <w:tc>
          <w:tcPr>
            <w:tcW w:w="980" w:type="dxa"/>
            <w:tcBorders>
              <w:top w:val="nil"/>
              <w:left w:val="nil"/>
              <w:bottom w:val="single" w:sz="4" w:space="0" w:color="auto"/>
              <w:right w:val="single" w:sz="4" w:space="0" w:color="auto"/>
            </w:tcBorders>
            <w:shd w:val="clear" w:color="000000" w:fill="C5D9F1"/>
            <w:noWrap/>
            <w:vAlign w:val="bottom"/>
            <w:hideMark/>
          </w:tcPr>
          <w:p w14:paraId="5DDA9EEA"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c>
          <w:tcPr>
            <w:tcW w:w="980" w:type="dxa"/>
            <w:tcBorders>
              <w:top w:val="nil"/>
              <w:left w:val="nil"/>
              <w:bottom w:val="single" w:sz="4" w:space="0" w:color="auto"/>
              <w:right w:val="single" w:sz="8" w:space="0" w:color="auto"/>
            </w:tcBorders>
            <w:shd w:val="clear" w:color="000000" w:fill="C5D9F1"/>
            <w:noWrap/>
            <w:vAlign w:val="bottom"/>
            <w:hideMark/>
          </w:tcPr>
          <w:p w14:paraId="270F6BAC"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r>
      <w:tr w:rsidR="008E2273" w:rsidRPr="000A7220" w14:paraId="628A60CC"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000000"/>
            <w:noWrap/>
            <w:vAlign w:val="bottom"/>
            <w:hideMark/>
          </w:tcPr>
          <w:p w14:paraId="14EA511D"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Essence</w:t>
            </w:r>
          </w:p>
        </w:tc>
        <w:tc>
          <w:tcPr>
            <w:tcW w:w="1280" w:type="dxa"/>
            <w:tcBorders>
              <w:top w:val="nil"/>
              <w:left w:val="nil"/>
              <w:bottom w:val="single" w:sz="4" w:space="0" w:color="auto"/>
              <w:right w:val="single" w:sz="4" w:space="0" w:color="auto"/>
            </w:tcBorders>
            <w:shd w:val="clear" w:color="000000" w:fill="000000"/>
            <w:noWrap/>
            <w:vAlign w:val="bottom"/>
            <w:hideMark/>
          </w:tcPr>
          <w:p w14:paraId="7C36806D"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1160" w:type="dxa"/>
            <w:tcBorders>
              <w:top w:val="nil"/>
              <w:left w:val="nil"/>
              <w:bottom w:val="single" w:sz="4" w:space="0" w:color="auto"/>
              <w:right w:val="single" w:sz="4" w:space="0" w:color="auto"/>
            </w:tcBorders>
            <w:shd w:val="clear" w:color="000000" w:fill="000000"/>
            <w:noWrap/>
            <w:vAlign w:val="bottom"/>
            <w:hideMark/>
          </w:tcPr>
          <w:p w14:paraId="51E9CCF5"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1160" w:type="dxa"/>
            <w:tcBorders>
              <w:top w:val="nil"/>
              <w:left w:val="nil"/>
              <w:bottom w:val="single" w:sz="4" w:space="0" w:color="auto"/>
              <w:right w:val="single" w:sz="4" w:space="0" w:color="auto"/>
            </w:tcBorders>
            <w:shd w:val="clear" w:color="000000" w:fill="000000"/>
            <w:noWrap/>
            <w:vAlign w:val="bottom"/>
            <w:hideMark/>
          </w:tcPr>
          <w:p w14:paraId="1168BA7C"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980" w:type="dxa"/>
            <w:tcBorders>
              <w:top w:val="nil"/>
              <w:left w:val="nil"/>
              <w:bottom w:val="single" w:sz="4" w:space="0" w:color="auto"/>
              <w:right w:val="single" w:sz="4" w:space="0" w:color="auto"/>
            </w:tcBorders>
            <w:shd w:val="clear" w:color="000000" w:fill="000000"/>
            <w:noWrap/>
            <w:vAlign w:val="bottom"/>
            <w:hideMark/>
          </w:tcPr>
          <w:p w14:paraId="79C6D49A"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c>
          <w:tcPr>
            <w:tcW w:w="980" w:type="dxa"/>
            <w:tcBorders>
              <w:top w:val="nil"/>
              <w:left w:val="nil"/>
              <w:bottom w:val="single" w:sz="4" w:space="0" w:color="auto"/>
              <w:right w:val="single" w:sz="8" w:space="0" w:color="auto"/>
            </w:tcBorders>
            <w:shd w:val="clear" w:color="000000" w:fill="000000"/>
            <w:noWrap/>
            <w:vAlign w:val="bottom"/>
            <w:hideMark/>
          </w:tcPr>
          <w:p w14:paraId="5BD70291" w14:textId="77777777" w:rsidR="008E2273" w:rsidRPr="000A7220" w:rsidRDefault="008E2273" w:rsidP="008E2273">
            <w:pPr>
              <w:spacing w:after="0" w:line="240" w:lineRule="auto"/>
              <w:rPr>
                <w:rFonts w:ascii="Calibri" w:eastAsia="Times New Roman" w:hAnsi="Calibri" w:cs="Times New Roman"/>
                <w:color w:val="FFFFFF"/>
                <w:sz w:val="18"/>
                <w:szCs w:val="18"/>
                <w:lang w:val="en-GB" w:eastAsia="en-GB"/>
              </w:rPr>
            </w:pPr>
            <w:r w:rsidRPr="000A7220">
              <w:rPr>
                <w:rFonts w:ascii="Calibri" w:eastAsia="Times New Roman" w:hAnsi="Calibri" w:cs="Times New Roman"/>
                <w:color w:val="FFFFFF"/>
                <w:sz w:val="18"/>
                <w:szCs w:val="18"/>
                <w:lang w:val="en-GB" w:eastAsia="en-GB"/>
              </w:rPr>
              <w:t> </w:t>
            </w:r>
          </w:p>
        </w:tc>
      </w:tr>
      <w:tr w:rsidR="008E2273" w:rsidRPr="000A7220" w14:paraId="1517E2CA"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1B0501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13FC93D7"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5BC055B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116268585</w:t>
            </w:r>
          </w:p>
        </w:tc>
        <w:tc>
          <w:tcPr>
            <w:tcW w:w="1160" w:type="dxa"/>
            <w:tcBorders>
              <w:top w:val="nil"/>
              <w:left w:val="nil"/>
              <w:bottom w:val="single" w:sz="4" w:space="0" w:color="auto"/>
              <w:right w:val="single" w:sz="4" w:space="0" w:color="auto"/>
            </w:tcBorders>
            <w:shd w:val="clear" w:color="auto" w:fill="auto"/>
            <w:noWrap/>
            <w:vAlign w:val="bottom"/>
            <w:hideMark/>
          </w:tcPr>
          <w:p w14:paraId="7CA5AA5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89338418</w:t>
            </w:r>
          </w:p>
        </w:tc>
        <w:tc>
          <w:tcPr>
            <w:tcW w:w="980" w:type="dxa"/>
            <w:tcBorders>
              <w:top w:val="nil"/>
              <w:left w:val="nil"/>
              <w:bottom w:val="single" w:sz="4" w:space="0" w:color="auto"/>
              <w:right w:val="single" w:sz="4" w:space="0" w:color="auto"/>
            </w:tcBorders>
            <w:shd w:val="clear" w:color="auto" w:fill="auto"/>
            <w:noWrap/>
            <w:vAlign w:val="bottom"/>
            <w:hideMark/>
          </w:tcPr>
          <w:p w14:paraId="7A85C44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18%</w:t>
            </w:r>
          </w:p>
        </w:tc>
        <w:tc>
          <w:tcPr>
            <w:tcW w:w="980" w:type="dxa"/>
            <w:tcBorders>
              <w:top w:val="nil"/>
              <w:left w:val="nil"/>
              <w:bottom w:val="single" w:sz="4" w:space="0" w:color="auto"/>
              <w:right w:val="single" w:sz="8" w:space="0" w:color="auto"/>
            </w:tcBorders>
            <w:shd w:val="clear" w:color="auto" w:fill="auto"/>
            <w:noWrap/>
            <w:vAlign w:val="bottom"/>
            <w:hideMark/>
          </w:tcPr>
          <w:p w14:paraId="78C7691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19%</w:t>
            </w:r>
          </w:p>
        </w:tc>
      </w:tr>
      <w:tr w:rsidR="008E2273" w:rsidRPr="000A7220" w14:paraId="67B68BF5"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06418D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2B1A4940"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 xml:space="preserve">Burkina Faso </w:t>
            </w:r>
          </w:p>
        </w:tc>
        <w:tc>
          <w:tcPr>
            <w:tcW w:w="1160" w:type="dxa"/>
            <w:tcBorders>
              <w:top w:val="nil"/>
              <w:left w:val="nil"/>
              <w:bottom w:val="single" w:sz="4" w:space="0" w:color="auto"/>
              <w:right w:val="single" w:sz="4" w:space="0" w:color="auto"/>
            </w:tcBorders>
            <w:shd w:val="clear" w:color="auto" w:fill="auto"/>
            <w:noWrap/>
            <w:vAlign w:val="bottom"/>
            <w:hideMark/>
          </w:tcPr>
          <w:p w14:paraId="2A78DED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18943967</w:t>
            </w:r>
          </w:p>
        </w:tc>
        <w:tc>
          <w:tcPr>
            <w:tcW w:w="1160" w:type="dxa"/>
            <w:tcBorders>
              <w:top w:val="nil"/>
              <w:left w:val="nil"/>
              <w:bottom w:val="single" w:sz="4" w:space="0" w:color="auto"/>
              <w:right w:val="single" w:sz="4" w:space="0" w:color="auto"/>
            </w:tcBorders>
            <w:shd w:val="clear" w:color="auto" w:fill="auto"/>
            <w:noWrap/>
            <w:vAlign w:val="bottom"/>
            <w:hideMark/>
          </w:tcPr>
          <w:p w14:paraId="7A0A8A1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7375192</w:t>
            </w:r>
          </w:p>
        </w:tc>
        <w:tc>
          <w:tcPr>
            <w:tcW w:w="980" w:type="dxa"/>
            <w:tcBorders>
              <w:top w:val="nil"/>
              <w:left w:val="nil"/>
              <w:bottom w:val="single" w:sz="4" w:space="0" w:color="auto"/>
              <w:right w:val="single" w:sz="4" w:space="0" w:color="auto"/>
            </w:tcBorders>
            <w:shd w:val="clear" w:color="auto" w:fill="auto"/>
            <w:noWrap/>
            <w:vAlign w:val="bottom"/>
            <w:hideMark/>
          </w:tcPr>
          <w:p w14:paraId="016185D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w:t>
            </w:r>
          </w:p>
        </w:tc>
        <w:tc>
          <w:tcPr>
            <w:tcW w:w="980" w:type="dxa"/>
            <w:tcBorders>
              <w:top w:val="nil"/>
              <w:left w:val="nil"/>
              <w:bottom w:val="single" w:sz="4" w:space="0" w:color="auto"/>
              <w:right w:val="single" w:sz="8" w:space="0" w:color="auto"/>
            </w:tcBorders>
            <w:shd w:val="clear" w:color="auto" w:fill="auto"/>
            <w:noWrap/>
            <w:vAlign w:val="bottom"/>
            <w:hideMark/>
          </w:tcPr>
          <w:p w14:paraId="1557E34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w:t>
            </w:r>
          </w:p>
        </w:tc>
      </w:tr>
      <w:tr w:rsidR="008E2273" w:rsidRPr="000A7220" w14:paraId="6909F048"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1241CB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416D9D00"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Cote d'Ivoire</w:t>
            </w:r>
          </w:p>
        </w:tc>
        <w:tc>
          <w:tcPr>
            <w:tcW w:w="1160" w:type="dxa"/>
            <w:tcBorders>
              <w:top w:val="nil"/>
              <w:left w:val="nil"/>
              <w:bottom w:val="single" w:sz="4" w:space="0" w:color="auto"/>
              <w:right w:val="single" w:sz="4" w:space="0" w:color="auto"/>
            </w:tcBorders>
            <w:shd w:val="clear" w:color="auto" w:fill="auto"/>
            <w:noWrap/>
            <w:vAlign w:val="bottom"/>
            <w:hideMark/>
          </w:tcPr>
          <w:p w14:paraId="252CD5A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143423978</w:t>
            </w:r>
          </w:p>
        </w:tc>
        <w:tc>
          <w:tcPr>
            <w:tcW w:w="1160" w:type="dxa"/>
            <w:tcBorders>
              <w:top w:val="nil"/>
              <w:left w:val="nil"/>
              <w:bottom w:val="single" w:sz="4" w:space="0" w:color="auto"/>
              <w:right w:val="single" w:sz="4" w:space="0" w:color="auto"/>
            </w:tcBorders>
            <w:shd w:val="clear" w:color="auto" w:fill="auto"/>
            <w:noWrap/>
            <w:vAlign w:val="bottom"/>
            <w:hideMark/>
          </w:tcPr>
          <w:p w14:paraId="440D3A8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101716372</w:t>
            </w:r>
          </w:p>
        </w:tc>
        <w:tc>
          <w:tcPr>
            <w:tcW w:w="980" w:type="dxa"/>
            <w:tcBorders>
              <w:top w:val="nil"/>
              <w:left w:val="nil"/>
              <w:bottom w:val="single" w:sz="4" w:space="0" w:color="auto"/>
              <w:right w:val="single" w:sz="4" w:space="0" w:color="auto"/>
            </w:tcBorders>
            <w:shd w:val="clear" w:color="auto" w:fill="auto"/>
            <w:noWrap/>
            <w:vAlign w:val="bottom"/>
            <w:hideMark/>
          </w:tcPr>
          <w:p w14:paraId="4A8B95E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22%</w:t>
            </w:r>
          </w:p>
        </w:tc>
        <w:tc>
          <w:tcPr>
            <w:tcW w:w="980" w:type="dxa"/>
            <w:tcBorders>
              <w:top w:val="nil"/>
              <w:left w:val="nil"/>
              <w:bottom w:val="single" w:sz="4" w:space="0" w:color="auto"/>
              <w:right w:val="single" w:sz="8" w:space="0" w:color="auto"/>
            </w:tcBorders>
            <w:shd w:val="clear" w:color="auto" w:fill="auto"/>
            <w:noWrap/>
            <w:vAlign w:val="bottom"/>
            <w:hideMark/>
          </w:tcPr>
          <w:p w14:paraId="68037E1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22%</w:t>
            </w:r>
          </w:p>
        </w:tc>
      </w:tr>
      <w:tr w:rsidR="008E2273" w:rsidRPr="000A7220" w14:paraId="72F220C1"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D53DA8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54F2C40E"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Ghana</w:t>
            </w:r>
          </w:p>
        </w:tc>
        <w:tc>
          <w:tcPr>
            <w:tcW w:w="1160" w:type="dxa"/>
            <w:tcBorders>
              <w:top w:val="nil"/>
              <w:left w:val="nil"/>
              <w:bottom w:val="single" w:sz="4" w:space="0" w:color="auto"/>
              <w:right w:val="single" w:sz="4" w:space="0" w:color="auto"/>
            </w:tcBorders>
            <w:shd w:val="clear" w:color="auto" w:fill="auto"/>
            <w:noWrap/>
            <w:vAlign w:val="bottom"/>
            <w:hideMark/>
          </w:tcPr>
          <w:p w14:paraId="00583F9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51423696</w:t>
            </w:r>
          </w:p>
        </w:tc>
        <w:tc>
          <w:tcPr>
            <w:tcW w:w="1160" w:type="dxa"/>
            <w:tcBorders>
              <w:top w:val="nil"/>
              <w:left w:val="nil"/>
              <w:bottom w:val="single" w:sz="4" w:space="0" w:color="auto"/>
              <w:right w:val="single" w:sz="4" w:space="0" w:color="auto"/>
            </w:tcBorders>
            <w:shd w:val="clear" w:color="auto" w:fill="auto"/>
            <w:noWrap/>
            <w:vAlign w:val="bottom"/>
            <w:hideMark/>
          </w:tcPr>
          <w:p w14:paraId="548BD93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37953627</w:t>
            </w:r>
          </w:p>
        </w:tc>
        <w:tc>
          <w:tcPr>
            <w:tcW w:w="980" w:type="dxa"/>
            <w:tcBorders>
              <w:top w:val="nil"/>
              <w:left w:val="nil"/>
              <w:bottom w:val="single" w:sz="4" w:space="0" w:color="auto"/>
              <w:right w:val="single" w:sz="4" w:space="0" w:color="auto"/>
            </w:tcBorders>
            <w:shd w:val="clear" w:color="auto" w:fill="auto"/>
            <w:noWrap/>
            <w:vAlign w:val="bottom"/>
            <w:hideMark/>
          </w:tcPr>
          <w:p w14:paraId="14192BF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w:t>
            </w:r>
          </w:p>
        </w:tc>
        <w:tc>
          <w:tcPr>
            <w:tcW w:w="980" w:type="dxa"/>
            <w:tcBorders>
              <w:top w:val="nil"/>
              <w:left w:val="nil"/>
              <w:bottom w:val="single" w:sz="4" w:space="0" w:color="auto"/>
              <w:right w:val="single" w:sz="8" w:space="0" w:color="auto"/>
            </w:tcBorders>
            <w:shd w:val="clear" w:color="auto" w:fill="auto"/>
            <w:noWrap/>
            <w:vAlign w:val="bottom"/>
            <w:hideMark/>
          </w:tcPr>
          <w:p w14:paraId="24B9475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w:t>
            </w:r>
          </w:p>
        </w:tc>
      </w:tr>
      <w:tr w:rsidR="008E2273" w:rsidRPr="000A7220" w14:paraId="689001F7"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DDF71A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10177F37"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7078244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231040500</w:t>
            </w:r>
          </w:p>
        </w:tc>
        <w:tc>
          <w:tcPr>
            <w:tcW w:w="1160" w:type="dxa"/>
            <w:tcBorders>
              <w:top w:val="nil"/>
              <w:left w:val="nil"/>
              <w:bottom w:val="single" w:sz="4" w:space="0" w:color="auto"/>
              <w:right w:val="single" w:sz="4" w:space="0" w:color="auto"/>
            </w:tcBorders>
            <w:shd w:val="clear" w:color="auto" w:fill="auto"/>
            <w:noWrap/>
            <w:vAlign w:val="bottom"/>
            <w:hideMark/>
          </w:tcPr>
          <w:p w14:paraId="4C1422E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166509945</w:t>
            </w:r>
          </w:p>
        </w:tc>
        <w:tc>
          <w:tcPr>
            <w:tcW w:w="980" w:type="dxa"/>
            <w:tcBorders>
              <w:top w:val="nil"/>
              <w:left w:val="nil"/>
              <w:bottom w:val="single" w:sz="4" w:space="0" w:color="auto"/>
              <w:right w:val="single" w:sz="4" w:space="0" w:color="auto"/>
            </w:tcBorders>
            <w:shd w:val="clear" w:color="auto" w:fill="auto"/>
            <w:noWrap/>
            <w:vAlign w:val="bottom"/>
            <w:hideMark/>
          </w:tcPr>
          <w:p w14:paraId="3B8B44B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36%</w:t>
            </w:r>
          </w:p>
        </w:tc>
        <w:tc>
          <w:tcPr>
            <w:tcW w:w="980" w:type="dxa"/>
            <w:tcBorders>
              <w:top w:val="nil"/>
              <w:left w:val="nil"/>
              <w:bottom w:val="single" w:sz="4" w:space="0" w:color="auto"/>
              <w:right w:val="single" w:sz="8" w:space="0" w:color="auto"/>
            </w:tcBorders>
            <w:shd w:val="clear" w:color="auto" w:fill="auto"/>
            <w:noWrap/>
            <w:vAlign w:val="bottom"/>
            <w:hideMark/>
          </w:tcPr>
          <w:p w14:paraId="68D9048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35%</w:t>
            </w:r>
          </w:p>
        </w:tc>
      </w:tr>
      <w:tr w:rsidR="008E2273" w:rsidRPr="000A7220" w14:paraId="3588910D"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7A846C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auto" w:fill="auto"/>
            <w:noWrap/>
            <w:vAlign w:val="bottom"/>
            <w:hideMark/>
          </w:tcPr>
          <w:p w14:paraId="0DB04FA2"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Togo</w:t>
            </w:r>
          </w:p>
        </w:tc>
        <w:tc>
          <w:tcPr>
            <w:tcW w:w="1160" w:type="dxa"/>
            <w:tcBorders>
              <w:top w:val="nil"/>
              <w:left w:val="nil"/>
              <w:bottom w:val="single" w:sz="4" w:space="0" w:color="auto"/>
              <w:right w:val="single" w:sz="4" w:space="0" w:color="auto"/>
            </w:tcBorders>
            <w:shd w:val="clear" w:color="auto" w:fill="auto"/>
            <w:noWrap/>
            <w:vAlign w:val="bottom"/>
            <w:hideMark/>
          </w:tcPr>
          <w:p w14:paraId="3FEBBFC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80763536</w:t>
            </w:r>
          </w:p>
        </w:tc>
        <w:tc>
          <w:tcPr>
            <w:tcW w:w="1160" w:type="dxa"/>
            <w:tcBorders>
              <w:top w:val="nil"/>
              <w:left w:val="nil"/>
              <w:bottom w:val="single" w:sz="4" w:space="0" w:color="auto"/>
              <w:right w:val="single" w:sz="4" w:space="0" w:color="auto"/>
            </w:tcBorders>
            <w:shd w:val="clear" w:color="auto" w:fill="auto"/>
            <w:noWrap/>
            <w:vAlign w:val="bottom"/>
            <w:hideMark/>
          </w:tcPr>
          <w:p w14:paraId="5228615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62850512</w:t>
            </w:r>
          </w:p>
        </w:tc>
        <w:tc>
          <w:tcPr>
            <w:tcW w:w="980" w:type="dxa"/>
            <w:tcBorders>
              <w:top w:val="nil"/>
              <w:left w:val="nil"/>
              <w:bottom w:val="single" w:sz="4" w:space="0" w:color="auto"/>
              <w:right w:val="single" w:sz="4" w:space="0" w:color="auto"/>
            </w:tcBorders>
            <w:shd w:val="clear" w:color="auto" w:fill="auto"/>
            <w:noWrap/>
            <w:vAlign w:val="bottom"/>
            <w:hideMark/>
          </w:tcPr>
          <w:p w14:paraId="722C68E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12%</w:t>
            </w:r>
          </w:p>
        </w:tc>
        <w:tc>
          <w:tcPr>
            <w:tcW w:w="980" w:type="dxa"/>
            <w:tcBorders>
              <w:top w:val="nil"/>
              <w:left w:val="nil"/>
              <w:bottom w:val="single" w:sz="4" w:space="0" w:color="auto"/>
              <w:right w:val="single" w:sz="8" w:space="0" w:color="auto"/>
            </w:tcBorders>
            <w:shd w:val="clear" w:color="auto" w:fill="auto"/>
            <w:noWrap/>
            <w:vAlign w:val="bottom"/>
            <w:hideMark/>
          </w:tcPr>
          <w:p w14:paraId="2CC2501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13%</w:t>
            </w:r>
          </w:p>
        </w:tc>
      </w:tr>
      <w:tr w:rsidR="008E2273" w:rsidRPr="000A7220" w14:paraId="38E4809D"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533166C1"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2007</w:t>
            </w:r>
          </w:p>
        </w:tc>
        <w:tc>
          <w:tcPr>
            <w:tcW w:w="1280" w:type="dxa"/>
            <w:tcBorders>
              <w:top w:val="nil"/>
              <w:left w:val="nil"/>
              <w:bottom w:val="single" w:sz="4" w:space="0" w:color="auto"/>
              <w:right w:val="single" w:sz="4" w:space="0" w:color="auto"/>
            </w:tcBorders>
            <w:shd w:val="clear" w:color="000000" w:fill="C5D9F1"/>
            <w:noWrap/>
            <w:vAlign w:val="bottom"/>
            <w:hideMark/>
          </w:tcPr>
          <w:p w14:paraId="293FDB72"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11D27C62"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648122454</w:t>
            </w:r>
          </w:p>
        </w:tc>
        <w:tc>
          <w:tcPr>
            <w:tcW w:w="1160" w:type="dxa"/>
            <w:tcBorders>
              <w:top w:val="nil"/>
              <w:left w:val="nil"/>
              <w:bottom w:val="single" w:sz="4" w:space="0" w:color="auto"/>
              <w:right w:val="single" w:sz="4" w:space="0" w:color="auto"/>
            </w:tcBorders>
            <w:shd w:val="clear" w:color="000000" w:fill="C5D9F1"/>
            <w:noWrap/>
            <w:vAlign w:val="bottom"/>
            <w:hideMark/>
          </w:tcPr>
          <w:p w14:paraId="52FA7884"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470243298</w:t>
            </w:r>
          </w:p>
        </w:tc>
        <w:tc>
          <w:tcPr>
            <w:tcW w:w="980" w:type="dxa"/>
            <w:tcBorders>
              <w:top w:val="nil"/>
              <w:left w:val="nil"/>
              <w:bottom w:val="single" w:sz="4" w:space="0" w:color="auto"/>
              <w:right w:val="single" w:sz="4" w:space="0" w:color="auto"/>
            </w:tcBorders>
            <w:shd w:val="clear" w:color="000000" w:fill="C5D9F1"/>
            <w:noWrap/>
            <w:vAlign w:val="bottom"/>
            <w:hideMark/>
          </w:tcPr>
          <w:p w14:paraId="6DEE53A4"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c>
          <w:tcPr>
            <w:tcW w:w="980" w:type="dxa"/>
            <w:tcBorders>
              <w:top w:val="nil"/>
              <w:left w:val="nil"/>
              <w:bottom w:val="single" w:sz="4" w:space="0" w:color="auto"/>
              <w:right w:val="single" w:sz="8" w:space="0" w:color="auto"/>
            </w:tcBorders>
            <w:shd w:val="clear" w:color="000000" w:fill="C5D9F1"/>
            <w:noWrap/>
            <w:vAlign w:val="bottom"/>
            <w:hideMark/>
          </w:tcPr>
          <w:p w14:paraId="6B0BA5CC"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 </w:t>
            </w:r>
          </w:p>
        </w:tc>
      </w:tr>
      <w:tr w:rsidR="008E2273" w:rsidRPr="000A7220" w14:paraId="6E1511E3"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126EA7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3CFDB27E"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6BB56EC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131710362</w:t>
            </w:r>
          </w:p>
        </w:tc>
        <w:tc>
          <w:tcPr>
            <w:tcW w:w="1160" w:type="dxa"/>
            <w:tcBorders>
              <w:top w:val="nil"/>
              <w:left w:val="nil"/>
              <w:bottom w:val="single" w:sz="4" w:space="0" w:color="auto"/>
              <w:right w:val="single" w:sz="4" w:space="0" w:color="auto"/>
            </w:tcBorders>
            <w:shd w:val="clear" w:color="auto" w:fill="auto"/>
            <w:noWrap/>
            <w:vAlign w:val="bottom"/>
            <w:hideMark/>
          </w:tcPr>
          <w:p w14:paraId="2A66B9E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68370980</w:t>
            </w:r>
          </w:p>
        </w:tc>
        <w:tc>
          <w:tcPr>
            <w:tcW w:w="980" w:type="dxa"/>
            <w:tcBorders>
              <w:top w:val="nil"/>
              <w:left w:val="nil"/>
              <w:bottom w:val="single" w:sz="4" w:space="0" w:color="auto"/>
              <w:right w:val="single" w:sz="4" w:space="0" w:color="auto"/>
            </w:tcBorders>
            <w:shd w:val="clear" w:color="auto" w:fill="auto"/>
            <w:noWrap/>
            <w:vAlign w:val="bottom"/>
            <w:hideMark/>
          </w:tcPr>
          <w:p w14:paraId="41F7B4C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w:t>
            </w:r>
          </w:p>
        </w:tc>
        <w:tc>
          <w:tcPr>
            <w:tcW w:w="980" w:type="dxa"/>
            <w:tcBorders>
              <w:top w:val="nil"/>
              <w:left w:val="nil"/>
              <w:bottom w:val="single" w:sz="4" w:space="0" w:color="auto"/>
              <w:right w:val="single" w:sz="8" w:space="0" w:color="auto"/>
            </w:tcBorders>
            <w:shd w:val="clear" w:color="auto" w:fill="auto"/>
            <w:noWrap/>
            <w:vAlign w:val="bottom"/>
            <w:hideMark/>
          </w:tcPr>
          <w:p w14:paraId="56E0186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w:t>
            </w:r>
          </w:p>
        </w:tc>
      </w:tr>
      <w:tr w:rsidR="008E2273" w:rsidRPr="000A7220" w14:paraId="27A49AC0"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95C35F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218E176C"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Cote d'Ivoire</w:t>
            </w:r>
          </w:p>
        </w:tc>
        <w:tc>
          <w:tcPr>
            <w:tcW w:w="1160" w:type="dxa"/>
            <w:tcBorders>
              <w:top w:val="nil"/>
              <w:left w:val="nil"/>
              <w:bottom w:val="single" w:sz="4" w:space="0" w:color="auto"/>
              <w:right w:val="single" w:sz="4" w:space="0" w:color="auto"/>
            </w:tcBorders>
            <w:shd w:val="clear" w:color="auto" w:fill="auto"/>
            <w:noWrap/>
            <w:vAlign w:val="bottom"/>
            <w:hideMark/>
          </w:tcPr>
          <w:p w14:paraId="63255EE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130920524</w:t>
            </w:r>
          </w:p>
        </w:tc>
        <w:tc>
          <w:tcPr>
            <w:tcW w:w="1160" w:type="dxa"/>
            <w:tcBorders>
              <w:top w:val="nil"/>
              <w:left w:val="nil"/>
              <w:bottom w:val="single" w:sz="4" w:space="0" w:color="auto"/>
              <w:right w:val="single" w:sz="4" w:space="0" w:color="auto"/>
            </w:tcBorders>
            <w:shd w:val="clear" w:color="auto" w:fill="auto"/>
            <w:noWrap/>
            <w:vAlign w:val="bottom"/>
            <w:hideMark/>
          </w:tcPr>
          <w:p w14:paraId="2BB6A78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147560768</w:t>
            </w:r>
          </w:p>
        </w:tc>
        <w:tc>
          <w:tcPr>
            <w:tcW w:w="980" w:type="dxa"/>
            <w:tcBorders>
              <w:top w:val="nil"/>
              <w:left w:val="nil"/>
              <w:bottom w:val="single" w:sz="4" w:space="0" w:color="auto"/>
              <w:right w:val="single" w:sz="4" w:space="0" w:color="auto"/>
            </w:tcBorders>
            <w:shd w:val="clear" w:color="auto" w:fill="auto"/>
            <w:noWrap/>
            <w:vAlign w:val="bottom"/>
            <w:hideMark/>
          </w:tcPr>
          <w:p w14:paraId="19449C5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w:t>
            </w:r>
          </w:p>
        </w:tc>
        <w:tc>
          <w:tcPr>
            <w:tcW w:w="980" w:type="dxa"/>
            <w:tcBorders>
              <w:top w:val="nil"/>
              <w:left w:val="nil"/>
              <w:bottom w:val="single" w:sz="4" w:space="0" w:color="auto"/>
              <w:right w:val="single" w:sz="8" w:space="0" w:color="auto"/>
            </w:tcBorders>
            <w:shd w:val="clear" w:color="auto" w:fill="auto"/>
            <w:noWrap/>
            <w:vAlign w:val="bottom"/>
            <w:hideMark/>
          </w:tcPr>
          <w:p w14:paraId="782E69F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21%</w:t>
            </w:r>
          </w:p>
        </w:tc>
      </w:tr>
      <w:tr w:rsidR="008E2273" w:rsidRPr="000A7220" w14:paraId="638C5834"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0D1860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31107372"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Ghana</w:t>
            </w:r>
          </w:p>
        </w:tc>
        <w:tc>
          <w:tcPr>
            <w:tcW w:w="1160" w:type="dxa"/>
            <w:tcBorders>
              <w:top w:val="nil"/>
              <w:left w:val="nil"/>
              <w:bottom w:val="single" w:sz="4" w:space="0" w:color="auto"/>
              <w:right w:val="single" w:sz="4" w:space="0" w:color="auto"/>
            </w:tcBorders>
            <w:shd w:val="clear" w:color="auto" w:fill="auto"/>
            <w:noWrap/>
            <w:vAlign w:val="bottom"/>
            <w:hideMark/>
          </w:tcPr>
          <w:p w14:paraId="5F29A44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61830224</w:t>
            </w:r>
          </w:p>
        </w:tc>
        <w:tc>
          <w:tcPr>
            <w:tcW w:w="1160" w:type="dxa"/>
            <w:tcBorders>
              <w:top w:val="nil"/>
              <w:left w:val="nil"/>
              <w:bottom w:val="single" w:sz="4" w:space="0" w:color="auto"/>
              <w:right w:val="single" w:sz="4" w:space="0" w:color="auto"/>
            </w:tcBorders>
            <w:shd w:val="clear" w:color="auto" w:fill="auto"/>
            <w:noWrap/>
            <w:vAlign w:val="bottom"/>
            <w:hideMark/>
          </w:tcPr>
          <w:p w14:paraId="5B8FCC5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37056767</w:t>
            </w:r>
          </w:p>
        </w:tc>
        <w:tc>
          <w:tcPr>
            <w:tcW w:w="980" w:type="dxa"/>
            <w:tcBorders>
              <w:top w:val="nil"/>
              <w:left w:val="nil"/>
              <w:bottom w:val="single" w:sz="4" w:space="0" w:color="auto"/>
              <w:right w:val="single" w:sz="4" w:space="0" w:color="auto"/>
            </w:tcBorders>
            <w:shd w:val="clear" w:color="auto" w:fill="auto"/>
            <w:noWrap/>
            <w:vAlign w:val="bottom"/>
            <w:hideMark/>
          </w:tcPr>
          <w:p w14:paraId="369E5D2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w:t>
            </w:r>
          </w:p>
        </w:tc>
        <w:tc>
          <w:tcPr>
            <w:tcW w:w="980" w:type="dxa"/>
            <w:tcBorders>
              <w:top w:val="nil"/>
              <w:left w:val="nil"/>
              <w:bottom w:val="single" w:sz="4" w:space="0" w:color="auto"/>
              <w:right w:val="single" w:sz="8" w:space="0" w:color="auto"/>
            </w:tcBorders>
            <w:shd w:val="clear" w:color="auto" w:fill="auto"/>
            <w:noWrap/>
            <w:vAlign w:val="bottom"/>
            <w:hideMark/>
          </w:tcPr>
          <w:p w14:paraId="7468623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5%</w:t>
            </w:r>
          </w:p>
        </w:tc>
      </w:tr>
      <w:tr w:rsidR="008E2273" w:rsidRPr="000A7220" w14:paraId="4B7FC1F5"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1A20B1B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734E5F64"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20AE7C1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248145957</w:t>
            </w:r>
          </w:p>
        </w:tc>
        <w:tc>
          <w:tcPr>
            <w:tcW w:w="1160" w:type="dxa"/>
            <w:tcBorders>
              <w:top w:val="nil"/>
              <w:left w:val="nil"/>
              <w:bottom w:val="single" w:sz="4" w:space="0" w:color="auto"/>
              <w:right w:val="single" w:sz="4" w:space="0" w:color="auto"/>
            </w:tcBorders>
            <w:shd w:val="clear" w:color="auto" w:fill="auto"/>
            <w:noWrap/>
            <w:vAlign w:val="bottom"/>
            <w:hideMark/>
          </w:tcPr>
          <w:p w14:paraId="60DB1C1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405520714</w:t>
            </w:r>
          </w:p>
        </w:tc>
        <w:tc>
          <w:tcPr>
            <w:tcW w:w="980" w:type="dxa"/>
            <w:tcBorders>
              <w:top w:val="nil"/>
              <w:left w:val="nil"/>
              <w:bottom w:val="single" w:sz="4" w:space="0" w:color="auto"/>
              <w:right w:val="single" w:sz="4" w:space="0" w:color="auto"/>
            </w:tcBorders>
            <w:shd w:val="clear" w:color="auto" w:fill="auto"/>
            <w:noWrap/>
            <w:vAlign w:val="bottom"/>
            <w:hideMark/>
          </w:tcPr>
          <w:p w14:paraId="50D1EF8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38%</w:t>
            </w:r>
          </w:p>
        </w:tc>
        <w:tc>
          <w:tcPr>
            <w:tcW w:w="980" w:type="dxa"/>
            <w:tcBorders>
              <w:top w:val="nil"/>
              <w:left w:val="nil"/>
              <w:bottom w:val="single" w:sz="4" w:space="0" w:color="auto"/>
              <w:right w:val="single" w:sz="8" w:space="0" w:color="auto"/>
            </w:tcBorders>
            <w:shd w:val="clear" w:color="auto" w:fill="auto"/>
            <w:noWrap/>
            <w:vAlign w:val="bottom"/>
            <w:hideMark/>
          </w:tcPr>
          <w:p w14:paraId="20DFF9D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58%</w:t>
            </w:r>
          </w:p>
        </w:tc>
      </w:tr>
      <w:tr w:rsidR="008E2273" w:rsidRPr="000A7220" w14:paraId="09BAB063"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F40B79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auto" w:fill="auto"/>
            <w:noWrap/>
            <w:vAlign w:val="bottom"/>
            <w:hideMark/>
          </w:tcPr>
          <w:p w14:paraId="70CFB853"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Togo</w:t>
            </w:r>
          </w:p>
        </w:tc>
        <w:tc>
          <w:tcPr>
            <w:tcW w:w="1160" w:type="dxa"/>
            <w:tcBorders>
              <w:top w:val="nil"/>
              <w:left w:val="nil"/>
              <w:bottom w:val="single" w:sz="4" w:space="0" w:color="auto"/>
              <w:right w:val="single" w:sz="4" w:space="0" w:color="auto"/>
            </w:tcBorders>
            <w:shd w:val="clear" w:color="auto" w:fill="auto"/>
            <w:noWrap/>
            <w:vAlign w:val="bottom"/>
            <w:hideMark/>
          </w:tcPr>
          <w:p w14:paraId="6BDF494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67593994</w:t>
            </w:r>
          </w:p>
        </w:tc>
        <w:tc>
          <w:tcPr>
            <w:tcW w:w="1160" w:type="dxa"/>
            <w:tcBorders>
              <w:top w:val="nil"/>
              <w:left w:val="nil"/>
              <w:bottom w:val="single" w:sz="4" w:space="0" w:color="auto"/>
              <w:right w:val="single" w:sz="4" w:space="0" w:color="auto"/>
            </w:tcBorders>
            <w:shd w:val="clear" w:color="auto" w:fill="auto"/>
            <w:noWrap/>
            <w:vAlign w:val="bottom"/>
            <w:hideMark/>
          </w:tcPr>
          <w:p w14:paraId="700A1B4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28665569</w:t>
            </w:r>
          </w:p>
        </w:tc>
        <w:tc>
          <w:tcPr>
            <w:tcW w:w="980" w:type="dxa"/>
            <w:tcBorders>
              <w:top w:val="nil"/>
              <w:left w:val="nil"/>
              <w:bottom w:val="single" w:sz="4" w:space="0" w:color="auto"/>
              <w:right w:val="single" w:sz="4" w:space="0" w:color="auto"/>
            </w:tcBorders>
            <w:shd w:val="clear" w:color="auto" w:fill="auto"/>
            <w:noWrap/>
            <w:vAlign w:val="bottom"/>
            <w:hideMark/>
          </w:tcPr>
          <w:p w14:paraId="4EC461F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w:t>
            </w:r>
          </w:p>
        </w:tc>
        <w:tc>
          <w:tcPr>
            <w:tcW w:w="980" w:type="dxa"/>
            <w:tcBorders>
              <w:top w:val="nil"/>
              <w:left w:val="nil"/>
              <w:bottom w:val="single" w:sz="4" w:space="0" w:color="auto"/>
              <w:right w:val="single" w:sz="8" w:space="0" w:color="auto"/>
            </w:tcBorders>
            <w:shd w:val="clear" w:color="auto" w:fill="auto"/>
            <w:noWrap/>
            <w:vAlign w:val="bottom"/>
            <w:hideMark/>
          </w:tcPr>
          <w:p w14:paraId="5EEEC9A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w:t>
            </w:r>
          </w:p>
        </w:tc>
      </w:tr>
      <w:tr w:rsidR="008E2273" w:rsidRPr="000A7220" w14:paraId="03AE3498"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5A0D7997"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2008</w:t>
            </w:r>
          </w:p>
        </w:tc>
        <w:tc>
          <w:tcPr>
            <w:tcW w:w="1280" w:type="dxa"/>
            <w:tcBorders>
              <w:top w:val="nil"/>
              <w:left w:val="nil"/>
              <w:bottom w:val="single" w:sz="4" w:space="0" w:color="auto"/>
              <w:right w:val="single" w:sz="4" w:space="0" w:color="auto"/>
            </w:tcBorders>
            <w:shd w:val="clear" w:color="000000" w:fill="C5D9F1"/>
            <w:noWrap/>
            <w:vAlign w:val="bottom"/>
            <w:hideMark/>
          </w:tcPr>
          <w:p w14:paraId="51FE7577"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29ED2761"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650688664</w:t>
            </w:r>
          </w:p>
        </w:tc>
        <w:tc>
          <w:tcPr>
            <w:tcW w:w="1160" w:type="dxa"/>
            <w:tcBorders>
              <w:top w:val="nil"/>
              <w:left w:val="nil"/>
              <w:bottom w:val="single" w:sz="4" w:space="0" w:color="auto"/>
              <w:right w:val="single" w:sz="4" w:space="0" w:color="auto"/>
            </w:tcBorders>
            <w:shd w:val="clear" w:color="000000" w:fill="C5D9F1"/>
            <w:noWrap/>
            <w:vAlign w:val="bottom"/>
            <w:hideMark/>
          </w:tcPr>
          <w:p w14:paraId="0A0C8337"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697416591</w:t>
            </w:r>
          </w:p>
        </w:tc>
        <w:tc>
          <w:tcPr>
            <w:tcW w:w="980" w:type="dxa"/>
            <w:tcBorders>
              <w:top w:val="nil"/>
              <w:left w:val="nil"/>
              <w:bottom w:val="single" w:sz="4" w:space="0" w:color="auto"/>
              <w:right w:val="single" w:sz="4" w:space="0" w:color="auto"/>
            </w:tcBorders>
            <w:shd w:val="clear" w:color="000000" w:fill="C5D9F1"/>
            <w:noWrap/>
            <w:vAlign w:val="bottom"/>
            <w:hideMark/>
          </w:tcPr>
          <w:p w14:paraId="1D1299B1" w14:textId="5A87EE4E"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c>
          <w:tcPr>
            <w:tcW w:w="980" w:type="dxa"/>
            <w:tcBorders>
              <w:top w:val="nil"/>
              <w:left w:val="nil"/>
              <w:bottom w:val="single" w:sz="4" w:space="0" w:color="auto"/>
              <w:right w:val="single" w:sz="8" w:space="0" w:color="auto"/>
            </w:tcBorders>
            <w:shd w:val="clear" w:color="000000" w:fill="C5D9F1"/>
            <w:noWrap/>
            <w:vAlign w:val="bottom"/>
            <w:hideMark/>
          </w:tcPr>
          <w:p w14:paraId="6D9EE46E" w14:textId="2BCE0F16" w:rsidR="008E2273" w:rsidRPr="000A7220" w:rsidRDefault="00B902A5" w:rsidP="008E2273">
            <w:pPr>
              <w:spacing w:after="0" w:line="240" w:lineRule="auto"/>
              <w:rPr>
                <w:rFonts w:ascii="Calibri" w:eastAsia="Times New Roman" w:hAnsi="Calibri" w:cs="Times New Roman"/>
                <w:i/>
                <w:iCs/>
                <w:color w:val="000000"/>
                <w:sz w:val="18"/>
                <w:szCs w:val="18"/>
                <w:lang w:val="en-GB" w:eastAsia="en-GB"/>
              </w:rPr>
            </w:pPr>
            <w:r>
              <w:rPr>
                <w:rFonts w:ascii="Calibri" w:eastAsia="Times New Roman" w:hAnsi="Calibri" w:cs="Times New Roman"/>
                <w:i/>
                <w:iCs/>
                <w:color w:val="000000"/>
                <w:sz w:val="18"/>
                <w:szCs w:val="18"/>
                <w:lang w:val="en-GB" w:eastAsia="en-GB"/>
              </w:rPr>
              <w:t xml:space="preserve"> </w:t>
            </w:r>
          </w:p>
        </w:tc>
      </w:tr>
      <w:tr w:rsidR="008E2273" w:rsidRPr="000A7220" w14:paraId="5585E34D"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D245C9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070127F6"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5266BBB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653978987</w:t>
            </w:r>
          </w:p>
        </w:tc>
        <w:tc>
          <w:tcPr>
            <w:tcW w:w="1160" w:type="dxa"/>
            <w:tcBorders>
              <w:top w:val="nil"/>
              <w:left w:val="nil"/>
              <w:bottom w:val="single" w:sz="4" w:space="0" w:color="auto"/>
              <w:right w:val="single" w:sz="4" w:space="0" w:color="auto"/>
            </w:tcBorders>
            <w:shd w:val="clear" w:color="auto" w:fill="auto"/>
            <w:noWrap/>
            <w:vAlign w:val="bottom"/>
            <w:hideMark/>
          </w:tcPr>
          <w:p w14:paraId="4A3B5F6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467106697</w:t>
            </w:r>
          </w:p>
        </w:tc>
        <w:tc>
          <w:tcPr>
            <w:tcW w:w="980" w:type="dxa"/>
            <w:tcBorders>
              <w:top w:val="nil"/>
              <w:left w:val="nil"/>
              <w:bottom w:val="single" w:sz="4" w:space="0" w:color="auto"/>
              <w:right w:val="single" w:sz="4" w:space="0" w:color="auto"/>
            </w:tcBorders>
            <w:shd w:val="clear" w:color="auto" w:fill="auto"/>
            <w:noWrap/>
            <w:vAlign w:val="bottom"/>
            <w:hideMark/>
          </w:tcPr>
          <w:p w14:paraId="62C7ADA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41%</w:t>
            </w:r>
          </w:p>
        </w:tc>
        <w:tc>
          <w:tcPr>
            <w:tcW w:w="980" w:type="dxa"/>
            <w:tcBorders>
              <w:top w:val="nil"/>
              <w:left w:val="nil"/>
              <w:bottom w:val="single" w:sz="4" w:space="0" w:color="auto"/>
              <w:right w:val="single" w:sz="8" w:space="0" w:color="auto"/>
            </w:tcBorders>
            <w:shd w:val="clear" w:color="auto" w:fill="auto"/>
            <w:noWrap/>
            <w:vAlign w:val="bottom"/>
            <w:hideMark/>
          </w:tcPr>
          <w:p w14:paraId="215F066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39%</w:t>
            </w:r>
          </w:p>
        </w:tc>
      </w:tr>
      <w:tr w:rsidR="008E2273" w:rsidRPr="000A7220" w14:paraId="0EFC5EF0"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C6DF62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71896007"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Cote d'Ivoire</w:t>
            </w:r>
          </w:p>
        </w:tc>
        <w:tc>
          <w:tcPr>
            <w:tcW w:w="1160" w:type="dxa"/>
            <w:tcBorders>
              <w:top w:val="nil"/>
              <w:left w:val="nil"/>
              <w:bottom w:val="single" w:sz="4" w:space="0" w:color="auto"/>
              <w:right w:val="single" w:sz="4" w:space="0" w:color="auto"/>
            </w:tcBorders>
            <w:shd w:val="clear" w:color="auto" w:fill="auto"/>
            <w:noWrap/>
            <w:vAlign w:val="bottom"/>
            <w:hideMark/>
          </w:tcPr>
          <w:p w14:paraId="3E35E44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245049731</w:t>
            </w:r>
          </w:p>
        </w:tc>
        <w:tc>
          <w:tcPr>
            <w:tcW w:w="1160" w:type="dxa"/>
            <w:tcBorders>
              <w:top w:val="nil"/>
              <w:left w:val="nil"/>
              <w:bottom w:val="single" w:sz="4" w:space="0" w:color="auto"/>
              <w:right w:val="single" w:sz="4" w:space="0" w:color="auto"/>
            </w:tcBorders>
            <w:shd w:val="clear" w:color="auto" w:fill="auto"/>
            <w:noWrap/>
            <w:vAlign w:val="bottom"/>
            <w:hideMark/>
          </w:tcPr>
          <w:p w14:paraId="34835BA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172518793</w:t>
            </w:r>
          </w:p>
        </w:tc>
        <w:tc>
          <w:tcPr>
            <w:tcW w:w="980" w:type="dxa"/>
            <w:tcBorders>
              <w:top w:val="nil"/>
              <w:left w:val="nil"/>
              <w:bottom w:val="single" w:sz="4" w:space="0" w:color="auto"/>
              <w:right w:val="single" w:sz="4" w:space="0" w:color="auto"/>
            </w:tcBorders>
            <w:shd w:val="clear" w:color="auto" w:fill="auto"/>
            <w:noWrap/>
            <w:vAlign w:val="bottom"/>
            <w:hideMark/>
          </w:tcPr>
          <w:p w14:paraId="2E60B43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16%</w:t>
            </w:r>
          </w:p>
        </w:tc>
        <w:tc>
          <w:tcPr>
            <w:tcW w:w="980" w:type="dxa"/>
            <w:tcBorders>
              <w:top w:val="nil"/>
              <w:left w:val="nil"/>
              <w:bottom w:val="single" w:sz="4" w:space="0" w:color="auto"/>
              <w:right w:val="single" w:sz="8" w:space="0" w:color="auto"/>
            </w:tcBorders>
            <w:shd w:val="clear" w:color="auto" w:fill="auto"/>
            <w:noWrap/>
            <w:vAlign w:val="bottom"/>
            <w:hideMark/>
          </w:tcPr>
          <w:p w14:paraId="4EEDAC6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14%</w:t>
            </w:r>
          </w:p>
        </w:tc>
      </w:tr>
      <w:tr w:rsidR="008E2273" w:rsidRPr="000A7220" w14:paraId="3AD7BB3F"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2D2DD6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6E848571"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Ghana</w:t>
            </w:r>
          </w:p>
        </w:tc>
        <w:tc>
          <w:tcPr>
            <w:tcW w:w="1160" w:type="dxa"/>
            <w:tcBorders>
              <w:top w:val="nil"/>
              <w:left w:val="nil"/>
              <w:bottom w:val="single" w:sz="4" w:space="0" w:color="auto"/>
              <w:right w:val="single" w:sz="4" w:space="0" w:color="auto"/>
            </w:tcBorders>
            <w:shd w:val="clear" w:color="auto" w:fill="auto"/>
            <w:noWrap/>
            <w:vAlign w:val="bottom"/>
            <w:hideMark/>
          </w:tcPr>
          <w:p w14:paraId="6D0035C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72389063</w:t>
            </w:r>
          </w:p>
        </w:tc>
        <w:tc>
          <w:tcPr>
            <w:tcW w:w="1160" w:type="dxa"/>
            <w:tcBorders>
              <w:top w:val="nil"/>
              <w:left w:val="nil"/>
              <w:bottom w:val="single" w:sz="4" w:space="0" w:color="auto"/>
              <w:right w:val="single" w:sz="4" w:space="0" w:color="auto"/>
            </w:tcBorders>
            <w:shd w:val="clear" w:color="auto" w:fill="auto"/>
            <w:noWrap/>
            <w:vAlign w:val="bottom"/>
            <w:hideMark/>
          </w:tcPr>
          <w:p w14:paraId="3C1B786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50293048</w:t>
            </w:r>
          </w:p>
        </w:tc>
        <w:tc>
          <w:tcPr>
            <w:tcW w:w="980" w:type="dxa"/>
            <w:tcBorders>
              <w:top w:val="nil"/>
              <w:left w:val="nil"/>
              <w:bottom w:val="single" w:sz="4" w:space="0" w:color="auto"/>
              <w:right w:val="single" w:sz="4" w:space="0" w:color="auto"/>
            </w:tcBorders>
            <w:shd w:val="clear" w:color="auto" w:fill="auto"/>
            <w:noWrap/>
            <w:vAlign w:val="bottom"/>
            <w:hideMark/>
          </w:tcPr>
          <w:p w14:paraId="04E68C9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5%</w:t>
            </w:r>
          </w:p>
        </w:tc>
        <w:tc>
          <w:tcPr>
            <w:tcW w:w="980" w:type="dxa"/>
            <w:tcBorders>
              <w:top w:val="nil"/>
              <w:left w:val="nil"/>
              <w:bottom w:val="single" w:sz="4" w:space="0" w:color="auto"/>
              <w:right w:val="single" w:sz="8" w:space="0" w:color="auto"/>
            </w:tcBorders>
            <w:shd w:val="clear" w:color="auto" w:fill="auto"/>
            <w:noWrap/>
            <w:vAlign w:val="bottom"/>
            <w:hideMark/>
          </w:tcPr>
          <w:p w14:paraId="1BAC44C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w:t>
            </w:r>
          </w:p>
        </w:tc>
      </w:tr>
      <w:tr w:rsidR="008E2273" w:rsidRPr="000A7220" w14:paraId="2A56DFB7"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1372CC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3CBD1C9E"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3DFFA2D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467384158</w:t>
            </w:r>
          </w:p>
        </w:tc>
        <w:tc>
          <w:tcPr>
            <w:tcW w:w="1160" w:type="dxa"/>
            <w:tcBorders>
              <w:top w:val="nil"/>
              <w:left w:val="nil"/>
              <w:bottom w:val="single" w:sz="4" w:space="0" w:color="auto"/>
              <w:right w:val="single" w:sz="4" w:space="0" w:color="auto"/>
            </w:tcBorders>
            <w:shd w:val="clear" w:color="auto" w:fill="auto"/>
            <w:noWrap/>
            <w:vAlign w:val="bottom"/>
            <w:hideMark/>
          </w:tcPr>
          <w:p w14:paraId="1316849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399858285</w:t>
            </w:r>
          </w:p>
        </w:tc>
        <w:tc>
          <w:tcPr>
            <w:tcW w:w="980" w:type="dxa"/>
            <w:tcBorders>
              <w:top w:val="nil"/>
              <w:left w:val="nil"/>
              <w:bottom w:val="single" w:sz="4" w:space="0" w:color="auto"/>
              <w:right w:val="single" w:sz="4" w:space="0" w:color="auto"/>
            </w:tcBorders>
            <w:shd w:val="clear" w:color="auto" w:fill="auto"/>
            <w:noWrap/>
            <w:vAlign w:val="bottom"/>
            <w:hideMark/>
          </w:tcPr>
          <w:p w14:paraId="61EA86E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30%</w:t>
            </w:r>
          </w:p>
        </w:tc>
        <w:tc>
          <w:tcPr>
            <w:tcW w:w="980" w:type="dxa"/>
            <w:tcBorders>
              <w:top w:val="nil"/>
              <w:left w:val="nil"/>
              <w:bottom w:val="single" w:sz="4" w:space="0" w:color="auto"/>
              <w:right w:val="single" w:sz="8" w:space="0" w:color="auto"/>
            </w:tcBorders>
            <w:shd w:val="clear" w:color="auto" w:fill="auto"/>
            <w:noWrap/>
            <w:vAlign w:val="bottom"/>
            <w:hideMark/>
          </w:tcPr>
          <w:p w14:paraId="7D4710A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33%</w:t>
            </w:r>
          </w:p>
        </w:tc>
      </w:tr>
      <w:tr w:rsidR="008E2273" w:rsidRPr="000A7220" w14:paraId="5D9F8C13"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1D12B7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auto" w:fill="auto"/>
            <w:noWrap/>
            <w:vAlign w:val="bottom"/>
            <w:hideMark/>
          </w:tcPr>
          <w:p w14:paraId="307E93EF"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Togo</w:t>
            </w:r>
          </w:p>
        </w:tc>
        <w:tc>
          <w:tcPr>
            <w:tcW w:w="1160" w:type="dxa"/>
            <w:tcBorders>
              <w:top w:val="nil"/>
              <w:left w:val="nil"/>
              <w:bottom w:val="single" w:sz="4" w:space="0" w:color="auto"/>
              <w:right w:val="single" w:sz="4" w:space="0" w:color="auto"/>
            </w:tcBorders>
            <w:shd w:val="clear" w:color="auto" w:fill="auto"/>
            <w:noWrap/>
            <w:vAlign w:val="bottom"/>
            <w:hideMark/>
          </w:tcPr>
          <w:p w14:paraId="02FE07C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120187706</w:t>
            </w:r>
          </w:p>
        </w:tc>
        <w:tc>
          <w:tcPr>
            <w:tcW w:w="1160" w:type="dxa"/>
            <w:tcBorders>
              <w:top w:val="nil"/>
              <w:left w:val="nil"/>
              <w:bottom w:val="single" w:sz="4" w:space="0" w:color="auto"/>
              <w:right w:val="single" w:sz="4" w:space="0" w:color="auto"/>
            </w:tcBorders>
            <w:shd w:val="clear" w:color="auto" w:fill="auto"/>
            <w:noWrap/>
            <w:vAlign w:val="bottom"/>
            <w:hideMark/>
          </w:tcPr>
          <w:p w14:paraId="667D098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95054371</w:t>
            </w:r>
          </w:p>
        </w:tc>
        <w:tc>
          <w:tcPr>
            <w:tcW w:w="980" w:type="dxa"/>
            <w:tcBorders>
              <w:top w:val="nil"/>
              <w:left w:val="nil"/>
              <w:bottom w:val="single" w:sz="4" w:space="0" w:color="auto"/>
              <w:right w:val="single" w:sz="4" w:space="0" w:color="auto"/>
            </w:tcBorders>
            <w:shd w:val="clear" w:color="auto" w:fill="auto"/>
            <w:noWrap/>
            <w:vAlign w:val="bottom"/>
            <w:hideMark/>
          </w:tcPr>
          <w:p w14:paraId="65E253C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w:t>
            </w:r>
          </w:p>
        </w:tc>
        <w:tc>
          <w:tcPr>
            <w:tcW w:w="980" w:type="dxa"/>
            <w:tcBorders>
              <w:top w:val="nil"/>
              <w:left w:val="nil"/>
              <w:bottom w:val="single" w:sz="4" w:space="0" w:color="auto"/>
              <w:right w:val="single" w:sz="8" w:space="0" w:color="auto"/>
            </w:tcBorders>
            <w:shd w:val="clear" w:color="auto" w:fill="auto"/>
            <w:noWrap/>
            <w:vAlign w:val="bottom"/>
            <w:hideMark/>
          </w:tcPr>
          <w:p w14:paraId="36B52029"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w:t>
            </w:r>
          </w:p>
        </w:tc>
      </w:tr>
      <w:tr w:rsidR="008E2273" w:rsidRPr="000A7220" w14:paraId="41C504FA"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4CCDA42C"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2010</w:t>
            </w:r>
          </w:p>
        </w:tc>
        <w:tc>
          <w:tcPr>
            <w:tcW w:w="1280" w:type="dxa"/>
            <w:tcBorders>
              <w:top w:val="nil"/>
              <w:left w:val="nil"/>
              <w:bottom w:val="single" w:sz="4" w:space="0" w:color="auto"/>
              <w:right w:val="single" w:sz="4" w:space="0" w:color="auto"/>
            </w:tcBorders>
            <w:shd w:val="clear" w:color="000000" w:fill="C5D9F1"/>
            <w:noWrap/>
            <w:vAlign w:val="bottom"/>
            <w:hideMark/>
          </w:tcPr>
          <w:p w14:paraId="081FFBB6"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4E0832C8"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1578913017</w:t>
            </w:r>
          </w:p>
        </w:tc>
        <w:tc>
          <w:tcPr>
            <w:tcW w:w="1160" w:type="dxa"/>
            <w:tcBorders>
              <w:top w:val="nil"/>
              <w:left w:val="nil"/>
              <w:bottom w:val="single" w:sz="4" w:space="0" w:color="auto"/>
              <w:right w:val="single" w:sz="4" w:space="0" w:color="auto"/>
            </w:tcBorders>
            <w:shd w:val="clear" w:color="000000" w:fill="C5D9F1"/>
            <w:noWrap/>
            <w:vAlign w:val="bottom"/>
            <w:hideMark/>
          </w:tcPr>
          <w:p w14:paraId="2B910F4E"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1201245939</w:t>
            </w:r>
          </w:p>
        </w:tc>
        <w:tc>
          <w:tcPr>
            <w:tcW w:w="980" w:type="dxa"/>
            <w:tcBorders>
              <w:top w:val="nil"/>
              <w:left w:val="nil"/>
              <w:bottom w:val="single" w:sz="4" w:space="0" w:color="auto"/>
              <w:right w:val="single" w:sz="4" w:space="0" w:color="auto"/>
            </w:tcBorders>
            <w:shd w:val="clear" w:color="000000" w:fill="C5D9F1"/>
            <w:noWrap/>
            <w:vAlign w:val="bottom"/>
            <w:hideMark/>
          </w:tcPr>
          <w:p w14:paraId="7704E558" w14:textId="1B259649"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c>
          <w:tcPr>
            <w:tcW w:w="980" w:type="dxa"/>
            <w:tcBorders>
              <w:top w:val="nil"/>
              <w:left w:val="nil"/>
              <w:bottom w:val="single" w:sz="4" w:space="0" w:color="auto"/>
              <w:right w:val="single" w:sz="8" w:space="0" w:color="auto"/>
            </w:tcBorders>
            <w:shd w:val="clear" w:color="000000" w:fill="C5D9F1"/>
            <w:noWrap/>
            <w:vAlign w:val="bottom"/>
            <w:hideMark/>
          </w:tcPr>
          <w:p w14:paraId="11DF6226" w14:textId="0C033974"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r>
      <w:tr w:rsidR="008E2273" w:rsidRPr="000A7220" w14:paraId="7E87AC77"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E5CB50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05989419"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4976476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222780997</w:t>
            </w:r>
          </w:p>
        </w:tc>
        <w:tc>
          <w:tcPr>
            <w:tcW w:w="1160" w:type="dxa"/>
            <w:tcBorders>
              <w:top w:val="nil"/>
              <w:left w:val="nil"/>
              <w:bottom w:val="single" w:sz="4" w:space="0" w:color="auto"/>
              <w:right w:val="single" w:sz="4" w:space="0" w:color="auto"/>
            </w:tcBorders>
            <w:shd w:val="clear" w:color="auto" w:fill="auto"/>
            <w:noWrap/>
            <w:vAlign w:val="bottom"/>
            <w:hideMark/>
          </w:tcPr>
          <w:p w14:paraId="599EA08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253799430</w:t>
            </w:r>
          </w:p>
        </w:tc>
        <w:tc>
          <w:tcPr>
            <w:tcW w:w="980" w:type="dxa"/>
            <w:tcBorders>
              <w:top w:val="nil"/>
              <w:left w:val="nil"/>
              <w:bottom w:val="single" w:sz="4" w:space="0" w:color="auto"/>
              <w:right w:val="single" w:sz="4" w:space="0" w:color="auto"/>
            </w:tcBorders>
            <w:shd w:val="clear" w:color="auto" w:fill="auto"/>
            <w:noWrap/>
            <w:vAlign w:val="bottom"/>
            <w:hideMark/>
          </w:tcPr>
          <w:p w14:paraId="3581078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25%</w:t>
            </w:r>
          </w:p>
        </w:tc>
        <w:tc>
          <w:tcPr>
            <w:tcW w:w="980" w:type="dxa"/>
            <w:tcBorders>
              <w:top w:val="nil"/>
              <w:left w:val="nil"/>
              <w:bottom w:val="single" w:sz="4" w:space="0" w:color="auto"/>
              <w:right w:val="single" w:sz="8" w:space="0" w:color="auto"/>
            </w:tcBorders>
            <w:shd w:val="clear" w:color="auto" w:fill="auto"/>
            <w:noWrap/>
            <w:vAlign w:val="bottom"/>
            <w:hideMark/>
          </w:tcPr>
          <w:p w14:paraId="320B820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26%</w:t>
            </w:r>
          </w:p>
        </w:tc>
      </w:tr>
      <w:tr w:rsidR="008E2273" w:rsidRPr="000A7220" w14:paraId="54379F4F"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5F0495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5E3A6F09"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Cote d'Ivoire</w:t>
            </w:r>
          </w:p>
        </w:tc>
        <w:tc>
          <w:tcPr>
            <w:tcW w:w="1160" w:type="dxa"/>
            <w:tcBorders>
              <w:top w:val="nil"/>
              <w:left w:val="nil"/>
              <w:bottom w:val="single" w:sz="4" w:space="0" w:color="auto"/>
              <w:right w:val="single" w:sz="4" w:space="0" w:color="auto"/>
            </w:tcBorders>
            <w:shd w:val="clear" w:color="auto" w:fill="auto"/>
            <w:noWrap/>
            <w:vAlign w:val="bottom"/>
            <w:hideMark/>
          </w:tcPr>
          <w:p w14:paraId="02C2A3B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128113517</w:t>
            </w:r>
          </w:p>
        </w:tc>
        <w:tc>
          <w:tcPr>
            <w:tcW w:w="1160" w:type="dxa"/>
            <w:tcBorders>
              <w:top w:val="nil"/>
              <w:left w:val="nil"/>
              <w:bottom w:val="single" w:sz="4" w:space="0" w:color="auto"/>
              <w:right w:val="single" w:sz="4" w:space="0" w:color="auto"/>
            </w:tcBorders>
            <w:shd w:val="clear" w:color="auto" w:fill="auto"/>
            <w:noWrap/>
            <w:vAlign w:val="bottom"/>
            <w:hideMark/>
          </w:tcPr>
          <w:p w14:paraId="000F1EC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145604076</w:t>
            </w:r>
          </w:p>
        </w:tc>
        <w:tc>
          <w:tcPr>
            <w:tcW w:w="980" w:type="dxa"/>
            <w:tcBorders>
              <w:top w:val="nil"/>
              <w:left w:val="nil"/>
              <w:bottom w:val="single" w:sz="4" w:space="0" w:color="auto"/>
              <w:right w:val="single" w:sz="4" w:space="0" w:color="auto"/>
            </w:tcBorders>
            <w:shd w:val="clear" w:color="auto" w:fill="auto"/>
            <w:noWrap/>
            <w:vAlign w:val="bottom"/>
            <w:hideMark/>
          </w:tcPr>
          <w:p w14:paraId="5F1BE7A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14%</w:t>
            </w:r>
          </w:p>
        </w:tc>
        <w:tc>
          <w:tcPr>
            <w:tcW w:w="980" w:type="dxa"/>
            <w:tcBorders>
              <w:top w:val="nil"/>
              <w:left w:val="nil"/>
              <w:bottom w:val="single" w:sz="4" w:space="0" w:color="auto"/>
              <w:right w:val="single" w:sz="8" w:space="0" w:color="auto"/>
            </w:tcBorders>
            <w:shd w:val="clear" w:color="auto" w:fill="auto"/>
            <w:noWrap/>
            <w:vAlign w:val="bottom"/>
            <w:hideMark/>
          </w:tcPr>
          <w:p w14:paraId="4C93913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15%</w:t>
            </w:r>
          </w:p>
        </w:tc>
      </w:tr>
      <w:tr w:rsidR="008E2273" w:rsidRPr="000A7220" w14:paraId="3CA5FBF9"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4E784D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70E048ED"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Ghana</w:t>
            </w:r>
          </w:p>
        </w:tc>
        <w:tc>
          <w:tcPr>
            <w:tcW w:w="1160" w:type="dxa"/>
            <w:tcBorders>
              <w:top w:val="nil"/>
              <w:left w:val="nil"/>
              <w:bottom w:val="single" w:sz="4" w:space="0" w:color="auto"/>
              <w:right w:val="single" w:sz="4" w:space="0" w:color="auto"/>
            </w:tcBorders>
            <w:shd w:val="clear" w:color="auto" w:fill="auto"/>
            <w:noWrap/>
            <w:vAlign w:val="bottom"/>
            <w:hideMark/>
          </w:tcPr>
          <w:p w14:paraId="675AB30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75705792</w:t>
            </w:r>
          </w:p>
        </w:tc>
        <w:tc>
          <w:tcPr>
            <w:tcW w:w="1160" w:type="dxa"/>
            <w:tcBorders>
              <w:top w:val="nil"/>
              <w:left w:val="nil"/>
              <w:bottom w:val="single" w:sz="4" w:space="0" w:color="auto"/>
              <w:right w:val="single" w:sz="4" w:space="0" w:color="auto"/>
            </w:tcBorders>
            <w:shd w:val="clear" w:color="auto" w:fill="auto"/>
            <w:noWrap/>
            <w:vAlign w:val="bottom"/>
            <w:hideMark/>
          </w:tcPr>
          <w:p w14:paraId="1D938C1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86354302</w:t>
            </w:r>
          </w:p>
        </w:tc>
        <w:tc>
          <w:tcPr>
            <w:tcW w:w="980" w:type="dxa"/>
            <w:tcBorders>
              <w:top w:val="nil"/>
              <w:left w:val="nil"/>
              <w:bottom w:val="single" w:sz="4" w:space="0" w:color="auto"/>
              <w:right w:val="single" w:sz="4" w:space="0" w:color="auto"/>
            </w:tcBorders>
            <w:shd w:val="clear" w:color="auto" w:fill="auto"/>
            <w:noWrap/>
            <w:vAlign w:val="bottom"/>
            <w:hideMark/>
          </w:tcPr>
          <w:p w14:paraId="4071C85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w:t>
            </w:r>
          </w:p>
        </w:tc>
        <w:tc>
          <w:tcPr>
            <w:tcW w:w="980" w:type="dxa"/>
            <w:tcBorders>
              <w:top w:val="nil"/>
              <w:left w:val="nil"/>
              <w:bottom w:val="single" w:sz="4" w:space="0" w:color="auto"/>
              <w:right w:val="single" w:sz="8" w:space="0" w:color="auto"/>
            </w:tcBorders>
            <w:shd w:val="clear" w:color="auto" w:fill="auto"/>
            <w:noWrap/>
            <w:vAlign w:val="bottom"/>
            <w:hideMark/>
          </w:tcPr>
          <w:p w14:paraId="68205D3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9%</w:t>
            </w:r>
          </w:p>
        </w:tc>
      </w:tr>
      <w:tr w:rsidR="008E2273" w:rsidRPr="000A7220" w14:paraId="483D110A"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6C0613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5D5F3C92"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29A39DF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417733154</w:t>
            </w:r>
          </w:p>
        </w:tc>
        <w:tc>
          <w:tcPr>
            <w:tcW w:w="1160" w:type="dxa"/>
            <w:tcBorders>
              <w:top w:val="nil"/>
              <w:left w:val="nil"/>
              <w:bottom w:val="single" w:sz="4" w:space="0" w:color="auto"/>
              <w:right w:val="single" w:sz="4" w:space="0" w:color="auto"/>
            </w:tcBorders>
            <w:shd w:val="clear" w:color="auto" w:fill="auto"/>
            <w:noWrap/>
            <w:vAlign w:val="bottom"/>
            <w:hideMark/>
          </w:tcPr>
          <w:p w14:paraId="04EF8F9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428311413</w:t>
            </w:r>
          </w:p>
        </w:tc>
        <w:tc>
          <w:tcPr>
            <w:tcW w:w="980" w:type="dxa"/>
            <w:tcBorders>
              <w:top w:val="nil"/>
              <w:left w:val="nil"/>
              <w:bottom w:val="single" w:sz="4" w:space="0" w:color="auto"/>
              <w:right w:val="single" w:sz="4" w:space="0" w:color="auto"/>
            </w:tcBorders>
            <w:shd w:val="clear" w:color="auto" w:fill="auto"/>
            <w:noWrap/>
            <w:vAlign w:val="bottom"/>
            <w:hideMark/>
          </w:tcPr>
          <w:p w14:paraId="7563F6D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47%</w:t>
            </w:r>
          </w:p>
        </w:tc>
        <w:tc>
          <w:tcPr>
            <w:tcW w:w="980" w:type="dxa"/>
            <w:tcBorders>
              <w:top w:val="nil"/>
              <w:left w:val="nil"/>
              <w:bottom w:val="single" w:sz="4" w:space="0" w:color="auto"/>
              <w:right w:val="single" w:sz="8" w:space="0" w:color="auto"/>
            </w:tcBorders>
            <w:shd w:val="clear" w:color="auto" w:fill="auto"/>
            <w:noWrap/>
            <w:vAlign w:val="bottom"/>
            <w:hideMark/>
          </w:tcPr>
          <w:p w14:paraId="1702247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45%</w:t>
            </w:r>
          </w:p>
        </w:tc>
      </w:tr>
      <w:tr w:rsidR="008E2273" w:rsidRPr="000A7220" w14:paraId="17B6CA97"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9C38E7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auto" w:fill="auto"/>
            <w:noWrap/>
            <w:vAlign w:val="bottom"/>
            <w:hideMark/>
          </w:tcPr>
          <w:p w14:paraId="0E3E33CB"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Togo</w:t>
            </w:r>
          </w:p>
        </w:tc>
        <w:tc>
          <w:tcPr>
            <w:tcW w:w="1160" w:type="dxa"/>
            <w:tcBorders>
              <w:top w:val="nil"/>
              <w:left w:val="nil"/>
              <w:bottom w:val="single" w:sz="4" w:space="0" w:color="auto"/>
              <w:right w:val="single" w:sz="4" w:space="0" w:color="auto"/>
            </w:tcBorders>
            <w:shd w:val="clear" w:color="auto" w:fill="auto"/>
            <w:noWrap/>
            <w:vAlign w:val="bottom"/>
            <w:hideMark/>
          </w:tcPr>
          <w:p w14:paraId="0355B92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31625163</w:t>
            </w:r>
          </w:p>
        </w:tc>
        <w:tc>
          <w:tcPr>
            <w:tcW w:w="1160" w:type="dxa"/>
            <w:tcBorders>
              <w:top w:val="nil"/>
              <w:left w:val="nil"/>
              <w:bottom w:val="single" w:sz="4" w:space="0" w:color="auto"/>
              <w:right w:val="single" w:sz="4" w:space="0" w:color="auto"/>
            </w:tcBorders>
            <w:shd w:val="clear" w:color="auto" w:fill="auto"/>
            <w:noWrap/>
            <w:vAlign w:val="bottom"/>
            <w:hideMark/>
          </w:tcPr>
          <w:p w14:paraId="0AADE9A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29241745</w:t>
            </w:r>
          </w:p>
        </w:tc>
        <w:tc>
          <w:tcPr>
            <w:tcW w:w="980" w:type="dxa"/>
            <w:tcBorders>
              <w:top w:val="nil"/>
              <w:left w:val="nil"/>
              <w:bottom w:val="single" w:sz="4" w:space="0" w:color="auto"/>
              <w:right w:val="single" w:sz="4" w:space="0" w:color="auto"/>
            </w:tcBorders>
            <w:shd w:val="clear" w:color="auto" w:fill="auto"/>
            <w:noWrap/>
            <w:vAlign w:val="bottom"/>
            <w:hideMark/>
          </w:tcPr>
          <w:p w14:paraId="4CE9CAF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w:t>
            </w:r>
          </w:p>
        </w:tc>
        <w:tc>
          <w:tcPr>
            <w:tcW w:w="980" w:type="dxa"/>
            <w:tcBorders>
              <w:top w:val="nil"/>
              <w:left w:val="nil"/>
              <w:bottom w:val="single" w:sz="4" w:space="0" w:color="auto"/>
              <w:right w:val="single" w:sz="8" w:space="0" w:color="auto"/>
            </w:tcBorders>
            <w:shd w:val="clear" w:color="auto" w:fill="auto"/>
            <w:noWrap/>
            <w:vAlign w:val="bottom"/>
            <w:hideMark/>
          </w:tcPr>
          <w:p w14:paraId="401C460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3%</w:t>
            </w:r>
          </w:p>
        </w:tc>
      </w:tr>
      <w:tr w:rsidR="008E2273" w:rsidRPr="000A7220" w14:paraId="62C4D505" w14:textId="77777777" w:rsidTr="008E2273">
        <w:trPr>
          <w:trHeight w:val="222"/>
        </w:trPr>
        <w:tc>
          <w:tcPr>
            <w:tcW w:w="980" w:type="dxa"/>
            <w:tcBorders>
              <w:top w:val="nil"/>
              <w:left w:val="single" w:sz="8" w:space="0" w:color="auto"/>
              <w:bottom w:val="single" w:sz="4" w:space="0" w:color="auto"/>
              <w:right w:val="single" w:sz="4" w:space="0" w:color="auto"/>
            </w:tcBorders>
            <w:shd w:val="clear" w:color="000000" w:fill="C5D9F1"/>
            <w:noWrap/>
            <w:vAlign w:val="bottom"/>
            <w:hideMark/>
          </w:tcPr>
          <w:p w14:paraId="5A86D31A"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2011</w:t>
            </w:r>
          </w:p>
        </w:tc>
        <w:tc>
          <w:tcPr>
            <w:tcW w:w="1280" w:type="dxa"/>
            <w:tcBorders>
              <w:top w:val="nil"/>
              <w:left w:val="nil"/>
              <w:bottom w:val="single" w:sz="4" w:space="0" w:color="auto"/>
              <w:right w:val="single" w:sz="4" w:space="0" w:color="auto"/>
            </w:tcBorders>
            <w:shd w:val="clear" w:color="000000" w:fill="C5D9F1"/>
            <w:noWrap/>
            <w:vAlign w:val="bottom"/>
            <w:hideMark/>
          </w:tcPr>
          <w:p w14:paraId="015D7AE5"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4" w:space="0" w:color="auto"/>
              <w:right w:val="single" w:sz="4" w:space="0" w:color="auto"/>
            </w:tcBorders>
            <w:shd w:val="clear" w:color="000000" w:fill="C5D9F1"/>
            <w:noWrap/>
            <w:vAlign w:val="bottom"/>
            <w:hideMark/>
          </w:tcPr>
          <w:p w14:paraId="7A404CA0"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893514399</w:t>
            </w:r>
          </w:p>
        </w:tc>
        <w:tc>
          <w:tcPr>
            <w:tcW w:w="1160" w:type="dxa"/>
            <w:tcBorders>
              <w:top w:val="nil"/>
              <w:left w:val="nil"/>
              <w:bottom w:val="single" w:sz="4" w:space="0" w:color="auto"/>
              <w:right w:val="single" w:sz="4" w:space="0" w:color="auto"/>
            </w:tcBorders>
            <w:shd w:val="clear" w:color="000000" w:fill="C5D9F1"/>
            <w:noWrap/>
            <w:vAlign w:val="bottom"/>
            <w:hideMark/>
          </w:tcPr>
          <w:p w14:paraId="0FC88121"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961107209</w:t>
            </w:r>
          </w:p>
        </w:tc>
        <w:tc>
          <w:tcPr>
            <w:tcW w:w="980" w:type="dxa"/>
            <w:tcBorders>
              <w:top w:val="nil"/>
              <w:left w:val="nil"/>
              <w:bottom w:val="single" w:sz="4" w:space="0" w:color="auto"/>
              <w:right w:val="single" w:sz="4" w:space="0" w:color="auto"/>
            </w:tcBorders>
            <w:shd w:val="clear" w:color="000000" w:fill="C5D9F1"/>
            <w:noWrap/>
            <w:vAlign w:val="bottom"/>
            <w:hideMark/>
          </w:tcPr>
          <w:p w14:paraId="1A0E7654" w14:textId="72BFBCD4"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c>
          <w:tcPr>
            <w:tcW w:w="980" w:type="dxa"/>
            <w:tcBorders>
              <w:top w:val="nil"/>
              <w:left w:val="nil"/>
              <w:bottom w:val="single" w:sz="4" w:space="0" w:color="auto"/>
              <w:right w:val="single" w:sz="8" w:space="0" w:color="auto"/>
            </w:tcBorders>
            <w:shd w:val="clear" w:color="000000" w:fill="C5D9F1"/>
            <w:noWrap/>
            <w:vAlign w:val="bottom"/>
            <w:hideMark/>
          </w:tcPr>
          <w:p w14:paraId="37DE35DB" w14:textId="40BBF8DE"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r>
      <w:tr w:rsidR="008E2273" w:rsidRPr="000A7220" w14:paraId="46F04BC4"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42CFF1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3D426913"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Benin</w:t>
            </w:r>
          </w:p>
        </w:tc>
        <w:tc>
          <w:tcPr>
            <w:tcW w:w="1160" w:type="dxa"/>
            <w:tcBorders>
              <w:top w:val="nil"/>
              <w:left w:val="nil"/>
              <w:bottom w:val="single" w:sz="4" w:space="0" w:color="auto"/>
              <w:right w:val="single" w:sz="4" w:space="0" w:color="auto"/>
            </w:tcBorders>
            <w:shd w:val="clear" w:color="auto" w:fill="auto"/>
            <w:noWrap/>
            <w:vAlign w:val="bottom"/>
            <w:hideMark/>
          </w:tcPr>
          <w:p w14:paraId="37C5CA5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151333000</w:t>
            </w:r>
          </w:p>
        </w:tc>
        <w:tc>
          <w:tcPr>
            <w:tcW w:w="1160" w:type="dxa"/>
            <w:tcBorders>
              <w:top w:val="nil"/>
              <w:left w:val="nil"/>
              <w:bottom w:val="single" w:sz="4" w:space="0" w:color="auto"/>
              <w:right w:val="single" w:sz="4" w:space="0" w:color="auto"/>
            </w:tcBorders>
            <w:shd w:val="clear" w:color="auto" w:fill="auto"/>
            <w:noWrap/>
            <w:vAlign w:val="bottom"/>
            <w:hideMark/>
          </w:tcPr>
          <w:p w14:paraId="39EFDCD8"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172068033</w:t>
            </w:r>
          </w:p>
        </w:tc>
        <w:tc>
          <w:tcPr>
            <w:tcW w:w="980" w:type="dxa"/>
            <w:tcBorders>
              <w:top w:val="nil"/>
              <w:left w:val="nil"/>
              <w:bottom w:val="single" w:sz="4" w:space="0" w:color="auto"/>
              <w:right w:val="single" w:sz="4" w:space="0" w:color="auto"/>
            </w:tcBorders>
            <w:shd w:val="clear" w:color="auto" w:fill="auto"/>
            <w:noWrap/>
            <w:vAlign w:val="bottom"/>
            <w:hideMark/>
          </w:tcPr>
          <w:p w14:paraId="41F82CA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w:t>
            </w:r>
          </w:p>
        </w:tc>
        <w:tc>
          <w:tcPr>
            <w:tcW w:w="980" w:type="dxa"/>
            <w:tcBorders>
              <w:top w:val="nil"/>
              <w:left w:val="nil"/>
              <w:bottom w:val="single" w:sz="4" w:space="0" w:color="auto"/>
              <w:right w:val="single" w:sz="8" w:space="0" w:color="auto"/>
            </w:tcBorders>
            <w:shd w:val="clear" w:color="auto" w:fill="auto"/>
            <w:noWrap/>
            <w:vAlign w:val="bottom"/>
            <w:hideMark/>
          </w:tcPr>
          <w:p w14:paraId="68D4CE04"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18%</w:t>
            </w:r>
          </w:p>
        </w:tc>
      </w:tr>
      <w:tr w:rsidR="008E2273" w:rsidRPr="000A7220" w14:paraId="27C9A006"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B976FA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4BA31E27"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Burkina Faso</w:t>
            </w:r>
          </w:p>
        </w:tc>
        <w:tc>
          <w:tcPr>
            <w:tcW w:w="1160" w:type="dxa"/>
            <w:tcBorders>
              <w:top w:val="nil"/>
              <w:left w:val="nil"/>
              <w:bottom w:val="single" w:sz="4" w:space="0" w:color="auto"/>
              <w:right w:val="single" w:sz="4" w:space="0" w:color="auto"/>
            </w:tcBorders>
            <w:shd w:val="clear" w:color="auto" w:fill="auto"/>
            <w:noWrap/>
            <w:vAlign w:val="bottom"/>
            <w:hideMark/>
          </w:tcPr>
          <w:p w14:paraId="4BC898C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15868320</w:t>
            </w:r>
          </w:p>
        </w:tc>
        <w:tc>
          <w:tcPr>
            <w:tcW w:w="1160" w:type="dxa"/>
            <w:tcBorders>
              <w:top w:val="nil"/>
              <w:left w:val="nil"/>
              <w:bottom w:val="single" w:sz="4" w:space="0" w:color="auto"/>
              <w:right w:val="single" w:sz="4" w:space="0" w:color="auto"/>
            </w:tcBorders>
            <w:shd w:val="clear" w:color="auto" w:fill="auto"/>
            <w:noWrap/>
            <w:vAlign w:val="bottom"/>
            <w:hideMark/>
          </w:tcPr>
          <w:p w14:paraId="6999151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18621642</w:t>
            </w:r>
          </w:p>
        </w:tc>
        <w:tc>
          <w:tcPr>
            <w:tcW w:w="980" w:type="dxa"/>
            <w:tcBorders>
              <w:top w:val="nil"/>
              <w:left w:val="nil"/>
              <w:bottom w:val="single" w:sz="4" w:space="0" w:color="auto"/>
              <w:right w:val="single" w:sz="4" w:space="0" w:color="auto"/>
            </w:tcBorders>
            <w:shd w:val="clear" w:color="auto" w:fill="auto"/>
            <w:noWrap/>
            <w:vAlign w:val="bottom"/>
            <w:hideMark/>
          </w:tcPr>
          <w:p w14:paraId="30CB835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w:t>
            </w:r>
          </w:p>
        </w:tc>
        <w:tc>
          <w:tcPr>
            <w:tcW w:w="980" w:type="dxa"/>
            <w:tcBorders>
              <w:top w:val="nil"/>
              <w:left w:val="nil"/>
              <w:bottom w:val="single" w:sz="4" w:space="0" w:color="auto"/>
              <w:right w:val="single" w:sz="8" w:space="0" w:color="auto"/>
            </w:tcBorders>
            <w:shd w:val="clear" w:color="auto" w:fill="auto"/>
            <w:noWrap/>
            <w:vAlign w:val="bottom"/>
            <w:hideMark/>
          </w:tcPr>
          <w:p w14:paraId="0A7AE5A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w:t>
            </w:r>
          </w:p>
        </w:tc>
      </w:tr>
      <w:tr w:rsidR="008E2273" w:rsidRPr="000A7220" w14:paraId="7539A662"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D0CC3E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6DC501FC"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Cote d'Ivoire</w:t>
            </w:r>
          </w:p>
        </w:tc>
        <w:tc>
          <w:tcPr>
            <w:tcW w:w="1160" w:type="dxa"/>
            <w:tcBorders>
              <w:top w:val="nil"/>
              <w:left w:val="nil"/>
              <w:bottom w:val="single" w:sz="4" w:space="0" w:color="auto"/>
              <w:right w:val="single" w:sz="4" w:space="0" w:color="auto"/>
            </w:tcBorders>
            <w:shd w:val="clear" w:color="auto" w:fill="auto"/>
            <w:noWrap/>
            <w:vAlign w:val="bottom"/>
            <w:hideMark/>
          </w:tcPr>
          <w:p w14:paraId="39EA04E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114477971</w:t>
            </w:r>
          </w:p>
        </w:tc>
        <w:tc>
          <w:tcPr>
            <w:tcW w:w="1160" w:type="dxa"/>
            <w:tcBorders>
              <w:top w:val="nil"/>
              <w:left w:val="nil"/>
              <w:bottom w:val="single" w:sz="4" w:space="0" w:color="auto"/>
              <w:right w:val="single" w:sz="4" w:space="0" w:color="auto"/>
            </w:tcBorders>
            <w:shd w:val="clear" w:color="auto" w:fill="auto"/>
            <w:noWrap/>
            <w:vAlign w:val="bottom"/>
            <w:hideMark/>
          </w:tcPr>
          <w:p w14:paraId="61C9E79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129099918</w:t>
            </w:r>
          </w:p>
        </w:tc>
        <w:tc>
          <w:tcPr>
            <w:tcW w:w="980" w:type="dxa"/>
            <w:tcBorders>
              <w:top w:val="nil"/>
              <w:left w:val="nil"/>
              <w:bottom w:val="single" w:sz="4" w:space="0" w:color="auto"/>
              <w:right w:val="single" w:sz="4" w:space="0" w:color="auto"/>
            </w:tcBorders>
            <w:shd w:val="clear" w:color="auto" w:fill="auto"/>
            <w:noWrap/>
            <w:vAlign w:val="bottom"/>
            <w:hideMark/>
          </w:tcPr>
          <w:p w14:paraId="19C7042C"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13%</w:t>
            </w:r>
          </w:p>
        </w:tc>
        <w:tc>
          <w:tcPr>
            <w:tcW w:w="980" w:type="dxa"/>
            <w:tcBorders>
              <w:top w:val="nil"/>
              <w:left w:val="nil"/>
              <w:bottom w:val="single" w:sz="4" w:space="0" w:color="auto"/>
              <w:right w:val="single" w:sz="8" w:space="0" w:color="auto"/>
            </w:tcBorders>
            <w:shd w:val="clear" w:color="auto" w:fill="auto"/>
            <w:noWrap/>
            <w:vAlign w:val="bottom"/>
            <w:hideMark/>
          </w:tcPr>
          <w:p w14:paraId="02F7BDD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13%</w:t>
            </w:r>
          </w:p>
        </w:tc>
      </w:tr>
      <w:tr w:rsidR="008E2273" w:rsidRPr="000A7220" w14:paraId="1EE1A55F"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FB0E4E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004B5B73"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Gambia</w:t>
            </w:r>
          </w:p>
        </w:tc>
        <w:tc>
          <w:tcPr>
            <w:tcW w:w="1160" w:type="dxa"/>
            <w:tcBorders>
              <w:top w:val="nil"/>
              <w:left w:val="nil"/>
              <w:bottom w:val="single" w:sz="4" w:space="0" w:color="auto"/>
              <w:right w:val="single" w:sz="4" w:space="0" w:color="auto"/>
            </w:tcBorders>
            <w:shd w:val="clear" w:color="auto" w:fill="auto"/>
            <w:noWrap/>
            <w:vAlign w:val="bottom"/>
            <w:hideMark/>
          </w:tcPr>
          <w:p w14:paraId="66000E3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17171000</w:t>
            </w:r>
          </w:p>
        </w:tc>
        <w:tc>
          <w:tcPr>
            <w:tcW w:w="1160" w:type="dxa"/>
            <w:tcBorders>
              <w:top w:val="nil"/>
              <w:left w:val="nil"/>
              <w:bottom w:val="single" w:sz="4" w:space="0" w:color="auto"/>
              <w:right w:val="single" w:sz="4" w:space="0" w:color="auto"/>
            </w:tcBorders>
            <w:shd w:val="clear" w:color="auto" w:fill="auto"/>
            <w:noWrap/>
            <w:vAlign w:val="bottom"/>
            <w:hideMark/>
          </w:tcPr>
          <w:p w14:paraId="2B2E19BE"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10399719</w:t>
            </w:r>
          </w:p>
        </w:tc>
        <w:tc>
          <w:tcPr>
            <w:tcW w:w="980" w:type="dxa"/>
            <w:tcBorders>
              <w:top w:val="nil"/>
              <w:left w:val="nil"/>
              <w:bottom w:val="single" w:sz="4" w:space="0" w:color="auto"/>
              <w:right w:val="single" w:sz="4" w:space="0" w:color="auto"/>
            </w:tcBorders>
            <w:shd w:val="clear" w:color="auto" w:fill="auto"/>
            <w:noWrap/>
            <w:vAlign w:val="bottom"/>
            <w:hideMark/>
          </w:tcPr>
          <w:p w14:paraId="229E540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w:t>
            </w:r>
          </w:p>
        </w:tc>
        <w:tc>
          <w:tcPr>
            <w:tcW w:w="980" w:type="dxa"/>
            <w:tcBorders>
              <w:top w:val="nil"/>
              <w:left w:val="nil"/>
              <w:bottom w:val="single" w:sz="4" w:space="0" w:color="auto"/>
              <w:right w:val="single" w:sz="8" w:space="0" w:color="auto"/>
            </w:tcBorders>
            <w:shd w:val="clear" w:color="auto" w:fill="auto"/>
            <w:noWrap/>
            <w:vAlign w:val="bottom"/>
            <w:hideMark/>
          </w:tcPr>
          <w:p w14:paraId="2F099D3B"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w:t>
            </w:r>
          </w:p>
        </w:tc>
      </w:tr>
      <w:tr w:rsidR="008E2273" w:rsidRPr="000A7220" w14:paraId="179265D1"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191E52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65121456"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Ghana</w:t>
            </w:r>
          </w:p>
        </w:tc>
        <w:tc>
          <w:tcPr>
            <w:tcW w:w="1160" w:type="dxa"/>
            <w:tcBorders>
              <w:top w:val="nil"/>
              <w:left w:val="nil"/>
              <w:bottom w:val="single" w:sz="4" w:space="0" w:color="auto"/>
              <w:right w:val="single" w:sz="4" w:space="0" w:color="auto"/>
            </w:tcBorders>
            <w:shd w:val="clear" w:color="auto" w:fill="auto"/>
            <w:noWrap/>
            <w:vAlign w:val="bottom"/>
            <w:hideMark/>
          </w:tcPr>
          <w:p w14:paraId="01A3266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62415167</w:t>
            </w:r>
          </w:p>
        </w:tc>
        <w:tc>
          <w:tcPr>
            <w:tcW w:w="1160" w:type="dxa"/>
            <w:tcBorders>
              <w:top w:val="nil"/>
              <w:left w:val="nil"/>
              <w:bottom w:val="single" w:sz="4" w:space="0" w:color="auto"/>
              <w:right w:val="single" w:sz="4" w:space="0" w:color="auto"/>
            </w:tcBorders>
            <w:shd w:val="clear" w:color="auto" w:fill="auto"/>
            <w:noWrap/>
            <w:vAlign w:val="bottom"/>
            <w:hideMark/>
          </w:tcPr>
          <w:p w14:paraId="6B04D3E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69525921</w:t>
            </w:r>
          </w:p>
        </w:tc>
        <w:tc>
          <w:tcPr>
            <w:tcW w:w="980" w:type="dxa"/>
            <w:tcBorders>
              <w:top w:val="nil"/>
              <w:left w:val="nil"/>
              <w:bottom w:val="single" w:sz="4" w:space="0" w:color="auto"/>
              <w:right w:val="single" w:sz="4" w:space="0" w:color="auto"/>
            </w:tcBorders>
            <w:shd w:val="clear" w:color="auto" w:fill="auto"/>
            <w:noWrap/>
            <w:vAlign w:val="bottom"/>
            <w:hideMark/>
          </w:tcPr>
          <w:p w14:paraId="3341E4EA"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w:t>
            </w:r>
          </w:p>
        </w:tc>
        <w:tc>
          <w:tcPr>
            <w:tcW w:w="980" w:type="dxa"/>
            <w:tcBorders>
              <w:top w:val="nil"/>
              <w:left w:val="nil"/>
              <w:bottom w:val="single" w:sz="4" w:space="0" w:color="auto"/>
              <w:right w:val="single" w:sz="8" w:space="0" w:color="auto"/>
            </w:tcBorders>
            <w:shd w:val="clear" w:color="auto" w:fill="auto"/>
            <w:noWrap/>
            <w:vAlign w:val="bottom"/>
            <w:hideMark/>
          </w:tcPr>
          <w:p w14:paraId="01F7B975"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7%</w:t>
            </w:r>
          </w:p>
        </w:tc>
      </w:tr>
      <w:tr w:rsidR="008E2273" w:rsidRPr="000A7220" w14:paraId="4CD37DBB"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658D22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7882063D"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Niger</w:t>
            </w:r>
          </w:p>
        </w:tc>
        <w:tc>
          <w:tcPr>
            <w:tcW w:w="1160" w:type="dxa"/>
            <w:tcBorders>
              <w:top w:val="nil"/>
              <w:left w:val="nil"/>
              <w:bottom w:val="single" w:sz="4" w:space="0" w:color="auto"/>
              <w:right w:val="single" w:sz="4" w:space="0" w:color="auto"/>
            </w:tcBorders>
            <w:shd w:val="clear" w:color="auto" w:fill="auto"/>
            <w:noWrap/>
            <w:vAlign w:val="bottom"/>
            <w:hideMark/>
          </w:tcPr>
          <w:p w14:paraId="2F365297"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88769000</w:t>
            </w:r>
          </w:p>
        </w:tc>
        <w:tc>
          <w:tcPr>
            <w:tcW w:w="1160" w:type="dxa"/>
            <w:tcBorders>
              <w:top w:val="nil"/>
              <w:left w:val="nil"/>
              <w:bottom w:val="single" w:sz="4" w:space="0" w:color="auto"/>
              <w:right w:val="single" w:sz="4" w:space="0" w:color="auto"/>
            </w:tcBorders>
            <w:shd w:val="clear" w:color="auto" w:fill="auto"/>
            <w:noWrap/>
            <w:vAlign w:val="bottom"/>
            <w:hideMark/>
          </w:tcPr>
          <w:p w14:paraId="520B2B11"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99288612</w:t>
            </w:r>
          </w:p>
        </w:tc>
        <w:tc>
          <w:tcPr>
            <w:tcW w:w="980" w:type="dxa"/>
            <w:tcBorders>
              <w:top w:val="nil"/>
              <w:left w:val="nil"/>
              <w:bottom w:val="single" w:sz="4" w:space="0" w:color="auto"/>
              <w:right w:val="single" w:sz="4" w:space="0" w:color="auto"/>
            </w:tcBorders>
            <w:shd w:val="clear" w:color="auto" w:fill="auto"/>
            <w:noWrap/>
            <w:vAlign w:val="bottom"/>
            <w:hideMark/>
          </w:tcPr>
          <w:p w14:paraId="11801E9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w:t>
            </w:r>
          </w:p>
        </w:tc>
        <w:tc>
          <w:tcPr>
            <w:tcW w:w="980" w:type="dxa"/>
            <w:tcBorders>
              <w:top w:val="nil"/>
              <w:left w:val="nil"/>
              <w:bottom w:val="single" w:sz="4" w:space="0" w:color="auto"/>
              <w:right w:val="single" w:sz="8" w:space="0" w:color="auto"/>
            </w:tcBorders>
            <w:shd w:val="clear" w:color="auto" w:fill="auto"/>
            <w:noWrap/>
            <w:vAlign w:val="bottom"/>
            <w:hideMark/>
          </w:tcPr>
          <w:p w14:paraId="7B217006"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10%</w:t>
            </w:r>
          </w:p>
        </w:tc>
      </w:tr>
      <w:tr w:rsidR="008E2273" w:rsidRPr="000A7220" w14:paraId="5E8E85BE" w14:textId="77777777" w:rsidTr="008E2273">
        <w:trPr>
          <w:trHeight w:val="222"/>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688B49D2"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2012</w:t>
            </w:r>
          </w:p>
        </w:tc>
        <w:tc>
          <w:tcPr>
            <w:tcW w:w="1280" w:type="dxa"/>
            <w:tcBorders>
              <w:top w:val="nil"/>
              <w:left w:val="nil"/>
              <w:bottom w:val="single" w:sz="4" w:space="0" w:color="auto"/>
              <w:right w:val="single" w:sz="4" w:space="0" w:color="auto"/>
            </w:tcBorders>
            <w:shd w:val="clear" w:color="auto" w:fill="auto"/>
            <w:noWrap/>
            <w:vAlign w:val="bottom"/>
            <w:hideMark/>
          </w:tcPr>
          <w:p w14:paraId="429BE3CB" w14:textId="77777777" w:rsidR="008E2273" w:rsidRPr="000A7220" w:rsidRDefault="008E2273" w:rsidP="008E2273">
            <w:pPr>
              <w:spacing w:after="0" w:line="240" w:lineRule="auto"/>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Senegal</w:t>
            </w:r>
          </w:p>
        </w:tc>
        <w:tc>
          <w:tcPr>
            <w:tcW w:w="1160" w:type="dxa"/>
            <w:tcBorders>
              <w:top w:val="nil"/>
              <w:left w:val="nil"/>
              <w:bottom w:val="single" w:sz="4" w:space="0" w:color="auto"/>
              <w:right w:val="single" w:sz="4" w:space="0" w:color="auto"/>
            </w:tcBorders>
            <w:shd w:val="clear" w:color="auto" w:fill="auto"/>
            <w:noWrap/>
            <w:vAlign w:val="bottom"/>
            <w:hideMark/>
          </w:tcPr>
          <w:p w14:paraId="717EA8CD"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433966422</w:t>
            </w:r>
          </w:p>
        </w:tc>
        <w:tc>
          <w:tcPr>
            <w:tcW w:w="1160" w:type="dxa"/>
            <w:tcBorders>
              <w:top w:val="nil"/>
              <w:left w:val="nil"/>
              <w:bottom w:val="single" w:sz="4" w:space="0" w:color="auto"/>
              <w:right w:val="single" w:sz="4" w:space="0" w:color="auto"/>
            </w:tcBorders>
            <w:shd w:val="clear" w:color="auto" w:fill="auto"/>
            <w:noWrap/>
            <w:vAlign w:val="bottom"/>
            <w:hideMark/>
          </w:tcPr>
          <w:p w14:paraId="231EBA4F"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447072157</w:t>
            </w:r>
          </w:p>
        </w:tc>
        <w:tc>
          <w:tcPr>
            <w:tcW w:w="980" w:type="dxa"/>
            <w:tcBorders>
              <w:top w:val="nil"/>
              <w:left w:val="nil"/>
              <w:bottom w:val="single" w:sz="4" w:space="0" w:color="auto"/>
              <w:right w:val="single" w:sz="4" w:space="0" w:color="auto"/>
            </w:tcBorders>
            <w:shd w:val="clear" w:color="auto" w:fill="auto"/>
            <w:noWrap/>
            <w:vAlign w:val="bottom"/>
            <w:hideMark/>
          </w:tcPr>
          <w:p w14:paraId="6CDE2983"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48%</w:t>
            </w:r>
          </w:p>
        </w:tc>
        <w:tc>
          <w:tcPr>
            <w:tcW w:w="980" w:type="dxa"/>
            <w:tcBorders>
              <w:top w:val="nil"/>
              <w:left w:val="nil"/>
              <w:bottom w:val="single" w:sz="4" w:space="0" w:color="auto"/>
              <w:right w:val="single" w:sz="8" w:space="0" w:color="auto"/>
            </w:tcBorders>
            <w:shd w:val="clear" w:color="auto" w:fill="auto"/>
            <w:noWrap/>
            <w:vAlign w:val="bottom"/>
            <w:hideMark/>
          </w:tcPr>
          <w:p w14:paraId="21EB6500" w14:textId="77777777" w:rsidR="008E2273" w:rsidRPr="000A7220" w:rsidRDefault="008E2273" w:rsidP="008E2273">
            <w:pPr>
              <w:spacing w:after="0" w:line="240" w:lineRule="auto"/>
              <w:jc w:val="right"/>
              <w:rPr>
                <w:rFonts w:ascii="Calibri" w:eastAsia="Times New Roman" w:hAnsi="Calibri" w:cs="Times New Roman"/>
                <w:color w:val="000000"/>
                <w:sz w:val="18"/>
                <w:szCs w:val="18"/>
                <w:lang w:val="en-GB" w:eastAsia="en-GB"/>
              </w:rPr>
            </w:pPr>
            <w:r w:rsidRPr="000A7220">
              <w:rPr>
                <w:rFonts w:ascii="Calibri" w:eastAsia="Times New Roman" w:hAnsi="Calibri" w:cs="Times New Roman"/>
                <w:color w:val="000000"/>
                <w:sz w:val="18"/>
                <w:szCs w:val="18"/>
                <w:lang w:val="en-GB" w:eastAsia="en-GB"/>
              </w:rPr>
              <w:t>46%</w:t>
            </w:r>
          </w:p>
        </w:tc>
      </w:tr>
      <w:tr w:rsidR="008E2273" w:rsidRPr="000A7220" w14:paraId="02CFFB47" w14:textId="77777777" w:rsidTr="008E2273">
        <w:trPr>
          <w:trHeight w:val="222"/>
        </w:trPr>
        <w:tc>
          <w:tcPr>
            <w:tcW w:w="980" w:type="dxa"/>
            <w:tcBorders>
              <w:top w:val="nil"/>
              <w:left w:val="single" w:sz="8" w:space="0" w:color="auto"/>
              <w:bottom w:val="single" w:sz="8" w:space="0" w:color="auto"/>
              <w:right w:val="single" w:sz="4" w:space="0" w:color="auto"/>
            </w:tcBorders>
            <w:shd w:val="clear" w:color="000000" w:fill="C5D9F1"/>
            <w:noWrap/>
            <w:vAlign w:val="bottom"/>
            <w:hideMark/>
          </w:tcPr>
          <w:p w14:paraId="1CADB493"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2012</w:t>
            </w:r>
          </w:p>
        </w:tc>
        <w:tc>
          <w:tcPr>
            <w:tcW w:w="1280" w:type="dxa"/>
            <w:tcBorders>
              <w:top w:val="nil"/>
              <w:left w:val="nil"/>
              <w:bottom w:val="single" w:sz="8" w:space="0" w:color="auto"/>
              <w:right w:val="single" w:sz="4" w:space="0" w:color="auto"/>
            </w:tcBorders>
            <w:shd w:val="clear" w:color="000000" w:fill="C5D9F1"/>
            <w:noWrap/>
            <w:vAlign w:val="bottom"/>
            <w:hideMark/>
          </w:tcPr>
          <w:p w14:paraId="4EF52A1E" w14:textId="77777777"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000000" w:fill="C5D9F1"/>
            <w:noWrap/>
            <w:vAlign w:val="bottom"/>
            <w:hideMark/>
          </w:tcPr>
          <w:p w14:paraId="2E5D9C03"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899870517</w:t>
            </w:r>
          </w:p>
        </w:tc>
        <w:tc>
          <w:tcPr>
            <w:tcW w:w="1160" w:type="dxa"/>
            <w:tcBorders>
              <w:top w:val="nil"/>
              <w:left w:val="nil"/>
              <w:bottom w:val="single" w:sz="8" w:space="0" w:color="auto"/>
              <w:right w:val="single" w:sz="4" w:space="0" w:color="auto"/>
            </w:tcBorders>
            <w:shd w:val="clear" w:color="000000" w:fill="C5D9F1"/>
            <w:noWrap/>
            <w:vAlign w:val="bottom"/>
            <w:hideMark/>
          </w:tcPr>
          <w:p w14:paraId="5836F422" w14:textId="77777777" w:rsidR="008E2273" w:rsidRPr="000A7220" w:rsidRDefault="008E2273" w:rsidP="008E2273">
            <w:pPr>
              <w:spacing w:after="0" w:line="240" w:lineRule="auto"/>
              <w:jc w:val="right"/>
              <w:rPr>
                <w:rFonts w:ascii="Calibri" w:eastAsia="Times New Roman" w:hAnsi="Calibri" w:cs="Times New Roman"/>
                <w:i/>
                <w:iCs/>
                <w:color w:val="000000"/>
                <w:sz w:val="18"/>
                <w:szCs w:val="18"/>
                <w:lang w:val="en-GB" w:eastAsia="en-GB"/>
              </w:rPr>
            </w:pPr>
            <w:r w:rsidRPr="000A7220">
              <w:rPr>
                <w:rFonts w:ascii="Calibri" w:eastAsia="Times New Roman" w:hAnsi="Calibri" w:cs="Times New Roman"/>
                <w:i/>
                <w:iCs/>
                <w:color w:val="000000"/>
                <w:sz w:val="18"/>
                <w:szCs w:val="18"/>
                <w:lang w:val="en-GB" w:eastAsia="en-GB"/>
              </w:rPr>
              <w:t>963333739</w:t>
            </w:r>
          </w:p>
        </w:tc>
        <w:tc>
          <w:tcPr>
            <w:tcW w:w="980" w:type="dxa"/>
            <w:tcBorders>
              <w:top w:val="nil"/>
              <w:left w:val="nil"/>
              <w:bottom w:val="single" w:sz="8" w:space="0" w:color="auto"/>
              <w:right w:val="single" w:sz="4" w:space="0" w:color="auto"/>
            </w:tcBorders>
            <w:shd w:val="clear" w:color="000000" w:fill="C5D9F1"/>
            <w:noWrap/>
            <w:vAlign w:val="bottom"/>
            <w:hideMark/>
          </w:tcPr>
          <w:p w14:paraId="4F409C69" w14:textId="06472D0D"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c>
          <w:tcPr>
            <w:tcW w:w="980" w:type="dxa"/>
            <w:tcBorders>
              <w:top w:val="nil"/>
              <w:left w:val="nil"/>
              <w:bottom w:val="single" w:sz="8" w:space="0" w:color="auto"/>
              <w:right w:val="single" w:sz="8" w:space="0" w:color="auto"/>
            </w:tcBorders>
            <w:shd w:val="clear" w:color="000000" w:fill="C5D9F1"/>
            <w:noWrap/>
            <w:vAlign w:val="bottom"/>
            <w:hideMark/>
          </w:tcPr>
          <w:p w14:paraId="7CBD3CBC" w14:textId="7397FB60" w:rsidR="008E2273" w:rsidRPr="000A7220" w:rsidRDefault="008E2273" w:rsidP="008E2273">
            <w:pPr>
              <w:spacing w:after="0" w:line="240" w:lineRule="auto"/>
              <w:rPr>
                <w:rFonts w:ascii="Calibri" w:eastAsia="Times New Roman" w:hAnsi="Calibri" w:cs="Times New Roman"/>
                <w:i/>
                <w:iCs/>
                <w:color w:val="000000"/>
                <w:sz w:val="18"/>
                <w:szCs w:val="18"/>
                <w:lang w:val="en-GB" w:eastAsia="en-GB"/>
              </w:rPr>
            </w:pPr>
          </w:p>
        </w:tc>
      </w:tr>
    </w:tbl>
    <w:p w14:paraId="7FE77362" w14:textId="77777777" w:rsidR="00830A45" w:rsidRDefault="00830A45" w:rsidP="008E2273">
      <w:pPr>
        <w:jc w:val="both"/>
      </w:pPr>
    </w:p>
    <w:p w14:paraId="11A9576C" w14:textId="77777777" w:rsidR="001C6A6F" w:rsidRDefault="001C6A6F" w:rsidP="005F3578">
      <w:pPr>
        <w:pStyle w:val="Heading1"/>
        <w:rPr>
          <w:sz w:val="24"/>
          <w:szCs w:val="24"/>
        </w:rPr>
      </w:pPr>
      <w:bookmarkStart w:id="56" w:name="_Toc384903175"/>
      <w:bookmarkStart w:id="57" w:name="_Toc386104466"/>
      <w:r w:rsidRPr="005F3578">
        <w:rPr>
          <w:sz w:val="24"/>
          <w:szCs w:val="24"/>
        </w:rPr>
        <w:lastRenderedPageBreak/>
        <w:t xml:space="preserve">Annexe </w:t>
      </w:r>
      <w:r w:rsidRPr="005F3578">
        <w:rPr>
          <w:sz w:val="24"/>
          <w:szCs w:val="24"/>
        </w:rPr>
        <w:fldChar w:fldCharType="begin"/>
      </w:r>
      <w:r w:rsidRPr="005F3578">
        <w:rPr>
          <w:sz w:val="24"/>
          <w:szCs w:val="24"/>
        </w:rPr>
        <w:instrText xml:space="preserve"> SEQ Annexe \* ARABIC </w:instrText>
      </w:r>
      <w:r w:rsidRPr="005F3578">
        <w:rPr>
          <w:sz w:val="24"/>
          <w:szCs w:val="24"/>
        </w:rPr>
        <w:fldChar w:fldCharType="separate"/>
      </w:r>
      <w:r w:rsidR="008229BD">
        <w:rPr>
          <w:noProof/>
          <w:sz w:val="24"/>
          <w:szCs w:val="24"/>
        </w:rPr>
        <w:t>6</w:t>
      </w:r>
      <w:r w:rsidRPr="005F3578">
        <w:rPr>
          <w:sz w:val="24"/>
          <w:szCs w:val="24"/>
        </w:rPr>
        <w:fldChar w:fldCharType="end"/>
      </w:r>
      <w:r w:rsidRPr="005F3578">
        <w:rPr>
          <w:sz w:val="24"/>
          <w:szCs w:val="24"/>
        </w:rPr>
        <w:t> : Calcul de marges pour la farine et les pâtes selon les villes</w:t>
      </w:r>
      <w:bookmarkEnd w:id="56"/>
      <w:bookmarkEnd w:id="57"/>
    </w:p>
    <w:p w14:paraId="288B9730" w14:textId="77777777" w:rsidR="005F3578" w:rsidRPr="005F3578" w:rsidRDefault="005F3578" w:rsidP="005F3578"/>
    <w:p w14:paraId="0E33D4D2" w14:textId="77777777" w:rsidR="001C6A6F" w:rsidRPr="001C6A6F" w:rsidRDefault="001C6A6F" w:rsidP="001C6A6F">
      <w:pPr>
        <w:jc w:val="both"/>
        <w:rPr>
          <w:b/>
          <w:u w:val="single"/>
        </w:rPr>
      </w:pPr>
      <w:r>
        <w:rPr>
          <w:b/>
          <w:u w:val="single"/>
        </w:rPr>
        <w:t>- F</w:t>
      </w:r>
      <w:r w:rsidRPr="001C6A6F">
        <w:rPr>
          <w:b/>
          <w:u w:val="single"/>
        </w:rPr>
        <w:t>arine :</w:t>
      </w:r>
    </w:p>
    <w:p w14:paraId="75784198" w14:textId="55EFA97E"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Kidal réalise </w:t>
      </w:r>
      <w:r w:rsidR="00466FB7">
        <w:t>une marge</w:t>
      </w:r>
      <w:r w:rsidRPr="001C6A6F">
        <w:t xml:space="preserve"> de 750.000 FCFA (600.000 + 25% de surcharge) duquel il faut déduire un coût de transport de 270.O00 FCFA et en moyenne 75 000 FCFA de droits de douanes, soit </w:t>
      </w:r>
      <w:r w:rsidR="00466FB7">
        <w:t xml:space="preserve">une marge net de 405.000 FCFA. </w:t>
      </w:r>
      <w:proofErr w:type="spellStart"/>
      <w:r w:rsidR="00466FB7">
        <w:t>La</w:t>
      </w:r>
      <w:r>
        <w:t>marge</w:t>
      </w:r>
      <w:proofErr w:type="spellEnd"/>
      <w:r w:rsidRPr="001C6A6F">
        <w:t xml:space="preserve"> hebdomadaire est donc de 4.333.000 FCFA pour un chiffre d’Affaires de 24.610.000 CFA (18% de </w:t>
      </w:r>
      <w:r>
        <w:t>marge</w:t>
      </w:r>
      <w:r w:rsidRPr="001C6A6F">
        <w:t>).</w:t>
      </w:r>
    </w:p>
    <w:p w14:paraId="21796519" w14:textId="5D390E38"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Gao réalise </w:t>
      </w:r>
      <w:proofErr w:type="spellStart"/>
      <w:r w:rsidRPr="001C6A6F">
        <w:t>un</w:t>
      </w:r>
      <w:r w:rsidR="00466FB7">
        <w:t>e</w:t>
      </w:r>
      <w:r>
        <w:t>marge</w:t>
      </w:r>
      <w:proofErr w:type="spellEnd"/>
      <w:r w:rsidRPr="001C6A6F">
        <w:t xml:space="preserve"> de 1.125.000 FCFA (900.000 + 25% de surcharge) duquel il faut déduire un coût de transport de 410.000 FCFA et en moyenne 120.000 FCFA de droits </w:t>
      </w:r>
      <w:r w:rsidR="00466FB7">
        <w:t xml:space="preserve">de douane, soit 595.000 FCFA. </w:t>
      </w:r>
      <w:proofErr w:type="spellStart"/>
      <w:r w:rsidR="00466FB7">
        <w:t>La</w:t>
      </w:r>
      <w:r>
        <w:t>marge</w:t>
      </w:r>
      <w:proofErr w:type="spellEnd"/>
      <w:r w:rsidRPr="001C6A6F">
        <w:t xml:space="preserve"> hebdomadaire est donc de 11.602.000 FCFA pour un Chiffre d’Affaires de 54.650.000 (21,2% de </w:t>
      </w:r>
      <w:r>
        <w:t>marge</w:t>
      </w:r>
      <w:r w:rsidRPr="001C6A6F">
        <w:t>)</w:t>
      </w:r>
      <w:r>
        <w:t>.</w:t>
      </w:r>
    </w:p>
    <w:p w14:paraId="492833BE" w14:textId="0E33A580"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Tombouctou réalise </w:t>
      </w:r>
      <w:proofErr w:type="spellStart"/>
      <w:r w:rsidRPr="001C6A6F">
        <w:t>un</w:t>
      </w:r>
      <w:r w:rsidR="00466FB7">
        <w:t>e</w:t>
      </w:r>
      <w:r>
        <w:t>marge</w:t>
      </w:r>
      <w:proofErr w:type="spellEnd"/>
      <w:r w:rsidRPr="001C6A6F">
        <w:t xml:space="preserve"> de 1.750.000 FCFA (1.400.000 + 25% de surcharge) duquel il faut déduire un coût de transport de 540.000 FCFA et en moyenne 140.000 FCFA de droits de douane, soit 1.070.000 FCFA. </w:t>
      </w:r>
      <w:r w:rsidR="00466FB7">
        <w:t>La marge</w:t>
      </w:r>
      <w:r w:rsidRPr="001C6A6F">
        <w:t xml:space="preserve"> hebdomadaire est donc de 4.280.000 FCFA pour un chiffre d’Affaires de 12.800.000 (33% de </w:t>
      </w:r>
      <w:r>
        <w:t>marge</w:t>
      </w:r>
      <w:r w:rsidRPr="001C6A6F">
        <w:t xml:space="preserve">). </w:t>
      </w:r>
    </w:p>
    <w:p w14:paraId="2655DAB0" w14:textId="77777777"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Bamako (après déchargement à Douentza ou Gao) réalise </w:t>
      </w:r>
      <w:r w:rsidR="00466FB7">
        <w:t>une marge</w:t>
      </w:r>
      <w:r w:rsidRPr="001C6A6F">
        <w:t xml:space="preserve"> de 3.875.000 FCFA (3.100.000 + 25% de surcharge) duquel il faut déduire un coût de transport de 900.000 FCFA et en moyenne 400.000 FCFA de droits de douane, soit 2.575.000 CFA. </w:t>
      </w:r>
      <w:r w:rsidR="00466FB7">
        <w:t>La marge</w:t>
      </w:r>
      <w:r w:rsidRPr="001C6A6F">
        <w:t xml:space="preserve"> hebdomadaire est donc de 51.500.000 pour un chiffre d’Affaires de 96.000.000 FCFA (53% de </w:t>
      </w:r>
      <w:r>
        <w:t>marge</w:t>
      </w:r>
      <w:r w:rsidRPr="001C6A6F">
        <w:t xml:space="preserve">). </w:t>
      </w:r>
    </w:p>
    <w:p w14:paraId="46B36389" w14:textId="77777777"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w:t>
      </w:r>
      <w:proofErr w:type="spellStart"/>
      <w:r w:rsidRPr="001C6A6F">
        <w:t>Taouha</w:t>
      </w:r>
      <w:proofErr w:type="spellEnd"/>
      <w:r w:rsidRPr="001C6A6F">
        <w:t xml:space="preserve"> ou Agadez (via In Khalil) réalise </w:t>
      </w:r>
      <w:r w:rsidR="00466FB7">
        <w:t>une marge</w:t>
      </w:r>
      <w:r w:rsidRPr="001C6A6F">
        <w:t xml:space="preserve"> de 2.375.000 FCFA (1.900.000 + 25% de surcharge) duquel il faut déduire un coût de transport de 700.000 FCFA et en moyenne 400.000 FCFA de droits de douane, soit 1.275.000. </w:t>
      </w:r>
      <w:r w:rsidR="00466FB7">
        <w:t>La marge</w:t>
      </w:r>
      <w:r w:rsidRPr="001C6A6F">
        <w:t xml:space="preserve"> hebdomadaire est donc de 25.500.000 FCFA. Un camion de 10t reliant </w:t>
      </w:r>
      <w:proofErr w:type="spellStart"/>
      <w:r w:rsidRPr="001C6A6F">
        <w:t>Borj</w:t>
      </w:r>
      <w:proofErr w:type="spellEnd"/>
      <w:r w:rsidRPr="001C6A6F">
        <w:t xml:space="preserve"> à Niamey (via Gao) réalise </w:t>
      </w:r>
      <w:r w:rsidR="00466FB7">
        <w:t>une marge</w:t>
      </w:r>
      <w:r w:rsidRPr="001C6A6F">
        <w:t xml:space="preserve"> de 3.750.000 FCFA (3.000.000 + 25% de surcharge) duquel il faut déduire un coût de transport de 1.O00.000 FCFA et en moyenne 400.000 FCFA de droits de douane, soit 2.350.000 FCFA. </w:t>
      </w:r>
      <w:r w:rsidR="00466FB7">
        <w:t>La marge</w:t>
      </w:r>
      <w:r w:rsidRPr="001C6A6F">
        <w:t xml:space="preserve"> hebdomadaire est donc de 70.500.000 FCFA. Sur l’ensemble du Niger, </w:t>
      </w:r>
      <w:r w:rsidR="00466FB7">
        <w:t>la marge</w:t>
      </w:r>
      <w:r w:rsidRPr="001C6A6F">
        <w:t xml:space="preserve"> hebdomadaire est donc de 96.000.000 pour un chiffre d’Affaires de 213.000.000 FCFA (45% de </w:t>
      </w:r>
      <w:r>
        <w:t>marge</w:t>
      </w:r>
      <w:r w:rsidRPr="001C6A6F">
        <w:t>).</w:t>
      </w:r>
    </w:p>
    <w:p w14:paraId="6AFE5130" w14:textId="77777777" w:rsidR="001C6A6F" w:rsidRPr="001C6A6F" w:rsidRDefault="001C6A6F" w:rsidP="001C6A6F">
      <w:pPr>
        <w:jc w:val="both"/>
        <w:rPr>
          <w:b/>
          <w:u w:val="single"/>
        </w:rPr>
      </w:pPr>
      <w:r>
        <w:rPr>
          <w:b/>
          <w:u w:val="single"/>
        </w:rPr>
        <w:t>- Pâ</w:t>
      </w:r>
      <w:r w:rsidRPr="001C6A6F">
        <w:rPr>
          <w:b/>
          <w:u w:val="single"/>
        </w:rPr>
        <w:t>tes :</w:t>
      </w:r>
    </w:p>
    <w:p w14:paraId="397D9726" w14:textId="77777777"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Kidal réalise </w:t>
      </w:r>
      <w:r w:rsidR="00466FB7">
        <w:t>une marge</w:t>
      </w:r>
      <w:r w:rsidRPr="001C6A6F">
        <w:t xml:space="preserve"> de 1.000.000 FCFA (800.000 + 25% de surcharge) duquel il faut déduire un coût de transport de 270.000 FCFA et en moyenne 75.000 FCFA de droits de douane, soit 655.000 FCFA. </w:t>
      </w:r>
      <w:r w:rsidR="00466FB7">
        <w:t>La marge</w:t>
      </w:r>
      <w:r w:rsidRPr="001C6A6F">
        <w:t xml:space="preserve"> hebdomadaire est donc de 9.170.000 FCFA pour un Chiffre d’Affaire de 49.000.000 FCFA (19% de </w:t>
      </w:r>
      <w:r>
        <w:t>marge</w:t>
      </w:r>
      <w:r w:rsidRPr="001C6A6F">
        <w:t xml:space="preserve">). </w:t>
      </w:r>
    </w:p>
    <w:p w14:paraId="221C5842" w14:textId="77777777"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Gao réalise </w:t>
      </w:r>
      <w:r w:rsidR="00466FB7">
        <w:t>une marge</w:t>
      </w:r>
      <w:r w:rsidRPr="001C6A6F">
        <w:t xml:space="preserve"> de 1.875.000 FCFA (1.500.000 + 25% de surcharge) duquel il faut déduire un coût de transport de 410.000 FCFA et en moyenne 120.000 FCFA de droits de douane, soit 1.345.000 FCFA. </w:t>
      </w:r>
      <w:r w:rsidR="00466FB7">
        <w:t>La marge</w:t>
      </w:r>
      <w:r w:rsidRPr="001C6A6F">
        <w:t xml:space="preserve"> hebdomadaire est donc de 22.865.000 FCFA pour un Chiffre d’Affaire de 71.400.000 FCFA (32% de </w:t>
      </w:r>
      <w:r>
        <w:t>marge</w:t>
      </w:r>
      <w:r w:rsidRPr="001C6A6F">
        <w:t>).</w:t>
      </w:r>
    </w:p>
    <w:p w14:paraId="3472B272" w14:textId="77777777" w:rsidR="001C6A6F" w:rsidRPr="001C6A6F" w:rsidRDefault="001C6A6F" w:rsidP="001C6A6F">
      <w:pPr>
        <w:jc w:val="both"/>
      </w:pPr>
      <w:r w:rsidRPr="001C6A6F">
        <w:lastRenderedPageBreak/>
        <w:t xml:space="preserve">Un camion de 10t reliant </w:t>
      </w:r>
      <w:proofErr w:type="spellStart"/>
      <w:r w:rsidRPr="001C6A6F">
        <w:t>Borj</w:t>
      </w:r>
      <w:proofErr w:type="spellEnd"/>
      <w:r w:rsidRPr="001C6A6F">
        <w:t xml:space="preserve"> à Tombouctou réalise </w:t>
      </w:r>
      <w:r w:rsidR="00466FB7">
        <w:t>une marge</w:t>
      </w:r>
      <w:r w:rsidRPr="001C6A6F">
        <w:t xml:space="preserve"> de 2.250.000 FCFA (1.800.000 + 25% de surcharge) duquel il faut déduire un coût de transport de 540.000 FCFA et en moyenne 140.000 FCFA de droits de douane, soit 1.570.000 FCFA. </w:t>
      </w:r>
      <w:r w:rsidR="00466FB7">
        <w:t>La marge</w:t>
      </w:r>
      <w:r w:rsidRPr="001C6A6F">
        <w:t xml:space="preserve"> hebdomadaire est donc de 4.710.000 FCFA pour un Chiffre d’Affaire de 13.500.000 FCFA (35% de </w:t>
      </w:r>
      <w:r>
        <w:t>marge</w:t>
      </w:r>
      <w:r w:rsidRPr="001C6A6F">
        <w:t>).</w:t>
      </w:r>
    </w:p>
    <w:p w14:paraId="2F348A6B" w14:textId="77777777"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Bamako réalise </w:t>
      </w:r>
      <w:r w:rsidR="00466FB7">
        <w:t>une marge</w:t>
      </w:r>
      <w:r w:rsidRPr="001C6A6F">
        <w:t xml:space="preserve"> de 3.625.000 FCFA (2.900.000 + 25% de surcharge) duquel il faut déduire un coût de transport de 900.000 FCFA et en moyenne 400.000 FCFA de droits de douane, soit 2.325.000 FCFA. </w:t>
      </w:r>
      <w:r w:rsidR="00466FB7">
        <w:t>La marge</w:t>
      </w:r>
      <w:r w:rsidRPr="001C6A6F">
        <w:t xml:space="preserve"> hebdomadaire est donc de 23.250.000 FCFA pour un Chiffre d’Affaire de 56.000.000 FCFA (42% de </w:t>
      </w:r>
      <w:r>
        <w:t>marge</w:t>
      </w:r>
      <w:r w:rsidRPr="001C6A6F">
        <w:t>).</w:t>
      </w:r>
    </w:p>
    <w:p w14:paraId="0DAEFDE5" w14:textId="77777777" w:rsidR="001C6A6F" w:rsidRPr="001C6A6F" w:rsidRDefault="001C6A6F" w:rsidP="001C6A6F">
      <w:pPr>
        <w:jc w:val="both"/>
      </w:pPr>
      <w:r w:rsidRPr="001C6A6F">
        <w:t xml:space="preserve">Un camion de 10t reliant </w:t>
      </w:r>
      <w:proofErr w:type="spellStart"/>
      <w:r w:rsidRPr="001C6A6F">
        <w:t>Borj</w:t>
      </w:r>
      <w:proofErr w:type="spellEnd"/>
      <w:r w:rsidRPr="001C6A6F">
        <w:t xml:space="preserve"> à </w:t>
      </w:r>
      <w:proofErr w:type="spellStart"/>
      <w:r w:rsidRPr="001C6A6F">
        <w:t>Taouha</w:t>
      </w:r>
      <w:proofErr w:type="spellEnd"/>
      <w:r w:rsidRPr="001C6A6F">
        <w:t xml:space="preserve"> ou Agadez (via In Khalil) réalise </w:t>
      </w:r>
      <w:r w:rsidR="00466FB7">
        <w:t>une marge</w:t>
      </w:r>
      <w:r w:rsidRPr="001C6A6F">
        <w:t xml:space="preserve"> de 2.375.000 FCFA (1.900.000 + 25% de surcharge) duquel il faut déduire un coût de transport de 700.000 FCFA et en moyenne 400.000 FCFA de droits de douane, soit 1.275.000 FCFA. </w:t>
      </w:r>
      <w:r w:rsidR="00466FB7">
        <w:t>La marge</w:t>
      </w:r>
      <w:r w:rsidRPr="001C6A6F">
        <w:t xml:space="preserve"> hebdomadaire est donc de 81.600.000 FCFA pour un chiffre d’Affaires de 294.400.000 FCFA (8% de </w:t>
      </w:r>
      <w:r>
        <w:t>marge</w:t>
      </w:r>
      <w:r w:rsidRPr="001C6A6F">
        <w:t>).</w:t>
      </w:r>
    </w:p>
    <w:p w14:paraId="0D4EF790" w14:textId="77777777" w:rsidR="001C6A6F" w:rsidRPr="001C6A6F" w:rsidRDefault="001C6A6F" w:rsidP="008E2273">
      <w:pPr>
        <w:jc w:val="both"/>
      </w:pPr>
    </w:p>
    <w:sectPr w:rsidR="001C6A6F" w:rsidRPr="001C6A6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C6EE" w14:textId="77777777" w:rsidR="00E81988" w:rsidRDefault="00E81988" w:rsidP="00724D45">
      <w:pPr>
        <w:spacing w:after="0" w:line="240" w:lineRule="auto"/>
      </w:pPr>
      <w:r>
        <w:separator/>
      </w:r>
    </w:p>
  </w:endnote>
  <w:endnote w:type="continuationSeparator" w:id="0">
    <w:p w14:paraId="7A5FC9D6" w14:textId="77777777" w:rsidR="00E81988" w:rsidRDefault="00E81988" w:rsidP="00724D45">
      <w:pPr>
        <w:spacing w:after="0" w:line="240" w:lineRule="auto"/>
      </w:pPr>
      <w:r>
        <w:continuationSeparator/>
      </w:r>
    </w:p>
  </w:endnote>
  <w:endnote w:type="continuationNotice" w:id="1">
    <w:p w14:paraId="6E11FAB2" w14:textId="77777777" w:rsidR="00E81988" w:rsidRDefault="00E81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5513"/>
      <w:docPartObj>
        <w:docPartGallery w:val="Page Numbers (Bottom of Page)"/>
        <w:docPartUnique/>
      </w:docPartObj>
    </w:sdtPr>
    <w:sdtEndPr>
      <w:rPr>
        <w:noProof/>
      </w:rPr>
    </w:sdtEndPr>
    <w:sdtContent>
      <w:p w14:paraId="4BCC7003" w14:textId="77777777" w:rsidR="00E81988" w:rsidRDefault="00E81988">
        <w:pPr>
          <w:pStyle w:val="Footer"/>
          <w:jc w:val="center"/>
        </w:pPr>
        <w:r>
          <w:fldChar w:fldCharType="begin"/>
        </w:r>
        <w:r>
          <w:instrText xml:space="preserve"> PAGE   \* MERGEFORMAT </w:instrText>
        </w:r>
        <w:r>
          <w:fldChar w:fldCharType="separate"/>
        </w:r>
        <w:r w:rsidR="000C653C">
          <w:rPr>
            <w:noProof/>
          </w:rPr>
          <w:t>21</w:t>
        </w:r>
        <w:r>
          <w:rPr>
            <w:noProof/>
          </w:rPr>
          <w:fldChar w:fldCharType="end"/>
        </w:r>
      </w:p>
    </w:sdtContent>
  </w:sdt>
  <w:p w14:paraId="7CF1F236" w14:textId="77777777" w:rsidR="00E81988" w:rsidRDefault="00E81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6851" w14:textId="77777777" w:rsidR="00E81988" w:rsidRDefault="00E81988" w:rsidP="00724D45">
      <w:pPr>
        <w:spacing w:after="0" w:line="240" w:lineRule="auto"/>
      </w:pPr>
      <w:r>
        <w:separator/>
      </w:r>
    </w:p>
  </w:footnote>
  <w:footnote w:type="continuationSeparator" w:id="0">
    <w:p w14:paraId="34C545B9" w14:textId="77777777" w:rsidR="00E81988" w:rsidRDefault="00E81988" w:rsidP="00724D45">
      <w:pPr>
        <w:spacing w:after="0" w:line="240" w:lineRule="auto"/>
      </w:pPr>
      <w:r>
        <w:continuationSeparator/>
      </w:r>
    </w:p>
  </w:footnote>
  <w:footnote w:type="continuationNotice" w:id="1">
    <w:p w14:paraId="0CD6CD82" w14:textId="77777777" w:rsidR="00E81988" w:rsidRDefault="00E81988">
      <w:pPr>
        <w:spacing w:after="0" w:line="240" w:lineRule="auto"/>
      </w:pPr>
    </w:p>
  </w:footnote>
  <w:footnote w:id="2">
    <w:p w14:paraId="49730F63" w14:textId="718CF89F" w:rsidR="00E81988" w:rsidRDefault="00E81988" w:rsidP="00CD7ECD">
      <w:pPr>
        <w:pStyle w:val="FootnoteText"/>
        <w:jc w:val="both"/>
      </w:pPr>
      <w:r>
        <w:rPr>
          <w:rStyle w:val="FootnoteReference"/>
        </w:rPr>
        <w:footnoteRef/>
      </w:r>
      <w:r>
        <w:t xml:space="preserve"> Les auteurs voudraient remercier Mehdi </w:t>
      </w:r>
      <w:proofErr w:type="spellStart"/>
      <w:r>
        <w:t>Benyagoub</w:t>
      </w:r>
      <w:proofErr w:type="spellEnd"/>
      <w:r>
        <w:t xml:space="preserve"> pour son aide précieuse pour cette étude et Nancy Benjamin et Olivier Walther pour leurs commentaires.</w:t>
      </w:r>
    </w:p>
  </w:footnote>
  <w:footnote w:id="3">
    <w:p w14:paraId="4E799242" w14:textId="35F2F722" w:rsidR="00E81988" w:rsidRDefault="00E81988" w:rsidP="00581212">
      <w:pPr>
        <w:pStyle w:val="FootnoteText"/>
        <w:jc w:val="both"/>
      </w:pPr>
      <w:r>
        <w:rPr>
          <w:rStyle w:val="FootnoteReference"/>
        </w:rPr>
        <w:footnoteRef/>
      </w:r>
      <w:r>
        <w:t xml:space="preserve"> Cette région est quelque peu plus tournée vers le Niger que le Mali mais les pratiques de contrebande sont similaires dans tout le sud algérien.</w:t>
      </w:r>
    </w:p>
  </w:footnote>
  <w:footnote w:id="4">
    <w:p w14:paraId="11E3157C" w14:textId="255466EC" w:rsidR="00E81988" w:rsidRPr="00137CEB" w:rsidRDefault="00E81988" w:rsidP="00581212">
      <w:pPr>
        <w:pStyle w:val="FootnoteText"/>
        <w:jc w:val="both"/>
      </w:pPr>
      <w:r>
        <w:rPr>
          <w:rStyle w:val="FootnoteReference"/>
        </w:rPr>
        <w:footnoteRef/>
      </w:r>
      <w:r w:rsidRPr="00137CEB">
        <w:t xml:space="preserve"> Les commerçants interrogés ont été choisis sur des critères de crédibilité des i</w:t>
      </w:r>
      <w:r>
        <w:t>nformations données et du degré</w:t>
      </w:r>
      <w:r w:rsidRPr="00137CEB">
        <w:t xml:space="preserve"> d’implication dans le commerce. </w:t>
      </w:r>
    </w:p>
  </w:footnote>
  <w:footnote w:id="5">
    <w:p w14:paraId="5E221278" w14:textId="77777777" w:rsidR="00E81988" w:rsidRDefault="00E81988" w:rsidP="00581212">
      <w:pPr>
        <w:pStyle w:val="FootnoteText"/>
        <w:jc w:val="both"/>
      </w:pPr>
      <w:r>
        <w:rPr>
          <w:rStyle w:val="FootnoteReference"/>
        </w:rPr>
        <w:footnoteRef/>
      </w:r>
      <w:r>
        <w:t xml:space="preserve"> Les estimations sont faites sur la base de 40 semaines dans la mesure où le commerce est très faible de juillet à septembre.</w:t>
      </w:r>
    </w:p>
  </w:footnote>
  <w:footnote w:id="6">
    <w:p w14:paraId="5C2B66B3" w14:textId="77777777" w:rsidR="00E81988" w:rsidRDefault="00E81988" w:rsidP="00581212">
      <w:pPr>
        <w:pStyle w:val="FootnoteText"/>
        <w:jc w:val="both"/>
      </w:pPr>
      <w:r>
        <w:rPr>
          <w:rStyle w:val="FootnoteReference"/>
        </w:rPr>
        <w:footnoteRef/>
      </w:r>
      <w:r>
        <w:t xml:space="preserve"> Les conversions dans ce rapport sont faites sur la base de 480 FCFA pour 1 USD.</w:t>
      </w:r>
    </w:p>
  </w:footnote>
  <w:footnote w:id="7">
    <w:p w14:paraId="35E5D226" w14:textId="77777777" w:rsidR="00E81988" w:rsidRPr="0040146A" w:rsidRDefault="00E81988" w:rsidP="00AE0362">
      <w:pPr>
        <w:spacing w:after="0"/>
        <w:jc w:val="both"/>
        <w:rPr>
          <w:sz w:val="20"/>
          <w:szCs w:val="20"/>
        </w:rPr>
      </w:pPr>
      <w:r w:rsidRPr="0040146A">
        <w:rPr>
          <w:rStyle w:val="FootnoteReference"/>
          <w:sz w:val="20"/>
          <w:szCs w:val="20"/>
        </w:rPr>
        <w:footnoteRef/>
      </w:r>
      <w:r w:rsidRPr="0040146A">
        <w:rPr>
          <w:sz w:val="20"/>
          <w:szCs w:val="20"/>
        </w:rPr>
        <w:t xml:space="preserve"> </w:t>
      </w:r>
      <w:r w:rsidRPr="0040146A">
        <w:rPr>
          <w:rFonts w:cs="Arial"/>
          <w:color w:val="141414"/>
          <w:sz w:val="20"/>
          <w:szCs w:val="20"/>
        </w:rPr>
        <w:t>La grande majorité des commerçants basés à Kidal sont maliens (</w:t>
      </w:r>
      <w:proofErr w:type="spellStart"/>
      <w:r w:rsidRPr="0040146A">
        <w:rPr>
          <w:rFonts w:cs="Arial"/>
          <w:color w:val="141414"/>
          <w:sz w:val="20"/>
          <w:szCs w:val="20"/>
        </w:rPr>
        <w:t>Ifoghas</w:t>
      </w:r>
      <w:proofErr w:type="spellEnd"/>
      <w:r w:rsidRPr="0040146A">
        <w:rPr>
          <w:rFonts w:cs="Arial"/>
          <w:color w:val="141414"/>
          <w:sz w:val="20"/>
          <w:szCs w:val="20"/>
        </w:rPr>
        <w:t xml:space="preserve">, </w:t>
      </w:r>
      <w:proofErr w:type="spellStart"/>
      <w:r w:rsidRPr="0040146A">
        <w:rPr>
          <w:rFonts w:cs="Arial"/>
          <w:color w:val="141414"/>
          <w:sz w:val="20"/>
          <w:szCs w:val="20"/>
        </w:rPr>
        <w:t>Idnan</w:t>
      </w:r>
      <w:proofErr w:type="spellEnd"/>
      <w:r w:rsidRPr="0040146A">
        <w:rPr>
          <w:rFonts w:cs="Arial"/>
          <w:color w:val="141414"/>
          <w:sz w:val="20"/>
          <w:szCs w:val="20"/>
        </w:rPr>
        <w:t xml:space="preserve">, </w:t>
      </w:r>
      <w:proofErr w:type="spellStart"/>
      <w:r w:rsidRPr="0040146A">
        <w:rPr>
          <w:rFonts w:cs="Arial"/>
          <w:color w:val="141414"/>
          <w:sz w:val="20"/>
          <w:szCs w:val="20"/>
        </w:rPr>
        <w:t>Kounta</w:t>
      </w:r>
      <w:proofErr w:type="spellEnd"/>
      <w:r w:rsidRPr="0040146A">
        <w:rPr>
          <w:rFonts w:cs="Arial"/>
          <w:color w:val="141414"/>
          <w:sz w:val="20"/>
          <w:szCs w:val="20"/>
        </w:rPr>
        <w:t>) et originaires de Kidal, mais leurs fournisseurs sont algériens. A Kidal, les têtes de réseaux sont généralement des individus jouissant de positions d’influence</w:t>
      </w:r>
      <w:r w:rsidRPr="0040146A">
        <w:rPr>
          <w:sz w:val="20"/>
          <w:szCs w:val="20"/>
        </w:rPr>
        <w:t xml:space="preserve">. </w:t>
      </w:r>
    </w:p>
  </w:footnote>
  <w:footnote w:id="8">
    <w:p w14:paraId="23F55277" w14:textId="77777777" w:rsidR="00E81988" w:rsidRPr="00E42A10" w:rsidRDefault="00E81988" w:rsidP="00EA4650">
      <w:pPr>
        <w:autoSpaceDE w:val="0"/>
        <w:autoSpaceDN w:val="0"/>
        <w:adjustRightInd w:val="0"/>
        <w:spacing w:after="0" w:line="240" w:lineRule="auto"/>
        <w:jc w:val="both"/>
        <w:rPr>
          <w:rFonts w:cstheme="minorHAnsi"/>
          <w:sz w:val="20"/>
          <w:szCs w:val="20"/>
        </w:rPr>
      </w:pPr>
      <w:r w:rsidRPr="00FF55E0">
        <w:rPr>
          <w:rStyle w:val="FootnoteReference"/>
          <w:sz w:val="20"/>
          <w:szCs w:val="20"/>
        </w:rPr>
        <w:footnoteRef/>
      </w:r>
      <w:r w:rsidRPr="00FF55E0">
        <w:rPr>
          <w:sz w:val="20"/>
          <w:szCs w:val="20"/>
          <w:rtl/>
        </w:rPr>
        <w:t xml:space="preserve"> </w:t>
      </w:r>
      <w:r w:rsidRPr="00FF55E0">
        <w:rPr>
          <w:rFonts w:cstheme="minorHAnsi"/>
          <w:sz w:val="20"/>
          <w:szCs w:val="20"/>
        </w:rPr>
        <w:t xml:space="preserve">Décret exécutif n° 07-216 du 25 </w:t>
      </w:r>
      <w:proofErr w:type="spellStart"/>
      <w:r w:rsidRPr="00FF55E0">
        <w:rPr>
          <w:rFonts w:cstheme="minorHAnsi"/>
          <w:sz w:val="20"/>
          <w:szCs w:val="20"/>
        </w:rPr>
        <w:t>Joumada</w:t>
      </w:r>
      <w:proofErr w:type="spellEnd"/>
      <w:r w:rsidRPr="00FF55E0">
        <w:rPr>
          <w:rFonts w:cstheme="minorHAnsi"/>
          <w:sz w:val="20"/>
          <w:szCs w:val="20"/>
        </w:rPr>
        <w:t xml:space="preserve"> </w:t>
      </w:r>
      <w:proofErr w:type="spellStart"/>
      <w:r w:rsidRPr="00FF55E0">
        <w:rPr>
          <w:rFonts w:cstheme="minorHAnsi"/>
          <w:sz w:val="20"/>
          <w:szCs w:val="20"/>
        </w:rPr>
        <w:t>Ethania</w:t>
      </w:r>
      <w:proofErr w:type="spellEnd"/>
      <w:r w:rsidRPr="00FF55E0">
        <w:rPr>
          <w:rFonts w:cstheme="minorHAnsi"/>
          <w:sz w:val="20"/>
          <w:szCs w:val="20"/>
        </w:rPr>
        <w:t xml:space="preserve"> 1428 correspondant au 10 juillet 2007 complétant le décret exécutif n° 97-53 du 5 </w:t>
      </w:r>
      <w:proofErr w:type="spellStart"/>
      <w:r w:rsidRPr="00FF55E0">
        <w:rPr>
          <w:rFonts w:cstheme="minorHAnsi"/>
          <w:sz w:val="20"/>
          <w:szCs w:val="20"/>
        </w:rPr>
        <w:t>Chaoual</w:t>
      </w:r>
      <w:proofErr w:type="spellEnd"/>
      <w:r w:rsidRPr="00FF55E0">
        <w:rPr>
          <w:rFonts w:cstheme="minorHAnsi"/>
          <w:sz w:val="20"/>
          <w:szCs w:val="20"/>
        </w:rPr>
        <w:t xml:space="preserve"> 1417 correspondant au 12 février 1997 fixant les modalités de</w:t>
      </w:r>
      <w:r w:rsidRPr="00E42A10">
        <w:rPr>
          <w:rFonts w:cstheme="minorHAnsi"/>
          <w:sz w:val="20"/>
          <w:szCs w:val="20"/>
        </w:rPr>
        <w:t xml:space="preserve"> fonctionnement du compte d'affectation spéciale n° 302-041 intitulé « Fonds de compensation des frais de transport ».JORADP n°46,p.3.</w:t>
      </w:r>
    </w:p>
  </w:footnote>
  <w:footnote w:id="9">
    <w:p w14:paraId="15695867" w14:textId="77777777" w:rsidR="00E81988" w:rsidRPr="00E42A10" w:rsidRDefault="00E81988" w:rsidP="00EA4650">
      <w:pPr>
        <w:spacing w:line="240" w:lineRule="auto"/>
        <w:jc w:val="both"/>
        <w:rPr>
          <w:rFonts w:cstheme="minorHAnsi"/>
          <w:sz w:val="20"/>
          <w:szCs w:val="20"/>
          <w:lang w:bidi="ar-DZ"/>
        </w:rPr>
      </w:pPr>
      <w:r w:rsidRPr="00E42A10">
        <w:rPr>
          <w:rStyle w:val="FootnoteReference"/>
          <w:sz w:val="20"/>
          <w:szCs w:val="20"/>
        </w:rPr>
        <w:footnoteRef/>
      </w:r>
      <w:r w:rsidRPr="00E42A10">
        <w:rPr>
          <w:sz w:val="20"/>
          <w:szCs w:val="20"/>
        </w:rPr>
        <w:t xml:space="preserve"> </w:t>
      </w:r>
      <w:r w:rsidRPr="00E42A10">
        <w:rPr>
          <w:rFonts w:cstheme="minorHAnsi"/>
          <w:sz w:val="20"/>
          <w:szCs w:val="20"/>
          <w:lang w:bidi="ar-DZ"/>
        </w:rPr>
        <w:t>Un projet  est cependant à l'étude pour rationaliser le dispositif et  limiter  ces remboursements à hauteur des budgets annuels disponibles mais sa mise en application semble délicate. Le système de compensation des frais de transport comme le système de subvention des prix sont considérés comme des droits acquis dont la remise en question peut provoquer une forte réaction sociale.</w:t>
      </w:r>
    </w:p>
    <w:p w14:paraId="0571319A" w14:textId="77777777" w:rsidR="00E81988" w:rsidRDefault="00E81988" w:rsidP="00EA4650">
      <w:pPr>
        <w:pStyle w:val="FootnoteText"/>
      </w:pPr>
    </w:p>
  </w:footnote>
  <w:footnote w:id="10">
    <w:p w14:paraId="60D68D6B" w14:textId="77777777" w:rsidR="00E81988" w:rsidRDefault="00E81988" w:rsidP="00536A8C">
      <w:pPr>
        <w:pStyle w:val="FootnoteText"/>
        <w:jc w:val="both"/>
      </w:pPr>
      <w:r>
        <w:rPr>
          <w:rStyle w:val="FootnoteReference"/>
        </w:rPr>
        <w:footnoteRef/>
      </w:r>
      <w:r>
        <w:t xml:space="preserve"> </w:t>
      </w:r>
      <w:r w:rsidRPr="00B305E3">
        <w:t>Décret n° 83-379 du 28 Mai 1983 portant ratification de la convention relative au bornage de la frontière d'Etat entre la République algérienne démocratique et populaire et la République du Niger signée à Alger le 5 janvier 1983 (JO N° 54 du 27 Décembre 1983, Page 3125).</w:t>
      </w:r>
      <w:r w:rsidRPr="00D00AE8">
        <w:rPr>
          <w:sz w:val="16"/>
          <w:szCs w:val="16"/>
        </w:rPr>
        <w:t xml:space="preserve"> </w:t>
      </w:r>
    </w:p>
  </w:footnote>
  <w:footnote w:id="11">
    <w:p w14:paraId="21FC3470" w14:textId="77777777" w:rsidR="00E81988" w:rsidRDefault="00E81988" w:rsidP="00536A8C">
      <w:pPr>
        <w:pStyle w:val="FootnoteText"/>
        <w:jc w:val="both"/>
      </w:pPr>
      <w:r>
        <w:rPr>
          <w:rStyle w:val="FootnoteReference"/>
        </w:rPr>
        <w:footnoteRef/>
      </w:r>
      <w:r>
        <w:t xml:space="preserve"> </w:t>
      </w:r>
      <w:r w:rsidRPr="00B305E3">
        <w:t xml:space="preserve">Décret n° 83-380 du 28 Mai 1983 portant ratification de la convention relative au bornage de la frontière d'Etat entre la République algérienne démocratique et populaire et la République du Mali, faite à Alger le 8 mai 1983 (JO N° 23 du 04 Juin 1983, Page 1043). </w:t>
      </w:r>
    </w:p>
  </w:footnote>
  <w:footnote w:id="12">
    <w:p w14:paraId="63747C1C" w14:textId="77777777" w:rsidR="00E81988" w:rsidRDefault="00E81988" w:rsidP="00536A8C">
      <w:pPr>
        <w:pStyle w:val="FootnoteText"/>
        <w:jc w:val="both"/>
      </w:pPr>
      <w:r>
        <w:rPr>
          <w:rStyle w:val="FootnoteReference"/>
        </w:rPr>
        <w:footnoteRef/>
      </w:r>
      <w:r>
        <w:t xml:space="preserve"> Décret n° 83-400 du 18 Juin 1983 portant ratification de la convention d'assistance administrative mutuelle en matière douanière entre la République algérienne démocratique et populaire et la République du Mali, signée à Bamako le 4 décembre 1981 (JO N° 26 du 21 Juin 1983, Page 1142). </w:t>
      </w:r>
    </w:p>
  </w:footnote>
  <w:footnote w:id="13">
    <w:p w14:paraId="06CA2CB2" w14:textId="515653A9" w:rsidR="00E81988" w:rsidRPr="00536A8C" w:rsidRDefault="00E81988" w:rsidP="008905E0">
      <w:pPr>
        <w:pStyle w:val="FootnoteText"/>
        <w:jc w:val="both"/>
      </w:pPr>
      <w:r w:rsidRPr="00536A8C">
        <w:rPr>
          <w:rStyle w:val="FootnoteReference"/>
        </w:rPr>
        <w:footnoteRef/>
      </w:r>
      <w:r w:rsidRPr="00536A8C">
        <w:t xml:space="preserve"> Décision du 22 Octobre 2005 relative aux postes de douane frontaliers terrestres (JO N° 25 du 19 Avril 2006, Page 26).</w:t>
      </w:r>
    </w:p>
  </w:footnote>
  <w:footnote w:id="14">
    <w:p w14:paraId="15215912" w14:textId="77777777" w:rsidR="00E81988" w:rsidRPr="00536A8C" w:rsidRDefault="00E81988" w:rsidP="008905E0">
      <w:pPr>
        <w:pStyle w:val="FootnoteText"/>
      </w:pPr>
      <w:r w:rsidRPr="00536A8C">
        <w:rPr>
          <w:rStyle w:val="FootnoteReference"/>
        </w:rPr>
        <w:footnoteRef/>
      </w:r>
      <w:r w:rsidRPr="00536A8C">
        <w:t xml:space="preserve"> Ordonnance n° 05-06 du 23 Août 2005 relative à la lutte contre la contrebande (JO N° 59 du 28 Août 2005, Page 3).</w:t>
      </w:r>
    </w:p>
  </w:footnote>
  <w:footnote w:id="15">
    <w:p w14:paraId="3B62C80E" w14:textId="77777777" w:rsidR="00E81988" w:rsidRPr="00536A8C" w:rsidRDefault="00E81988" w:rsidP="00F66505">
      <w:pPr>
        <w:spacing w:after="0"/>
        <w:jc w:val="both"/>
        <w:rPr>
          <w:sz w:val="20"/>
          <w:szCs w:val="20"/>
        </w:rPr>
      </w:pPr>
      <w:r w:rsidRPr="00536A8C">
        <w:rPr>
          <w:rStyle w:val="FootnoteReference"/>
          <w:sz w:val="20"/>
          <w:szCs w:val="20"/>
        </w:rPr>
        <w:footnoteRef/>
      </w:r>
      <w:r w:rsidRPr="00536A8C">
        <w:rPr>
          <w:sz w:val="20"/>
          <w:szCs w:val="20"/>
        </w:rPr>
        <w:t xml:space="preserve"> Ordonnance n° 75-71 du 12 Novembre 1975 portant ratification de la convention relative aux transports routiers de marchandises, à titre onéreux, entre la République algérienne démocratique et populaire et la République du Mali, signée à Bamako le 30 juin 1975 </w:t>
      </w:r>
      <w:proofErr w:type="gramStart"/>
      <w:r w:rsidRPr="00536A8C">
        <w:rPr>
          <w:sz w:val="20"/>
          <w:szCs w:val="20"/>
        </w:rPr>
        <w:t>( JO</w:t>
      </w:r>
      <w:proofErr w:type="gramEnd"/>
      <w:r w:rsidRPr="00536A8C">
        <w:rPr>
          <w:sz w:val="20"/>
          <w:szCs w:val="20"/>
        </w:rPr>
        <w:t xml:space="preserve"> N° 99 du 12 Décembre 1975, Page 1056). Décret n° 83-341 du 21 mai 1983 portant ratification de la convention commerciale et tarifaire entre le Gouvernement de la République algérienne démocratique et populaire et le Gouvernement de la République du Mali, faite à Bamako le 4 décembre 1981 (JO N° 21 du 24 Mai 1983, Page 977), Décret Présidentiel n° 01-80 du 29 mars 2001 Portant ratification de l'accord commercial et tarifaire entre le Gouvernement de la République algérienne démocratique et populaire et le Gouvernement de la République du Mali, signé à Bamako le 11 juillet 1996 (JO N° 20 du 08 avril 2001, Page 3).</w:t>
      </w:r>
    </w:p>
  </w:footnote>
  <w:footnote w:id="16">
    <w:p w14:paraId="57A1839F" w14:textId="77777777" w:rsidR="00E81988" w:rsidRPr="00536A8C" w:rsidRDefault="00E81988" w:rsidP="00F66505">
      <w:pPr>
        <w:spacing w:after="0"/>
        <w:jc w:val="both"/>
        <w:rPr>
          <w:sz w:val="20"/>
          <w:szCs w:val="20"/>
        </w:rPr>
      </w:pPr>
      <w:r w:rsidRPr="00536A8C">
        <w:rPr>
          <w:rStyle w:val="FootnoteReference"/>
          <w:sz w:val="20"/>
          <w:szCs w:val="20"/>
        </w:rPr>
        <w:footnoteRef/>
      </w:r>
      <w:r w:rsidRPr="00536A8C">
        <w:rPr>
          <w:sz w:val="20"/>
          <w:szCs w:val="20"/>
        </w:rPr>
        <w:t xml:space="preserve"> Décret n° 65-121 du 23 Avril 1965 portant ratification de l'accord sur les échanges commerciaux entre le gouvernement de la République algérienne démocratique et populaire et le gouvernement de la République du Niger, signé à Alger le 3 juin 1964 (JO N° 43 du 21 Mai 1965, Page 534). Ordonnance n° 76-37 du 20 Avril 1976 Portant ratification de la convention commerciale et tarifaire relative à l'accord à long terme entre le Gouvernement de la République algérienne démocratique et populaire et le Gouvernement de la République du Niger, signée à Alger, le 19 février 1976 (JO N° 40 du 18 Mai 1976, Page 512).  Décret Présidentiel n° 2000-422 du 17 Décembre 2000 Portant ratification de l'Accord commercial entre le Gouvernement de la République algérienne démocratique et populaire et le Gouvernement de la République du Niger, signé à Alger le 16 mars 1998(JO N° 78 du 20 Décembre 2000, Page 12).  Décret Présidentiel n° 2000-423 du 17 Décembre 2000 portant ratification de l'Accord entre le Gouvernement de la République algérienne démocratique et populaire et le Gouvernement de la République du Niger relatif aux transports routiers internationaux de marchandises, de voyageurs et de transit, signé à Alger la 16 mars1998 (JO N° 78 du 20 Décembre 2000, Page 14).</w:t>
      </w:r>
    </w:p>
  </w:footnote>
  <w:footnote w:id="17">
    <w:p w14:paraId="6A434FFD" w14:textId="77777777" w:rsidR="00E81988" w:rsidRPr="00536A8C" w:rsidRDefault="00E81988" w:rsidP="00F66505">
      <w:pPr>
        <w:pStyle w:val="FootnoteText"/>
        <w:jc w:val="both"/>
      </w:pPr>
      <w:r w:rsidRPr="00536A8C">
        <w:rPr>
          <w:rStyle w:val="FootnoteReference"/>
        </w:rPr>
        <w:footnoteRef/>
      </w:r>
      <w:r w:rsidRPr="00536A8C">
        <w:t xml:space="preserve">  Article 128 de la loi de finance pour 1994 et l’arrêté Arrêté inter. du 14 Décembre 1994 Fixant les modalités d'exercice du commerce de troc frontalier avec le Niger et le Mali (JO N° 7 du 15 Février 1995, Page 30) abrogeant l’Arrêté du 05 Avril 1991 fixant les conditions et modalités d'importation et d'exportation de marchandises dans le cadre du commerce de troc frontalier avec le Mali (JO N° 29 du 12 Juin 1991, Page 914) et  Arrêté du 05 Avril 1991 fixant les conditions et modalités d'importation et d'exportation de marchandises dans le cadre du commerce de troc frontalier avec le Niger (JO N° 29 du 12 Juin 1991, Page 915). A cette réglementation s’ajoute aussi plusieurs arrêtés réglementant de la foire de  l’</w:t>
      </w:r>
      <w:proofErr w:type="spellStart"/>
      <w:r w:rsidRPr="00536A8C">
        <w:t>Assehar</w:t>
      </w:r>
      <w:proofErr w:type="spellEnd"/>
      <w:r w:rsidRPr="00536A8C">
        <w:t xml:space="preserve"> à Tamanrasset. Selon un responsable du ministère de commerce, l’Algérie a convié la partie malienne et la partie nigérienne à conclure un accord international entre les trois états ; une forme juridique plus adaptée pour réguler des échanges commerciaux transfrontaliers. Cette proposition n’a pas été acceptée par les deux pays, intégrées dans le CEDEAO et qui  ne peuvent,  à cause de ce statut, procéder unilatéralement  à des accords commerciaux préférentiels en dehors de cet espace économique. </w:t>
      </w:r>
    </w:p>
  </w:footnote>
  <w:footnote w:id="18">
    <w:p w14:paraId="336085F6" w14:textId="3DE440F6" w:rsidR="00E81988" w:rsidRPr="00536A8C" w:rsidRDefault="00E81988" w:rsidP="00F66505">
      <w:pPr>
        <w:pStyle w:val="FootnoteText"/>
        <w:jc w:val="both"/>
      </w:pPr>
      <w:r w:rsidRPr="00536A8C">
        <w:rPr>
          <w:rStyle w:val="FootnoteReference"/>
        </w:rPr>
        <w:footnoteRef/>
      </w:r>
      <w:r w:rsidRPr="00536A8C">
        <w:t xml:space="preserve">« Le commerce du troc revêt un caractère exceptionnel et est destiné à faciliter l’approvisionnement des seules populations qui résident dans les wilayas d’Adrar, d’Illizi, de </w:t>
      </w:r>
      <w:proofErr w:type="spellStart"/>
      <w:r w:rsidRPr="00536A8C">
        <w:t>Tamaneghasset</w:t>
      </w:r>
      <w:proofErr w:type="spellEnd"/>
      <w:r w:rsidRPr="00536A8C">
        <w:t xml:space="preserve"> et de Tindouf » article 2 de  l’Arrêté inter. </w:t>
      </w:r>
      <w:proofErr w:type="gramStart"/>
      <w:r w:rsidRPr="00536A8C">
        <w:t>du</w:t>
      </w:r>
      <w:proofErr w:type="gramEnd"/>
      <w:r w:rsidRPr="00536A8C">
        <w:t xml:space="preserve"> 14 Décembre 1994 fixant les modalités d'exercice du commerce de troc frontalier avec le Niger et le Mali modifié par Arrêté inter. </w:t>
      </w:r>
      <w:proofErr w:type="gramStart"/>
      <w:r w:rsidRPr="00536A8C">
        <w:t>du</w:t>
      </w:r>
      <w:proofErr w:type="gramEnd"/>
      <w:r w:rsidRPr="00536A8C">
        <w:t xml:space="preserve"> 12 Avril 1999 (JO N° 35 du 19 Mai 1999, Page 13). </w:t>
      </w:r>
    </w:p>
  </w:footnote>
  <w:footnote w:id="19">
    <w:p w14:paraId="18FFFB2C" w14:textId="789D049E" w:rsidR="00E81988" w:rsidRPr="004755BE" w:rsidRDefault="00E81988" w:rsidP="00F66505">
      <w:pPr>
        <w:pStyle w:val="FootnoteText"/>
        <w:jc w:val="both"/>
        <w:rPr>
          <w:sz w:val="16"/>
          <w:szCs w:val="16"/>
        </w:rPr>
      </w:pPr>
      <w:r w:rsidRPr="00536A8C">
        <w:rPr>
          <w:rStyle w:val="FootnoteReference"/>
        </w:rPr>
        <w:footnoteRef/>
      </w:r>
      <w:r w:rsidRPr="00536A8C">
        <w:t xml:space="preserve"> Arrêté inter. </w:t>
      </w:r>
      <w:proofErr w:type="gramStart"/>
      <w:r w:rsidRPr="00536A8C">
        <w:t>du</w:t>
      </w:r>
      <w:proofErr w:type="gramEnd"/>
      <w:r w:rsidRPr="00536A8C">
        <w:t xml:space="preserve"> 12 Avril 1999 Modifiant et complétant l'arrêté interministériel du 10 </w:t>
      </w:r>
      <w:proofErr w:type="spellStart"/>
      <w:r w:rsidRPr="00536A8C">
        <w:t>Rajab</w:t>
      </w:r>
      <w:proofErr w:type="spellEnd"/>
      <w:r w:rsidRPr="00536A8C">
        <w:t xml:space="preserve"> 1415 correspondant au 14 décembre 1994, fixant les modalités d'exercice du commerce de troc frontalier avec le Niger et le Mali (JO N° 35 du 19 Mai 1999, Page 13)</w:t>
      </w:r>
      <w:r>
        <w:t>.</w:t>
      </w:r>
    </w:p>
  </w:footnote>
  <w:footnote w:id="20">
    <w:p w14:paraId="2F53816E" w14:textId="1BAC9C25" w:rsidR="00E81988" w:rsidRPr="003A779A" w:rsidRDefault="00E81988" w:rsidP="003A779A">
      <w:pPr>
        <w:jc w:val="both"/>
        <w:rPr>
          <w:sz w:val="20"/>
          <w:szCs w:val="20"/>
        </w:rPr>
      </w:pPr>
      <w:r w:rsidRPr="003A779A">
        <w:rPr>
          <w:rStyle w:val="FootnoteReference"/>
          <w:sz w:val="20"/>
          <w:szCs w:val="20"/>
        </w:rPr>
        <w:footnoteRef/>
      </w:r>
      <w:r w:rsidRPr="003A779A">
        <w:rPr>
          <w:sz w:val="20"/>
          <w:szCs w:val="20"/>
        </w:rPr>
        <w:t xml:space="preserve"> Ces flux pourraient correspondre au contenu d’une aide humanitaire octroyée par l’Algérie au Mali en 2011 dans les domaines de l’eau, et de la </w:t>
      </w:r>
      <w:proofErr w:type="spellStart"/>
      <w:r w:rsidRPr="003A779A">
        <w:rPr>
          <w:sz w:val="20"/>
          <w:szCs w:val="20"/>
        </w:rPr>
        <w:t>santesanté</w:t>
      </w:r>
      <w:proofErr w:type="spellEnd"/>
      <w:r w:rsidRPr="003A779A">
        <w:rPr>
          <w:sz w:val="20"/>
          <w:szCs w:val="20"/>
        </w:rPr>
        <w:t xml:space="preserve"> (la même année on trouve un écart pour des aiguilles de seringue de 1042% de la valeur importée) et spécialement destinée aux régions </w:t>
      </w:r>
      <w:r>
        <w:rPr>
          <w:sz w:val="20"/>
          <w:szCs w:val="20"/>
        </w:rPr>
        <w:t>Nord</w:t>
      </w:r>
      <w:r w:rsidRPr="003A779A">
        <w:rPr>
          <w:sz w:val="20"/>
          <w:szCs w:val="20"/>
        </w:rPr>
        <w:t xml:space="preserve"> du Mali (El </w:t>
      </w:r>
      <w:proofErr w:type="spellStart"/>
      <w:r w:rsidRPr="003A779A">
        <w:rPr>
          <w:sz w:val="20"/>
          <w:szCs w:val="20"/>
        </w:rPr>
        <w:t>Watan</w:t>
      </w:r>
      <w:proofErr w:type="spellEnd"/>
      <w:r w:rsidRPr="003A779A">
        <w:rPr>
          <w:sz w:val="20"/>
          <w:szCs w:val="20"/>
        </w:rPr>
        <w:t xml:space="preserve">, 29/04/2011). </w:t>
      </w:r>
    </w:p>
    <w:p w14:paraId="31992683" w14:textId="77777777" w:rsidR="00E81988" w:rsidRPr="003A779A" w:rsidRDefault="00E81988">
      <w:pPr>
        <w:pStyle w:val="FootnoteText"/>
      </w:pPr>
    </w:p>
  </w:footnote>
  <w:footnote w:id="21">
    <w:p w14:paraId="7B042F62" w14:textId="77777777" w:rsidR="00E81988" w:rsidRDefault="00E81988" w:rsidP="00605322">
      <w:pPr>
        <w:pStyle w:val="FootnoteText"/>
        <w:jc w:val="both"/>
      </w:pPr>
      <w:r>
        <w:rPr>
          <w:rStyle w:val="FootnoteReference"/>
        </w:rPr>
        <w:footnoteRef/>
      </w:r>
      <w:r>
        <w:t xml:space="preserve"> Les estimations sont faites sur la base de 40 semaines dans la mesure où le commerce est très faible de juillet à septembre.</w:t>
      </w:r>
    </w:p>
  </w:footnote>
  <w:footnote w:id="22">
    <w:p w14:paraId="2C7C17CE" w14:textId="7700C6BB" w:rsidR="00E81988" w:rsidRDefault="00E81988">
      <w:pPr>
        <w:pStyle w:val="FootnoteText"/>
      </w:pPr>
      <w:r>
        <w:rPr>
          <w:rStyle w:val="FootnoteReference"/>
        </w:rPr>
        <w:footnoteRef/>
      </w:r>
      <w:r>
        <w:t xml:space="preserve"> Ceci provient des entretiens et des différentiels de prix entre 2011 et 2014.</w:t>
      </w:r>
    </w:p>
  </w:footnote>
  <w:footnote w:id="23">
    <w:p w14:paraId="7AED4A8B" w14:textId="0622DB98" w:rsidR="00E81988" w:rsidRPr="00C44122" w:rsidRDefault="00E81988" w:rsidP="00140831">
      <w:pPr>
        <w:pStyle w:val="FootnoteText"/>
        <w:jc w:val="both"/>
      </w:pPr>
      <w:r w:rsidRPr="00C44122">
        <w:rPr>
          <w:rStyle w:val="FootnoteReference"/>
        </w:rPr>
        <w:footnoteRef/>
      </w:r>
      <w:r w:rsidRPr="00C44122">
        <w:t xml:space="preserve"> </w:t>
      </w:r>
      <w:r w:rsidRPr="00C44122">
        <w:rPr>
          <w:rStyle w:val="hps"/>
          <w:rFonts w:cs="Arial"/>
        </w:rPr>
        <w:t>Système informel de transfert d’argent au sein d’un réseau fondé sur la confiance et l’honneur entre des courtiers</w:t>
      </w:r>
      <w:r w:rsidRPr="00C44122">
        <w:rPr>
          <w:rFonts w:cs="Arial"/>
        </w:rPr>
        <w:t xml:space="preserve"> </w:t>
      </w:r>
      <w:r w:rsidRPr="00C44122">
        <w:rPr>
          <w:rStyle w:val="hps"/>
          <w:rFonts w:cs="Arial"/>
        </w:rPr>
        <w:t>d'argent localisés dans différents pays du monde. Ceci a l’avantage de ne pas faire voyager l’argent, notamment dans un environnement sécuritaire difficile et limite les taxes et impôts.</w:t>
      </w:r>
    </w:p>
  </w:footnote>
  <w:footnote w:id="24">
    <w:p w14:paraId="7C51AC21" w14:textId="77777777" w:rsidR="00E81988" w:rsidRDefault="00E81988" w:rsidP="00A728F8">
      <w:pPr>
        <w:pStyle w:val="FootnoteText"/>
        <w:jc w:val="both"/>
      </w:pPr>
      <w:r w:rsidRPr="00C44122">
        <w:rPr>
          <w:rStyle w:val="FootnoteReference"/>
        </w:rPr>
        <w:footnoteRef/>
      </w:r>
      <w:r w:rsidRPr="00C44122">
        <w:t xml:space="preserve"> La ville est un lieu de stockage et de transit, majoritairement contrôlée par les Touareg </w:t>
      </w:r>
      <w:proofErr w:type="spellStart"/>
      <w:r w:rsidRPr="00C44122">
        <w:t>Idnan</w:t>
      </w:r>
      <w:proofErr w:type="spellEnd"/>
      <w:r w:rsidRPr="00C44122">
        <w:t xml:space="preserve"> liés au MNLA et par les Arabes </w:t>
      </w:r>
      <w:proofErr w:type="spellStart"/>
      <w:r w:rsidRPr="00C44122">
        <w:t>Berabiches</w:t>
      </w:r>
      <w:proofErr w:type="spellEnd"/>
      <w:r w:rsidRPr="00C44122">
        <w:t xml:space="preserve"> originaires de la région de Tombouctou. Tal </w:t>
      </w:r>
      <w:proofErr w:type="spellStart"/>
      <w:r w:rsidRPr="00C44122">
        <w:t>Handak</w:t>
      </w:r>
      <w:proofErr w:type="spellEnd"/>
      <w:r w:rsidRPr="00C44122">
        <w:t xml:space="preserve"> est contrôlée actuellement par le MNLA et tenue essentiellement par des commerçants </w:t>
      </w:r>
      <w:proofErr w:type="spellStart"/>
      <w:r w:rsidRPr="00C44122">
        <w:t>Kounta</w:t>
      </w:r>
      <w:proofErr w:type="spellEnd"/>
      <w:r w:rsidRPr="00C44122">
        <w:t xml:space="preserve"> et </w:t>
      </w:r>
      <w:proofErr w:type="spellStart"/>
      <w:r w:rsidRPr="00C44122">
        <w:t>Ifoghas</w:t>
      </w:r>
      <w:proofErr w:type="spellEnd"/>
      <w:r w:rsidRPr="00C44122">
        <w:t>.</w:t>
      </w:r>
    </w:p>
  </w:footnote>
  <w:footnote w:id="25">
    <w:p w14:paraId="57A3D3E8" w14:textId="77777777" w:rsidR="00E81988" w:rsidRPr="000E794A" w:rsidRDefault="00E81988" w:rsidP="000E794A">
      <w:pPr>
        <w:spacing w:after="0"/>
        <w:jc w:val="both"/>
        <w:rPr>
          <w:sz w:val="20"/>
          <w:szCs w:val="20"/>
        </w:rPr>
      </w:pPr>
      <w:r w:rsidRPr="000E794A">
        <w:rPr>
          <w:rStyle w:val="FootnoteReference"/>
          <w:sz w:val="20"/>
          <w:szCs w:val="20"/>
        </w:rPr>
        <w:footnoteRef/>
      </w:r>
      <w:r w:rsidRPr="000E794A">
        <w:rPr>
          <w:sz w:val="20"/>
          <w:szCs w:val="20"/>
        </w:rPr>
        <w:t xml:space="preserve"> </w:t>
      </w:r>
      <w:r w:rsidRPr="000E794A">
        <w:rPr>
          <w:rFonts w:cstheme="minorHAnsi"/>
          <w:sz w:val="20"/>
          <w:szCs w:val="20"/>
          <w:lang w:bidi="ar-DZ"/>
        </w:rPr>
        <w:t>Les quantités actuellement autorisées sont p</w:t>
      </w:r>
      <w:r w:rsidRPr="000E794A">
        <w:rPr>
          <w:rFonts w:cstheme="minorHAnsi"/>
          <w:bCs/>
          <w:sz w:val="20"/>
          <w:szCs w:val="20"/>
          <w:lang w:bidi="ar-DZ"/>
        </w:rPr>
        <w:t>ou</w:t>
      </w:r>
      <w:r>
        <w:rPr>
          <w:rFonts w:cstheme="minorHAnsi"/>
          <w:bCs/>
          <w:sz w:val="20"/>
          <w:szCs w:val="20"/>
          <w:lang w:bidi="ar-DZ"/>
        </w:rPr>
        <w:t xml:space="preserve">r la localité de </w:t>
      </w:r>
      <w:proofErr w:type="spellStart"/>
      <w:r>
        <w:rPr>
          <w:rFonts w:cstheme="minorHAnsi"/>
          <w:bCs/>
          <w:sz w:val="20"/>
          <w:szCs w:val="20"/>
          <w:lang w:bidi="ar-DZ"/>
        </w:rPr>
        <w:t>Tinzawaten</w:t>
      </w:r>
      <w:proofErr w:type="spellEnd"/>
      <w:r w:rsidRPr="000E794A">
        <w:rPr>
          <w:rFonts w:cstheme="minorHAnsi"/>
          <w:sz w:val="20"/>
          <w:szCs w:val="20"/>
          <w:lang w:bidi="ar-DZ"/>
        </w:rPr>
        <w:t xml:space="preserve"> 1 convoi par mois, 3 citernes essence et 6 </w:t>
      </w:r>
      <w:proofErr w:type="spellStart"/>
      <w:r w:rsidRPr="000E794A">
        <w:rPr>
          <w:rFonts w:cstheme="minorHAnsi"/>
          <w:sz w:val="20"/>
          <w:szCs w:val="20"/>
          <w:lang w:bidi="ar-DZ"/>
        </w:rPr>
        <w:t>gazoil</w:t>
      </w:r>
      <w:proofErr w:type="spellEnd"/>
      <w:r w:rsidRPr="000E794A">
        <w:rPr>
          <w:rFonts w:cstheme="minorHAnsi"/>
          <w:sz w:val="20"/>
          <w:szCs w:val="20"/>
          <w:lang w:bidi="ar-DZ"/>
        </w:rPr>
        <w:t xml:space="preserve"> pour les 4 stations essence.</w:t>
      </w:r>
    </w:p>
  </w:footnote>
  <w:footnote w:id="26">
    <w:p w14:paraId="43055861" w14:textId="77777777" w:rsidR="00E81988" w:rsidRPr="007A4B50" w:rsidRDefault="00E81988" w:rsidP="00FF55E0">
      <w:pPr>
        <w:pStyle w:val="FootnoteText"/>
        <w:jc w:val="both"/>
      </w:pPr>
      <w:r>
        <w:rPr>
          <w:rStyle w:val="FootnoteReference"/>
        </w:rPr>
        <w:footnoteRef/>
      </w:r>
      <w:r>
        <w:rPr>
          <w:rtl/>
        </w:rPr>
        <w:t xml:space="preserve"> </w:t>
      </w:r>
      <w:r>
        <w:rPr>
          <w:lang w:bidi="ar-DZ"/>
        </w:rPr>
        <w:t>Le terme convois est employé à la fois par les contrebandiers et par les douaniers pour désigner une opération d'acheminement frauduleux de produits à l'importation ou l'exportation.</w:t>
      </w:r>
    </w:p>
  </w:footnote>
  <w:footnote w:id="27">
    <w:p w14:paraId="3AD1031D" w14:textId="6267CDF0" w:rsidR="00E81988" w:rsidRPr="00FF55E0" w:rsidRDefault="00E81988" w:rsidP="00C01E69">
      <w:pPr>
        <w:spacing w:after="0"/>
        <w:jc w:val="both"/>
        <w:rPr>
          <w:rFonts w:cstheme="minorHAnsi"/>
          <w:sz w:val="20"/>
          <w:szCs w:val="20"/>
        </w:rPr>
      </w:pPr>
      <w:r w:rsidRPr="00FF55E0">
        <w:rPr>
          <w:rStyle w:val="FootnoteReference"/>
          <w:rFonts w:cstheme="minorHAnsi"/>
          <w:sz w:val="20"/>
          <w:szCs w:val="20"/>
        </w:rPr>
        <w:footnoteRef/>
      </w:r>
      <w:r w:rsidRPr="00FF55E0">
        <w:rPr>
          <w:rFonts w:cstheme="minorHAnsi"/>
          <w:sz w:val="20"/>
          <w:szCs w:val="20"/>
        </w:rPr>
        <w:t xml:space="preserve"> Créée à la faveur des dispositions de la loi de finances 2001, qui a consacré l'ouverture du marché des tabacs aux investisseurs étrangers, la STAEM, consortium émirati d’investisseurs arabes, a été agréée par le ministère des Finances en tant que fabricant de tabac. Cette société (par voie de Joint-venture créée en 2002 avec  la Société nationale des tabacs et allumettes (SNTA) qui détient 49% de taux de participation) est officiellement autorisée à importer et à distribuer, durant une phase intermédiaire, des cigarettes de marques destinées à être fabriquées localement. L’augmentation de la production locale aura des effets sur la contrebande de cigarettes. La SNTA envisage d’investir dans cinq lignes de production des cigarettes, qui permettront de relever sa capacité d’offre totale à 790 millions de paquets (apport des nouvelles lignes de 370 millions de paquets). SOURCE : eldjazair.com n°68, novembre 2013.</w:t>
      </w:r>
    </w:p>
  </w:footnote>
  <w:footnote w:id="28">
    <w:p w14:paraId="26747FA2" w14:textId="6A1F2075" w:rsidR="00E81988" w:rsidRDefault="00E81988" w:rsidP="00C01E69">
      <w:pPr>
        <w:pStyle w:val="FootnoteText"/>
        <w:jc w:val="both"/>
      </w:pPr>
      <w:r>
        <w:rPr>
          <w:rStyle w:val="FootnoteReference"/>
        </w:rPr>
        <w:footnoteRef/>
      </w:r>
      <w:r>
        <w:t xml:space="preserve"> Personne qui s'occupe de l'entretien du véhicule pendant le trajet. Le mécanicien est indispensable pour les anciens modèles de 4X4 tout terrain.</w:t>
      </w:r>
    </w:p>
  </w:footnote>
  <w:footnote w:id="29">
    <w:p w14:paraId="6E23EE37" w14:textId="77777777" w:rsidR="00E81988" w:rsidRPr="00441F35" w:rsidRDefault="00E81988" w:rsidP="00466A0A">
      <w:pPr>
        <w:jc w:val="both"/>
        <w:rPr>
          <w:rFonts w:cstheme="minorHAnsi"/>
          <w:sz w:val="20"/>
          <w:szCs w:val="20"/>
          <w:lang w:bidi="ar-DZ"/>
        </w:rPr>
      </w:pPr>
      <w:r w:rsidRPr="00441F35">
        <w:rPr>
          <w:rStyle w:val="FootnoteReference"/>
          <w:sz w:val="20"/>
          <w:szCs w:val="20"/>
        </w:rPr>
        <w:footnoteRef/>
      </w:r>
      <w:r w:rsidRPr="00441F35">
        <w:rPr>
          <w:sz w:val="20"/>
          <w:szCs w:val="20"/>
        </w:rPr>
        <w:t xml:space="preserve"> L</w:t>
      </w:r>
      <w:r w:rsidRPr="00441F35">
        <w:rPr>
          <w:rFonts w:cstheme="minorHAnsi"/>
          <w:sz w:val="20"/>
          <w:szCs w:val="20"/>
          <w:lang w:bidi="ar-DZ"/>
        </w:rPr>
        <w:t>a marge au Niger est d'environ 100000 DA (1300 USD) pour 2000 l soit 10 barils et une marge de 60-80%.</w:t>
      </w:r>
    </w:p>
    <w:p w14:paraId="7376B1B5" w14:textId="77777777" w:rsidR="00E81988" w:rsidRDefault="00E81988" w:rsidP="00466A0A">
      <w:pPr>
        <w:pStyle w:val="FootnoteText"/>
      </w:pPr>
    </w:p>
  </w:footnote>
  <w:footnote w:id="30">
    <w:p w14:paraId="6F0067DF" w14:textId="584D36D0" w:rsidR="00E81988" w:rsidRDefault="00E81988">
      <w:pPr>
        <w:pStyle w:val="FootnoteText"/>
      </w:pPr>
      <w:r>
        <w:rPr>
          <w:rStyle w:val="FootnoteReference"/>
        </w:rPr>
        <w:footnoteRef/>
      </w:r>
      <w:r>
        <w:t xml:space="preserve"> C’est une tribu appelée par les </w:t>
      </w:r>
      <w:proofErr w:type="spellStart"/>
      <w:r>
        <w:t>touaregs</w:t>
      </w:r>
      <w:proofErr w:type="spellEnd"/>
      <w:r>
        <w:t xml:space="preserve"> Dag </w:t>
      </w:r>
      <w:proofErr w:type="spellStart"/>
      <w:r>
        <w:t>Taoudji</w:t>
      </w:r>
      <w:proofErr w:type="spellEnd"/>
      <w:r>
        <w:t>.</w:t>
      </w:r>
    </w:p>
  </w:footnote>
  <w:footnote w:id="31">
    <w:p w14:paraId="375B74B9" w14:textId="77777777" w:rsidR="00E81988" w:rsidRPr="00CD7ECD" w:rsidRDefault="00E81988" w:rsidP="00CD10F2">
      <w:pPr>
        <w:pStyle w:val="FootnoteText"/>
        <w:jc w:val="both"/>
      </w:pPr>
      <w:r w:rsidRPr="00CD7ECD">
        <w:rPr>
          <w:rStyle w:val="FootnoteReference"/>
        </w:rPr>
        <w:footnoteRef/>
      </w:r>
      <w:r w:rsidRPr="00CD7ECD">
        <w:t xml:space="preserve"> Contre 15,30% au niveau de la direction régionale des douanes à  Tlemcen (zone frontalière avec le Maroc) et près de 11% pour la direction régionale des douanes  à Tébessa (Zone frontalière Est).</w:t>
      </w:r>
    </w:p>
  </w:footnote>
  <w:footnote w:id="32">
    <w:p w14:paraId="44B716F6" w14:textId="187B9971" w:rsidR="00E81988" w:rsidRPr="00CD7ECD" w:rsidRDefault="00E81988" w:rsidP="00CA1BAA">
      <w:pPr>
        <w:spacing w:after="0" w:line="240" w:lineRule="auto"/>
        <w:jc w:val="both"/>
        <w:rPr>
          <w:sz w:val="20"/>
          <w:szCs w:val="20"/>
        </w:rPr>
      </w:pPr>
      <w:r w:rsidRPr="00CD7ECD">
        <w:rPr>
          <w:rStyle w:val="FootnoteReference"/>
          <w:sz w:val="20"/>
          <w:szCs w:val="20"/>
        </w:rPr>
        <w:footnoteRef/>
      </w:r>
      <w:r w:rsidRPr="00CD7ECD">
        <w:rPr>
          <w:sz w:val="20"/>
          <w:szCs w:val="20"/>
        </w:rPr>
        <w:t xml:space="preserve"> Pour un camion de 10t venu de </w:t>
      </w:r>
      <w:proofErr w:type="spellStart"/>
      <w:r w:rsidRPr="00CD7ECD">
        <w:rPr>
          <w:sz w:val="20"/>
          <w:szCs w:val="20"/>
        </w:rPr>
        <w:t>Borj</w:t>
      </w:r>
      <w:proofErr w:type="spellEnd"/>
      <w:r w:rsidRPr="00CD7ECD">
        <w:rPr>
          <w:sz w:val="20"/>
          <w:szCs w:val="20"/>
        </w:rPr>
        <w:t xml:space="preserve"> </w:t>
      </w:r>
      <w:proofErr w:type="spellStart"/>
      <w:r w:rsidRPr="00CD7ECD">
        <w:rPr>
          <w:sz w:val="20"/>
          <w:szCs w:val="20"/>
        </w:rPr>
        <w:t>Badji</w:t>
      </w:r>
      <w:proofErr w:type="spellEnd"/>
      <w:r w:rsidRPr="00CD7ECD">
        <w:rPr>
          <w:sz w:val="20"/>
          <w:szCs w:val="20"/>
        </w:rPr>
        <w:t xml:space="preserve"> </w:t>
      </w:r>
      <w:proofErr w:type="spellStart"/>
      <w:r w:rsidRPr="00CD7ECD">
        <w:rPr>
          <w:sz w:val="20"/>
          <w:szCs w:val="20"/>
        </w:rPr>
        <w:t>Mokthar</w:t>
      </w:r>
      <w:proofErr w:type="spellEnd"/>
      <w:r w:rsidRPr="00CD7ECD">
        <w:rPr>
          <w:sz w:val="20"/>
          <w:szCs w:val="20"/>
        </w:rPr>
        <w:t xml:space="preserve">, les droits étaient en moyenne de 75.000 CFA (156 USD) à Kidal, 120.000 FCFA (250 USD) à Gao, 140.000 FCFA (290 USD) à Tombouctou, et 400.000 FCFA (830 USD) à Bamako comme au nord du Niger. Ces chiffres constituent des moyennes, sachant que de nombreux commerçants s’acquittent de droits de douane parfois plus modestes en raison de la corruption au sein des douanes, voire parfois s’exonèrent intégralement de droits de douane en contournant les douanes. </w:t>
      </w:r>
    </w:p>
  </w:footnote>
  <w:footnote w:id="33">
    <w:p w14:paraId="26ED6CD3" w14:textId="65FD8BA2" w:rsidR="00E81988" w:rsidRPr="00CD7ECD" w:rsidRDefault="00E81988" w:rsidP="00C91E19">
      <w:pPr>
        <w:pStyle w:val="Caption"/>
        <w:spacing w:after="0"/>
        <w:jc w:val="both"/>
        <w:rPr>
          <w:b w:val="0"/>
          <w:color w:val="auto"/>
          <w:sz w:val="20"/>
          <w:szCs w:val="20"/>
        </w:rPr>
      </w:pPr>
      <w:r w:rsidRPr="00CD7ECD">
        <w:rPr>
          <w:rStyle w:val="FootnoteReference"/>
          <w:color w:val="auto"/>
          <w:sz w:val="20"/>
          <w:szCs w:val="20"/>
        </w:rPr>
        <w:footnoteRef/>
      </w:r>
      <w:r w:rsidRPr="00CD7ECD">
        <w:rPr>
          <w:color w:val="auto"/>
          <w:sz w:val="20"/>
          <w:szCs w:val="20"/>
        </w:rPr>
        <w:t xml:space="preserve"> </w:t>
      </w:r>
      <w:r w:rsidRPr="00CD7ECD">
        <w:rPr>
          <w:b w:val="0"/>
          <w:color w:val="auto"/>
          <w:sz w:val="20"/>
          <w:szCs w:val="20"/>
        </w:rPr>
        <w:t xml:space="preserve">Niveau des droits de douane à la frontière malienne (en pourcentage de la valeur des biens). </w:t>
      </w:r>
    </w:p>
    <w:tbl>
      <w:tblPr>
        <w:tblW w:w="3330" w:type="dxa"/>
        <w:tblInd w:w="93" w:type="dxa"/>
        <w:tblLook w:val="04A0" w:firstRow="1" w:lastRow="0" w:firstColumn="1" w:lastColumn="0" w:noHBand="0" w:noVBand="1"/>
      </w:tblPr>
      <w:tblGrid>
        <w:gridCol w:w="2700"/>
        <w:gridCol w:w="630"/>
      </w:tblGrid>
      <w:tr w:rsidR="00E81988" w:rsidRPr="00050B5C" w14:paraId="144FF16C" w14:textId="77777777" w:rsidTr="007127C1">
        <w:trPr>
          <w:trHeight w:val="315"/>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74A44E" w14:textId="77777777" w:rsidR="00E81988" w:rsidRPr="00050B5C" w:rsidRDefault="00E81988" w:rsidP="007127C1">
            <w:pPr>
              <w:spacing w:after="0" w:line="240" w:lineRule="auto"/>
              <w:rPr>
                <w:rFonts w:ascii="Calibri" w:eastAsia="Times New Roman" w:hAnsi="Calibri" w:cs="Times New Roman"/>
                <w:b/>
                <w:color w:val="000000"/>
                <w:sz w:val="20"/>
                <w:szCs w:val="20"/>
                <w:lang w:val="en-GB" w:eastAsia="en-GB"/>
              </w:rPr>
            </w:pPr>
            <w:r w:rsidRPr="00050B5C">
              <w:rPr>
                <w:rFonts w:ascii="Calibri" w:eastAsia="Times New Roman" w:hAnsi="Calibri" w:cs="Times New Roman"/>
                <w:b/>
                <w:color w:val="000000"/>
                <w:sz w:val="20"/>
                <w:szCs w:val="20"/>
                <w:lang w:eastAsia="en-GB"/>
              </w:rPr>
              <w:t>Produits</w:t>
            </w:r>
            <w:r w:rsidRPr="00050B5C">
              <w:rPr>
                <w:rFonts w:ascii="Calibri" w:eastAsia="Times New Roman" w:hAnsi="Calibri" w:cs="Times New Roman"/>
                <w:b/>
                <w:color w:val="000000"/>
                <w:sz w:val="20"/>
                <w:szCs w:val="20"/>
                <w:lang w:val="en-GB" w:eastAsia="en-GB"/>
              </w:rPr>
              <w:t xml:space="preserve"> </w:t>
            </w:r>
          </w:p>
        </w:tc>
        <w:tc>
          <w:tcPr>
            <w:tcW w:w="630" w:type="dxa"/>
            <w:tcBorders>
              <w:top w:val="single" w:sz="8" w:space="0" w:color="auto"/>
              <w:left w:val="nil"/>
              <w:bottom w:val="single" w:sz="8" w:space="0" w:color="auto"/>
              <w:right w:val="single" w:sz="8" w:space="0" w:color="auto"/>
            </w:tcBorders>
            <w:shd w:val="clear" w:color="auto" w:fill="auto"/>
            <w:noWrap/>
            <w:vAlign w:val="bottom"/>
            <w:hideMark/>
          </w:tcPr>
          <w:p w14:paraId="7ED03360" w14:textId="77777777" w:rsidR="00E81988" w:rsidRPr="00050B5C" w:rsidRDefault="00E81988" w:rsidP="007127C1">
            <w:pPr>
              <w:spacing w:after="0" w:line="240" w:lineRule="auto"/>
              <w:rPr>
                <w:rFonts w:ascii="Calibri" w:eastAsia="Times New Roman" w:hAnsi="Calibri" w:cs="Times New Roman"/>
                <w:b/>
                <w:color w:val="000000"/>
                <w:sz w:val="20"/>
                <w:szCs w:val="20"/>
                <w:lang w:val="en-GB" w:eastAsia="en-GB"/>
              </w:rPr>
            </w:pPr>
          </w:p>
        </w:tc>
      </w:tr>
      <w:tr w:rsidR="00E81988" w:rsidRPr="00050B5C" w14:paraId="3A958BC1" w14:textId="77777777" w:rsidTr="007127C1">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14:paraId="59ED8656" w14:textId="77777777" w:rsidR="00E81988" w:rsidRPr="00050B5C" w:rsidRDefault="00E81988" w:rsidP="007127C1">
            <w:pPr>
              <w:spacing w:after="0" w:line="240" w:lineRule="auto"/>
              <w:rPr>
                <w:rFonts w:ascii="Calibri" w:eastAsia="Times New Roman" w:hAnsi="Calibri" w:cs="Times New Roman"/>
                <w:i/>
                <w:color w:val="000000"/>
                <w:sz w:val="20"/>
                <w:szCs w:val="20"/>
                <w:lang w:val="en-GB" w:eastAsia="en-GB"/>
              </w:rPr>
            </w:pPr>
            <w:r w:rsidRPr="00050B5C">
              <w:rPr>
                <w:rFonts w:ascii="Calibri" w:eastAsia="Times New Roman" w:hAnsi="Calibri" w:cs="Times New Roman"/>
                <w:i/>
                <w:color w:val="000000"/>
                <w:sz w:val="20"/>
                <w:szCs w:val="20"/>
                <w:lang w:eastAsia="en-GB"/>
              </w:rPr>
              <w:t>Dattes</w:t>
            </w:r>
          </w:p>
        </w:tc>
        <w:tc>
          <w:tcPr>
            <w:tcW w:w="630" w:type="dxa"/>
            <w:tcBorders>
              <w:top w:val="nil"/>
              <w:left w:val="nil"/>
              <w:bottom w:val="single" w:sz="4" w:space="0" w:color="auto"/>
              <w:right w:val="single" w:sz="8" w:space="0" w:color="auto"/>
            </w:tcBorders>
            <w:shd w:val="clear" w:color="auto" w:fill="auto"/>
            <w:noWrap/>
            <w:vAlign w:val="bottom"/>
            <w:hideMark/>
          </w:tcPr>
          <w:p w14:paraId="084783BD" w14:textId="77777777" w:rsidR="00E81988" w:rsidRPr="00050B5C" w:rsidRDefault="00E81988" w:rsidP="007127C1">
            <w:pPr>
              <w:spacing w:after="0" w:line="240" w:lineRule="auto"/>
              <w:jc w:val="right"/>
              <w:rPr>
                <w:rFonts w:ascii="Calibri" w:eastAsia="Times New Roman" w:hAnsi="Calibri" w:cs="Times New Roman"/>
                <w:color w:val="000000"/>
                <w:sz w:val="20"/>
                <w:szCs w:val="20"/>
                <w:lang w:val="en-GB" w:eastAsia="en-GB"/>
              </w:rPr>
            </w:pPr>
            <w:r w:rsidRPr="00050B5C">
              <w:rPr>
                <w:rFonts w:ascii="Calibri" w:eastAsia="Times New Roman" w:hAnsi="Calibri" w:cs="Times New Roman"/>
                <w:color w:val="000000"/>
                <w:sz w:val="20"/>
                <w:szCs w:val="20"/>
                <w:lang w:val="en-GB" w:eastAsia="en-GB"/>
              </w:rPr>
              <w:t>20</w:t>
            </w:r>
          </w:p>
        </w:tc>
      </w:tr>
      <w:tr w:rsidR="00E81988" w:rsidRPr="00050B5C" w14:paraId="088CF63F" w14:textId="77777777" w:rsidTr="007127C1">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14:paraId="161F3765" w14:textId="77777777" w:rsidR="00E81988" w:rsidRPr="00050B5C" w:rsidRDefault="00E81988" w:rsidP="007127C1">
            <w:pPr>
              <w:spacing w:after="0" w:line="240" w:lineRule="auto"/>
              <w:rPr>
                <w:rFonts w:ascii="Calibri" w:eastAsia="Times New Roman" w:hAnsi="Calibri" w:cs="Times New Roman"/>
                <w:i/>
                <w:color w:val="000000"/>
                <w:sz w:val="20"/>
                <w:szCs w:val="20"/>
                <w:lang w:val="en-GB" w:eastAsia="en-GB"/>
              </w:rPr>
            </w:pPr>
            <w:r w:rsidRPr="00050B5C">
              <w:rPr>
                <w:rFonts w:ascii="Calibri" w:eastAsia="Times New Roman" w:hAnsi="Calibri" w:cs="Times New Roman"/>
                <w:i/>
                <w:color w:val="000000"/>
                <w:sz w:val="20"/>
                <w:szCs w:val="20"/>
                <w:lang w:val="en-GB" w:eastAsia="en-GB"/>
              </w:rPr>
              <w:t>Couscous</w:t>
            </w:r>
          </w:p>
        </w:tc>
        <w:tc>
          <w:tcPr>
            <w:tcW w:w="630" w:type="dxa"/>
            <w:tcBorders>
              <w:top w:val="nil"/>
              <w:left w:val="nil"/>
              <w:bottom w:val="single" w:sz="4" w:space="0" w:color="auto"/>
              <w:right w:val="single" w:sz="8" w:space="0" w:color="auto"/>
            </w:tcBorders>
            <w:shd w:val="clear" w:color="auto" w:fill="auto"/>
            <w:noWrap/>
            <w:vAlign w:val="bottom"/>
            <w:hideMark/>
          </w:tcPr>
          <w:p w14:paraId="469CCDB8" w14:textId="77777777" w:rsidR="00E81988" w:rsidRPr="00050B5C" w:rsidRDefault="00E81988" w:rsidP="007127C1">
            <w:pPr>
              <w:spacing w:after="0" w:line="240" w:lineRule="auto"/>
              <w:jc w:val="right"/>
              <w:rPr>
                <w:rFonts w:ascii="Calibri" w:eastAsia="Times New Roman" w:hAnsi="Calibri" w:cs="Times New Roman"/>
                <w:color w:val="000000"/>
                <w:sz w:val="20"/>
                <w:szCs w:val="20"/>
                <w:lang w:val="en-GB" w:eastAsia="en-GB"/>
              </w:rPr>
            </w:pPr>
            <w:r w:rsidRPr="00050B5C">
              <w:rPr>
                <w:rFonts w:ascii="Calibri" w:eastAsia="Times New Roman" w:hAnsi="Calibri" w:cs="Times New Roman"/>
                <w:color w:val="000000"/>
                <w:sz w:val="20"/>
                <w:szCs w:val="20"/>
                <w:lang w:val="en-GB" w:eastAsia="en-GB"/>
              </w:rPr>
              <w:t>20</w:t>
            </w:r>
          </w:p>
        </w:tc>
      </w:tr>
      <w:tr w:rsidR="00E81988" w:rsidRPr="00050B5C" w14:paraId="707CACD4" w14:textId="77777777" w:rsidTr="007127C1">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14:paraId="22CF7FAB" w14:textId="77777777" w:rsidR="00E81988" w:rsidRPr="00050B5C" w:rsidRDefault="00E81988" w:rsidP="007127C1">
            <w:pPr>
              <w:spacing w:after="0" w:line="240" w:lineRule="auto"/>
              <w:rPr>
                <w:rFonts w:ascii="Calibri" w:eastAsia="Times New Roman" w:hAnsi="Calibri" w:cs="Times New Roman"/>
                <w:i/>
                <w:color w:val="000000"/>
                <w:sz w:val="20"/>
                <w:szCs w:val="20"/>
                <w:lang w:val="en-GB" w:eastAsia="en-GB"/>
              </w:rPr>
            </w:pPr>
            <w:r w:rsidRPr="00050B5C">
              <w:rPr>
                <w:rFonts w:ascii="Calibri" w:eastAsia="Times New Roman" w:hAnsi="Calibri" w:cs="Times New Roman"/>
                <w:i/>
                <w:color w:val="000000"/>
                <w:sz w:val="20"/>
                <w:szCs w:val="20"/>
                <w:lang w:val="en-GB" w:eastAsia="en-GB"/>
              </w:rPr>
              <w:t>Pates</w:t>
            </w:r>
          </w:p>
        </w:tc>
        <w:tc>
          <w:tcPr>
            <w:tcW w:w="630" w:type="dxa"/>
            <w:tcBorders>
              <w:top w:val="nil"/>
              <w:left w:val="nil"/>
              <w:bottom w:val="single" w:sz="4" w:space="0" w:color="auto"/>
              <w:right w:val="single" w:sz="8" w:space="0" w:color="auto"/>
            </w:tcBorders>
            <w:shd w:val="clear" w:color="auto" w:fill="auto"/>
            <w:noWrap/>
            <w:vAlign w:val="bottom"/>
            <w:hideMark/>
          </w:tcPr>
          <w:p w14:paraId="0D61801E" w14:textId="77777777" w:rsidR="00E81988" w:rsidRPr="00050B5C" w:rsidRDefault="00E81988" w:rsidP="007127C1">
            <w:pPr>
              <w:spacing w:after="0" w:line="240" w:lineRule="auto"/>
              <w:jc w:val="right"/>
              <w:rPr>
                <w:rFonts w:ascii="Calibri" w:eastAsia="Times New Roman" w:hAnsi="Calibri" w:cs="Times New Roman"/>
                <w:color w:val="000000"/>
                <w:sz w:val="20"/>
                <w:szCs w:val="20"/>
                <w:lang w:val="en-GB" w:eastAsia="en-GB"/>
              </w:rPr>
            </w:pPr>
            <w:r w:rsidRPr="00050B5C">
              <w:rPr>
                <w:rFonts w:ascii="Calibri" w:eastAsia="Times New Roman" w:hAnsi="Calibri" w:cs="Times New Roman"/>
                <w:color w:val="000000"/>
                <w:sz w:val="20"/>
                <w:szCs w:val="20"/>
                <w:lang w:val="en-GB" w:eastAsia="en-GB"/>
              </w:rPr>
              <w:t>20</w:t>
            </w:r>
          </w:p>
        </w:tc>
      </w:tr>
      <w:tr w:rsidR="00E81988" w:rsidRPr="00050B5C" w14:paraId="0508888D" w14:textId="77777777" w:rsidTr="007127C1">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14:paraId="79FF281D" w14:textId="77777777" w:rsidR="00E81988" w:rsidRPr="00050B5C" w:rsidRDefault="00E81988" w:rsidP="007127C1">
            <w:pPr>
              <w:spacing w:after="0" w:line="240" w:lineRule="auto"/>
              <w:rPr>
                <w:rFonts w:ascii="Calibri" w:eastAsia="Times New Roman" w:hAnsi="Calibri" w:cs="Times New Roman"/>
                <w:i/>
                <w:color w:val="000000"/>
                <w:sz w:val="20"/>
                <w:szCs w:val="20"/>
                <w:lang w:val="en-GB" w:eastAsia="en-GB"/>
              </w:rPr>
            </w:pPr>
            <w:r w:rsidRPr="00050B5C">
              <w:rPr>
                <w:rFonts w:ascii="Calibri" w:eastAsia="Times New Roman" w:hAnsi="Calibri" w:cs="Times New Roman"/>
                <w:i/>
                <w:color w:val="000000"/>
                <w:sz w:val="20"/>
                <w:szCs w:val="20"/>
                <w:lang w:val="en-GB" w:eastAsia="en-GB"/>
              </w:rPr>
              <w:t>Cigarette</w:t>
            </w:r>
          </w:p>
        </w:tc>
        <w:tc>
          <w:tcPr>
            <w:tcW w:w="630" w:type="dxa"/>
            <w:tcBorders>
              <w:top w:val="nil"/>
              <w:left w:val="nil"/>
              <w:bottom w:val="single" w:sz="4" w:space="0" w:color="auto"/>
              <w:right w:val="single" w:sz="8" w:space="0" w:color="auto"/>
            </w:tcBorders>
            <w:shd w:val="clear" w:color="auto" w:fill="auto"/>
            <w:noWrap/>
            <w:vAlign w:val="bottom"/>
            <w:hideMark/>
          </w:tcPr>
          <w:p w14:paraId="4CB2DE57" w14:textId="77777777" w:rsidR="00E81988" w:rsidRPr="00050B5C" w:rsidRDefault="00E81988" w:rsidP="007127C1">
            <w:pPr>
              <w:spacing w:after="0" w:line="240" w:lineRule="auto"/>
              <w:jc w:val="right"/>
              <w:rPr>
                <w:rFonts w:ascii="Calibri" w:eastAsia="Times New Roman" w:hAnsi="Calibri" w:cs="Times New Roman"/>
                <w:color w:val="000000"/>
                <w:sz w:val="20"/>
                <w:szCs w:val="20"/>
                <w:lang w:val="en-GB" w:eastAsia="en-GB"/>
              </w:rPr>
            </w:pPr>
            <w:r w:rsidRPr="00050B5C">
              <w:rPr>
                <w:rFonts w:ascii="Calibri" w:eastAsia="Times New Roman" w:hAnsi="Calibri" w:cs="Times New Roman"/>
                <w:color w:val="000000"/>
                <w:sz w:val="20"/>
                <w:szCs w:val="20"/>
                <w:lang w:val="en-GB" w:eastAsia="en-GB"/>
              </w:rPr>
              <w:t>20</w:t>
            </w:r>
          </w:p>
        </w:tc>
      </w:tr>
      <w:tr w:rsidR="00E81988" w:rsidRPr="00050B5C" w14:paraId="141B3866" w14:textId="77777777" w:rsidTr="007127C1">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14:paraId="336B2DA4" w14:textId="77777777" w:rsidR="00E81988" w:rsidRPr="00050B5C" w:rsidRDefault="00E81988" w:rsidP="007127C1">
            <w:pPr>
              <w:spacing w:after="0" w:line="240" w:lineRule="auto"/>
              <w:rPr>
                <w:rFonts w:ascii="Calibri" w:eastAsia="Times New Roman" w:hAnsi="Calibri" w:cs="Times New Roman"/>
                <w:i/>
                <w:color w:val="000000"/>
                <w:sz w:val="20"/>
                <w:szCs w:val="20"/>
                <w:lang w:val="en-GB" w:eastAsia="en-GB"/>
              </w:rPr>
            </w:pPr>
            <w:r w:rsidRPr="00050B5C">
              <w:rPr>
                <w:rFonts w:ascii="Calibri" w:eastAsia="Times New Roman" w:hAnsi="Calibri" w:cs="Times New Roman"/>
                <w:i/>
                <w:color w:val="000000"/>
                <w:sz w:val="20"/>
                <w:szCs w:val="20"/>
                <w:lang w:val="en-GB" w:eastAsia="en-GB"/>
              </w:rPr>
              <w:t xml:space="preserve">Essence </w:t>
            </w:r>
            <w:proofErr w:type="spellStart"/>
            <w:r w:rsidRPr="00050B5C">
              <w:rPr>
                <w:rFonts w:ascii="Calibri" w:eastAsia="Times New Roman" w:hAnsi="Calibri" w:cs="Times New Roman"/>
                <w:i/>
                <w:color w:val="000000"/>
                <w:sz w:val="20"/>
                <w:szCs w:val="20"/>
                <w:lang w:val="en-GB" w:eastAsia="en-GB"/>
              </w:rPr>
              <w:t>d'Auto</w:t>
            </w:r>
            <w:proofErr w:type="spellEnd"/>
            <w:r w:rsidRPr="00050B5C">
              <w:rPr>
                <w:rFonts w:ascii="Calibri" w:eastAsia="Times New Roman" w:hAnsi="Calibri" w:cs="Times New Roman"/>
                <w:i/>
                <w:color w:val="000000"/>
                <w:sz w:val="20"/>
                <w:szCs w:val="20"/>
                <w:lang w:val="en-GB" w:eastAsia="en-GB"/>
              </w:rPr>
              <w:t xml:space="preserve"> </w:t>
            </w:r>
            <w:proofErr w:type="spellStart"/>
            <w:r w:rsidRPr="00050B5C">
              <w:rPr>
                <w:rFonts w:ascii="Calibri" w:eastAsia="Times New Roman" w:hAnsi="Calibri" w:cs="Times New Roman"/>
                <w:i/>
                <w:color w:val="000000"/>
                <w:sz w:val="20"/>
                <w:szCs w:val="20"/>
                <w:lang w:val="en-GB" w:eastAsia="en-GB"/>
              </w:rPr>
              <w:t>ordinaire</w:t>
            </w:r>
            <w:proofErr w:type="spellEnd"/>
          </w:p>
        </w:tc>
        <w:tc>
          <w:tcPr>
            <w:tcW w:w="630" w:type="dxa"/>
            <w:tcBorders>
              <w:top w:val="nil"/>
              <w:left w:val="nil"/>
              <w:bottom w:val="single" w:sz="4" w:space="0" w:color="auto"/>
              <w:right w:val="single" w:sz="8" w:space="0" w:color="auto"/>
            </w:tcBorders>
            <w:shd w:val="clear" w:color="auto" w:fill="auto"/>
            <w:noWrap/>
            <w:vAlign w:val="bottom"/>
            <w:hideMark/>
          </w:tcPr>
          <w:p w14:paraId="31C2AAB2" w14:textId="77777777" w:rsidR="00E81988" w:rsidRPr="00050B5C" w:rsidRDefault="00E81988" w:rsidP="007127C1">
            <w:pPr>
              <w:spacing w:after="0" w:line="240" w:lineRule="auto"/>
              <w:jc w:val="right"/>
              <w:rPr>
                <w:rFonts w:ascii="Calibri" w:eastAsia="Times New Roman" w:hAnsi="Calibri" w:cs="Times New Roman"/>
                <w:color w:val="000000"/>
                <w:sz w:val="20"/>
                <w:szCs w:val="20"/>
                <w:lang w:val="en-GB" w:eastAsia="en-GB"/>
              </w:rPr>
            </w:pPr>
            <w:r w:rsidRPr="00050B5C">
              <w:rPr>
                <w:rFonts w:ascii="Calibri" w:eastAsia="Times New Roman" w:hAnsi="Calibri" w:cs="Times New Roman"/>
                <w:color w:val="000000"/>
                <w:sz w:val="20"/>
                <w:szCs w:val="20"/>
                <w:lang w:val="en-GB" w:eastAsia="en-GB"/>
              </w:rPr>
              <w:t>10</w:t>
            </w:r>
          </w:p>
        </w:tc>
      </w:tr>
      <w:tr w:rsidR="00E81988" w:rsidRPr="00050B5C" w14:paraId="14961287" w14:textId="77777777" w:rsidTr="007127C1">
        <w:trPr>
          <w:trHeight w:val="315"/>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14:paraId="734F4A56" w14:textId="77777777" w:rsidR="00E81988" w:rsidRPr="00050B5C" w:rsidRDefault="00E81988" w:rsidP="007127C1">
            <w:pPr>
              <w:spacing w:after="0" w:line="240" w:lineRule="auto"/>
              <w:rPr>
                <w:rFonts w:ascii="Calibri" w:eastAsia="Times New Roman" w:hAnsi="Calibri" w:cs="Times New Roman"/>
                <w:i/>
                <w:color w:val="000000"/>
                <w:sz w:val="20"/>
                <w:szCs w:val="20"/>
                <w:lang w:val="en-GB" w:eastAsia="en-GB"/>
              </w:rPr>
            </w:pPr>
            <w:proofErr w:type="spellStart"/>
            <w:r w:rsidRPr="00050B5C">
              <w:rPr>
                <w:rFonts w:ascii="Calibri" w:eastAsia="Times New Roman" w:hAnsi="Calibri" w:cs="Times New Roman"/>
                <w:i/>
                <w:color w:val="000000"/>
                <w:sz w:val="20"/>
                <w:szCs w:val="20"/>
                <w:lang w:val="en-GB" w:eastAsia="en-GB"/>
              </w:rPr>
              <w:t>Pneu</w:t>
            </w:r>
            <w:proofErr w:type="spellEnd"/>
            <w:r w:rsidRPr="00050B5C">
              <w:rPr>
                <w:rFonts w:ascii="Calibri" w:eastAsia="Times New Roman" w:hAnsi="Calibri" w:cs="Times New Roman"/>
                <w:i/>
                <w:color w:val="000000"/>
                <w:sz w:val="20"/>
                <w:szCs w:val="20"/>
                <w:lang w:val="en-GB" w:eastAsia="en-GB"/>
              </w:rPr>
              <w:t xml:space="preserve"> </w:t>
            </w:r>
            <w:proofErr w:type="spellStart"/>
            <w:r w:rsidRPr="00050B5C">
              <w:rPr>
                <w:rFonts w:ascii="Calibri" w:eastAsia="Times New Roman" w:hAnsi="Calibri" w:cs="Times New Roman"/>
                <w:i/>
                <w:color w:val="000000"/>
                <w:sz w:val="20"/>
                <w:szCs w:val="20"/>
                <w:lang w:val="en-GB" w:eastAsia="en-GB"/>
              </w:rPr>
              <w:t>Voiture</w:t>
            </w:r>
            <w:proofErr w:type="spellEnd"/>
          </w:p>
        </w:tc>
        <w:tc>
          <w:tcPr>
            <w:tcW w:w="630" w:type="dxa"/>
            <w:tcBorders>
              <w:top w:val="nil"/>
              <w:left w:val="nil"/>
              <w:bottom w:val="single" w:sz="8" w:space="0" w:color="auto"/>
              <w:right w:val="single" w:sz="8" w:space="0" w:color="auto"/>
            </w:tcBorders>
            <w:shd w:val="clear" w:color="auto" w:fill="auto"/>
            <w:noWrap/>
            <w:vAlign w:val="bottom"/>
            <w:hideMark/>
          </w:tcPr>
          <w:p w14:paraId="43E3C8AB" w14:textId="77777777" w:rsidR="00E81988" w:rsidRPr="00050B5C" w:rsidRDefault="00E81988" w:rsidP="007127C1">
            <w:pPr>
              <w:spacing w:after="0" w:line="240" w:lineRule="auto"/>
              <w:jc w:val="right"/>
              <w:rPr>
                <w:rFonts w:ascii="Calibri" w:eastAsia="Times New Roman" w:hAnsi="Calibri" w:cs="Times New Roman"/>
                <w:color w:val="000000"/>
                <w:sz w:val="20"/>
                <w:szCs w:val="20"/>
                <w:lang w:val="en-GB" w:eastAsia="en-GB"/>
              </w:rPr>
            </w:pPr>
            <w:r w:rsidRPr="00050B5C">
              <w:rPr>
                <w:rFonts w:ascii="Calibri" w:eastAsia="Times New Roman" w:hAnsi="Calibri" w:cs="Times New Roman"/>
                <w:color w:val="000000"/>
                <w:sz w:val="20"/>
                <w:szCs w:val="20"/>
                <w:lang w:val="en-GB" w:eastAsia="en-GB"/>
              </w:rPr>
              <w:t>10</w:t>
            </w:r>
          </w:p>
        </w:tc>
      </w:tr>
    </w:tbl>
    <w:p w14:paraId="0384FDFB" w14:textId="591EBA80" w:rsidR="00E81988" w:rsidRDefault="00E81988" w:rsidP="00C91E19">
      <w:pPr>
        <w:spacing w:after="0"/>
        <w:jc w:val="both"/>
      </w:pPr>
      <w:r w:rsidRPr="00050B5C">
        <w:rPr>
          <w:sz w:val="20"/>
          <w:szCs w:val="20"/>
        </w:rPr>
        <w:t>Source : UEMOA (</w:t>
      </w:r>
      <w:hyperlink r:id="rId1" w:history="1">
        <w:r w:rsidRPr="00050B5C">
          <w:rPr>
            <w:rStyle w:val="Hyperlink"/>
            <w:sz w:val="20"/>
            <w:szCs w:val="20"/>
          </w:rPr>
          <w:t>www.izf.net</w:t>
        </w:r>
      </w:hyperlink>
      <w:r w:rsidRPr="00050B5C">
        <w:rPr>
          <w:sz w:val="20"/>
          <w:szCs w:val="20"/>
        </w:rPr>
        <w:t>)</w:t>
      </w:r>
      <w:r>
        <w:rPr>
          <w:sz w:val="20"/>
          <w:szCs w:val="20"/>
        </w:rPr>
        <w:t>.</w:t>
      </w:r>
    </w:p>
  </w:footnote>
  <w:footnote w:id="34">
    <w:p w14:paraId="685D6C21" w14:textId="58BA50ED" w:rsidR="00E81988" w:rsidRDefault="00E81988" w:rsidP="00C91E19">
      <w:pPr>
        <w:autoSpaceDE w:val="0"/>
        <w:autoSpaceDN w:val="0"/>
        <w:adjustRightInd w:val="0"/>
        <w:spacing w:after="0" w:line="240" w:lineRule="auto"/>
        <w:jc w:val="both"/>
      </w:pPr>
      <w:r w:rsidRPr="00CA1BAA">
        <w:rPr>
          <w:rStyle w:val="FootnoteReference"/>
          <w:sz w:val="20"/>
          <w:szCs w:val="20"/>
        </w:rPr>
        <w:footnoteRef/>
      </w:r>
      <w:r w:rsidRPr="00CA1BAA">
        <w:rPr>
          <w:sz w:val="20"/>
          <w:szCs w:val="20"/>
        </w:rPr>
        <w:t xml:space="preserve"> Dans le cadre du Niger, Walther (2009) avait montré que </w:t>
      </w:r>
      <w:r w:rsidRPr="00CA1BAA">
        <w:rPr>
          <w:rStyle w:val="hps"/>
          <w:rFonts w:cs="Arial"/>
          <w:color w:val="222222"/>
          <w:sz w:val="20"/>
          <w:szCs w:val="20"/>
        </w:rPr>
        <w:t>les commerçants</w:t>
      </w:r>
      <w:r w:rsidRPr="007013FB">
        <w:rPr>
          <w:rStyle w:val="hps"/>
          <w:color w:val="222222"/>
          <w:sz w:val="20"/>
        </w:rPr>
        <w:t xml:space="preserve"> </w:t>
      </w:r>
      <w:r w:rsidRPr="00CA1BAA">
        <w:rPr>
          <w:rStyle w:val="hps"/>
          <w:rFonts w:cs="Arial"/>
          <w:color w:val="222222"/>
          <w:sz w:val="20"/>
          <w:szCs w:val="20"/>
        </w:rPr>
        <w:t>étaient fortement</w:t>
      </w:r>
      <w:r w:rsidRPr="007013FB">
        <w:rPr>
          <w:rStyle w:val="hps"/>
          <w:color w:val="222222"/>
          <w:sz w:val="20"/>
        </w:rPr>
        <w:t xml:space="preserve"> </w:t>
      </w:r>
      <w:r w:rsidRPr="00CA1BAA">
        <w:rPr>
          <w:rStyle w:val="hps"/>
          <w:rFonts w:cs="Arial"/>
          <w:color w:val="222222"/>
          <w:sz w:val="20"/>
          <w:szCs w:val="20"/>
        </w:rPr>
        <w:t>représentés à l'Assemblée</w:t>
      </w:r>
      <w:r w:rsidRPr="00CA1BAA">
        <w:rPr>
          <w:rFonts w:cs="Arial"/>
          <w:color w:val="222222"/>
          <w:sz w:val="20"/>
          <w:szCs w:val="20"/>
        </w:rPr>
        <w:t xml:space="preserve"> </w:t>
      </w:r>
      <w:r w:rsidRPr="00CA1BAA">
        <w:rPr>
          <w:rStyle w:val="hps"/>
          <w:rFonts w:cs="Arial"/>
          <w:color w:val="222222"/>
          <w:sz w:val="20"/>
          <w:szCs w:val="20"/>
        </w:rPr>
        <w:t>nationale du Niger</w:t>
      </w:r>
      <w:r w:rsidRPr="00CA1BAA">
        <w:rPr>
          <w:rFonts w:cs="Arial"/>
          <w:color w:val="222222"/>
          <w:sz w:val="20"/>
          <w:szCs w:val="20"/>
        </w:rPr>
        <w:t>.</w:t>
      </w:r>
    </w:p>
  </w:footnote>
  <w:footnote w:id="35">
    <w:p w14:paraId="422223E1" w14:textId="77777777" w:rsidR="00E81988" w:rsidRDefault="00E81988" w:rsidP="0059720A">
      <w:pPr>
        <w:pStyle w:val="FootnoteText"/>
        <w:jc w:val="both"/>
      </w:pPr>
      <w:r>
        <w:rPr>
          <w:rStyle w:val="FootnoteReference"/>
        </w:rPr>
        <w:footnoteRef/>
      </w:r>
      <w:r>
        <w:t xml:space="preserve"> La majeure partie de ce coût provient de la subvention de la farine, estimée à 2 milliards de dinars (1000 tonnes avec une subvention de 2000 DA par kg)  et de l’essence avec 42 millions de litres subventionnés à environ 1 USD du litre alors que les sommes très faibles pour la semoule et le lait.</w:t>
      </w:r>
    </w:p>
  </w:footnote>
  <w:footnote w:id="36">
    <w:p w14:paraId="32C74116" w14:textId="77777777" w:rsidR="00E81988" w:rsidRPr="004E46FA" w:rsidRDefault="00E81988" w:rsidP="00C73102">
      <w:pPr>
        <w:pStyle w:val="FootnoteText"/>
      </w:pPr>
      <w:r w:rsidRPr="004E46FA">
        <w:rPr>
          <w:rStyle w:val="FootnoteReference"/>
        </w:rPr>
        <w:footnoteRef/>
      </w:r>
      <w:r w:rsidRPr="004E46FA">
        <w:t xml:space="preserve"> Cette approche est ancienne et date de la fin des années 1960 avec </w:t>
      </w:r>
      <w:proofErr w:type="spellStart"/>
      <w:r w:rsidRPr="004E46FA">
        <w:t>Bhagwati</w:t>
      </w:r>
      <w:proofErr w:type="spellEnd"/>
      <w:r w:rsidRPr="004E46FA">
        <w:t xml:space="preserve"> (1967) mais connaît aujourd’hui un renouveau en cette période de recherche de fraude douanière.</w:t>
      </w:r>
    </w:p>
  </w:footnote>
  <w:footnote w:id="37">
    <w:p w14:paraId="2118B45F" w14:textId="77777777" w:rsidR="00E81988" w:rsidRPr="004E46FA" w:rsidRDefault="00E81988" w:rsidP="00C73102">
      <w:pPr>
        <w:pStyle w:val="FootnoteText"/>
      </w:pPr>
      <w:r w:rsidRPr="004E46FA">
        <w:rPr>
          <w:rStyle w:val="FootnoteReference"/>
        </w:rPr>
        <w:footnoteRef/>
      </w:r>
      <w:r w:rsidRPr="004E46FA">
        <w:t xml:space="preserve"> Pour une discussion des explications possibles, voir </w:t>
      </w:r>
      <w:proofErr w:type="spellStart"/>
      <w:r w:rsidRPr="004E46FA">
        <w:t>Raballand</w:t>
      </w:r>
      <w:proofErr w:type="spellEnd"/>
      <w:r w:rsidRPr="004E46FA">
        <w:t xml:space="preserve"> et al.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A2F"/>
    <w:multiLevelType w:val="hybridMultilevel"/>
    <w:tmpl w:val="755004A2"/>
    <w:lvl w:ilvl="0" w:tplc="B6DA70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06FF"/>
    <w:multiLevelType w:val="hybridMultilevel"/>
    <w:tmpl w:val="62526B1E"/>
    <w:lvl w:ilvl="0" w:tplc="3EE8BFE6">
      <w:start w:val="12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A5DD1"/>
    <w:multiLevelType w:val="hybridMultilevel"/>
    <w:tmpl w:val="C73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4C35"/>
    <w:multiLevelType w:val="multilevel"/>
    <w:tmpl w:val="9A2C1186"/>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1C02D14"/>
    <w:multiLevelType w:val="hybridMultilevel"/>
    <w:tmpl w:val="140EBA1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57B79"/>
    <w:multiLevelType w:val="multilevel"/>
    <w:tmpl w:val="9A2C1186"/>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3608C5"/>
    <w:multiLevelType w:val="multilevel"/>
    <w:tmpl w:val="9A2C1186"/>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6459AA"/>
    <w:multiLevelType w:val="hybridMultilevel"/>
    <w:tmpl w:val="AF58497A"/>
    <w:lvl w:ilvl="0" w:tplc="43DCC40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527B"/>
    <w:multiLevelType w:val="hybridMultilevel"/>
    <w:tmpl w:val="137A7D3A"/>
    <w:lvl w:ilvl="0" w:tplc="6130CF8E">
      <w:numFmt w:val="bullet"/>
      <w:lvlText w:val="-"/>
      <w:lvlJc w:val="left"/>
      <w:pPr>
        <w:ind w:left="1080" w:hanging="360"/>
      </w:pPr>
      <w:rPr>
        <w:rFonts w:ascii="Calibri" w:eastAsiaTheme="minorHAnsi"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4F333A"/>
    <w:multiLevelType w:val="hybridMultilevel"/>
    <w:tmpl w:val="A156FD1E"/>
    <w:lvl w:ilvl="0" w:tplc="D8E0C212">
      <w:start w:val="6"/>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461AE"/>
    <w:multiLevelType w:val="hybridMultilevel"/>
    <w:tmpl w:val="7F4C0D8A"/>
    <w:lvl w:ilvl="0" w:tplc="B09A9264">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36B219C4"/>
    <w:multiLevelType w:val="multilevel"/>
    <w:tmpl w:val="9A2C1186"/>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8EA3ABA"/>
    <w:multiLevelType w:val="multilevel"/>
    <w:tmpl w:val="9A2C1186"/>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0E1335"/>
    <w:multiLevelType w:val="hybridMultilevel"/>
    <w:tmpl w:val="F8F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C2E70"/>
    <w:multiLevelType w:val="hybridMultilevel"/>
    <w:tmpl w:val="B2E0B802"/>
    <w:lvl w:ilvl="0" w:tplc="ED4E64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5A55"/>
    <w:multiLevelType w:val="hybridMultilevel"/>
    <w:tmpl w:val="32F2B972"/>
    <w:lvl w:ilvl="0" w:tplc="37C61A8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00FD4"/>
    <w:multiLevelType w:val="hybridMultilevel"/>
    <w:tmpl w:val="10DE9A40"/>
    <w:lvl w:ilvl="0" w:tplc="47AAA19A">
      <w:start w:val="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D74C3"/>
    <w:multiLevelType w:val="hybridMultilevel"/>
    <w:tmpl w:val="51663004"/>
    <w:lvl w:ilvl="0" w:tplc="18EA15B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354A0"/>
    <w:multiLevelType w:val="hybridMultilevel"/>
    <w:tmpl w:val="9B92B71A"/>
    <w:lvl w:ilvl="0" w:tplc="1A3023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7071F"/>
    <w:multiLevelType w:val="hybridMultilevel"/>
    <w:tmpl w:val="A76A2B94"/>
    <w:lvl w:ilvl="0" w:tplc="691E20C6">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323DC4"/>
    <w:multiLevelType w:val="hybridMultilevel"/>
    <w:tmpl w:val="B4E095EC"/>
    <w:lvl w:ilvl="0" w:tplc="FC0E4BA6">
      <w:start w:val="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0"/>
  </w:num>
  <w:num w:numId="5">
    <w:abstractNumId w:val="7"/>
  </w:num>
  <w:num w:numId="6">
    <w:abstractNumId w:val="17"/>
  </w:num>
  <w:num w:numId="7">
    <w:abstractNumId w:val="20"/>
  </w:num>
  <w:num w:numId="8">
    <w:abstractNumId w:val="13"/>
  </w:num>
  <w:num w:numId="9">
    <w:abstractNumId w:val="19"/>
  </w:num>
  <w:num w:numId="10">
    <w:abstractNumId w:val="9"/>
  </w:num>
  <w:num w:numId="11">
    <w:abstractNumId w:val="4"/>
  </w:num>
  <w:num w:numId="12">
    <w:abstractNumId w:val="2"/>
  </w:num>
  <w:num w:numId="13">
    <w:abstractNumId w:val="3"/>
  </w:num>
  <w:num w:numId="14">
    <w:abstractNumId w:val="1"/>
  </w:num>
  <w:num w:numId="15">
    <w:abstractNumId w:val="12"/>
  </w:num>
  <w:num w:numId="16">
    <w:abstractNumId w:val="11"/>
  </w:num>
  <w:num w:numId="17">
    <w:abstractNumId w:val="18"/>
  </w:num>
  <w:num w:numId="18">
    <w:abstractNumId w:val="6"/>
  </w:num>
  <w:num w:numId="19">
    <w:abstractNumId w:val="1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45"/>
    <w:rsid w:val="00000F24"/>
    <w:rsid w:val="00003088"/>
    <w:rsid w:val="00004B93"/>
    <w:rsid w:val="00007C65"/>
    <w:rsid w:val="00010482"/>
    <w:rsid w:val="00013E6F"/>
    <w:rsid w:val="0001531A"/>
    <w:rsid w:val="00015909"/>
    <w:rsid w:val="00016FB3"/>
    <w:rsid w:val="000170BF"/>
    <w:rsid w:val="000178C3"/>
    <w:rsid w:val="000179FA"/>
    <w:rsid w:val="00025180"/>
    <w:rsid w:val="00031390"/>
    <w:rsid w:val="00035A87"/>
    <w:rsid w:val="0004055E"/>
    <w:rsid w:val="00040674"/>
    <w:rsid w:val="00040936"/>
    <w:rsid w:val="000448B9"/>
    <w:rsid w:val="00045080"/>
    <w:rsid w:val="00050B5C"/>
    <w:rsid w:val="00052FED"/>
    <w:rsid w:val="0005603B"/>
    <w:rsid w:val="0006123C"/>
    <w:rsid w:val="00063646"/>
    <w:rsid w:val="0007022B"/>
    <w:rsid w:val="00076245"/>
    <w:rsid w:val="000765A2"/>
    <w:rsid w:val="00077EFF"/>
    <w:rsid w:val="00081070"/>
    <w:rsid w:val="00083525"/>
    <w:rsid w:val="000954E5"/>
    <w:rsid w:val="00095B80"/>
    <w:rsid w:val="00097BE6"/>
    <w:rsid w:val="000A3351"/>
    <w:rsid w:val="000A7220"/>
    <w:rsid w:val="000B5A53"/>
    <w:rsid w:val="000C274C"/>
    <w:rsid w:val="000C3C98"/>
    <w:rsid w:val="000C3E76"/>
    <w:rsid w:val="000C4674"/>
    <w:rsid w:val="000C653C"/>
    <w:rsid w:val="000C6A32"/>
    <w:rsid w:val="000C6DA6"/>
    <w:rsid w:val="000D04B8"/>
    <w:rsid w:val="000D4013"/>
    <w:rsid w:val="000D6F9A"/>
    <w:rsid w:val="000D735B"/>
    <w:rsid w:val="000E254A"/>
    <w:rsid w:val="000E3B62"/>
    <w:rsid w:val="000E794A"/>
    <w:rsid w:val="000F5D70"/>
    <w:rsid w:val="000F7BA8"/>
    <w:rsid w:val="00100E31"/>
    <w:rsid w:val="00102CB2"/>
    <w:rsid w:val="001039C6"/>
    <w:rsid w:val="00104617"/>
    <w:rsid w:val="00104EA4"/>
    <w:rsid w:val="00105D91"/>
    <w:rsid w:val="001062B7"/>
    <w:rsid w:val="0011096D"/>
    <w:rsid w:val="00111FB7"/>
    <w:rsid w:val="00112BCB"/>
    <w:rsid w:val="00113BC2"/>
    <w:rsid w:val="00114992"/>
    <w:rsid w:val="0012221A"/>
    <w:rsid w:val="00122606"/>
    <w:rsid w:val="0012290B"/>
    <w:rsid w:val="00122AB2"/>
    <w:rsid w:val="00125B05"/>
    <w:rsid w:val="00127829"/>
    <w:rsid w:val="0013180D"/>
    <w:rsid w:val="00132272"/>
    <w:rsid w:val="00134A2B"/>
    <w:rsid w:val="00137CEB"/>
    <w:rsid w:val="00140831"/>
    <w:rsid w:val="00143A6F"/>
    <w:rsid w:val="00147A56"/>
    <w:rsid w:val="00152910"/>
    <w:rsid w:val="00152AAC"/>
    <w:rsid w:val="00160503"/>
    <w:rsid w:val="00160AEA"/>
    <w:rsid w:val="00170288"/>
    <w:rsid w:val="00170467"/>
    <w:rsid w:val="00182656"/>
    <w:rsid w:val="0018735C"/>
    <w:rsid w:val="00191671"/>
    <w:rsid w:val="00191DD2"/>
    <w:rsid w:val="0019775A"/>
    <w:rsid w:val="001A327B"/>
    <w:rsid w:val="001A64ED"/>
    <w:rsid w:val="001B6F91"/>
    <w:rsid w:val="001C0118"/>
    <w:rsid w:val="001C0C72"/>
    <w:rsid w:val="001C2732"/>
    <w:rsid w:val="001C3833"/>
    <w:rsid w:val="001C56C4"/>
    <w:rsid w:val="001C6A6F"/>
    <w:rsid w:val="001D43BF"/>
    <w:rsid w:val="001E1828"/>
    <w:rsid w:val="001E3D2A"/>
    <w:rsid w:val="001E5C12"/>
    <w:rsid w:val="001E6236"/>
    <w:rsid w:val="001E687A"/>
    <w:rsid w:val="001E6DDF"/>
    <w:rsid w:val="001F2E47"/>
    <w:rsid w:val="001F50DA"/>
    <w:rsid w:val="001F6CFD"/>
    <w:rsid w:val="002048D0"/>
    <w:rsid w:val="002264EF"/>
    <w:rsid w:val="00231D0B"/>
    <w:rsid w:val="00241AAE"/>
    <w:rsid w:val="00251605"/>
    <w:rsid w:val="002529B8"/>
    <w:rsid w:val="00253FD5"/>
    <w:rsid w:val="002638E1"/>
    <w:rsid w:val="00273AA2"/>
    <w:rsid w:val="00276862"/>
    <w:rsid w:val="0028004F"/>
    <w:rsid w:val="00291468"/>
    <w:rsid w:val="00292229"/>
    <w:rsid w:val="002974E9"/>
    <w:rsid w:val="002A30B6"/>
    <w:rsid w:val="002A323A"/>
    <w:rsid w:val="002A52A8"/>
    <w:rsid w:val="002B2D74"/>
    <w:rsid w:val="002C0750"/>
    <w:rsid w:val="002C107B"/>
    <w:rsid w:val="002C78DA"/>
    <w:rsid w:val="002D056F"/>
    <w:rsid w:val="002D234B"/>
    <w:rsid w:val="002D51BD"/>
    <w:rsid w:val="002E4471"/>
    <w:rsid w:val="002E55C3"/>
    <w:rsid w:val="002F15EE"/>
    <w:rsid w:val="00303E4B"/>
    <w:rsid w:val="0030510B"/>
    <w:rsid w:val="0030559D"/>
    <w:rsid w:val="00310042"/>
    <w:rsid w:val="00312537"/>
    <w:rsid w:val="00321037"/>
    <w:rsid w:val="00324A4B"/>
    <w:rsid w:val="00324BF4"/>
    <w:rsid w:val="0032506A"/>
    <w:rsid w:val="00326379"/>
    <w:rsid w:val="00331476"/>
    <w:rsid w:val="003329F5"/>
    <w:rsid w:val="003353D1"/>
    <w:rsid w:val="00335508"/>
    <w:rsid w:val="00335FA0"/>
    <w:rsid w:val="0034026C"/>
    <w:rsid w:val="00342B75"/>
    <w:rsid w:val="00357005"/>
    <w:rsid w:val="00357BD9"/>
    <w:rsid w:val="00361B65"/>
    <w:rsid w:val="00361E5D"/>
    <w:rsid w:val="00363E9B"/>
    <w:rsid w:val="00365B8E"/>
    <w:rsid w:val="003669D6"/>
    <w:rsid w:val="0037196C"/>
    <w:rsid w:val="00371F27"/>
    <w:rsid w:val="00372AA4"/>
    <w:rsid w:val="003A146E"/>
    <w:rsid w:val="003A18B8"/>
    <w:rsid w:val="003A198A"/>
    <w:rsid w:val="003A66CB"/>
    <w:rsid w:val="003A7633"/>
    <w:rsid w:val="003A779A"/>
    <w:rsid w:val="003B40A3"/>
    <w:rsid w:val="003B4619"/>
    <w:rsid w:val="003B57E7"/>
    <w:rsid w:val="003B6DFA"/>
    <w:rsid w:val="003C107C"/>
    <w:rsid w:val="003C6CD4"/>
    <w:rsid w:val="003D1099"/>
    <w:rsid w:val="003D2712"/>
    <w:rsid w:val="003E361A"/>
    <w:rsid w:val="003E5B51"/>
    <w:rsid w:val="003F2D5C"/>
    <w:rsid w:val="003F3E51"/>
    <w:rsid w:val="003F649F"/>
    <w:rsid w:val="003F79F8"/>
    <w:rsid w:val="0040146A"/>
    <w:rsid w:val="00402E82"/>
    <w:rsid w:val="00403859"/>
    <w:rsid w:val="0040632B"/>
    <w:rsid w:val="0040730B"/>
    <w:rsid w:val="00410899"/>
    <w:rsid w:val="0041090B"/>
    <w:rsid w:val="00412EEF"/>
    <w:rsid w:val="00414023"/>
    <w:rsid w:val="004145C6"/>
    <w:rsid w:val="00417335"/>
    <w:rsid w:val="00420DB3"/>
    <w:rsid w:val="00423BF2"/>
    <w:rsid w:val="00426FF9"/>
    <w:rsid w:val="004319DB"/>
    <w:rsid w:val="00431CC8"/>
    <w:rsid w:val="004329FD"/>
    <w:rsid w:val="004350E0"/>
    <w:rsid w:val="00435968"/>
    <w:rsid w:val="004418A1"/>
    <w:rsid w:val="00441F35"/>
    <w:rsid w:val="00445FB3"/>
    <w:rsid w:val="00453CAB"/>
    <w:rsid w:val="00466254"/>
    <w:rsid w:val="00466A0A"/>
    <w:rsid w:val="00466C04"/>
    <w:rsid w:val="00466FB7"/>
    <w:rsid w:val="0047033A"/>
    <w:rsid w:val="004725A1"/>
    <w:rsid w:val="0047387E"/>
    <w:rsid w:val="00474739"/>
    <w:rsid w:val="00480FCD"/>
    <w:rsid w:val="0048165D"/>
    <w:rsid w:val="00482982"/>
    <w:rsid w:val="004978C2"/>
    <w:rsid w:val="004A0FAF"/>
    <w:rsid w:val="004A53D4"/>
    <w:rsid w:val="004B291C"/>
    <w:rsid w:val="004B320D"/>
    <w:rsid w:val="004B4371"/>
    <w:rsid w:val="004B5DB9"/>
    <w:rsid w:val="004B69C8"/>
    <w:rsid w:val="004C306E"/>
    <w:rsid w:val="004C5D0F"/>
    <w:rsid w:val="004C6224"/>
    <w:rsid w:val="004D0483"/>
    <w:rsid w:val="004D3684"/>
    <w:rsid w:val="004D5394"/>
    <w:rsid w:val="004D6EE3"/>
    <w:rsid w:val="004F0E7F"/>
    <w:rsid w:val="004F19A9"/>
    <w:rsid w:val="004F2E97"/>
    <w:rsid w:val="00500B79"/>
    <w:rsid w:val="005020FD"/>
    <w:rsid w:val="0050211B"/>
    <w:rsid w:val="00503AFB"/>
    <w:rsid w:val="005061CE"/>
    <w:rsid w:val="00511AA3"/>
    <w:rsid w:val="005120DB"/>
    <w:rsid w:val="005133AD"/>
    <w:rsid w:val="00513954"/>
    <w:rsid w:val="00525F7D"/>
    <w:rsid w:val="00536A8C"/>
    <w:rsid w:val="00545C2C"/>
    <w:rsid w:val="005473AA"/>
    <w:rsid w:val="00550017"/>
    <w:rsid w:val="00551438"/>
    <w:rsid w:val="005531BE"/>
    <w:rsid w:val="00556A5F"/>
    <w:rsid w:val="0056771A"/>
    <w:rsid w:val="005726AF"/>
    <w:rsid w:val="00573801"/>
    <w:rsid w:val="00573CA3"/>
    <w:rsid w:val="00576669"/>
    <w:rsid w:val="005769C6"/>
    <w:rsid w:val="00581212"/>
    <w:rsid w:val="00586186"/>
    <w:rsid w:val="00596D0A"/>
    <w:rsid w:val="0059720A"/>
    <w:rsid w:val="005979EA"/>
    <w:rsid w:val="00597DC7"/>
    <w:rsid w:val="005A0DA5"/>
    <w:rsid w:val="005A1703"/>
    <w:rsid w:val="005A27FC"/>
    <w:rsid w:val="005A4396"/>
    <w:rsid w:val="005A4554"/>
    <w:rsid w:val="005B06F7"/>
    <w:rsid w:val="005B2103"/>
    <w:rsid w:val="005B3DBC"/>
    <w:rsid w:val="005B41B8"/>
    <w:rsid w:val="005C10C7"/>
    <w:rsid w:val="005C29C7"/>
    <w:rsid w:val="005C3686"/>
    <w:rsid w:val="005C477F"/>
    <w:rsid w:val="005C7652"/>
    <w:rsid w:val="005D2EA3"/>
    <w:rsid w:val="005D78FE"/>
    <w:rsid w:val="005E36EF"/>
    <w:rsid w:val="005E385A"/>
    <w:rsid w:val="005E4F8D"/>
    <w:rsid w:val="005E53B8"/>
    <w:rsid w:val="005F05DE"/>
    <w:rsid w:val="005F1B0E"/>
    <w:rsid w:val="005F3578"/>
    <w:rsid w:val="005F4F14"/>
    <w:rsid w:val="0060018F"/>
    <w:rsid w:val="00602DCA"/>
    <w:rsid w:val="006033C2"/>
    <w:rsid w:val="00605322"/>
    <w:rsid w:val="00606B1E"/>
    <w:rsid w:val="00607E4F"/>
    <w:rsid w:val="00610EF0"/>
    <w:rsid w:val="00612F6E"/>
    <w:rsid w:val="00613803"/>
    <w:rsid w:val="00613B11"/>
    <w:rsid w:val="00614B46"/>
    <w:rsid w:val="00616F68"/>
    <w:rsid w:val="006175E8"/>
    <w:rsid w:val="00620455"/>
    <w:rsid w:val="006207A0"/>
    <w:rsid w:val="006255A3"/>
    <w:rsid w:val="006305B7"/>
    <w:rsid w:val="006308C8"/>
    <w:rsid w:val="00633C81"/>
    <w:rsid w:val="0063500A"/>
    <w:rsid w:val="006361B0"/>
    <w:rsid w:val="0064209B"/>
    <w:rsid w:val="00646DDE"/>
    <w:rsid w:val="00650124"/>
    <w:rsid w:val="00650530"/>
    <w:rsid w:val="00663869"/>
    <w:rsid w:val="00665366"/>
    <w:rsid w:val="00665708"/>
    <w:rsid w:val="00671DEE"/>
    <w:rsid w:val="0067222B"/>
    <w:rsid w:val="00673748"/>
    <w:rsid w:val="00676117"/>
    <w:rsid w:val="006822AC"/>
    <w:rsid w:val="00687CBD"/>
    <w:rsid w:val="00691709"/>
    <w:rsid w:val="00693AC0"/>
    <w:rsid w:val="00697933"/>
    <w:rsid w:val="006A0185"/>
    <w:rsid w:val="006A1947"/>
    <w:rsid w:val="006A3CFE"/>
    <w:rsid w:val="006A72B0"/>
    <w:rsid w:val="006C2412"/>
    <w:rsid w:val="006C49CC"/>
    <w:rsid w:val="006C7382"/>
    <w:rsid w:val="006D0B72"/>
    <w:rsid w:val="006D1F35"/>
    <w:rsid w:val="006D516A"/>
    <w:rsid w:val="006E2DD2"/>
    <w:rsid w:val="006E7C02"/>
    <w:rsid w:val="006F01A5"/>
    <w:rsid w:val="006F182D"/>
    <w:rsid w:val="006F4374"/>
    <w:rsid w:val="006F4D3D"/>
    <w:rsid w:val="007013FB"/>
    <w:rsid w:val="00706BB1"/>
    <w:rsid w:val="007114DA"/>
    <w:rsid w:val="007127C1"/>
    <w:rsid w:val="00721491"/>
    <w:rsid w:val="00724D45"/>
    <w:rsid w:val="00727353"/>
    <w:rsid w:val="0073335F"/>
    <w:rsid w:val="007337D5"/>
    <w:rsid w:val="00734A88"/>
    <w:rsid w:val="00734C82"/>
    <w:rsid w:val="00736B62"/>
    <w:rsid w:val="00740933"/>
    <w:rsid w:val="007415AB"/>
    <w:rsid w:val="00745C84"/>
    <w:rsid w:val="00751192"/>
    <w:rsid w:val="0075291E"/>
    <w:rsid w:val="007643CA"/>
    <w:rsid w:val="007665EA"/>
    <w:rsid w:val="007708D1"/>
    <w:rsid w:val="00772F40"/>
    <w:rsid w:val="0078764C"/>
    <w:rsid w:val="007944E2"/>
    <w:rsid w:val="00796422"/>
    <w:rsid w:val="00797DC1"/>
    <w:rsid w:val="007A395B"/>
    <w:rsid w:val="007A5B86"/>
    <w:rsid w:val="007A5D1E"/>
    <w:rsid w:val="007B0AE7"/>
    <w:rsid w:val="007B0EB2"/>
    <w:rsid w:val="007B12ED"/>
    <w:rsid w:val="007B2BBD"/>
    <w:rsid w:val="007B5E6D"/>
    <w:rsid w:val="007B76A8"/>
    <w:rsid w:val="007B79B4"/>
    <w:rsid w:val="007C6BAC"/>
    <w:rsid w:val="007D1B01"/>
    <w:rsid w:val="007D28F5"/>
    <w:rsid w:val="007E78A8"/>
    <w:rsid w:val="007F2710"/>
    <w:rsid w:val="00800A4B"/>
    <w:rsid w:val="00803CF6"/>
    <w:rsid w:val="0081011F"/>
    <w:rsid w:val="00811783"/>
    <w:rsid w:val="008154F2"/>
    <w:rsid w:val="00815798"/>
    <w:rsid w:val="00816DF4"/>
    <w:rsid w:val="00820D37"/>
    <w:rsid w:val="008229BD"/>
    <w:rsid w:val="0083071A"/>
    <w:rsid w:val="00830A45"/>
    <w:rsid w:val="008340D8"/>
    <w:rsid w:val="00840991"/>
    <w:rsid w:val="00850BE1"/>
    <w:rsid w:val="00861534"/>
    <w:rsid w:val="00864772"/>
    <w:rsid w:val="008737F9"/>
    <w:rsid w:val="00882D8A"/>
    <w:rsid w:val="008839A0"/>
    <w:rsid w:val="00884943"/>
    <w:rsid w:val="008905E0"/>
    <w:rsid w:val="0089470F"/>
    <w:rsid w:val="008A2C14"/>
    <w:rsid w:val="008B270D"/>
    <w:rsid w:val="008B597A"/>
    <w:rsid w:val="008B75F8"/>
    <w:rsid w:val="008C17F6"/>
    <w:rsid w:val="008C45A7"/>
    <w:rsid w:val="008D3A6E"/>
    <w:rsid w:val="008D72DB"/>
    <w:rsid w:val="008E0B1E"/>
    <w:rsid w:val="008E2273"/>
    <w:rsid w:val="008E3185"/>
    <w:rsid w:val="008F6FCB"/>
    <w:rsid w:val="008F7B6F"/>
    <w:rsid w:val="0090200D"/>
    <w:rsid w:val="00905183"/>
    <w:rsid w:val="00912315"/>
    <w:rsid w:val="009127E3"/>
    <w:rsid w:val="009202AE"/>
    <w:rsid w:val="009247E4"/>
    <w:rsid w:val="009248A5"/>
    <w:rsid w:val="009273C0"/>
    <w:rsid w:val="009320C9"/>
    <w:rsid w:val="00933D1E"/>
    <w:rsid w:val="009400EE"/>
    <w:rsid w:val="00944675"/>
    <w:rsid w:val="00945FE1"/>
    <w:rsid w:val="009464B2"/>
    <w:rsid w:val="009477E1"/>
    <w:rsid w:val="009506AA"/>
    <w:rsid w:val="00951611"/>
    <w:rsid w:val="00951C09"/>
    <w:rsid w:val="009601E2"/>
    <w:rsid w:val="00960591"/>
    <w:rsid w:val="00963B60"/>
    <w:rsid w:val="0096723D"/>
    <w:rsid w:val="009677C1"/>
    <w:rsid w:val="00975A11"/>
    <w:rsid w:val="0097777F"/>
    <w:rsid w:val="00982389"/>
    <w:rsid w:val="00984AA9"/>
    <w:rsid w:val="00991972"/>
    <w:rsid w:val="00994BFE"/>
    <w:rsid w:val="009A22A9"/>
    <w:rsid w:val="009B0F10"/>
    <w:rsid w:val="009B205F"/>
    <w:rsid w:val="009C11B4"/>
    <w:rsid w:val="009D262D"/>
    <w:rsid w:val="009D3E5F"/>
    <w:rsid w:val="009D706D"/>
    <w:rsid w:val="009F0EAC"/>
    <w:rsid w:val="009F28D0"/>
    <w:rsid w:val="009F4368"/>
    <w:rsid w:val="009F454B"/>
    <w:rsid w:val="009F4D61"/>
    <w:rsid w:val="00A005EF"/>
    <w:rsid w:val="00A023F9"/>
    <w:rsid w:val="00A063CE"/>
    <w:rsid w:val="00A07C61"/>
    <w:rsid w:val="00A11E12"/>
    <w:rsid w:val="00A12894"/>
    <w:rsid w:val="00A14094"/>
    <w:rsid w:val="00A2308D"/>
    <w:rsid w:val="00A25FAD"/>
    <w:rsid w:val="00A30A1A"/>
    <w:rsid w:val="00A36EA4"/>
    <w:rsid w:val="00A400CD"/>
    <w:rsid w:val="00A41272"/>
    <w:rsid w:val="00A4367B"/>
    <w:rsid w:val="00A45754"/>
    <w:rsid w:val="00A52802"/>
    <w:rsid w:val="00A57DAB"/>
    <w:rsid w:val="00A620D1"/>
    <w:rsid w:val="00A62B3A"/>
    <w:rsid w:val="00A63ED2"/>
    <w:rsid w:val="00A6622A"/>
    <w:rsid w:val="00A66377"/>
    <w:rsid w:val="00A70F8C"/>
    <w:rsid w:val="00A721B3"/>
    <w:rsid w:val="00A728F8"/>
    <w:rsid w:val="00A8049D"/>
    <w:rsid w:val="00A87D2A"/>
    <w:rsid w:val="00A90EF1"/>
    <w:rsid w:val="00A95887"/>
    <w:rsid w:val="00A9725A"/>
    <w:rsid w:val="00AA0AD7"/>
    <w:rsid w:val="00AA538C"/>
    <w:rsid w:val="00AB5F92"/>
    <w:rsid w:val="00AB7EE0"/>
    <w:rsid w:val="00AC2B21"/>
    <w:rsid w:val="00AC2E84"/>
    <w:rsid w:val="00AC653E"/>
    <w:rsid w:val="00AE0362"/>
    <w:rsid w:val="00AE4896"/>
    <w:rsid w:val="00AF032B"/>
    <w:rsid w:val="00AF07F6"/>
    <w:rsid w:val="00AF3227"/>
    <w:rsid w:val="00AF7D85"/>
    <w:rsid w:val="00B00347"/>
    <w:rsid w:val="00B00723"/>
    <w:rsid w:val="00B00D10"/>
    <w:rsid w:val="00B0298E"/>
    <w:rsid w:val="00B0363D"/>
    <w:rsid w:val="00B04306"/>
    <w:rsid w:val="00B065E0"/>
    <w:rsid w:val="00B07045"/>
    <w:rsid w:val="00B13A48"/>
    <w:rsid w:val="00B16A4C"/>
    <w:rsid w:val="00B22027"/>
    <w:rsid w:val="00B2529C"/>
    <w:rsid w:val="00B305E3"/>
    <w:rsid w:val="00B30A2A"/>
    <w:rsid w:val="00B30EAB"/>
    <w:rsid w:val="00B32618"/>
    <w:rsid w:val="00B3348F"/>
    <w:rsid w:val="00B37BE9"/>
    <w:rsid w:val="00B413FD"/>
    <w:rsid w:val="00B4342C"/>
    <w:rsid w:val="00B46D83"/>
    <w:rsid w:val="00B46E42"/>
    <w:rsid w:val="00B524A4"/>
    <w:rsid w:val="00B56546"/>
    <w:rsid w:val="00B622C3"/>
    <w:rsid w:val="00B63F8A"/>
    <w:rsid w:val="00B6612C"/>
    <w:rsid w:val="00B734F7"/>
    <w:rsid w:val="00B76FEA"/>
    <w:rsid w:val="00B86770"/>
    <w:rsid w:val="00B902A5"/>
    <w:rsid w:val="00B91057"/>
    <w:rsid w:val="00B917BB"/>
    <w:rsid w:val="00B94D96"/>
    <w:rsid w:val="00B95A9F"/>
    <w:rsid w:val="00B96A6A"/>
    <w:rsid w:val="00BA0B7C"/>
    <w:rsid w:val="00BA0D45"/>
    <w:rsid w:val="00BB2718"/>
    <w:rsid w:val="00BB686E"/>
    <w:rsid w:val="00BC20FF"/>
    <w:rsid w:val="00BC594E"/>
    <w:rsid w:val="00BD0B7B"/>
    <w:rsid w:val="00BD0E29"/>
    <w:rsid w:val="00BD1053"/>
    <w:rsid w:val="00BD2DBA"/>
    <w:rsid w:val="00BD43BE"/>
    <w:rsid w:val="00BD5446"/>
    <w:rsid w:val="00BD623E"/>
    <w:rsid w:val="00BD6788"/>
    <w:rsid w:val="00BE0A40"/>
    <w:rsid w:val="00BE62D6"/>
    <w:rsid w:val="00BF56FF"/>
    <w:rsid w:val="00C00F4C"/>
    <w:rsid w:val="00C01E69"/>
    <w:rsid w:val="00C05271"/>
    <w:rsid w:val="00C0588D"/>
    <w:rsid w:val="00C07505"/>
    <w:rsid w:val="00C07613"/>
    <w:rsid w:val="00C10B28"/>
    <w:rsid w:val="00C11E81"/>
    <w:rsid w:val="00C137DD"/>
    <w:rsid w:val="00C138B5"/>
    <w:rsid w:val="00C21719"/>
    <w:rsid w:val="00C22F9B"/>
    <w:rsid w:val="00C23DC0"/>
    <w:rsid w:val="00C24395"/>
    <w:rsid w:val="00C36120"/>
    <w:rsid w:val="00C403FA"/>
    <w:rsid w:val="00C44122"/>
    <w:rsid w:val="00C44332"/>
    <w:rsid w:val="00C51BD6"/>
    <w:rsid w:val="00C551CE"/>
    <w:rsid w:val="00C629AA"/>
    <w:rsid w:val="00C6477F"/>
    <w:rsid w:val="00C65CC6"/>
    <w:rsid w:val="00C703C3"/>
    <w:rsid w:val="00C73102"/>
    <w:rsid w:val="00C73609"/>
    <w:rsid w:val="00C74530"/>
    <w:rsid w:val="00C76B3A"/>
    <w:rsid w:val="00C85198"/>
    <w:rsid w:val="00C851A3"/>
    <w:rsid w:val="00C8730E"/>
    <w:rsid w:val="00C91E19"/>
    <w:rsid w:val="00C936AD"/>
    <w:rsid w:val="00C96FBC"/>
    <w:rsid w:val="00CA1BAA"/>
    <w:rsid w:val="00CA4766"/>
    <w:rsid w:val="00CA6782"/>
    <w:rsid w:val="00CC0200"/>
    <w:rsid w:val="00CC18C1"/>
    <w:rsid w:val="00CC25BB"/>
    <w:rsid w:val="00CC2F16"/>
    <w:rsid w:val="00CD10F2"/>
    <w:rsid w:val="00CD124C"/>
    <w:rsid w:val="00CD184C"/>
    <w:rsid w:val="00CD2BD9"/>
    <w:rsid w:val="00CD7ECD"/>
    <w:rsid w:val="00CE2DCA"/>
    <w:rsid w:val="00CE4D27"/>
    <w:rsid w:val="00CE522F"/>
    <w:rsid w:val="00CE70CA"/>
    <w:rsid w:val="00CF5328"/>
    <w:rsid w:val="00CF616A"/>
    <w:rsid w:val="00D00032"/>
    <w:rsid w:val="00D04085"/>
    <w:rsid w:val="00D06267"/>
    <w:rsid w:val="00D0648C"/>
    <w:rsid w:val="00D2317F"/>
    <w:rsid w:val="00D24143"/>
    <w:rsid w:val="00D25DDA"/>
    <w:rsid w:val="00D37F32"/>
    <w:rsid w:val="00D40F56"/>
    <w:rsid w:val="00D41212"/>
    <w:rsid w:val="00D41F5D"/>
    <w:rsid w:val="00D4280F"/>
    <w:rsid w:val="00D44399"/>
    <w:rsid w:val="00D45604"/>
    <w:rsid w:val="00D4564D"/>
    <w:rsid w:val="00D45C91"/>
    <w:rsid w:val="00D5151B"/>
    <w:rsid w:val="00D5253F"/>
    <w:rsid w:val="00D61123"/>
    <w:rsid w:val="00D659EE"/>
    <w:rsid w:val="00D65E69"/>
    <w:rsid w:val="00D65EDC"/>
    <w:rsid w:val="00D70B3C"/>
    <w:rsid w:val="00D70D3C"/>
    <w:rsid w:val="00D743BF"/>
    <w:rsid w:val="00D76FA2"/>
    <w:rsid w:val="00D80E61"/>
    <w:rsid w:val="00D84529"/>
    <w:rsid w:val="00D85252"/>
    <w:rsid w:val="00D85DD3"/>
    <w:rsid w:val="00D90E05"/>
    <w:rsid w:val="00D9183A"/>
    <w:rsid w:val="00D9690C"/>
    <w:rsid w:val="00DB2D65"/>
    <w:rsid w:val="00DB4372"/>
    <w:rsid w:val="00DB52DC"/>
    <w:rsid w:val="00DB6598"/>
    <w:rsid w:val="00DB7122"/>
    <w:rsid w:val="00DC0129"/>
    <w:rsid w:val="00DC0A12"/>
    <w:rsid w:val="00DC43FD"/>
    <w:rsid w:val="00DC78D1"/>
    <w:rsid w:val="00DD14C1"/>
    <w:rsid w:val="00DD32E8"/>
    <w:rsid w:val="00DD455A"/>
    <w:rsid w:val="00DD4657"/>
    <w:rsid w:val="00DD5627"/>
    <w:rsid w:val="00DD6D0D"/>
    <w:rsid w:val="00DE60D8"/>
    <w:rsid w:val="00DF0C56"/>
    <w:rsid w:val="00DF4250"/>
    <w:rsid w:val="00DF6684"/>
    <w:rsid w:val="00E000D9"/>
    <w:rsid w:val="00E06C50"/>
    <w:rsid w:val="00E11663"/>
    <w:rsid w:val="00E11697"/>
    <w:rsid w:val="00E15166"/>
    <w:rsid w:val="00E15F37"/>
    <w:rsid w:val="00E249E4"/>
    <w:rsid w:val="00E27BB3"/>
    <w:rsid w:val="00E37212"/>
    <w:rsid w:val="00E407DC"/>
    <w:rsid w:val="00E42A10"/>
    <w:rsid w:val="00E4667E"/>
    <w:rsid w:val="00E50394"/>
    <w:rsid w:val="00E521C9"/>
    <w:rsid w:val="00E52889"/>
    <w:rsid w:val="00E52F31"/>
    <w:rsid w:val="00E537EC"/>
    <w:rsid w:val="00E5477A"/>
    <w:rsid w:val="00E54800"/>
    <w:rsid w:val="00E60E10"/>
    <w:rsid w:val="00E6333E"/>
    <w:rsid w:val="00E6339F"/>
    <w:rsid w:val="00E65255"/>
    <w:rsid w:val="00E65922"/>
    <w:rsid w:val="00E671F0"/>
    <w:rsid w:val="00E81988"/>
    <w:rsid w:val="00E94B88"/>
    <w:rsid w:val="00E96ACD"/>
    <w:rsid w:val="00E97492"/>
    <w:rsid w:val="00EA11CE"/>
    <w:rsid w:val="00EA3749"/>
    <w:rsid w:val="00EA4650"/>
    <w:rsid w:val="00EA5B4C"/>
    <w:rsid w:val="00EB6FD2"/>
    <w:rsid w:val="00EC13F9"/>
    <w:rsid w:val="00EC21A7"/>
    <w:rsid w:val="00EC5C66"/>
    <w:rsid w:val="00ED0C2F"/>
    <w:rsid w:val="00ED2461"/>
    <w:rsid w:val="00ED3CA2"/>
    <w:rsid w:val="00EE3675"/>
    <w:rsid w:val="00EE3B2D"/>
    <w:rsid w:val="00EE5119"/>
    <w:rsid w:val="00EE5557"/>
    <w:rsid w:val="00EE5C96"/>
    <w:rsid w:val="00EF4E97"/>
    <w:rsid w:val="00F00A6F"/>
    <w:rsid w:val="00F013F1"/>
    <w:rsid w:val="00F068D9"/>
    <w:rsid w:val="00F07F39"/>
    <w:rsid w:val="00F1004A"/>
    <w:rsid w:val="00F123E4"/>
    <w:rsid w:val="00F143F8"/>
    <w:rsid w:val="00F14564"/>
    <w:rsid w:val="00F1524B"/>
    <w:rsid w:val="00F175CB"/>
    <w:rsid w:val="00F20FD2"/>
    <w:rsid w:val="00F31F76"/>
    <w:rsid w:val="00F33808"/>
    <w:rsid w:val="00F3458E"/>
    <w:rsid w:val="00F37835"/>
    <w:rsid w:val="00F37A39"/>
    <w:rsid w:val="00F40DC2"/>
    <w:rsid w:val="00F4205E"/>
    <w:rsid w:val="00F4269F"/>
    <w:rsid w:val="00F42928"/>
    <w:rsid w:val="00F54235"/>
    <w:rsid w:val="00F5428F"/>
    <w:rsid w:val="00F561E8"/>
    <w:rsid w:val="00F56720"/>
    <w:rsid w:val="00F61381"/>
    <w:rsid w:val="00F65230"/>
    <w:rsid w:val="00F66505"/>
    <w:rsid w:val="00F70FDE"/>
    <w:rsid w:val="00F73999"/>
    <w:rsid w:val="00F84FB5"/>
    <w:rsid w:val="00F878D2"/>
    <w:rsid w:val="00F879D0"/>
    <w:rsid w:val="00F91338"/>
    <w:rsid w:val="00F9143F"/>
    <w:rsid w:val="00F946B0"/>
    <w:rsid w:val="00F95A31"/>
    <w:rsid w:val="00FA179E"/>
    <w:rsid w:val="00FA4209"/>
    <w:rsid w:val="00FB1BD3"/>
    <w:rsid w:val="00FB36B0"/>
    <w:rsid w:val="00FB51D5"/>
    <w:rsid w:val="00FB67B3"/>
    <w:rsid w:val="00FC560C"/>
    <w:rsid w:val="00FC7DEC"/>
    <w:rsid w:val="00FD196B"/>
    <w:rsid w:val="00FE22EF"/>
    <w:rsid w:val="00FE318A"/>
    <w:rsid w:val="00FE3AAF"/>
    <w:rsid w:val="00FE58D5"/>
    <w:rsid w:val="00FF5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4D464"/>
  <w15:docId w15:val="{52EC92B1-E2BF-4102-875B-B38320BB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45"/>
    <w:rPr>
      <w:lang w:val="fr-FR"/>
    </w:rPr>
  </w:style>
  <w:style w:type="paragraph" w:styleId="Heading1">
    <w:name w:val="heading 1"/>
    <w:basedOn w:val="Normal"/>
    <w:next w:val="Normal"/>
    <w:link w:val="Heading1Char"/>
    <w:uiPriority w:val="9"/>
    <w:qFormat/>
    <w:rsid w:val="00724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1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15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D45"/>
    <w:rPr>
      <w:rFonts w:asciiTheme="majorHAnsi" w:eastAsiaTheme="majorEastAsia" w:hAnsiTheme="majorHAnsi" w:cstheme="majorBidi"/>
      <w:b/>
      <w:bCs/>
      <w:color w:val="365F91" w:themeColor="accent1" w:themeShade="BF"/>
      <w:sz w:val="28"/>
      <w:szCs w:val="28"/>
      <w:lang w:val="fr-FR"/>
    </w:rPr>
  </w:style>
  <w:style w:type="paragraph" w:styleId="ListParagraph">
    <w:name w:val="List Paragraph"/>
    <w:basedOn w:val="Normal"/>
    <w:uiPriority w:val="34"/>
    <w:qFormat/>
    <w:rsid w:val="00724D45"/>
    <w:pPr>
      <w:ind w:left="720"/>
      <w:contextualSpacing/>
    </w:pPr>
  </w:style>
  <w:style w:type="paragraph" w:styleId="Caption">
    <w:name w:val="caption"/>
    <w:basedOn w:val="Normal"/>
    <w:next w:val="Normal"/>
    <w:uiPriority w:val="35"/>
    <w:unhideWhenUsed/>
    <w:qFormat/>
    <w:rsid w:val="00724D4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724D45"/>
    <w:pPr>
      <w:spacing w:after="0" w:line="240" w:lineRule="auto"/>
    </w:pPr>
    <w:rPr>
      <w:sz w:val="20"/>
      <w:szCs w:val="20"/>
    </w:rPr>
  </w:style>
  <w:style w:type="character" w:customStyle="1" w:styleId="FootnoteTextChar">
    <w:name w:val="Footnote Text Char"/>
    <w:basedOn w:val="DefaultParagraphFont"/>
    <w:link w:val="FootnoteText"/>
    <w:uiPriority w:val="99"/>
    <w:rsid w:val="00724D45"/>
    <w:rPr>
      <w:sz w:val="20"/>
      <w:szCs w:val="20"/>
      <w:lang w:val="fr-FR"/>
    </w:rPr>
  </w:style>
  <w:style w:type="character" w:styleId="FootnoteReference">
    <w:name w:val="footnote reference"/>
    <w:basedOn w:val="DefaultParagraphFont"/>
    <w:uiPriority w:val="99"/>
    <w:semiHidden/>
    <w:unhideWhenUsed/>
    <w:rsid w:val="00724D45"/>
    <w:rPr>
      <w:vertAlign w:val="superscript"/>
    </w:rPr>
  </w:style>
  <w:style w:type="paragraph" w:styleId="TOCHeading">
    <w:name w:val="TOC Heading"/>
    <w:basedOn w:val="Heading1"/>
    <w:next w:val="Normal"/>
    <w:uiPriority w:val="39"/>
    <w:unhideWhenUsed/>
    <w:qFormat/>
    <w:rsid w:val="00724D45"/>
    <w:pPr>
      <w:outlineLvl w:val="9"/>
    </w:pPr>
    <w:rPr>
      <w:lang w:val="en-US" w:eastAsia="ja-JP"/>
    </w:rPr>
  </w:style>
  <w:style w:type="character" w:styleId="Hyperlink">
    <w:name w:val="Hyperlink"/>
    <w:basedOn w:val="DefaultParagraphFont"/>
    <w:uiPriority w:val="99"/>
    <w:unhideWhenUsed/>
    <w:rsid w:val="00724D45"/>
    <w:rPr>
      <w:color w:val="0000FF" w:themeColor="hyperlink"/>
      <w:u w:val="single"/>
    </w:rPr>
  </w:style>
  <w:style w:type="paragraph" w:styleId="TOC1">
    <w:name w:val="toc 1"/>
    <w:basedOn w:val="Normal"/>
    <w:next w:val="Normal"/>
    <w:autoRedefine/>
    <w:uiPriority w:val="39"/>
    <w:unhideWhenUsed/>
    <w:rsid w:val="00724D45"/>
    <w:pPr>
      <w:spacing w:after="100"/>
    </w:pPr>
  </w:style>
  <w:style w:type="paragraph" w:styleId="TOC2">
    <w:name w:val="toc 2"/>
    <w:basedOn w:val="Normal"/>
    <w:next w:val="Normal"/>
    <w:autoRedefine/>
    <w:uiPriority w:val="39"/>
    <w:unhideWhenUsed/>
    <w:rsid w:val="00724D45"/>
    <w:pPr>
      <w:spacing w:after="100"/>
      <w:ind w:left="220"/>
    </w:pPr>
  </w:style>
  <w:style w:type="paragraph" w:styleId="BalloonText">
    <w:name w:val="Balloon Text"/>
    <w:basedOn w:val="Normal"/>
    <w:link w:val="BalloonTextChar"/>
    <w:uiPriority w:val="99"/>
    <w:semiHidden/>
    <w:unhideWhenUsed/>
    <w:rsid w:val="00724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45"/>
    <w:rPr>
      <w:rFonts w:ascii="Tahoma" w:hAnsi="Tahoma" w:cs="Tahoma"/>
      <w:sz w:val="16"/>
      <w:szCs w:val="16"/>
      <w:lang w:val="fr-FR"/>
    </w:rPr>
  </w:style>
  <w:style w:type="paragraph" w:styleId="Header">
    <w:name w:val="header"/>
    <w:basedOn w:val="Normal"/>
    <w:link w:val="HeaderChar"/>
    <w:uiPriority w:val="99"/>
    <w:unhideWhenUsed/>
    <w:rsid w:val="0072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D45"/>
    <w:rPr>
      <w:lang w:val="fr-FR"/>
    </w:rPr>
  </w:style>
  <w:style w:type="paragraph" w:styleId="Footer">
    <w:name w:val="footer"/>
    <w:basedOn w:val="Normal"/>
    <w:link w:val="FooterChar"/>
    <w:uiPriority w:val="99"/>
    <w:unhideWhenUsed/>
    <w:rsid w:val="0072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D45"/>
    <w:rPr>
      <w:lang w:val="fr-FR"/>
    </w:rPr>
  </w:style>
  <w:style w:type="paragraph" w:styleId="TableofFigures">
    <w:name w:val="table of figures"/>
    <w:basedOn w:val="Normal"/>
    <w:next w:val="Normal"/>
    <w:uiPriority w:val="99"/>
    <w:unhideWhenUsed/>
    <w:rsid w:val="00A66377"/>
    <w:pPr>
      <w:spacing w:after="0"/>
    </w:pPr>
  </w:style>
  <w:style w:type="character" w:customStyle="1" w:styleId="Heading2Char">
    <w:name w:val="Heading 2 Char"/>
    <w:basedOn w:val="DefaultParagraphFont"/>
    <w:link w:val="Heading2"/>
    <w:uiPriority w:val="9"/>
    <w:rsid w:val="008E2273"/>
    <w:rPr>
      <w:rFonts w:asciiTheme="majorHAnsi" w:eastAsiaTheme="majorEastAsia" w:hAnsiTheme="majorHAnsi" w:cstheme="majorBidi"/>
      <w:b/>
      <w:bCs/>
      <w:color w:val="4F81BD" w:themeColor="accent1"/>
      <w:sz w:val="26"/>
      <w:szCs w:val="26"/>
      <w:lang w:val="fr-FR"/>
    </w:rPr>
  </w:style>
  <w:style w:type="character" w:styleId="CommentReference">
    <w:name w:val="annotation reference"/>
    <w:basedOn w:val="DefaultParagraphFont"/>
    <w:uiPriority w:val="99"/>
    <w:semiHidden/>
    <w:unhideWhenUsed/>
    <w:rsid w:val="004F2E97"/>
    <w:rPr>
      <w:sz w:val="16"/>
      <w:szCs w:val="16"/>
    </w:rPr>
  </w:style>
  <w:style w:type="paragraph" w:styleId="CommentText">
    <w:name w:val="annotation text"/>
    <w:basedOn w:val="Normal"/>
    <w:link w:val="CommentTextChar"/>
    <w:uiPriority w:val="99"/>
    <w:unhideWhenUsed/>
    <w:rsid w:val="004F2E97"/>
    <w:pPr>
      <w:spacing w:line="240" w:lineRule="auto"/>
    </w:pPr>
    <w:rPr>
      <w:sz w:val="20"/>
      <w:szCs w:val="20"/>
    </w:rPr>
  </w:style>
  <w:style w:type="character" w:customStyle="1" w:styleId="CommentTextChar">
    <w:name w:val="Comment Text Char"/>
    <w:basedOn w:val="DefaultParagraphFont"/>
    <w:link w:val="CommentText"/>
    <w:uiPriority w:val="99"/>
    <w:rsid w:val="004F2E97"/>
    <w:rPr>
      <w:sz w:val="20"/>
      <w:szCs w:val="20"/>
      <w:lang w:val="fr-FR"/>
    </w:rPr>
  </w:style>
  <w:style w:type="paragraph" w:styleId="CommentSubject">
    <w:name w:val="annotation subject"/>
    <w:basedOn w:val="CommentText"/>
    <w:next w:val="CommentText"/>
    <w:link w:val="CommentSubjectChar"/>
    <w:uiPriority w:val="99"/>
    <w:semiHidden/>
    <w:unhideWhenUsed/>
    <w:rsid w:val="004F2E97"/>
    <w:rPr>
      <w:b/>
      <w:bCs/>
    </w:rPr>
  </w:style>
  <w:style w:type="character" w:customStyle="1" w:styleId="CommentSubjectChar">
    <w:name w:val="Comment Subject Char"/>
    <w:basedOn w:val="CommentTextChar"/>
    <w:link w:val="CommentSubject"/>
    <w:uiPriority w:val="99"/>
    <w:semiHidden/>
    <w:rsid w:val="004F2E97"/>
    <w:rPr>
      <w:b/>
      <w:bCs/>
      <w:sz w:val="20"/>
      <w:szCs w:val="20"/>
      <w:lang w:val="fr-FR"/>
    </w:rPr>
  </w:style>
  <w:style w:type="character" w:customStyle="1" w:styleId="Heading3Char">
    <w:name w:val="Heading 3 Char"/>
    <w:basedOn w:val="DefaultParagraphFont"/>
    <w:link w:val="Heading3"/>
    <w:uiPriority w:val="9"/>
    <w:rsid w:val="00905183"/>
    <w:rPr>
      <w:rFonts w:asciiTheme="majorHAnsi" w:eastAsiaTheme="majorEastAsia" w:hAnsiTheme="majorHAnsi" w:cstheme="majorBidi"/>
      <w:b/>
      <w:bCs/>
      <w:color w:val="4F81BD" w:themeColor="accent1"/>
      <w:lang w:val="fr-FR"/>
    </w:rPr>
  </w:style>
  <w:style w:type="table" w:styleId="TableGrid">
    <w:name w:val="Table Grid"/>
    <w:basedOn w:val="TableNormal"/>
    <w:uiPriority w:val="59"/>
    <w:rsid w:val="001E3D2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D5151B"/>
    <w:rPr>
      <w:rFonts w:asciiTheme="majorHAnsi" w:eastAsiaTheme="majorEastAsia" w:hAnsiTheme="majorHAnsi" w:cstheme="majorBidi"/>
      <w:b/>
      <w:bCs/>
      <w:i/>
      <w:iCs/>
      <w:color w:val="4F81BD" w:themeColor="accent1"/>
      <w:lang w:val="fr-FR"/>
    </w:rPr>
  </w:style>
  <w:style w:type="paragraph" w:styleId="TOC3">
    <w:name w:val="toc 3"/>
    <w:basedOn w:val="Normal"/>
    <w:next w:val="Normal"/>
    <w:autoRedefine/>
    <w:uiPriority w:val="39"/>
    <w:unhideWhenUsed/>
    <w:rsid w:val="005D78FE"/>
    <w:pPr>
      <w:spacing w:after="100"/>
      <w:ind w:left="440"/>
    </w:pPr>
  </w:style>
  <w:style w:type="character" w:customStyle="1" w:styleId="hps">
    <w:name w:val="hps"/>
    <w:basedOn w:val="DefaultParagraphFont"/>
    <w:rsid w:val="0034026C"/>
  </w:style>
  <w:style w:type="paragraph" w:customStyle="1" w:styleId="Default">
    <w:name w:val="Default"/>
    <w:rsid w:val="00134A2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D70B3C"/>
    <w:rPr>
      <w:b/>
      <w:bCs/>
    </w:rPr>
  </w:style>
  <w:style w:type="paragraph" w:styleId="NormalWeb">
    <w:name w:val="Normal (Web)"/>
    <w:basedOn w:val="Normal"/>
    <w:uiPriority w:val="99"/>
    <w:semiHidden/>
    <w:unhideWhenUsed/>
    <w:rsid w:val="00D70B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nkcolor1">
    <w:name w:val="linkcolor1"/>
    <w:basedOn w:val="DefaultParagraphFont"/>
    <w:rsid w:val="00D70B3C"/>
    <w:rPr>
      <w:color w:val="9305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7781">
      <w:bodyDiv w:val="1"/>
      <w:marLeft w:val="0"/>
      <w:marRight w:val="0"/>
      <w:marTop w:val="0"/>
      <w:marBottom w:val="0"/>
      <w:divBdr>
        <w:top w:val="none" w:sz="0" w:space="0" w:color="auto"/>
        <w:left w:val="none" w:sz="0" w:space="0" w:color="auto"/>
        <w:bottom w:val="none" w:sz="0" w:space="0" w:color="auto"/>
        <w:right w:val="none" w:sz="0" w:space="0" w:color="auto"/>
      </w:divBdr>
    </w:div>
    <w:div w:id="808937035">
      <w:bodyDiv w:val="1"/>
      <w:marLeft w:val="0"/>
      <w:marRight w:val="0"/>
      <w:marTop w:val="0"/>
      <w:marBottom w:val="0"/>
      <w:divBdr>
        <w:top w:val="none" w:sz="0" w:space="0" w:color="auto"/>
        <w:left w:val="none" w:sz="0" w:space="0" w:color="auto"/>
        <w:bottom w:val="none" w:sz="0" w:space="0" w:color="auto"/>
        <w:right w:val="none" w:sz="0" w:space="0" w:color="auto"/>
      </w:divBdr>
    </w:div>
    <w:div w:id="864027211">
      <w:bodyDiv w:val="1"/>
      <w:marLeft w:val="0"/>
      <w:marRight w:val="0"/>
      <w:marTop w:val="0"/>
      <w:marBottom w:val="0"/>
      <w:divBdr>
        <w:top w:val="none" w:sz="0" w:space="0" w:color="auto"/>
        <w:left w:val="none" w:sz="0" w:space="0" w:color="auto"/>
        <w:bottom w:val="none" w:sz="0" w:space="0" w:color="auto"/>
        <w:right w:val="none" w:sz="0" w:space="0" w:color="auto"/>
      </w:divBdr>
      <w:divsChild>
        <w:div w:id="557861921">
          <w:marLeft w:val="0"/>
          <w:marRight w:val="0"/>
          <w:marTop w:val="100"/>
          <w:marBottom w:val="100"/>
          <w:divBdr>
            <w:top w:val="none" w:sz="0" w:space="0" w:color="auto"/>
            <w:left w:val="none" w:sz="0" w:space="0" w:color="auto"/>
            <w:bottom w:val="none" w:sz="0" w:space="0" w:color="auto"/>
            <w:right w:val="none" w:sz="0" w:space="0" w:color="auto"/>
          </w:divBdr>
          <w:divsChild>
            <w:div w:id="1617907675">
              <w:marLeft w:val="0"/>
              <w:marRight w:val="0"/>
              <w:marTop w:val="0"/>
              <w:marBottom w:val="0"/>
              <w:divBdr>
                <w:top w:val="none" w:sz="0" w:space="0" w:color="auto"/>
                <w:left w:val="none" w:sz="0" w:space="0" w:color="auto"/>
                <w:bottom w:val="none" w:sz="0" w:space="0" w:color="auto"/>
                <w:right w:val="none" w:sz="0" w:space="0" w:color="auto"/>
              </w:divBdr>
              <w:divsChild>
                <w:div w:id="302777677">
                  <w:marLeft w:val="0"/>
                  <w:marRight w:val="0"/>
                  <w:marTop w:val="0"/>
                  <w:marBottom w:val="0"/>
                  <w:divBdr>
                    <w:top w:val="none" w:sz="0" w:space="0" w:color="auto"/>
                    <w:left w:val="none" w:sz="0" w:space="0" w:color="auto"/>
                    <w:bottom w:val="none" w:sz="0" w:space="0" w:color="auto"/>
                    <w:right w:val="none" w:sz="0" w:space="0" w:color="auto"/>
                  </w:divBdr>
                  <w:divsChild>
                    <w:div w:id="1450785339">
                      <w:marLeft w:val="0"/>
                      <w:marRight w:val="0"/>
                      <w:marTop w:val="0"/>
                      <w:marBottom w:val="0"/>
                      <w:divBdr>
                        <w:top w:val="none" w:sz="0" w:space="0" w:color="auto"/>
                        <w:left w:val="none" w:sz="0" w:space="0" w:color="auto"/>
                        <w:bottom w:val="none" w:sz="0" w:space="0" w:color="auto"/>
                        <w:right w:val="none" w:sz="0" w:space="0" w:color="auto"/>
                      </w:divBdr>
                      <w:divsChild>
                        <w:div w:id="2068410335">
                          <w:marLeft w:val="0"/>
                          <w:marRight w:val="0"/>
                          <w:marTop w:val="0"/>
                          <w:marBottom w:val="0"/>
                          <w:divBdr>
                            <w:top w:val="none" w:sz="0" w:space="0" w:color="auto"/>
                            <w:left w:val="none" w:sz="0" w:space="0" w:color="auto"/>
                            <w:bottom w:val="none" w:sz="0" w:space="0" w:color="auto"/>
                            <w:right w:val="none" w:sz="0" w:space="0" w:color="auto"/>
                          </w:divBdr>
                          <w:divsChild>
                            <w:div w:id="763769636">
                              <w:marLeft w:val="0"/>
                              <w:marRight w:val="0"/>
                              <w:marTop w:val="0"/>
                              <w:marBottom w:val="0"/>
                              <w:divBdr>
                                <w:top w:val="none" w:sz="0" w:space="0" w:color="auto"/>
                                <w:left w:val="none" w:sz="0" w:space="0" w:color="auto"/>
                                <w:bottom w:val="none" w:sz="0" w:space="0" w:color="auto"/>
                                <w:right w:val="none" w:sz="0" w:space="0" w:color="auto"/>
                              </w:divBdr>
                              <w:divsChild>
                                <w:div w:id="72628993">
                                  <w:marLeft w:val="0"/>
                                  <w:marRight w:val="0"/>
                                  <w:marTop w:val="0"/>
                                  <w:marBottom w:val="0"/>
                                  <w:divBdr>
                                    <w:top w:val="none" w:sz="0" w:space="0" w:color="auto"/>
                                    <w:left w:val="none" w:sz="0" w:space="0" w:color="auto"/>
                                    <w:bottom w:val="none" w:sz="0" w:space="0" w:color="auto"/>
                                    <w:right w:val="none" w:sz="0" w:space="0" w:color="auto"/>
                                  </w:divBdr>
                                  <w:divsChild>
                                    <w:div w:id="1725447212">
                                      <w:marLeft w:val="0"/>
                                      <w:marRight w:val="0"/>
                                      <w:marTop w:val="0"/>
                                      <w:marBottom w:val="0"/>
                                      <w:divBdr>
                                        <w:top w:val="none" w:sz="0" w:space="0" w:color="auto"/>
                                        <w:left w:val="none" w:sz="0" w:space="0" w:color="auto"/>
                                        <w:bottom w:val="none" w:sz="0" w:space="0" w:color="auto"/>
                                        <w:right w:val="none" w:sz="0" w:space="0" w:color="auto"/>
                                      </w:divBdr>
                                      <w:divsChild>
                                        <w:div w:id="1956982877">
                                          <w:marLeft w:val="0"/>
                                          <w:marRight w:val="0"/>
                                          <w:marTop w:val="0"/>
                                          <w:marBottom w:val="0"/>
                                          <w:divBdr>
                                            <w:top w:val="none" w:sz="0" w:space="0" w:color="auto"/>
                                            <w:left w:val="none" w:sz="0" w:space="0" w:color="auto"/>
                                            <w:bottom w:val="none" w:sz="0" w:space="0" w:color="auto"/>
                                            <w:right w:val="none" w:sz="0" w:space="0" w:color="auto"/>
                                          </w:divBdr>
                                          <w:divsChild>
                                            <w:div w:id="82843799">
                                              <w:marLeft w:val="0"/>
                                              <w:marRight w:val="0"/>
                                              <w:marTop w:val="0"/>
                                              <w:marBottom w:val="0"/>
                                              <w:divBdr>
                                                <w:top w:val="none" w:sz="0" w:space="0" w:color="auto"/>
                                                <w:left w:val="none" w:sz="0" w:space="0" w:color="auto"/>
                                                <w:bottom w:val="none" w:sz="0" w:space="0" w:color="auto"/>
                                                <w:right w:val="none" w:sz="0" w:space="0" w:color="auto"/>
                                              </w:divBdr>
                                              <w:divsChild>
                                                <w:div w:id="1041171076">
                                                  <w:marLeft w:val="0"/>
                                                  <w:marRight w:val="0"/>
                                                  <w:marTop w:val="0"/>
                                                  <w:marBottom w:val="0"/>
                                                  <w:divBdr>
                                                    <w:top w:val="none" w:sz="0" w:space="0" w:color="auto"/>
                                                    <w:left w:val="none" w:sz="0" w:space="0" w:color="auto"/>
                                                    <w:bottom w:val="none" w:sz="0" w:space="0" w:color="auto"/>
                                                    <w:right w:val="none" w:sz="0" w:space="0" w:color="auto"/>
                                                  </w:divBdr>
                                                  <w:divsChild>
                                                    <w:div w:id="1711300566">
                                                      <w:marLeft w:val="0"/>
                                                      <w:marRight w:val="0"/>
                                                      <w:marTop w:val="0"/>
                                                      <w:marBottom w:val="0"/>
                                                      <w:divBdr>
                                                        <w:top w:val="none" w:sz="0" w:space="0" w:color="auto"/>
                                                        <w:left w:val="none" w:sz="0" w:space="0" w:color="auto"/>
                                                        <w:bottom w:val="none" w:sz="0" w:space="0" w:color="auto"/>
                                                        <w:right w:val="none" w:sz="0" w:space="0" w:color="auto"/>
                                                      </w:divBdr>
                                                      <w:divsChild>
                                                        <w:div w:id="1613130078">
                                                          <w:marLeft w:val="0"/>
                                                          <w:marRight w:val="0"/>
                                                          <w:marTop w:val="0"/>
                                                          <w:marBottom w:val="0"/>
                                                          <w:divBdr>
                                                            <w:top w:val="none" w:sz="0" w:space="0" w:color="auto"/>
                                                            <w:left w:val="none" w:sz="0" w:space="0" w:color="auto"/>
                                                            <w:bottom w:val="none" w:sz="0" w:space="0" w:color="auto"/>
                                                            <w:right w:val="none" w:sz="0" w:space="0" w:color="auto"/>
                                                          </w:divBdr>
                                                          <w:divsChild>
                                                            <w:div w:id="1025442161">
                                                              <w:marLeft w:val="0"/>
                                                              <w:marRight w:val="0"/>
                                                              <w:marTop w:val="0"/>
                                                              <w:marBottom w:val="0"/>
                                                              <w:divBdr>
                                                                <w:top w:val="none" w:sz="0" w:space="0" w:color="auto"/>
                                                                <w:left w:val="none" w:sz="0" w:space="0" w:color="auto"/>
                                                                <w:bottom w:val="none" w:sz="0" w:space="0" w:color="auto"/>
                                                                <w:right w:val="none" w:sz="0" w:space="0" w:color="auto"/>
                                                              </w:divBdr>
                                                              <w:divsChild>
                                                                <w:div w:id="1575895633">
                                                                  <w:marLeft w:val="0"/>
                                                                  <w:marRight w:val="0"/>
                                                                  <w:marTop w:val="0"/>
                                                                  <w:marBottom w:val="0"/>
                                                                  <w:divBdr>
                                                                    <w:top w:val="none" w:sz="0" w:space="0" w:color="auto"/>
                                                                    <w:left w:val="none" w:sz="0" w:space="0" w:color="auto"/>
                                                                    <w:bottom w:val="none" w:sz="0" w:space="0" w:color="auto"/>
                                                                    <w:right w:val="none" w:sz="0" w:space="0" w:color="auto"/>
                                                                  </w:divBdr>
                                                                  <w:divsChild>
                                                                    <w:div w:id="796337944">
                                                                      <w:marLeft w:val="0"/>
                                                                      <w:marRight w:val="0"/>
                                                                      <w:marTop w:val="0"/>
                                                                      <w:marBottom w:val="0"/>
                                                                      <w:divBdr>
                                                                        <w:top w:val="none" w:sz="0" w:space="0" w:color="auto"/>
                                                                        <w:left w:val="none" w:sz="0" w:space="0" w:color="auto"/>
                                                                        <w:bottom w:val="none" w:sz="0" w:space="0" w:color="auto"/>
                                                                        <w:right w:val="none" w:sz="0" w:space="0" w:color="auto"/>
                                                                      </w:divBdr>
                                                                      <w:divsChild>
                                                                        <w:div w:id="48767043">
                                                                          <w:marLeft w:val="0"/>
                                                                          <w:marRight w:val="0"/>
                                                                          <w:marTop w:val="0"/>
                                                                          <w:marBottom w:val="0"/>
                                                                          <w:divBdr>
                                                                            <w:top w:val="single" w:sz="48" w:space="8" w:color="FFFFFF"/>
                                                                            <w:left w:val="single" w:sz="48" w:space="8" w:color="FFFFFF"/>
                                                                            <w:bottom w:val="single" w:sz="48" w:space="8" w:color="FFFFFF"/>
                                                                            <w:right w:val="single" w:sz="48" w:space="8" w:color="FFFFFF"/>
                                                                          </w:divBdr>
                                                                          <w:divsChild>
                                                                            <w:div w:id="1687714414">
                                                                              <w:marLeft w:val="0"/>
                                                                              <w:marRight w:val="0"/>
                                                                              <w:marTop w:val="0"/>
                                                                              <w:marBottom w:val="0"/>
                                                                              <w:divBdr>
                                                                                <w:top w:val="none" w:sz="0" w:space="0" w:color="auto"/>
                                                                                <w:left w:val="none" w:sz="0" w:space="0" w:color="auto"/>
                                                                                <w:bottom w:val="none" w:sz="0" w:space="0" w:color="auto"/>
                                                                                <w:right w:val="none" w:sz="0" w:space="0" w:color="auto"/>
                                                                              </w:divBdr>
                                                                              <w:divsChild>
                                                                                <w:div w:id="316421450">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824049858">
                                                                                          <w:marLeft w:val="0"/>
                                                                                          <w:marRight w:val="0"/>
                                                                                          <w:marTop w:val="0"/>
                                                                                          <w:marBottom w:val="0"/>
                                                                                          <w:divBdr>
                                                                                            <w:top w:val="none" w:sz="0" w:space="0" w:color="auto"/>
                                                                                            <w:left w:val="none" w:sz="0" w:space="0" w:color="auto"/>
                                                                                            <w:bottom w:val="none" w:sz="0" w:space="0" w:color="auto"/>
                                                                                            <w:right w:val="none" w:sz="0" w:space="0" w:color="auto"/>
                                                                                          </w:divBdr>
                                                                                        </w:div>
                                                                                        <w:div w:id="148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23775">
      <w:bodyDiv w:val="1"/>
      <w:marLeft w:val="0"/>
      <w:marRight w:val="0"/>
      <w:marTop w:val="0"/>
      <w:marBottom w:val="0"/>
      <w:divBdr>
        <w:top w:val="none" w:sz="0" w:space="0" w:color="auto"/>
        <w:left w:val="none" w:sz="0" w:space="0" w:color="auto"/>
        <w:bottom w:val="none" w:sz="0" w:space="0" w:color="auto"/>
        <w:right w:val="none" w:sz="0" w:space="0" w:color="auto"/>
      </w:divBdr>
    </w:div>
    <w:div w:id="1307514494">
      <w:bodyDiv w:val="1"/>
      <w:marLeft w:val="0"/>
      <w:marRight w:val="0"/>
      <w:marTop w:val="0"/>
      <w:marBottom w:val="0"/>
      <w:divBdr>
        <w:top w:val="none" w:sz="0" w:space="0" w:color="auto"/>
        <w:left w:val="none" w:sz="0" w:space="0" w:color="auto"/>
        <w:bottom w:val="none" w:sz="0" w:space="0" w:color="auto"/>
        <w:right w:val="none" w:sz="0" w:space="0" w:color="auto"/>
      </w:divBdr>
    </w:div>
    <w:div w:id="1469938716">
      <w:bodyDiv w:val="1"/>
      <w:marLeft w:val="0"/>
      <w:marRight w:val="0"/>
      <w:marTop w:val="0"/>
      <w:marBottom w:val="0"/>
      <w:divBdr>
        <w:top w:val="none" w:sz="0" w:space="0" w:color="auto"/>
        <w:left w:val="none" w:sz="0" w:space="0" w:color="auto"/>
        <w:bottom w:val="none" w:sz="0" w:space="0" w:color="auto"/>
        <w:right w:val="none" w:sz="0" w:space="0" w:color="auto"/>
      </w:divBdr>
    </w:div>
    <w:div w:id="1567648613">
      <w:bodyDiv w:val="1"/>
      <w:marLeft w:val="0"/>
      <w:marRight w:val="0"/>
      <w:marTop w:val="0"/>
      <w:marBottom w:val="0"/>
      <w:divBdr>
        <w:top w:val="none" w:sz="0" w:space="0" w:color="auto"/>
        <w:left w:val="none" w:sz="0" w:space="0" w:color="auto"/>
        <w:bottom w:val="none" w:sz="0" w:space="0" w:color="auto"/>
        <w:right w:val="none" w:sz="0" w:space="0" w:color="auto"/>
      </w:divBdr>
    </w:div>
    <w:div w:id="1701592689">
      <w:bodyDiv w:val="1"/>
      <w:marLeft w:val="0"/>
      <w:marRight w:val="0"/>
      <w:marTop w:val="0"/>
      <w:marBottom w:val="0"/>
      <w:divBdr>
        <w:top w:val="none" w:sz="0" w:space="0" w:color="auto"/>
        <w:left w:val="none" w:sz="0" w:space="0" w:color="auto"/>
        <w:bottom w:val="none" w:sz="0" w:space="0" w:color="auto"/>
        <w:right w:val="none" w:sz="0" w:space="0" w:color="auto"/>
      </w:divBdr>
    </w:div>
    <w:div w:id="1711344122">
      <w:bodyDiv w:val="1"/>
      <w:marLeft w:val="0"/>
      <w:marRight w:val="0"/>
      <w:marTop w:val="0"/>
      <w:marBottom w:val="0"/>
      <w:divBdr>
        <w:top w:val="none" w:sz="0" w:space="0" w:color="auto"/>
        <w:left w:val="none" w:sz="0" w:space="0" w:color="auto"/>
        <w:bottom w:val="none" w:sz="0" w:space="0" w:color="auto"/>
        <w:right w:val="none" w:sz="0" w:space="0" w:color="auto"/>
      </w:divBdr>
    </w:div>
    <w:div w:id="1758746854">
      <w:bodyDiv w:val="1"/>
      <w:marLeft w:val="0"/>
      <w:marRight w:val="0"/>
      <w:marTop w:val="0"/>
      <w:marBottom w:val="0"/>
      <w:divBdr>
        <w:top w:val="none" w:sz="0" w:space="0" w:color="auto"/>
        <w:left w:val="none" w:sz="0" w:space="0" w:color="auto"/>
        <w:bottom w:val="none" w:sz="0" w:space="0" w:color="auto"/>
        <w:right w:val="none" w:sz="0" w:space="0" w:color="auto"/>
      </w:divBdr>
    </w:div>
    <w:div w:id="1809932270">
      <w:bodyDiv w:val="1"/>
      <w:marLeft w:val="0"/>
      <w:marRight w:val="0"/>
      <w:marTop w:val="0"/>
      <w:marBottom w:val="0"/>
      <w:divBdr>
        <w:top w:val="none" w:sz="0" w:space="0" w:color="auto"/>
        <w:left w:val="none" w:sz="0" w:space="0" w:color="auto"/>
        <w:bottom w:val="none" w:sz="0" w:space="0" w:color="auto"/>
        <w:right w:val="none" w:sz="0" w:space="0" w:color="auto"/>
      </w:divBdr>
    </w:div>
    <w:div w:id="1849558683">
      <w:bodyDiv w:val="1"/>
      <w:marLeft w:val="0"/>
      <w:marRight w:val="0"/>
      <w:marTop w:val="0"/>
      <w:marBottom w:val="0"/>
      <w:divBdr>
        <w:top w:val="none" w:sz="0" w:space="0" w:color="auto"/>
        <w:left w:val="none" w:sz="0" w:space="0" w:color="auto"/>
        <w:bottom w:val="none" w:sz="0" w:space="0" w:color="auto"/>
        <w:right w:val="none" w:sz="0" w:space="0" w:color="auto"/>
      </w:divBdr>
    </w:div>
    <w:div w:id="1849901997">
      <w:bodyDiv w:val="1"/>
      <w:marLeft w:val="0"/>
      <w:marRight w:val="0"/>
      <w:marTop w:val="0"/>
      <w:marBottom w:val="0"/>
      <w:divBdr>
        <w:top w:val="none" w:sz="0" w:space="0" w:color="auto"/>
        <w:left w:val="none" w:sz="0" w:space="0" w:color="auto"/>
        <w:bottom w:val="none" w:sz="0" w:space="0" w:color="auto"/>
        <w:right w:val="none" w:sz="0" w:space="0" w:color="auto"/>
      </w:divBdr>
    </w:div>
    <w:div w:id="1909337016">
      <w:bodyDiv w:val="1"/>
      <w:marLeft w:val="0"/>
      <w:marRight w:val="0"/>
      <w:marTop w:val="0"/>
      <w:marBottom w:val="0"/>
      <w:divBdr>
        <w:top w:val="none" w:sz="0" w:space="0" w:color="auto"/>
        <w:left w:val="none" w:sz="0" w:space="0" w:color="auto"/>
        <w:bottom w:val="none" w:sz="0" w:space="0" w:color="auto"/>
        <w:right w:val="none" w:sz="0" w:space="0" w:color="auto"/>
      </w:divBdr>
    </w:div>
    <w:div w:id="1913932824">
      <w:bodyDiv w:val="1"/>
      <w:marLeft w:val="0"/>
      <w:marRight w:val="0"/>
      <w:marTop w:val="0"/>
      <w:marBottom w:val="0"/>
      <w:divBdr>
        <w:top w:val="none" w:sz="0" w:space="0" w:color="auto"/>
        <w:left w:val="none" w:sz="0" w:space="0" w:color="auto"/>
        <w:bottom w:val="none" w:sz="0" w:space="0" w:color="auto"/>
        <w:right w:val="none" w:sz="0" w:space="0" w:color="auto"/>
      </w:divBdr>
    </w:div>
    <w:div w:id="1958173279">
      <w:bodyDiv w:val="1"/>
      <w:marLeft w:val="0"/>
      <w:marRight w:val="0"/>
      <w:marTop w:val="0"/>
      <w:marBottom w:val="0"/>
      <w:divBdr>
        <w:top w:val="none" w:sz="0" w:space="0" w:color="auto"/>
        <w:left w:val="none" w:sz="0" w:space="0" w:color="auto"/>
        <w:bottom w:val="none" w:sz="0" w:space="0" w:color="auto"/>
        <w:right w:val="none" w:sz="0" w:space="0" w:color="auto"/>
      </w:divBdr>
    </w:div>
    <w:div w:id="19765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izf.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54375\Documents\Informal%20trade%20MENA\inputs%20Sahel\Pellerin\Breakdown%20produi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254375\Documents\Informal%20trade%20MENA\inputs%20Sahel\informal%20trade%20over%20G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Sheet1!$A$1:$A$8</c:f>
              <c:strCache>
                <c:ptCount val="8"/>
                <c:pt idx="0">
                  <c:v>Farine</c:v>
                </c:pt>
                <c:pt idx="1">
                  <c:v>Pâtes</c:v>
                </c:pt>
                <c:pt idx="2">
                  <c:v>Carburants</c:v>
                </c:pt>
                <c:pt idx="3">
                  <c:v>Semoule</c:v>
                </c:pt>
                <c:pt idx="4">
                  <c:v>Sucre </c:v>
                </c:pt>
                <c:pt idx="5">
                  <c:v>Lait en poudre</c:v>
                </c:pt>
                <c:pt idx="6">
                  <c:v>Electroménager</c:v>
                </c:pt>
                <c:pt idx="7">
                  <c:v>Autres produits</c:v>
                </c:pt>
              </c:strCache>
            </c:strRef>
          </c:cat>
          <c:val>
            <c:numRef>
              <c:f>Sheet1!$B$1:$B$8</c:f>
              <c:numCache>
                <c:formatCode>General</c:formatCode>
                <c:ptCount val="8"/>
                <c:pt idx="0">
                  <c:v>178.4</c:v>
                </c:pt>
                <c:pt idx="1">
                  <c:v>217</c:v>
                </c:pt>
                <c:pt idx="2">
                  <c:v>48.2</c:v>
                </c:pt>
                <c:pt idx="3">
                  <c:v>56.7</c:v>
                </c:pt>
                <c:pt idx="4">
                  <c:v>51</c:v>
                </c:pt>
                <c:pt idx="5">
                  <c:v>73.400000000000006</c:v>
                </c:pt>
                <c:pt idx="6">
                  <c:v>10.1</c:v>
                </c:pt>
                <c:pt idx="7">
                  <c:v>19.7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4"/>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Tombouctou</c:v>
                </c:pt>
                <c:pt idx="1">
                  <c:v>Gao</c:v>
                </c:pt>
                <c:pt idx="2">
                  <c:v>Kidal</c:v>
                </c:pt>
                <c:pt idx="3">
                  <c:v>Bamako</c:v>
                </c:pt>
                <c:pt idx="4">
                  <c:v>Moyenne nord</c:v>
                </c:pt>
              </c:strCache>
            </c:strRef>
          </c:cat>
          <c:val>
            <c:numRef>
              <c:f>Sheet1!$B$2:$B$6</c:f>
              <c:numCache>
                <c:formatCode>0%</c:formatCode>
                <c:ptCount val="5"/>
                <c:pt idx="0">
                  <c:v>0.10887316276537831</c:v>
                </c:pt>
                <c:pt idx="1">
                  <c:v>0.19830028328611901</c:v>
                </c:pt>
                <c:pt idx="2">
                  <c:v>0.4874651810584959</c:v>
                </c:pt>
                <c:pt idx="3">
                  <c:v>8.0674438304223304E-3</c:v>
                </c:pt>
                <c:pt idx="4">
                  <c:v>0.20833333333333337</c:v>
                </c:pt>
              </c:numCache>
            </c:numRef>
          </c:val>
        </c:ser>
        <c:dLbls>
          <c:showLegendKey val="0"/>
          <c:showVal val="0"/>
          <c:showCatName val="0"/>
          <c:showSerName val="0"/>
          <c:showPercent val="0"/>
          <c:showBubbleSize val="0"/>
        </c:dLbls>
        <c:gapWidth val="150"/>
        <c:axId val="353173160"/>
        <c:axId val="353173552"/>
      </c:barChart>
      <c:catAx>
        <c:axId val="353173160"/>
        <c:scaling>
          <c:orientation val="minMax"/>
        </c:scaling>
        <c:delete val="0"/>
        <c:axPos val="b"/>
        <c:numFmt formatCode="General" sourceLinked="0"/>
        <c:majorTickMark val="out"/>
        <c:minorTickMark val="none"/>
        <c:tickLblPos val="nextTo"/>
        <c:crossAx val="353173552"/>
        <c:crosses val="autoZero"/>
        <c:auto val="1"/>
        <c:lblAlgn val="ctr"/>
        <c:lblOffset val="100"/>
        <c:noMultiLvlLbl val="0"/>
      </c:catAx>
      <c:valAx>
        <c:axId val="353173552"/>
        <c:scaling>
          <c:orientation val="minMax"/>
        </c:scaling>
        <c:delete val="0"/>
        <c:axPos val="l"/>
        <c:majorGridlines/>
        <c:numFmt formatCode="0%" sourceLinked="1"/>
        <c:majorTickMark val="out"/>
        <c:minorTickMark val="none"/>
        <c:tickLblPos val="nextTo"/>
        <c:crossAx val="353173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E7EB-EC38-41BA-ACF1-857425DDB5D2}">
  <ds:schemaRefs>
    <ds:schemaRef ds:uri="http://schemas.openxmlformats.org/officeDocument/2006/bibliography"/>
  </ds:schemaRefs>
</ds:datastoreItem>
</file>

<file path=customXml/itemProps2.xml><?xml version="1.0" encoding="utf-8"?>
<ds:datastoreItem xmlns:ds="http://schemas.openxmlformats.org/officeDocument/2006/customXml" ds:itemID="{A613FF0C-E040-41EC-8672-D671AABC8E05}">
  <ds:schemaRefs>
    <ds:schemaRef ds:uri="http://schemas.openxmlformats.org/officeDocument/2006/bibliography"/>
  </ds:schemaRefs>
</ds:datastoreItem>
</file>

<file path=customXml/itemProps3.xml><?xml version="1.0" encoding="utf-8"?>
<ds:datastoreItem xmlns:ds="http://schemas.openxmlformats.org/officeDocument/2006/customXml" ds:itemID="{C1FE70DD-26CE-4ABB-A104-5FDE56640920}">
  <ds:schemaRefs>
    <ds:schemaRef ds:uri="http://schemas.openxmlformats.org/officeDocument/2006/bibliography"/>
  </ds:schemaRefs>
</ds:datastoreItem>
</file>

<file path=customXml/itemProps4.xml><?xml version="1.0" encoding="utf-8"?>
<ds:datastoreItem xmlns:ds="http://schemas.openxmlformats.org/officeDocument/2006/customXml" ds:itemID="{2AA9845E-4B4F-4289-A939-7B2A9EC9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3629</TotalTime>
  <Pages>39</Pages>
  <Words>14514</Words>
  <Characters>82730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 J. R. F. Raballand</dc:creator>
  <cp:lastModifiedBy>Bobbie Sauer</cp:lastModifiedBy>
  <cp:revision>193</cp:revision>
  <cp:lastPrinted>2014-04-23T20:17:00Z</cp:lastPrinted>
  <dcterms:created xsi:type="dcterms:W3CDTF">2014-04-07T13:45:00Z</dcterms:created>
  <dcterms:modified xsi:type="dcterms:W3CDTF">2015-11-23T15:01:00Z</dcterms:modified>
</cp:coreProperties>
</file>