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97DD33" w14:textId="1688D827" w:rsidR="00AF426B" w:rsidRDefault="00AF426B">
      <w:pPr>
        <w:pStyle w:val="NormalWeb"/>
        <w:jc w:val="center"/>
        <w:divId w:val="1460689985"/>
      </w:pPr>
      <w:bookmarkStart w:id="0" w:name="_GoBack"/>
      <w:bookmarkEnd w:id="0"/>
      <w:r>
        <w:br/>
      </w:r>
      <w:r>
        <w:rPr>
          <w:sz w:val="27"/>
          <w:szCs w:val="27"/>
        </w:rPr>
        <w:t>The World Bank</w:t>
      </w:r>
    </w:p>
    <w:p w14:paraId="4F0DBEF9" w14:textId="77777777" w:rsidR="00AF426B" w:rsidRDefault="00AF426B">
      <w:pPr>
        <w:divId w:val="1460689985"/>
        <w:rPr>
          <w:rFonts w:eastAsia="Times New Roman"/>
        </w:rPr>
      </w:pPr>
    </w:p>
    <w:p w14:paraId="5D64414E" w14:textId="77777777" w:rsidR="00AF426B" w:rsidRDefault="00AF426B">
      <w:pPr>
        <w:pStyle w:val="NormalWeb"/>
        <w:jc w:val="right"/>
        <w:divId w:val="1460689985"/>
        <w:rPr>
          <w:rFonts w:eastAsia="Times New Roman"/>
        </w:rPr>
      </w:pPr>
      <w:r>
        <w:br/>
        <w:t>Report No: ICR00003897</w:t>
      </w:r>
    </w:p>
    <w:tbl>
      <w:tblPr>
        <w:tblW w:w="5000" w:type="pct"/>
        <w:tblCellSpacing w:w="0" w:type="dxa"/>
        <w:tblCellMar>
          <w:left w:w="0" w:type="dxa"/>
          <w:right w:w="0" w:type="dxa"/>
        </w:tblCellMar>
        <w:tblLook w:val="04A0" w:firstRow="1" w:lastRow="0" w:firstColumn="1" w:lastColumn="0" w:noHBand="0" w:noVBand="1"/>
      </w:tblPr>
      <w:tblGrid>
        <w:gridCol w:w="8640"/>
      </w:tblGrid>
      <w:tr w:rsidR="00AF426B" w14:paraId="2BE63A48" w14:textId="77777777">
        <w:trPr>
          <w:divId w:val="1460689985"/>
          <w:tblCellSpacing w:w="0" w:type="dxa"/>
        </w:trPr>
        <w:tc>
          <w:tcPr>
            <w:tcW w:w="0" w:type="auto"/>
            <w:vAlign w:val="center"/>
            <w:hideMark/>
          </w:tcPr>
          <w:p w14:paraId="6A2A27EC" w14:textId="077EF2DB" w:rsidR="00AF426B" w:rsidRDefault="00AF426B">
            <w:pPr>
              <w:pStyle w:val="NormalWeb"/>
              <w:jc w:val="center"/>
              <w:rPr>
                <w:rFonts w:eastAsia="Times New Roman"/>
              </w:rPr>
            </w:pPr>
            <w:r>
              <w:br/>
            </w:r>
            <w:r>
              <w:br/>
              <w:t>IMPLEMENTATION COMPLETION AND RESULTS REPORT</w:t>
            </w:r>
            <w:r>
              <w:br/>
              <w:t>(IDA-44810)</w:t>
            </w:r>
          </w:p>
          <w:p w14:paraId="6E4A79B9" w14:textId="77777777" w:rsidR="00AF426B" w:rsidRDefault="00AF426B">
            <w:pPr>
              <w:pStyle w:val="NormalWeb"/>
              <w:jc w:val="center"/>
            </w:pPr>
            <w:r>
              <w:t> </w:t>
            </w:r>
          </w:p>
          <w:p w14:paraId="3A2CAB1D" w14:textId="77777777" w:rsidR="00AF426B" w:rsidRDefault="00AF426B">
            <w:pPr>
              <w:pStyle w:val="NormalWeb"/>
              <w:spacing w:after="240" w:afterAutospacing="0"/>
              <w:jc w:val="center"/>
            </w:pPr>
            <w:r>
              <w:t>ON A</w:t>
            </w:r>
          </w:p>
          <w:p w14:paraId="78A73AA4" w14:textId="77777777" w:rsidR="004A1423" w:rsidRDefault="00397089">
            <w:pPr>
              <w:pStyle w:val="NormalWeb"/>
              <w:jc w:val="center"/>
            </w:pPr>
            <w:r>
              <w:t>CREDIT</w:t>
            </w:r>
            <w:r w:rsidR="00AF426B">
              <w:br/>
            </w:r>
            <w:r w:rsidR="00AF426B">
              <w:br/>
              <w:t>IN THE AMOUNT OF</w:t>
            </w:r>
            <w:r>
              <w:t xml:space="preserve"> </w:t>
            </w:r>
            <w:r w:rsidR="004A1423">
              <w:t>21</w:t>
            </w:r>
            <w:r w:rsidR="00063B4B" w:rsidRPr="00063B4B">
              <w:t>.</w:t>
            </w:r>
            <w:r w:rsidR="004A1423">
              <w:t>9</w:t>
            </w:r>
            <w:r>
              <w:t xml:space="preserve"> XDR</w:t>
            </w:r>
            <w:r w:rsidR="00AF426B">
              <w:t xml:space="preserve"> </w:t>
            </w:r>
            <w:r w:rsidR="004A1423">
              <w:t>MILLION</w:t>
            </w:r>
            <w:r w:rsidR="004A1423">
              <w:br/>
              <w:t>(US$ 35.00</w:t>
            </w:r>
            <w:r w:rsidR="00AF426B">
              <w:t xml:space="preserve"> MILLION</w:t>
            </w:r>
            <w:r>
              <w:t xml:space="preserve"> </w:t>
            </w:r>
            <w:r w:rsidR="00AF426B">
              <w:t>EQUIVALENT)</w:t>
            </w:r>
          </w:p>
          <w:p w14:paraId="018589A2" w14:textId="77777777" w:rsidR="004A1423" w:rsidRDefault="004A1423">
            <w:pPr>
              <w:pStyle w:val="NormalWeb"/>
              <w:jc w:val="center"/>
            </w:pPr>
            <w:r>
              <w:t xml:space="preserve">REVISED TO </w:t>
            </w:r>
          </w:p>
          <w:p w14:paraId="1D0FF035" w14:textId="77777777" w:rsidR="004A1423" w:rsidRDefault="004A1423">
            <w:pPr>
              <w:pStyle w:val="NormalWeb"/>
              <w:contextualSpacing/>
              <w:jc w:val="center"/>
            </w:pPr>
            <w:r>
              <w:t>THE AMOUNT OF 12.6 XDR MILLION</w:t>
            </w:r>
          </w:p>
          <w:p w14:paraId="4A1AE0D5" w14:textId="5E3FD101" w:rsidR="004A1423" w:rsidRDefault="004A1423">
            <w:pPr>
              <w:pStyle w:val="NormalWeb"/>
              <w:contextualSpacing/>
              <w:jc w:val="center"/>
            </w:pPr>
            <w:r>
              <w:t>(US$17.2 MILLION EQUIVALENT)</w:t>
            </w:r>
          </w:p>
          <w:p w14:paraId="5EAD4995" w14:textId="043030C3" w:rsidR="00AF426B" w:rsidRDefault="00AF426B">
            <w:pPr>
              <w:pStyle w:val="NormalWeb"/>
              <w:contextualSpacing/>
              <w:jc w:val="center"/>
            </w:pPr>
          </w:p>
          <w:p w14:paraId="38ECAEFF" w14:textId="77777777" w:rsidR="00AF426B" w:rsidRDefault="00AF426B">
            <w:pPr>
              <w:pStyle w:val="NormalWeb"/>
              <w:jc w:val="center"/>
            </w:pPr>
            <w:r>
              <w:t>TO THE</w:t>
            </w:r>
          </w:p>
          <w:p w14:paraId="6B024C9E" w14:textId="77777777" w:rsidR="00397089" w:rsidRDefault="00397089">
            <w:pPr>
              <w:pStyle w:val="NormalWeb"/>
              <w:jc w:val="center"/>
            </w:pPr>
            <w:r>
              <w:t>PEOPLE’S REPUBLIC OF BANGLADESH</w:t>
            </w:r>
          </w:p>
          <w:p w14:paraId="52423D63" w14:textId="77777777" w:rsidR="00AF426B" w:rsidRDefault="00AF426B">
            <w:pPr>
              <w:pStyle w:val="NormalWeb"/>
              <w:jc w:val="center"/>
            </w:pPr>
            <w:r>
              <w:t>FOR A</w:t>
            </w:r>
          </w:p>
          <w:p w14:paraId="5239DFB2" w14:textId="77777777" w:rsidR="00AF426B" w:rsidRDefault="00397089">
            <w:pPr>
              <w:pStyle w:val="NormalWeb"/>
              <w:jc w:val="center"/>
            </w:pPr>
            <w:r>
              <w:t>DISABILITY AND CHILDREN-AT-RISK PROJECT</w:t>
            </w:r>
          </w:p>
          <w:p w14:paraId="11479C9D" w14:textId="75A3A01F" w:rsidR="00AF426B" w:rsidRDefault="00AF426B">
            <w:pPr>
              <w:pStyle w:val="NormalWeb"/>
              <w:jc w:val="center"/>
            </w:pPr>
            <w:r>
              <w:br/>
            </w:r>
            <w:r>
              <w:br/>
            </w:r>
            <w:r w:rsidR="005405AD">
              <w:t xml:space="preserve">December </w:t>
            </w:r>
            <w:r w:rsidR="007F6878">
              <w:t>12</w:t>
            </w:r>
            <w:r>
              <w:t>, 2016</w:t>
            </w:r>
          </w:p>
          <w:p w14:paraId="034FEA90" w14:textId="77777777" w:rsidR="00AF426B" w:rsidRDefault="00397089" w:rsidP="00397089">
            <w:pPr>
              <w:pStyle w:val="NormalWeb"/>
              <w:rPr>
                <w:rFonts w:eastAsia="Times New Roman"/>
              </w:rPr>
            </w:pPr>
            <w:r>
              <w:br/>
            </w:r>
            <w:r>
              <w:br/>
            </w:r>
            <w:r>
              <w:br/>
            </w:r>
            <w:r>
              <w:br/>
              <w:t xml:space="preserve">Social Protection and Labor Global Practice </w:t>
            </w:r>
            <w:r w:rsidR="00914CAB">
              <w:br/>
              <w:t>Bangladesh</w:t>
            </w:r>
            <w:r>
              <w:t xml:space="preserve"> Country Department</w:t>
            </w:r>
            <w:r>
              <w:br/>
              <w:t>South Asia Region</w:t>
            </w:r>
          </w:p>
        </w:tc>
      </w:tr>
    </w:tbl>
    <w:p w14:paraId="3A5696D4" w14:textId="77777777" w:rsidR="00AF426B" w:rsidRDefault="00AF426B">
      <w:pPr>
        <w:divId w:val="1460689985"/>
        <w:rPr>
          <w:rFonts w:eastAsia="Times New Roman"/>
        </w:rPr>
      </w:pPr>
    </w:p>
    <w:p w14:paraId="26E5161D" w14:textId="77777777" w:rsidR="00E73512" w:rsidRDefault="00E73512" w:rsidP="00242150">
      <w:pPr>
        <w:jc w:val="center"/>
        <w:divId w:val="738553075"/>
      </w:pPr>
    </w:p>
    <w:p w14:paraId="3D8E1ADF" w14:textId="77777777" w:rsidR="00E03DE1" w:rsidRDefault="00E03DE1">
      <w:pPr>
        <w:rPr>
          <w:vanish/>
        </w:rPr>
      </w:pPr>
      <w:r>
        <w:rPr>
          <w:rFonts w:eastAsia="Times New Roman"/>
          <w:lang w:eastAsia="en-US"/>
        </w:rPr>
        <w:br w:type="page"/>
      </w:r>
    </w:p>
    <w:p w14:paraId="0FA9A9AB" w14:textId="77777777" w:rsidR="001E0E8C" w:rsidRDefault="001E0E8C" w:rsidP="001E0E8C">
      <w:pPr>
        <w:tabs>
          <w:tab w:val="left" w:pos="5507"/>
        </w:tabs>
        <w:autoSpaceDE w:val="0"/>
        <w:autoSpaceDN w:val="0"/>
        <w:adjustRightInd w:val="0"/>
        <w:jc w:val="center"/>
        <w:rPr>
          <w:iCs/>
        </w:rPr>
      </w:pPr>
      <w:r>
        <w:rPr>
          <w:iCs/>
        </w:rPr>
        <w:t>CURRENCY EQUIVALENTS</w:t>
      </w:r>
    </w:p>
    <w:p w14:paraId="7ADEB1A0" w14:textId="77777777" w:rsidR="001E0E8C" w:rsidRDefault="001E0E8C" w:rsidP="001E0E8C">
      <w:pPr>
        <w:tabs>
          <w:tab w:val="left" w:pos="5507"/>
        </w:tabs>
        <w:autoSpaceDE w:val="0"/>
        <w:autoSpaceDN w:val="0"/>
        <w:adjustRightInd w:val="0"/>
        <w:jc w:val="center"/>
        <w:rPr>
          <w:iCs/>
        </w:rPr>
      </w:pPr>
    </w:p>
    <w:p w14:paraId="4C514348" w14:textId="77777777" w:rsidR="001E0E8C" w:rsidRDefault="001E0E8C" w:rsidP="001E0E8C">
      <w:pPr>
        <w:tabs>
          <w:tab w:val="left" w:pos="5507"/>
        </w:tabs>
        <w:autoSpaceDE w:val="0"/>
        <w:autoSpaceDN w:val="0"/>
        <w:adjustRightInd w:val="0"/>
        <w:jc w:val="center"/>
        <w:rPr>
          <w:iCs/>
        </w:rPr>
      </w:pPr>
      <w:r>
        <w:rPr>
          <w:iCs/>
        </w:rPr>
        <w:t>(Exchange Rate Effective</w:t>
      </w:r>
      <w:r w:rsidR="002E2B7C">
        <w:rPr>
          <w:iCs/>
        </w:rPr>
        <w:t xml:space="preserve"> October 25</w:t>
      </w:r>
      <w:r w:rsidR="002E2B7C" w:rsidRPr="002E2B7C">
        <w:rPr>
          <w:iCs/>
          <w:vertAlign w:val="superscript"/>
        </w:rPr>
        <w:t>th</w:t>
      </w:r>
      <w:r w:rsidR="002E2B7C">
        <w:rPr>
          <w:iCs/>
        </w:rPr>
        <w:t>, 2016</w:t>
      </w:r>
      <w:r>
        <w:rPr>
          <w:iCs/>
        </w:rPr>
        <w:t>)</w:t>
      </w:r>
    </w:p>
    <w:p w14:paraId="648EFA3E" w14:textId="77777777" w:rsidR="001E0E8C" w:rsidRDefault="001E0E8C" w:rsidP="001E0E8C">
      <w:pPr>
        <w:tabs>
          <w:tab w:val="left" w:pos="5507"/>
        </w:tabs>
        <w:autoSpaceDE w:val="0"/>
        <w:autoSpaceDN w:val="0"/>
        <w:adjustRightInd w:val="0"/>
        <w:jc w:val="center"/>
        <w:rPr>
          <w:iCs/>
        </w:rPr>
      </w:pPr>
    </w:p>
    <w:p w14:paraId="5C231B9A" w14:textId="77777777" w:rsidR="001E0E8C" w:rsidRPr="002E2B7C" w:rsidRDefault="001E0E8C" w:rsidP="001C00E2">
      <w:pPr>
        <w:tabs>
          <w:tab w:val="right" w:pos="4860"/>
          <w:tab w:val="center" w:pos="5040"/>
          <w:tab w:val="left" w:pos="5220"/>
        </w:tabs>
        <w:autoSpaceDE w:val="0"/>
        <w:autoSpaceDN w:val="0"/>
        <w:adjustRightInd w:val="0"/>
        <w:jc w:val="center"/>
        <w:rPr>
          <w:iCs/>
        </w:rPr>
      </w:pPr>
      <w:r w:rsidRPr="002E2B7C">
        <w:rPr>
          <w:iCs/>
        </w:rPr>
        <w:t>Currency Unit</w:t>
      </w:r>
      <w:r w:rsidR="001C00E2" w:rsidRPr="002E2B7C">
        <w:rPr>
          <w:iCs/>
        </w:rPr>
        <w:t xml:space="preserve"> </w:t>
      </w:r>
      <w:r w:rsidRPr="002E2B7C">
        <w:rPr>
          <w:iCs/>
        </w:rPr>
        <w:t>=</w:t>
      </w:r>
      <w:r w:rsidR="001C00E2" w:rsidRPr="002E2B7C">
        <w:rPr>
          <w:iCs/>
        </w:rPr>
        <w:t xml:space="preserve"> </w:t>
      </w:r>
      <w:bookmarkStart w:id="1" w:name="curuni_fld"/>
      <w:bookmarkEnd w:id="1"/>
      <w:r w:rsidR="002E2B7C" w:rsidRPr="002E2B7C">
        <w:rPr>
          <w:iCs/>
        </w:rPr>
        <w:t>Bangladeshi taka (BDT)</w:t>
      </w:r>
    </w:p>
    <w:p w14:paraId="49E6BF2F" w14:textId="77777777" w:rsidR="001E0E8C" w:rsidRPr="002E2B7C" w:rsidRDefault="002E2B7C" w:rsidP="001C00E2">
      <w:pPr>
        <w:tabs>
          <w:tab w:val="right" w:pos="4860"/>
          <w:tab w:val="center" w:pos="5040"/>
          <w:tab w:val="left" w:pos="5220"/>
        </w:tabs>
        <w:autoSpaceDE w:val="0"/>
        <w:autoSpaceDN w:val="0"/>
        <w:adjustRightInd w:val="0"/>
        <w:jc w:val="center"/>
        <w:rPr>
          <w:iCs/>
        </w:rPr>
      </w:pPr>
      <w:bookmarkStart w:id="2" w:name="curabbr_fld"/>
      <w:bookmarkEnd w:id="2"/>
      <w:r>
        <w:rPr>
          <w:iCs/>
        </w:rPr>
        <w:t>BDT 1.00 = US$ 0.013</w:t>
      </w:r>
    </w:p>
    <w:p w14:paraId="3441388E" w14:textId="77777777" w:rsidR="001E0E8C" w:rsidRPr="002E2B7C" w:rsidRDefault="002E2B7C" w:rsidP="001C00E2">
      <w:pPr>
        <w:tabs>
          <w:tab w:val="right" w:pos="4860"/>
          <w:tab w:val="center" w:pos="5040"/>
          <w:tab w:val="left" w:pos="5220"/>
        </w:tabs>
        <w:autoSpaceDE w:val="0"/>
        <w:autoSpaceDN w:val="0"/>
        <w:adjustRightInd w:val="0"/>
        <w:jc w:val="center"/>
        <w:rPr>
          <w:iCs/>
        </w:rPr>
      </w:pPr>
      <w:r>
        <w:rPr>
          <w:iCs/>
        </w:rPr>
        <w:t xml:space="preserve">US$ 1.00 = BDT 78.26 </w:t>
      </w:r>
    </w:p>
    <w:p w14:paraId="45236831" w14:textId="77777777" w:rsidR="001E0E8C" w:rsidRPr="002F415F" w:rsidRDefault="001E0E8C" w:rsidP="001E0E8C">
      <w:pPr>
        <w:tabs>
          <w:tab w:val="left" w:pos="5507"/>
        </w:tabs>
        <w:autoSpaceDE w:val="0"/>
        <w:autoSpaceDN w:val="0"/>
        <w:adjustRightInd w:val="0"/>
        <w:jc w:val="center"/>
        <w:rPr>
          <w:iCs/>
          <w:highlight w:val="yellow"/>
        </w:rPr>
      </w:pPr>
    </w:p>
    <w:p w14:paraId="7A60FA03" w14:textId="77777777" w:rsidR="001E0E8C" w:rsidRPr="002E2B7C" w:rsidRDefault="001E0E8C" w:rsidP="001E0E8C">
      <w:pPr>
        <w:tabs>
          <w:tab w:val="left" w:pos="5507"/>
        </w:tabs>
        <w:autoSpaceDE w:val="0"/>
        <w:autoSpaceDN w:val="0"/>
        <w:adjustRightInd w:val="0"/>
        <w:jc w:val="center"/>
        <w:rPr>
          <w:iCs/>
        </w:rPr>
      </w:pPr>
      <w:r w:rsidRPr="002E2B7C">
        <w:rPr>
          <w:iCs/>
        </w:rPr>
        <w:t>FISCAL YEAR</w:t>
      </w:r>
    </w:p>
    <w:p w14:paraId="7564399A" w14:textId="77777777" w:rsidR="002E2B7C" w:rsidRDefault="002E2B7C" w:rsidP="001E0E8C">
      <w:pPr>
        <w:tabs>
          <w:tab w:val="left" w:pos="5507"/>
        </w:tabs>
        <w:autoSpaceDE w:val="0"/>
        <w:autoSpaceDN w:val="0"/>
        <w:adjustRightInd w:val="0"/>
        <w:jc w:val="center"/>
        <w:rPr>
          <w:iCs/>
        </w:rPr>
      </w:pPr>
      <w:r w:rsidRPr="002E2B7C">
        <w:rPr>
          <w:iCs/>
        </w:rPr>
        <w:t>July 1 to June 30</w:t>
      </w:r>
    </w:p>
    <w:p w14:paraId="2102B42B" w14:textId="77777777" w:rsidR="001E0E8C" w:rsidRDefault="001E0E8C" w:rsidP="001E0E8C">
      <w:pPr>
        <w:tabs>
          <w:tab w:val="left" w:pos="5507"/>
        </w:tabs>
        <w:autoSpaceDE w:val="0"/>
        <w:autoSpaceDN w:val="0"/>
        <w:adjustRightInd w:val="0"/>
        <w:jc w:val="center"/>
        <w:rPr>
          <w:iCs/>
        </w:rPr>
      </w:pPr>
      <w:bookmarkStart w:id="3" w:name="fisyea_fld"/>
      <w:bookmarkEnd w:id="3"/>
    </w:p>
    <w:p w14:paraId="7FC6ACC2" w14:textId="77777777" w:rsidR="001E0E8C" w:rsidRDefault="001E0E8C" w:rsidP="001E0E8C">
      <w:pPr>
        <w:tabs>
          <w:tab w:val="left" w:pos="5507"/>
        </w:tabs>
        <w:autoSpaceDE w:val="0"/>
        <w:autoSpaceDN w:val="0"/>
        <w:adjustRightInd w:val="0"/>
        <w:jc w:val="center"/>
        <w:rPr>
          <w:iCs/>
        </w:rPr>
      </w:pPr>
    </w:p>
    <w:p w14:paraId="03DE9833" w14:textId="77777777" w:rsidR="001E0E8C" w:rsidRDefault="001E0E8C" w:rsidP="001E0E8C">
      <w:pPr>
        <w:tabs>
          <w:tab w:val="left" w:pos="5507"/>
        </w:tabs>
        <w:autoSpaceDE w:val="0"/>
        <w:autoSpaceDN w:val="0"/>
        <w:adjustRightInd w:val="0"/>
        <w:jc w:val="center"/>
        <w:rPr>
          <w:iCs/>
        </w:rPr>
      </w:pPr>
      <w:r>
        <w:rPr>
          <w:iCs/>
        </w:rPr>
        <w:t>ABBREVIATIONS AND ACRONYMS</w:t>
      </w:r>
    </w:p>
    <w:tbl>
      <w:tblPr>
        <w:tblStyle w:val="TableGrid"/>
        <w:tblW w:w="8725" w:type="dxa"/>
        <w:tblLook w:val="04A0" w:firstRow="1" w:lastRow="0" w:firstColumn="1" w:lastColumn="0" w:noHBand="0" w:noVBand="1"/>
      </w:tblPr>
      <w:tblGrid>
        <w:gridCol w:w="1075"/>
        <w:gridCol w:w="3330"/>
        <w:gridCol w:w="1170"/>
        <w:gridCol w:w="3150"/>
      </w:tblGrid>
      <w:tr w:rsidR="004E30FD" w14:paraId="09D09289" w14:textId="7CE6E32B" w:rsidTr="004E30FD">
        <w:trPr>
          <w:trHeight w:val="288"/>
        </w:trPr>
        <w:tc>
          <w:tcPr>
            <w:tcW w:w="1075" w:type="dxa"/>
          </w:tcPr>
          <w:p w14:paraId="0D818A9D"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 xml:space="preserve">CAR </w:t>
            </w:r>
          </w:p>
        </w:tc>
        <w:tc>
          <w:tcPr>
            <w:tcW w:w="3330" w:type="dxa"/>
          </w:tcPr>
          <w:p w14:paraId="3DAF5159"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Children at Risk</w:t>
            </w:r>
          </w:p>
        </w:tc>
        <w:tc>
          <w:tcPr>
            <w:tcW w:w="1170" w:type="dxa"/>
          </w:tcPr>
          <w:p w14:paraId="420A101A" w14:textId="2E1D7592" w:rsidR="004E30FD" w:rsidRPr="005A311F" w:rsidRDefault="004E30FD" w:rsidP="004E30FD">
            <w:pPr>
              <w:tabs>
                <w:tab w:val="left" w:pos="5507"/>
              </w:tabs>
              <w:autoSpaceDE w:val="0"/>
              <w:autoSpaceDN w:val="0"/>
              <w:adjustRightInd w:val="0"/>
              <w:jc w:val="right"/>
              <w:rPr>
                <w:iCs/>
                <w:sz w:val="20"/>
                <w:szCs w:val="20"/>
              </w:rPr>
            </w:pPr>
            <w:r>
              <w:rPr>
                <w:iCs/>
                <w:sz w:val="20"/>
                <w:szCs w:val="20"/>
              </w:rPr>
              <w:t>MOSW</w:t>
            </w:r>
          </w:p>
        </w:tc>
        <w:tc>
          <w:tcPr>
            <w:tcW w:w="3150" w:type="dxa"/>
          </w:tcPr>
          <w:p w14:paraId="40A5D737" w14:textId="3B342AF2" w:rsidR="004E30FD" w:rsidRPr="005A311F" w:rsidRDefault="004E30FD" w:rsidP="004E30FD">
            <w:pPr>
              <w:tabs>
                <w:tab w:val="left" w:pos="5507"/>
              </w:tabs>
              <w:autoSpaceDE w:val="0"/>
              <w:autoSpaceDN w:val="0"/>
              <w:adjustRightInd w:val="0"/>
              <w:rPr>
                <w:iCs/>
                <w:sz w:val="20"/>
                <w:szCs w:val="20"/>
              </w:rPr>
            </w:pPr>
            <w:r>
              <w:rPr>
                <w:iCs/>
                <w:sz w:val="20"/>
                <w:szCs w:val="20"/>
              </w:rPr>
              <w:t xml:space="preserve">Ministry of Social Welfare </w:t>
            </w:r>
          </w:p>
        </w:tc>
      </w:tr>
      <w:tr w:rsidR="004E30FD" w14:paraId="48FA30AB" w14:textId="353E36B7" w:rsidTr="004E30FD">
        <w:tc>
          <w:tcPr>
            <w:tcW w:w="1075" w:type="dxa"/>
          </w:tcPr>
          <w:p w14:paraId="21924506"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CAS</w:t>
            </w:r>
          </w:p>
        </w:tc>
        <w:tc>
          <w:tcPr>
            <w:tcW w:w="3330" w:type="dxa"/>
          </w:tcPr>
          <w:p w14:paraId="036EB3F3"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Country Assistance Strategy</w:t>
            </w:r>
          </w:p>
        </w:tc>
        <w:tc>
          <w:tcPr>
            <w:tcW w:w="1170" w:type="dxa"/>
          </w:tcPr>
          <w:p w14:paraId="26A7B963" w14:textId="5B6055A3" w:rsidR="004E30FD" w:rsidRPr="005A311F" w:rsidRDefault="004E30FD" w:rsidP="004E30FD">
            <w:pPr>
              <w:tabs>
                <w:tab w:val="left" w:pos="5507"/>
              </w:tabs>
              <w:autoSpaceDE w:val="0"/>
              <w:autoSpaceDN w:val="0"/>
              <w:adjustRightInd w:val="0"/>
              <w:jc w:val="right"/>
              <w:rPr>
                <w:iCs/>
                <w:sz w:val="20"/>
                <w:szCs w:val="20"/>
              </w:rPr>
            </w:pPr>
            <w:r>
              <w:rPr>
                <w:iCs/>
                <w:sz w:val="20"/>
                <w:szCs w:val="20"/>
              </w:rPr>
              <w:t>MTRV</w:t>
            </w:r>
          </w:p>
        </w:tc>
        <w:tc>
          <w:tcPr>
            <w:tcW w:w="3150" w:type="dxa"/>
          </w:tcPr>
          <w:p w14:paraId="2EC5ED3D" w14:textId="19C2323F" w:rsidR="004E30FD" w:rsidRPr="005A311F" w:rsidRDefault="004E30FD" w:rsidP="004E30FD">
            <w:pPr>
              <w:tabs>
                <w:tab w:val="left" w:pos="5507"/>
              </w:tabs>
              <w:autoSpaceDE w:val="0"/>
              <w:autoSpaceDN w:val="0"/>
              <w:adjustRightInd w:val="0"/>
              <w:rPr>
                <w:iCs/>
                <w:sz w:val="20"/>
                <w:szCs w:val="20"/>
              </w:rPr>
            </w:pPr>
            <w:r>
              <w:rPr>
                <w:iCs/>
                <w:sz w:val="20"/>
                <w:szCs w:val="20"/>
              </w:rPr>
              <w:t>Mobile Therapy Rehabilitation Van</w:t>
            </w:r>
          </w:p>
        </w:tc>
      </w:tr>
      <w:tr w:rsidR="004E30FD" w14:paraId="133F8B9D" w14:textId="7A2B0011" w:rsidTr="004E30FD">
        <w:tc>
          <w:tcPr>
            <w:tcW w:w="1075" w:type="dxa"/>
          </w:tcPr>
          <w:p w14:paraId="4129DD39"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CPF</w:t>
            </w:r>
          </w:p>
        </w:tc>
        <w:tc>
          <w:tcPr>
            <w:tcW w:w="3330" w:type="dxa"/>
          </w:tcPr>
          <w:p w14:paraId="7E18AA05"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Country Partnership Framework</w:t>
            </w:r>
          </w:p>
        </w:tc>
        <w:tc>
          <w:tcPr>
            <w:tcW w:w="1170" w:type="dxa"/>
          </w:tcPr>
          <w:p w14:paraId="43DB6B9F" w14:textId="4A0E612B" w:rsidR="004E30FD" w:rsidRPr="005A311F" w:rsidRDefault="004E30FD" w:rsidP="004E30FD">
            <w:pPr>
              <w:tabs>
                <w:tab w:val="left" w:pos="5507"/>
              </w:tabs>
              <w:autoSpaceDE w:val="0"/>
              <w:autoSpaceDN w:val="0"/>
              <w:adjustRightInd w:val="0"/>
              <w:jc w:val="right"/>
              <w:rPr>
                <w:iCs/>
                <w:sz w:val="20"/>
                <w:szCs w:val="20"/>
              </w:rPr>
            </w:pPr>
            <w:r>
              <w:rPr>
                <w:iCs/>
                <w:sz w:val="20"/>
                <w:szCs w:val="20"/>
              </w:rPr>
              <w:t>NFOWD</w:t>
            </w:r>
          </w:p>
        </w:tc>
        <w:tc>
          <w:tcPr>
            <w:tcW w:w="3150" w:type="dxa"/>
          </w:tcPr>
          <w:p w14:paraId="5EAE943E" w14:textId="24B29700" w:rsidR="004E30FD" w:rsidRPr="005A311F" w:rsidRDefault="004E30FD" w:rsidP="004E30FD">
            <w:pPr>
              <w:tabs>
                <w:tab w:val="left" w:pos="5507"/>
              </w:tabs>
              <w:autoSpaceDE w:val="0"/>
              <w:autoSpaceDN w:val="0"/>
              <w:adjustRightInd w:val="0"/>
              <w:rPr>
                <w:iCs/>
                <w:sz w:val="20"/>
                <w:szCs w:val="20"/>
              </w:rPr>
            </w:pPr>
            <w:r>
              <w:rPr>
                <w:iCs/>
                <w:sz w:val="20"/>
                <w:szCs w:val="20"/>
              </w:rPr>
              <w:t xml:space="preserve">National Forum for Organizations Working with Disability </w:t>
            </w:r>
          </w:p>
        </w:tc>
      </w:tr>
      <w:tr w:rsidR="004E30FD" w14:paraId="4E8C318B" w14:textId="6A7A0954" w:rsidTr="004E30FD">
        <w:tc>
          <w:tcPr>
            <w:tcW w:w="1075" w:type="dxa"/>
          </w:tcPr>
          <w:p w14:paraId="07DBBB03"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DCAR</w:t>
            </w:r>
          </w:p>
        </w:tc>
        <w:tc>
          <w:tcPr>
            <w:tcW w:w="3330" w:type="dxa"/>
          </w:tcPr>
          <w:p w14:paraId="13A225AE"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 xml:space="preserve">Disability and Children at Risk Project </w:t>
            </w:r>
          </w:p>
        </w:tc>
        <w:tc>
          <w:tcPr>
            <w:tcW w:w="1170" w:type="dxa"/>
          </w:tcPr>
          <w:p w14:paraId="02D2687A" w14:textId="72578F72" w:rsidR="004E30FD" w:rsidRPr="005A311F" w:rsidRDefault="004E30FD" w:rsidP="004E30FD">
            <w:pPr>
              <w:tabs>
                <w:tab w:val="left" w:pos="5507"/>
              </w:tabs>
              <w:autoSpaceDE w:val="0"/>
              <w:autoSpaceDN w:val="0"/>
              <w:adjustRightInd w:val="0"/>
              <w:jc w:val="right"/>
              <w:rPr>
                <w:iCs/>
                <w:sz w:val="20"/>
                <w:szCs w:val="20"/>
              </w:rPr>
            </w:pPr>
            <w:r>
              <w:rPr>
                <w:iCs/>
                <w:sz w:val="20"/>
                <w:szCs w:val="20"/>
              </w:rPr>
              <w:t xml:space="preserve">NGO </w:t>
            </w:r>
          </w:p>
        </w:tc>
        <w:tc>
          <w:tcPr>
            <w:tcW w:w="3150" w:type="dxa"/>
          </w:tcPr>
          <w:p w14:paraId="66C4D08D" w14:textId="24270E50" w:rsidR="004E30FD" w:rsidRPr="005A311F" w:rsidRDefault="004E30FD" w:rsidP="004E30FD">
            <w:pPr>
              <w:tabs>
                <w:tab w:val="left" w:pos="5507"/>
              </w:tabs>
              <w:autoSpaceDE w:val="0"/>
              <w:autoSpaceDN w:val="0"/>
              <w:adjustRightInd w:val="0"/>
              <w:rPr>
                <w:iCs/>
                <w:sz w:val="20"/>
                <w:szCs w:val="20"/>
              </w:rPr>
            </w:pPr>
            <w:r>
              <w:rPr>
                <w:iCs/>
                <w:sz w:val="20"/>
                <w:szCs w:val="20"/>
              </w:rPr>
              <w:t>Non-Governmental Organization</w:t>
            </w:r>
          </w:p>
        </w:tc>
      </w:tr>
      <w:tr w:rsidR="004E30FD" w14:paraId="020A217D" w14:textId="2781A6C9" w:rsidTr="004E30FD">
        <w:tc>
          <w:tcPr>
            <w:tcW w:w="1075" w:type="dxa"/>
          </w:tcPr>
          <w:p w14:paraId="73557736"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DPO</w:t>
            </w:r>
          </w:p>
        </w:tc>
        <w:tc>
          <w:tcPr>
            <w:tcW w:w="3330" w:type="dxa"/>
          </w:tcPr>
          <w:p w14:paraId="30CB4B07"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Disabled People’s Organization</w:t>
            </w:r>
          </w:p>
        </w:tc>
        <w:tc>
          <w:tcPr>
            <w:tcW w:w="1170" w:type="dxa"/>
          </w:tcPr>
          <w:p w14:paraId="32D5AFDD" w14:textId="4A6ECC9B" w:rsidR="004E30FD" w:rsidRPr="005A311F" w:rsidRDefault="004E30FD" w:rsidP="004E30FD">
            <w:pPr>
              <w:tabs>
                <w:tab w:val="left" w:pos="5507"/>
              </w:tabs>
              <w:autoSpaceDE w:val="0"/>
              <w:autoSpaceDN w:val="0"/>
              <w:adjustRightInd w:val="0"/>
              <w:jc w:val="right"/>
              <w:rPr>
                <w:iCs/>
                <w:sz w:val="20"/>
                <w:szCs w:val="20"/>
              </w:rPr>
            </w:pPr>
            <w:r>
              <w:rPr>
                <w:iCs/>
                <w:sz w:val="20"/>
                <w:szCs w:val="20"/>
              </w:rPr>
              <w:t>NSSA</w:t>
            </w:r>
          </w:p>
        </w:tc>
        <w:tc>
          <w:tcPr>
            <w:tcW w:w="3150" w:type="dxa"/>
          </w:tcPr>
          <w:p w14:paraId="33E846A3" w14:textId="43D41292" w:rsidR="004E30FD" w:rsidRPr="005A311F" w:rsidRDefault="004E30FD" w:rsidP="004E30FD">
            <w:pPr>
              <w:tabs>
                <w:tab w:val="left" w:pos="5507"/>
              </w:tabs>
              <w:autoSpaceDE w:val="0"/>
              <w:autoSpaceDN w:val="0"/>
              <w:adjustRightInd w:val="0"/>
              <w:rPr>
                <w:iCs/>
                <w:sz w:val="20"/>
                <w:szCs w:val="20"/>
              </w:rPr>
            </w:pPr>
            <w:r>
              <w:rPr>
                <w:iCs/>
                <w:sz w:val="20"/>
                <w:szCs w:val="20"/>
              </w:rPr>
              <w:t>National Social Security Academy</w:t>
            </w:r>
          </w:p>
        </w:tc>
      </w:tr>
      <w:tr w:rsidR="004E30FD" w14:paraId="09DA52FA" w14:textId="70EA97FB" w:rsidTr="004E30FD">
        <w:tc>
          <w:tcPr>
            <w:tcW w:w="1075" w:type="dxa"/>
          </w:tcPr>
          <w:p w14:paraId="59B378FF"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DPP</w:t>
            </w:r>
          </w:p>
        </w:tc>
        <w:tc>
          <w:tcPr>
            <w:tcW w:w="3330" w:type="dxa"/>
          </w:tcPr>
          <w:p w14:paraId="5535BE82"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Development Project Proposal</w:t>
            </w:r>
          </w:p>
        </w:tc>
        <w:tc>
          <w:tcPr>
            <w:tcW w:w="1170" w:type="dxa"/>
          </w:tcPr>
          <w:p w14:paraId="0B1DD5D6" w14:textId="17AC30AD" w:rsidR="004E30FD" w:rsidRPr="005A311F" w:rsidRDefault="004E30FD" w:rsidP="004E30FD">
            <w:pPr>
              <w:tabs>
                <w:tab w:val="left" w:pos="5507"/>
              </w:tabs>
              <w:autoSpaceDE w:val="0"/>
              <w:autoSpaceDN w:val="0"/>
              <w:adjustRightInd w:val="0"/>
              <w:jc w:val="right"/>
              <w:rPr>
                <w:iCs/>
                <w:sz w:val="20"/>
                <w:szCs w:val="20"/>
              </w:rPr>
            </w:pPr>
            <w:r>
              <w:rPr>
                <w:iCs/>
                <w:sz w:val="20"/>
                <w:szCs w:val="20"/>
              </w:rPr>
              <w:t>NSSS</w:t>
            </w:r>
          </w:p>
        </w:tc>
        <w:tc>
          <w:tcPr>
            <w:tcW w:w="3150" w:type="dxa"/>
          </w:tcPr>
          <w:p w14:paraId="72D55DEF" w14:textId="39D94DF2" w:rsidR="004E30FD" w:rsidRPr="005A311F" w:rsidRDefault="004E30FD" w:rsidP="004E30FD">
            <w:pPr>
              <w:tabs>
                <w:tab w:val="left" w:pos="5507"/>
              </w:tabs>
              <w:autoSpaceDE w:val="0"/>
              <w:autoSpaceDN w:val="0"/>
              <w:adjustRightInd w:val="0"/>
              <w:rPr>
                <w:iCs/>
                <w:sz w:val="20"/>
                <w:szCs w:val="20"/>
              </w:rPr>
            </w:pPr>
            <w:r>
              <w:rPr>
                <w:iCs/>
                <w:sz w:val="20"/>
                <w:szCs w:val="20"/>
              </w:rPr>
              <w:t>National Social Security Strategy</w:t>
            </w:r>
          </w:p>
        </w:tc>
      </w:tr>
      <w:tr w:rsidR="004E30FD" w14:paraId="15677509" w14:textId="7E818D6F" w:rsidTr="004E30FD">
        <w:tc>
          <w:tcPr>
            <w:tcW w:w="1075" w:type="dxa"/>
          </w:tcPr>
          <w:p w14:paraId="17ADFAD1"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DSC</w:t>
            </w:r>
          </w:p>
        </w:tc>
        <w:tc>
          <w:tcPr>
            <w:tcW w:w="3330" w:type="dxa"/>
          </w:tcPr>
          <w:p w14:paraId="087BEE09"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Disability Service Center</w:t>
            </w:r>
          </w:p>
        </w:tc>
        <w:tc>
          <w:tcPr>
            <w:tcW w:w="1170" w:type="dxa"/>
          </w:tcPr>
          <w:p w14:paraId="49109D5D" w14:textId="3BACA2F3" w:rsidR="004E30FD" w:rsidRPr="005A311F" w:rsidRDefault="004E30FD" w:rsidP="004E30FD">
            <w:pPr>
              <w:tabs>
                <w:tab w:val="left" w:pos="5507"/>
              </w:tabs>
              <w:autoSpaceDE w:val="0"/>
              <w:autoSpaceDN w:val="0"/>
              <w:adjustRightInd w:val="0"/>
              <w:jc w:val="right"/>
              <w:rPr>
                <w:iCs/>
                <w:sz w:val="20"/>
                <w:szCs w:val="20"/>
              </w:rPr>
            </w:pPr>
            <w:r>
              <w:rPr>
                <w:iCs/>
                <w:sz w:val="20"/>
                <w:szCs w:val="20"/>
              </w:rPr>
              <w:t>PAD</w:t>
            </w:r>
          </w:p>
        </w:tc>
        <w:tc>
          <w:tcPr>
            <w:tcW w:w="3150" w:type="dxa"/>
          </w:tcPr>
          <w:p w14:paraId="4B1BE604" w14:textId="68F4101A" w:rsidR="004E30FD" w:rsidRPr="005A311F" w:rsidRDefault="004E30FD" w:rsidP="004E30FD">
            <w:pPr>
              <w:tabs>
                <w:tab w:val="left" w:pos="5507"/>
              </w:tabs>
              <w:autoSpaceDE w:val="0"/>
              <w:autoSpaceDN w:val="0"/>
              <w:adjustRightInd w:val="0"/>
              <w:rPr>
                <w:iCs/>
                <w:sz w:val="20"/>
                <w:szCs w:val="20"/>
              </w:rPr>
            </w:pPr>
            <w:r>
              <w:rPr>
                <w:iCs/>
                <w:sz w:val="20"/>
                <w:szCs w:val="20"/>
              </w:rPr>
              <w:t>Project Appraisal Document</w:t>
            </w:r>
          </w:p>
        </w:tc>
      </w:tr>
      <w:tr w:rsidR="004E30FD" w14:paraId="7B37AC39" w14:textId="085409B0" w:rsidTr="004E30FD">
        <w:tc>
          <w:tcPr>
            <w:tcW w:w="1075" w:type="dxa"/>
          </w:tcPr>
          <w:p w14:paraId="3D01A2BA"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 xml:space="preserve">DSS </w:t>
            </w:r>
          </w:p>
        </w:tc>
        <w:tc>
          <w:tcPr>
            <w:tcW w:w="3330" w:type="dxa"/>
          </w:tcPr>
          <w:p w14:paraId="02CC85DA"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Department of Social Services</w:t>
            </w:r>
          </w:p>
        </w:tc>
        <w:tc>
          <w:tcPr>
            <w:tcW w:w="1170" w:type="dxa"/>
          </w:tcPr>
          <w:p w14:paraId="32E952F4" w14:textId="761AAEC0" w:rsidR="004E30FD" w:rsidRPr="005A311F" w:rsidRDefault="004E30FD" w:rsidP="004E30FD">
            <w:pPr>
              <w:tabs>
                <w:tab w:val="left" w:pos="5507"/>
              </w:tabs>
              <w:autoSpaceDE w:val="0"/>
              <w:autoSpaceDN w:val="0"/>
              <w:adjustRightInd w:val="0"/>
              <w:jc w:val="right"/>
              <w:rPr>
                <w:iCs/>
                <w:sz w:val="20"/>
                <w:szCs w:val="20"/>
              </w:rPr>
            </w:pPr>
            <w:r>
              <w:rPr>
                <w:iCs/>
                <w:sz w:val="20"/>
                <w:szCs w:val="20"/>
              </w:rPr>
              <w:t xml:space="preserve">PCAR </w:t>
            </w:r>
          </w:p>
        </w:tc>
        <w:tc>
          <w:tcPr>
            <w:tcW w:w="3150" w:type="dxa"/>
          </w:tcPr>
          <w:p w14:paraId="1B045D70" w14:textId="78AEFEDF" w:rsidR="004E30FD" w:rsidRPr="005A311F" w:rsidRDefault="004E30FD" w:rsidP="004E30FD">
            <w:pPr>
              <w:tabs>
                <w:tab w:val="left" w:pos="5507"/>
              </w:tabs>
              <w:autoSpaceDE w:val="0"/>
              <w:autoSpaceDN w:val="0"/>
              <w:adjustRightInd w:val="0"/>
              <w:rPr>
                <w:iCs/>
                <w:sz w:val="20"/>
                <w:szCs w:val="20"/>
              </w:rPr>
            </w:pPr>
            <w:r>
              <w:rPr>
                <w:iCs/>
                <w:sz w:val="20"/>
                <w:szCs w:val="20"/>
              </w:rPr>
              <w:t>Protection of Children at Risk</w:t>
            </w:r>
          </w:p>
        </w:tc>
      </w:tr>
      <w:tr w:rsidR="004E30FD" w14:paraId="0604F8CE" w14:textId="11814385" w:rsidTr="004E30FD">
        <w:tc>
          <w:tcPr>
            <w:tcW w:w="1075" w:type="dxa"/>
          </w:tcPr>
          <w:p w14:paraId="21D6F11C"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ERD</w:t>
            </w:r>
          </w:p>
        </w:tc>
        <w:tc>
          <w:tcPr>
            <w:tcW w:w="3330" w:type="dxa"/>
          </w:tcPr>
          <w:p w14:paraId="4DEC8707"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Economic Relations Division</w:t>
            </w:r>
          </w:p>
        </w:tc>
        <w:tc>
          <w:tcPr>
            <w:tcW w:w="1170" w:type="dxa"/>
          </w:tcPr>
          <w:p w14:paraId="38623D30" w14:textId="6C74AC6B" w:rsidR="004E30FD" w:rsidRPr="005A311F" w:rsidRDefault="004E30FD" w:rsidP="004E30FD">
            <w:pPr>
              <w:tabs>
                <w:tab w:val="left" w:pos="5507"/>
              </w:tabs>
              <w:autoSpaceDE w:val="0"/>
              <w:autoSpaceDN w:val="0"/>
              <w:adjustRightInd w:val="0"/>
              <w:jc w:val="right"/>
              <w:rPr>
                <w:iCs/>
                <w:sz w:val="20"/>
                <w:szCs w:val="20"/>
              </w:rPr>
            </w:pPr>
            <w:r>
              <w:rPr>
                <w:iCs/>
                <w:sz w:val="20"/>
                <w:szCs w:val="20"/>
              </w:rPr>
              <w:t xml:space="preserve">PDO </w:t>
            </w:r>
          </w:p>
        </w:tc>
        <w:tc>
          <w:tcPr>
            <w:tcW w:w="3150" w:type="dxa"/>
          </w:tcPr>
          <w:p w14:paraId="2707F0C7" w14:textId="53076501" w:rsidR="004E30FD" w:rsidRPr="005A311F" w:rsidRDefault="004E30FD" w:rsidP="004E30FD">
            <w:pPr>
              <w:tabs>
                <w:tab w:val="left" w:pos="5507"/>
              </w:tabs>
              <w:autoSpaceDE w:val="0"/>
              <w:autoSpaceDN w:val="0"/>
              <w:adjustRightInd w:val="0"/>
              <w:rPr>
                <w:iCs/>
                <w:sz w:val="20"/>
                <w:szCs w:val="20"/>
              </w:rPr>
            </w:pPr>
            <w:r>
              <w:rPr>
                <w:iCs/>
                <w:sz w:val="20"/>
                <w:szCs w:val="20"/>
              </w:rPr>
              <w:t>Project Development Objective</w:t>
            </w:r>
          </w:p>
        </w:tc>
      </w:tr>
      <w:tr w:rsidR="004E30FD" w14:paraId="23238697" w14:textId="76ACC341" w:rsidTr="004E30FD">
        <w:tc>
          <w:tcPr>
            <w:tcW w:w="1075" w:type="dxa"/>
          </w:tcPr>
          <w:p w14:paraId="07C9A179"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FM</w:t>
            </w:r>
          </w:p>
        </w:tc>
        <w:tc>
          <w:tcPr>
            <w:tcW w:w="3330" w:type="dxa"/>
          </w:tcPr>
          <w:p w14:paraId="5D445FFE"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 xml:space="preserve">Financial Management </w:t>
            </w:r>
          </w:p>
        </w:tc>
        <w:tc>
          <w:tcPr>
            <w:tcW w:w="1170" w:type="dxa"/>
          </w:tcPr>
          <w:p w14:paraId="37F33312" w14:textId="5DBAB300" w:rsidR="004E30FD" w:rsidRPr="005A311F" w:rsidRDefault="004E30FD" w:rsidP="004E30FD">
            <w:pPr>
              <w:tabs>
                <w:tab w:val="left" w:pos="5507"/>
              </w:tabs>
              <w:autoSpaceDE w:val="0"/>
              <w:autoSpaceDN w:val="0"/>
              <w:adjustRightInd w:val="0"/>
              <w:jc w:val="right"/>
              <w:rPr>
                <w:iCs/>
                <w:sz w:val="20"/>
                <w:szCs w:val="20"/>
              </w:rPr>
            </w:pPr>
            <w:r>
              <w:rPr>
                <w:iCs/>
                <w:sz w:val="20"/>
                <w:szCs w:val="20"/>
              </w:rPr>
              <w:t xml:space="preserve">PIU </w:t>
            </w:r>
          </w:p>
        </w:tc>
        <w:tc>
          <w:tcPr>
            <w:tcW w:w="3150" w:type="dxa"/>
          </w:tcPr>
          <w:p w14:paraId="5CCB80F5" w14:textId="5E71E675" w:rsidR="004E30FD" w:rsidRPr="005A311F" w:rsidRDefault="004E30FD" w:rsidP="004E30FD">
            <w:pPr>
              <w:tabs>
                <w:tab w:val="left" w:pos="5507"/>
              </w:tabs>
              <w:autoSpaceDE w:val="0"/>
              <w:autoSpaceDN w:val="0"/>
              <w:adjustRightInd w:val="0"/>
              <w:rPr>
                <w:iCs/>
                <w:sz w:val="20"/>
                <w:szCs w:val="20"/>
              </w:rPr>
            </w:pPr>
            <w:r>
              <w:rPr>
                <w:iCs/>
                <w:sz w:val="20"/>
                <w:szCs w:val="20"/>
              </w:rPr>
              <w:t>Project Implementation Unite</w:t>
            </w:r>
          </w:p>
        </w:tc>
      </w:tr>
      <w:tr w:rsidR="004E30FD" w14:paraId="5F5E8A1B" w14:textId="061F2A06" w:rsidTr="004E30FD">
        <w:tc>
          <w:tcPr>
            <w:tcW w:w="1075" w:type="dxa"/>
          </w:tcPr>
          <w:p w14:paraId="24EF173D"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FY</w:t>
            </w:r>
          </w:p>
        </w:tc>
        <w:tc>
          <w:tcPr>
            <w:tcW w:w="3330" w:type="dxa"/>
          </w:tcPr>
          <w:p w14:paraId="035B4479"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Financial Year</w:t>
            </w:r>
          </w:p>
        </w:tc>
        <w:tc>
          <w:tcPr>
            <w:tcW w:w="1170" w:type="dxa"/>
          </w:tcPr>
          <w:p w14:paraId="479EB0D7" w14:textId="52A30014" w:rsidR="004E30FD" w:rsidRPr="005A311F" w:rsidRDefault="004E30FD" w:rsidP="004E30FD">
            <w:pPr>
              <w:tabs>
                <w:tab w:val="left" w:pos="5507"/>
              </w:tabs>
              <w:autoSpaceDE w:val="0"/>
              <w:autoSpaceDN w:val="0"/>
              <w:adjustRightInd w:val="0"/>
              <w:jc w:val="right"/>
              <w:rPr>
                <w:iCs/>
                <w:sz w:val="20"/>
                <w:szCs w:val="20"/>
              </w:rPr>
            </w:pPr>
            <w:r>
              <w:rPr>
                <w:iCs/>
                <w:sz w:val="20"/>
                <w:szCs w:val="20"/>
              </w:rPr>
              <w:t>PKSF</w:t>
            </w:r>
          </w:p>
        </w:tc>
        <w:tc>
          <w:tcPr>
            <w:tcW w:w="3150" w:type="dxa"/>
          </w:tcPr>
          <w:p w14:paraId="749BD4AF" w14:textId="5246D67B" w:rsidR="004E30FD" w:rsidRPr="005A311F" w:rsidRDefault="004E30FD" w:rsidP="004E30FD">
            <w:pPr>
              <w:tabs>
                <w:tab w:val="left" w:pos="5507"/>
              </w:tabs>
              <w:autoSpaceDE w:val="0"/>
              <w:autoSpaceDN w:val="0"/>
              <w:adjustRightInd w:val="0"/>
              <w:rPr>
                <w:iCs/>
                <w:sz w:val="20"/>
                <w:szCs w:val="20"/>
              </w:rPr>
            </w:pPr>
            <w:r>
              <w:rPr>
                <w:iCs/>
                <w:sz w:val="20"/>
                <w:szCs w:val="20"/>
              </w:rPr>
              <w:t>Palli Karma Sahayak Foundation</w:t>
            </w:r>
          </w:p>
        </w:tc>
      </w:tr>
      <w:tr w:rsidR="004E30FD" w14:paraId="26907498" w14:textId="193B39BC" w:rsidTr="004E30FD">
        <w:tc>
          <w:tcPr>
            <w:tcW w:w="1075" w:type="dxa"/>
          </w:tcPr>
          <w:p w14:paraId="48E517D5"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FYP</w:t>
            </w:r>
          </w:p>
        </w:tc>
        <w:tc>
          <w:tcPr>
            <w:tcW w:w="3330" w:type="dxa"/>
          </w:tcPr>
          <w:p w14:paraId="17D0210B"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Five Year Plan</w:t>
            </w:r>
          </w:p>
        </w:tc>
        <w:tc>
          <w:tcPr>
            <w:tcW w:w="1170" w:type="dxa"/>
          </w:tcPr>
          <w:p w14:paraId="5D84BF42" w14:textId="029F1703" w:rsidR="004E30FD" w:rsidRPr="005A311F" w:rsidRDefault="004E30FD" w:rsidP="004E30FD">
            <w:pPr>
              <w:tabs>
                <w:tab w:val="left" w:pos="5507"/>
              </w:tabs>
              <w:autoSpaceDE w:val="0"/>
              <w:autoSpaceDN w:val="0"/>
              <w:adjustRightInd w:val="0"/>
              <w:jc w:val="right"/>
              <w:rPr>
                <w:iCs/>
                <w:sz w:val="20"/>
                <w:szCs w:val="20"/>
              </w:rPr>
            </w:pPr>
            <w:r>
              <w:rPr>
                <w:iCs/>
                <w:sz w:val="20"/>
                <w:szCs w:val="20"/>
              </w:rPr>
              <w:t>PRMF</w:t>
            </w:r>
          </w:p>
        </w:tc>
        <w:tc>
          <w:tcPr>
            <w:tcW w:w="3150" w:type="dxa"/>
          </w:tcPr>
          <w:p w14:paraId="10229407" w14:textId="2C4277E7" w:rsidR="004E30FD" w:rsidRPr="005A311F" w:rsidRDefault="004E30FD" w:rsidP="004E30FD">
            <w:pPr>
              <w:tabs>
                <w:tab w:val="left" w:pos="5507"/>
              </w:tabs>
              <w:autoSpaceDE w:val="0"/>
              <w:autoSpaceDN w:val="0"/>
              <w:adjustRightInd w:val="0"/>
              <w:rPr>
                <w:iCs/>
                <w:sz w:val="20"/>
                <w:szCs w:val="20"/>
              </w:rPr>
            </w:pPr>
            <w:r>
              <w:rPr>
                <w:iCs/>
                <w:sz w:val="20"/>
                <w:szCs w:val="20"/>
              </w:rPr>
              <w:t xml:space="preserve">Procurement Risk Mitigation Framework </w:t>
            </w:r>
          </w:p>
        </w:tc>
      </w:tr>
      <w:tr w:rsidR="004E30FD" w14:paraId="7A1E6579" w14:textId="199582E6" w:rsidTr="004E30FD">
        <w:tc>
          <w:tcPr>
            <w:tcW w:w="1075" w:type="dxa"/>
          </w:tcPr>
          <w:p w14:paraId="0ED5BDA5"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GOB</w:t>
            </w:r>
          </w:p>
        </w:tc>
        <w:tc>
          <w:tcPr>
            <w:tcW w:w="3330" w:type="dxa"/>
          </w:tcPr>
          <w:p w14:paraId="38D90EED"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Government of Bangladesh</w:t>
            </w:r>
          </w:p>
        </w:tc>
        <w:tc>
          <w:tcPr>
            <w:tcW w:w="1170" w:type="dxa"/>
          </w:tcPr>
          <w:p w14:paraId="44B0A175" w14:textId="0CFE9A09" w:rsidR="004E30FD" w:rsidRPr="005A311F" w:rsidRDefault="004E30FD" w:rsidP="004E30FD">
            <w:pPr>
              <w:tabs>
                <w:tab w:val="left" w:pos="5507"/>
              </w:tabs>
              <w:autoSpaceDE w:val="0"/>
              <w:autoSpaceDN w:val="0"/>
              <w:adjustRightInd w:val="0"/>
              <w:jc w:val="right"/>
              <w:rPr>
                <w:iCs/>
                <w:sz w:val="20"/>
                <w:szCs w:val="20"/>
              </w:rPr>
            </w:pPr>
            <w:r>
              <w:rPr>
                <w:iCs/>
                <w:sz w:val="20"/>
                <w:szCs w:val="20"/>
              </w:rPr>
              <w:t>PWD</w:t>
            </w:r>
          </w:p>
        </w:tc>
        <w:tc>
          <w:tcPr>
            <w:tcW w:w="3150" w:type="dxa"/>
          </w:tcPr>
          <w:p w14:paraId="17CB676E" w14:textId="1E680FD5" w:rsidR="004E30FD" w:rsidRPr="005A311F" w:rsidRDefault="004E30FD" w:rsidP="004E30FD">
            <w:pPr>
              <w:tabs>
                <w:tab w:val="left" w:pos="5507"/>
              </w:tabs>
              <w:autoSpaceDE w:val="0"/>
              <w:autoSpaceDN w:val="0"/>
              <w:adjustRightInd w:val="0"/>
              <w:rPr>
                <w:iCs/>
                <w:sz w:val="20"/>
                <w:szCs w:val="20"/>
              </w:rPr>
            </w:pPr>
            <w:r>
              <w:rPr>
                <w:iCs/>
                <w:sz w:val="20"/>
                <w:szCs w:val="20"/>
              </w:rPr>
              <w:t>Person with Disabilities</w:t>
            </w:r>
          </w:p>
        </w:tc>
      </w:tr>
      <w:tr w:rsidR="004E30FD" w14:paraId="23F03B7A" w14:textId="77777777" w:rsidTr="004E30FD">
        <w:tc>
          <w:tcPr>
            <w:tcW w:w="1075" w:type="dxa"/>
          </w:tcPr>
          <w:p w14:paraId="4F56FD55" w14:textId="522684DF" w:rsidR="004E30FD" w:rsidRPr="005A311F" w:rsidRDefault="004E30FD" w:rsidP="004E30FD">
            <w:pPr>
              <w:tabs>
                <w:tab w:val="left" w:pos="5507"/>
              </w:tabs>
              <w:autoSpaceDE w:val="0"/>
              <w:autoSpaceDN w:val="0"/>
              <w:adjustRightInd w:val="0"/>
              <w:jc w:val="right"/>
              <w:rPr>
                <w:iCs/>
                <w:sz w:val="20"/>
                <w:szCs w:val="20"/>
              </w:rPr>
            </w:pPr>
            <w:r>
              <w:rPr>
                <w:iCs/>
                <w:sz w:val="20"/>
                <w:szCs w:val="20"/>
              </w:rPr>
              <w:t>HI</w:t>
            </w:r>
          </w:p>
        </w:tc>
        <w:tc>
          <w:tcPr>
            <w:tcW w:w="3330" w:type="dxa"/>
          </w:tcPr>
          <w:p w14:paraId="57417B99" w14:textId="2AC438C7" w:rsidR="004E30FD" w:rsidRPr="005A311F" w:rsidRDefault="004E30FD" w:rsidP="004E30FD">
            <w:pPr>
              <w:tabs>
                <w:tab w:val="left" w:pos="5507"/>
              </w:tabs>
              <w:autoSpaceDE w:val="0"/>
              <w:autoSpaceDN w:val="0"/>
              <w:adjustRightInd w:val="0"/>
              <w:rPr>
                <w:iCs/>
                <w:sz w:val="20"/>
                <w:szCs w:val="20"/>
              </w:rPr>
            </w:pPr>
            <w:r>
              <w:rPr>
                <w:iCs/>
                <w:sz w:val="20"/>
                <w:szCs w:val="20"/>
              </w:rPr>
              <w:t xml:space="preserve">Handicap International </w:t>
            </w:r>
          </w:p>
        </w:tc>
        <w:tc>
          <w:tcPr>
            <w:tcW w:w="1170" w:type="dxa"/>
          </w:tcPr>
          <w:p w14:paraId="062F85A3" w14:textId="19341993" w:rsidR="004E30FD" w:rsidRPr="005A311F" w:rsidRDefault="004E30FD" w:rsidP="004E30FD">
            <w:pPr>
              <w:tabs>
                <w:tab w:val="left" w:pos="5507"/>
              </w:tabs>
              <w:autoSpaceDE w:val="0"/>
              <w:autoSpaceDN w:val="0"/>
              <w:adjustRightInd w:val="0"/>
              <w:jc w:val="right"/>
              <w:rPr>
                <w:iCs/>
                <w:sz w:val="20"/>
                <w:szCs w:val="20"/>
              </w:rPr>
            </w:pPr>
            <w:r>
              <w:rPr>
                <w:iCs/>
                <w:sz w:val="20"/>
                <w:szCs w:val="20"/>
              </w:rPr>
              <w:t>SDF</w:t>
            </w:r>
          </w:p>
        </w:tc>
        <w:tc>
          <w:tcPr>
            <w:tcW w:w="3150" w:type="dxa"/>
          </w:tcPr>
          <w:p w14:paraId="682664A7" w14:textId="7EC5E2E8" w:rsidR="004E30FD" w:rsidRPr="005A311F" w:rsidRDefault="004E30FD" w:rsidP="004E30FD">
            <w:pPr>
              <w:tabs>
                <w:tab w:val="left" w:pos="5507"/>
              </w:tabs>
              <w:autoSpaceDE w:val="0"/>
              <w:autoSpaceDN w:val="0"/>
              <w:adjustRightInd w:val="0"/>
              <w:rPr>
                <w:iCs/>
                <w:sz w:val="20"/>
                <w:szCs w:val="20"/>
              </w:rPr>
            </w:pPr>
            <w:r>
              <w:rPr>
                <w:iCs/>
                <w:sz w:val="20"/>
                <w:szCs w:val="20"/>
              </w:rPr>
              <w:t>Social Development Fund</w:t>
            </w:r>
          </w:p>
        </w:tc>
      </w:tr>
      <w:tr w:rsidR="004E30FD" w14:paraId="55A36819" w14:textId="714BB170" w:rsidTr="004E30FD">
        <w:tc>
          <w:tcPr>
            <w:tcW w:w="1075" w:type="dxa"/>
          </w:tcPr>
          <w:p w14:paraId="7B27C8D1"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ICPSC</w:t>
            </w:r>
          </w:p>
        </w:tc>
        <w:tc>
          <w:tcPr>
            <w:tcW w:w="3330" w:type="dxa"/>
          </w:tcPr>
          <w:p w14:paraId="404FEF7D" w14:textId="75F91990" w:rsidR="004E30FD" w:rsidRPr="005A311F" w:rsidRDefault="004E30FD" w:rsidP="004E30FD">
            <w:pPr>
              <w:tabs>
                <w:tab w:val="left" w:pos="5507"/>
              </w:tabs>
              <w:autoSpaceDE w:val="0"/>
              <w:autoSpaceDN w:val="0"/>
              <w:adjustRightInd w:val="0"/>
              <w:rPr>
                <w:iCs/>
                <w:sz w:val="20"/>
                <w:szCs w:val="20"/>
              </w:rPr>
            </w:pPr>
            <w:r w:rsidRPr="005A311F">
              <w:rPr>
                <w:iCs/>
                <w:sz w:val="20"/>
                <w:szCs w:val="20"/>
              </w:rPr>
              <w:t xml:space="preserve">Integrated Child Protection </w:t>
            </w:r>
            <w:r>
              <w:rPr>
                <w:iCs/>
                <w:sz w:val="20"/>
                <w:szCs w:val="20"/>
              </w:rPr>
              <w:t xml:space="preserve">Service </w:t>
            </w:r>
            <w:r w:rsidRPr="005A311F">
              <w:rPr>
                <w:iCs/>
                <w:sz w:val="20"/>
                <w:szCs w:val="20"/>
              </w:rPr>
              <w:t>Center</w:t>
            </w:r>
          </w:p>
        </w:tc>
        <w:tc>
          <w:tcPr>
            <w:tcW w:w="1170" w:type="dxa"/>
          </w:tcPr>
          <w:p w14:paraId="6A18DD36" w14:textId="089EDB91" w:rsidR="004E30FD" w:rsidRPr="005A311F" w:rsidRDefault="004E30FD" w:rsidP="004E30FD">
            <w:pPr>
              <w:tabs>
                <w:tab w:val="left" w:pos="5507"/>
              </w:tabs>
              <w:autoSpaceDE w:val="0"/>
              <w:autoSpaceDN w:val="0"/>
              <w:adjustRightInd w:val="0"/>
              <w:jc w:val="right"/>
              <w:rPr>
                <w:iCs/>
                <w:sz w:val="20"/>
                <w:szCs w:val="20"/>
              </w:rPr>
            </w:pPr>
            <w:r>
              <w:rPr>
                <w:iCs/>
                <w:sz w:val="20"/>
                <w:szCs w:val="20"/>
              </w:rPr>
              <w:t>TA</w:t>
            </w:r>
          </w:p>
        </w:tc>
        <w:tc>
          <w:tcPr>
            <w:tcW w:w="3150" w:type="dxa"/>
          </w:tcPr>
          <w:p w14:paraId="7FE304A7" w14:textId="5159F1C3" w:rsidR="004E30FD" w:rsidRPr="005A311F" w:rsidRDefault="004E30FD" w:rsidP="004E30FD">
            <w:pPr>
              <w:tabs>
                <w:tab w:val="left" w:pos="5507"/>
              </w:tabs>
              <w:autoSpaceDE w:val="0"/>
              <w:autoSpaceDN w:val="0"/>
              <w:adjustRightInd w:val="0"/>
              <w:rPr>
                <w:iCs/>
                <w:sz w:val="20"/>
                <w:szCs w:val="20"/>
              </w:rPr>
            </w:pPr>
            <w:r>
              <w:rPr>
                <w:iCs/>
                <w:sz w:val="20"/>
                <w:szCs w:val="20"/>
              </w:rPr>
              <w:t>Technical Assistance</w:t>
            </w:r>
          </w:p>
        </w:tc>
      </w:tr>
      <w:tr w:rsidR="004E30FD" w14:paraId="11F7A486" w14:textId="43367B52" w:rsidTr="004E30FD">
        <w:tc>
          <w:tcPr>
            <w:tcW w:w="1075" w:type="dxa"/>
          </w:tcPr>
          <w:p w14:paraId="78DD712D" w14:textId="77777777" w:rsidR="004E30FD" w:rsidRPr="005A311F" w:rsidRDefault="004E30FD" w:rsidP="004E30FD">
            <w:pPr>
              <w:tabs>
                <w:tab w:val="left" w:pos="5507"/>
              </w:tabs>
              <w:autoSpaceDE w:val="0"/>
              <w:autoSpaceDN w:val="0"/>
              <w:adjustRightInd w:val="0"/>
              <w:jc w:val="right"/>
              <w:rPr>
                <w:iCs/>
                <w:sz w:val="20"/>
                <w:szCs w:val="20"/>
              </w:rPr>
            </w:pPr>
            <w:r w:rsidRPr="005A311F">
              <w:rPr>
                <w:iCs/>
                <w:sz w:val="20"/>
                <w:szCs w:val="20"/>
              </w:rPr>
              <w:t>IO</w:t>
            </w:r>
          </w:p>
        </w:tc>
        <w:tc>
          <w:tcPr>
            <w:tcW w:w="3330" w:type="dxa"/>
          </w:tcPr>
          <w:p w14:paraId="624BD357" w14:textId="77777777" w:rsidR="004E30FD" w:rsidRPr="005A311F" w:rsidRDefault="004E30FD" w:rsidP="004E30FD">
            <w:pPr>
              <w:tabs>
                <w:tab w:val="left" w:pos="5507"/>
              </w:tabs>
              <w:autoSpaceDE w:val="0"/>
              <w:autoSpaceDN w:val="0"/>
              <w:adjustRightInd w:val="0"/>
              <w:rPr>
                <w:iCs/>
                <w:sz w:val="20"/>
                <w:szCs w:val="20"/>
              </w:rPr>
            </w:pPr>
            <w:r w:rsidRPr="005A311F">
              <w:rPr>
                <w:iCs/>
                <w:sz w:val="20"/>
                <w:szCs w:val="20"/>
              </w:rPr>
              <w:t>Intermediate Indicator</w:t>
            </w:r>
          </w:p>
        </w:tc>
        <w:tc>
          <w:tcPr>
            <w:tcW w:w="1170" w:type="dxa"/>
          </w:tcPr>
          <w:p w14:paraId="1B78D1CC" w14:textId="029CA680" w:rsidR="004E30FD" w:rsidRPr="005A311F" w:rsidRDefault="004E30FD" w:rsidP="004E30FD">
            <w:pPr>
              <w:tabs>
                <w:tab w:val="left" w:pos="5507"/>
              </w:tabs>
              <w:autoSpaceDE w:val="0"/>
              <w:autoSpaceDN w:val="0"/>
              <w:adjustRightInd w:val="0"/>
              <w:jc w:val="right"/>
              <w:rPr>
                <w:iCs/>
                <w:sz w:val="20"/>
                <w:szCs w:val="20"/>
              </w:rPr>
            </w:pPr>
            <w:r>
              <w:rPr>
                <w:iCs/>
                <w:sz w:val="20"/>
                <w:szCs w:val="20"/>
              </w:rPr>
              <w:t xml:space="preserve">UN </w:t>
            </w:r>
          </w:p>
        </w:tc>
        <w:tc>
          <w:tcPr>
            <w:tcW w:w="3150" w:type="dxa"/>
          </w:tcPr>
          <w:p w14:paraId="1C25CDFC" w14:textId="4EAC3C1D" w:rsidR="004E30FD" w:rsidRPr="005A311F" w:rsidRDefault="004E30FD" w:rsidP="004E30FD">
            <w:pPr>
              <w:tabs>
                <w:tab w:val="left" w:pos="5507"/>
              </w:tabs>
              <w:autoSpaceDE w:val="0"/>
              <w:autoSpaceDN w:val="0"/>
              <w:adjustRightInd w:val="0"/>
              <w:rPr>
                <w:iCs/>
                <w:sz w:val="20"/>
                <w:szCs w:val="20"/>
              </w:rPr>
            </w:pPr>
            <w:r>
              <w:rPr>
                <w:iCs/>
                <w:sz w:val="20"/>
                <w:szCs w:val="20"/>
              </w:rPr>
              <w:t xml:space="preserve">United Nations </w:t>
            </w:r>
          </w:p>
        </w:tc>
      </w:tr>
      <w:tr w:rsidR="004E30FD" w14:paraId="03DF0665" w14:textId="715C042D" w:rsidTr="004E30FD">
        <w:tc>
          <w:tcPr>
            <w:tcW w:w="1075" w:type="dxa"/>
          </w:tcPr>
          <w:p w14:paraId="646F5C14" w14:textId="77777777" w:rsidR="004E30FD" w:rsidRPr="005A311F" w:rsidRDefault="004E30FD" w:rsidP="004E30FD">
            <w:pPr>
              <w:tabs>
                <w:tab w:val="left" w:pos="3060"/>
              </w:tabs>
              <w:autoSpaceDE w:val="0"/>
              <w:autoSpaceDN w:val="0"/>
              <w:adjustRightInd w:val="0"/>
              <w:jc w:val="right"/>
              <w:rPr>
                <w:iCs/>
                <w:sz w:val="20"/>
                <w:szCs w:val="20"/>
              </w:rPr>
            </w:pPr>
            <w:r w:rsidRPr="005A311F">
              <w:rPr>
                <w:iCs/>
                <w:sz w:val="20"/>
                <w:szCs w:val="20"/>
              </w:rPr>
              <w:t>JPUF</w:t>
            </w:r>
          </w:p>
        </w:tc>
        <w:tc>
          <w:tcPr>
            <w:tcW w:w="3330" w:type="dxa"/>
          </w:tcPr>
          <w:p w14:paraId="1F2C5C56" w14:textId="77777777" w:rsidR="004E30FD" w:rsidRPr="005A311F" w:rsidRDefault="004E30FD" w:rsidP="004E30FD">
            <w:pPr>
              <w:rPr>
                <w:sz w:val="20"/>
                <w:szCs w:val="20"/>
              </w:rPr>
            </w:pPr>
            <w:r w:rsidRPr="005A311F">
              <w:rPr>
                <w:sz w:val="20"/>
                <w:szCs w:val="20"/>
              </w:rPr>
              <w:t>Jatiyo Protibondhi Unnayan Foundation</w:t>
            </w:r>
          </w:p>
        </w:tc>
        <w:tc>
          <w:tcPr>
            <w:tcW w:w="1170" w:type="dxa"/>
          </w:tcPr>
          <w:p w14:paraId="19AFB141" w14:textId="408B068B" w:rsidR="004E30FD" w:rsidRPr="005A311F" w:rsidRDefault="004E30FD" w:rsidP="004E30FD">
            <w:pPr>
              <w:jc w:val="right"/>
              <w:rPr>
                <w:sz w:val="20"/>
                <w:szCs w:val="20"/>
              </w:rPr>
            </w:pPr>
            <w:r>
              <w:rPr>
                <w:iCs/>
                <w:sz w:val="20"/>
                <w:szCs w:val="20"/>
              </w:rPr>
              <w:t>UNCRPD</w:t>
            </w:r>
          </w:p>
        </w:tc>
        <w:tc>
          <w:tcPr>
            <w:tcW w:w="3150" w:type="dxa"/>
          </w:tcPr>
          <w:p w14:paraId="7219250F" w14:textId="3086E374" w:rsidR="004E30FD" w:rsidRPr="005A311F" w:rsidRDefault="004E30FD" w:rsidP="004E30FD">
            <w:pPr>
              <w:rPr>
                <w:sz w:val="20"/>
                <w:szCs w:val="20"/>
              </w:rPr>
            </w:pPr>
            <w:r w:rsidRPr="005A311F">
              <w:rPr>
                <w:iCs/>
                <w:sz w:val="20"/>
                <w:szCs w:val="20"/>
              </w:rPr>
              <w:t>United Nations Convention on the Rights of Persons with Disabilities</w:t>
            </w:r>
          </w:p>
        </w:tc>
      </w:tr>
      <w:tr w:rsidR="004E30FD" w14:paraId="22EB6322" w14:textId="49AFB43F" w:rsidTr="004E30FD">
        <w:tc>
          <w:tcPr>
            <w:tcW w:w="1075" w:type="dxa"/>
          </w:tcPr>
          <w:p w14:paraId="1E04F82E" w14:textId="77777777" w:rsidR="004E30FD" w:rsidRPr="005A311F" w:rsidRDefault="004E30FD" w:rsidP="004E30FD">
            <w:pPr>
              <w:tabs>
                <w:tab w:val="left" w:pos="3060"/>
              </w:tabs>
              <w:autoSpaceDE w:val="0"/>
              <w:autoSpaceDN w:val="0"/>
              <w:adjustRightInd w:val="0"/>
              <w:jc w:val="right"/>
              <w:rPr>
                <w:iCs/>
                <w:sz w:val="20"/>
                <w:szCs w:val="20"/>
              </w:rPr>
            </w:pPr>
            <w:r w:rsidRPr="005A311F">
              <w:rPr>
                <w:iCs/>
                <w:sz w:val="20"/>
                <w:szCs w:val="20"/>
              </w:rPr>
              <w:t>M&amp;E</w:t>
            </w:r>
          </w:p>
        </w:tc>
        <w:tc>
          <w:tcPr>
            <w:tcW w:w="3330" w:type="dxa"/>
          </w:tcPr>
          <w:p w14:paraId="3FB1CBFC" w14:textId="77777777" w:rsidR="004E30FD" w:rsidRPr="005A311F" w:rsidRDefault="004E30FD" w:rsidP="004E30FD">
            <w:pPr>
              <w:rPr>
                <w:sz w:val="20"/>
                <w:szCs w:val="20"/>
              </w:rPr>
            </w:pPr>
            <w:r w:rsidRPr="005A311F">
              <w:rPr>
                <w:sz w:val="20"/>
                <w:szCs w:val="20"/>
              </w:rPr>
              <w:t>Monitoring and Evaluation</w:t>
            </w:r>
          </w:p>
        </w:tc>
        <w:tc>
          <w:tcPr>
            <w:tcW w:w="1170" w:type="dxa"/>
          </w:tcPr>
          <w:p w14:paraId="3612503C" w14:textId="41D0B4A1" w:rsidR="004E30FD" w:rsidRPr="005A311F" w:rsidRDefault="004E30FD" w:rsidP="004E30FD">
            <w:pPr>
              <w:jc w:val="right"/>
              <w:rPr>
                <w:sz w:val="20"/>
                <w:szCs w:val="20"/>
              </w:rPr>
            </w:pPr>
            <w:r>
              <w:rPr>
                <w:iCs/>
                <w:sz w:val="20"/>
                <w:szCs w:val="20"/>
              </w:rPr>
              <w:t>UNCRC</w:t>
            </w:r>
          </w:p>
        </w:tc>
        <w:tc>
          <w:tcPr>
            <w:tcW w:w="3150" w:type="dxa"/>
          </w:tcPr>
          <w:p w14:paraId="74A2C234" w14:textId="7EAE5602" w:rsidR="004E30FD" w:rsidRPr="005A311F" w:rsidRDefault="004E30FD" w:rsidP="004E30FD">
            <w:pPr>
              <w:rPr>
                <w:sz w:val="20"/>
                <w:szCs w:val="20"/>
              </w:rPr>
            </w:pPr>
            <w:r w:rsidRPr="005A311F">
              <w:rPr>
                <w:iCs/>
                <w:sz w:val="20"/>
                <w:szCs w:val="20"/>
              </w:rPr>
              <w:t>United Nations Convention on the Rights of the Child</w:t>
            </w:r>
          </w:p>
        </w:tc>
      </w:tr>
      <w:tr w:rsidR="004E30FD" w14:paraId="11B4F345" w14:textId="77777777" w:rsidTr="004E30FD">
        <w:tc>
          <w:tcPr>
            <w:tcW w:w="1075" w:type="dxa"/>
          </w:tcPr>
          <w:p w14:paraId="0A42A15D" w14:textId="48AB4313" w:rsidR="004E30FD" w:rsidRPr="005A311F" w:rsidRDefault="004E30FD" w:rsidP="004E30FD">
            <w:pPr>
              <w:tabs>
                <w:tab w:val="left" w:pos="3060"/>
              </w:tabs>
              <w:autoSpaceDE w:val="0"/>
              <w:autoSpaceDN w:val="0"/>
              <w:adjustRightInd w:val="0"/>
              <w:jc w:val="right"/>
              <w:rPr>
                <w:iCs/>
                <w:sz w:val="20"/>
                <w:szCs w:val="20"/>
              </w:rPr>
            </w:pPr>
            <w:r>
              <w:rPr>
                <w:iCs/>
                <w:sz w:val="20"/>
                <w:szCs w:val="20"/>
              </w:rPr>
              <w:t xml:space="preserve">MIS </w:t>
            </w:r>
          </w:p>
        </w:tc>
        <w:tc>
          <w:tcPr>
            <w:tcW w:w="3330" w:type="dxa"/>
          </w:tcPr>
          <w:p w14:paraId="393519BE" w14:textId="6D391487" w:rsidR="004E30FD" w:rsidRPr="005A311F" w:rsidRDefault="004E30FD" w:rsidP="004E30FD">
            <w:pPr>
              <w:rPr>
                <w:sz w:val="20"/>
                <w:szCs w:val="20"/>
              </w:rPr>
            </w:pPr>
            <w:r>
              <w:rPr>
                <w:sz w:val="20"/>
                <w:szCs w:val="20"/>
              </w:rPr>
              <w:t xml:space="preserve">Management Information System </w:t>
            </w:r>
          </w:p>
        </w:tc>
        <w:tc>
          <w:tcPr>
            <w:tcW w:w="1170" w:type="dxa"/>
          </w:tcPr>
          <w:p w14:paraId="45296743" w14:textId="01267C8C" w:rsidR="004E30FD" w:rsidRDefault="004E30FD" w:rsidP="004E30FD">
            <w:pPr>
              <w:jc w:val="right"/>
              <w:rPr>
                <w:iCs/>
                <w:sz w:val="20"/>
                <w:szCs w:val="20"/>
              </w:rPr>
            </w:pPr>
            <w:r>
              <w:rPr>
                <w:iCs/>
                <w:sz w:val="20"/>
                <w:szCs w:val="20"/>
              </w:rPr>
              <w:t>UNICEF</w:t>
            </w:r>
          </w:p>
        </w:tc>
        <w:tc>
          <w:tcPr>
            <w:tcW w:w="3150" w:type="dxa"/>
          </w:tcPr>
          <w:p w14:paraId="606B5BFD" w14:textId="3C84B70A" w:rsidR="004E30FD" w:rsidRPr="005A311F" w:rsidRDefault="004E30FD" w:rsidP="004E30FD">
            <w:pPr>
              <w:rPr>
                <w:iCs/>
                <w:sz w:val="20"/>
                <w:szCs w:val="20"/>
              </w:rPr>
            </w:pPr>
            <w:r w:rsidRPr="005A311F">
              <w:rPr>
                <w:iCs/>
                <w:sz w:val="20"/>
                <w:szCs w:val="20"/>
              </w:rPr>
              <w:t>United Nations International Education Fund</w:t>
            </w:r>
          </w:p>
        </w:tc>
      </w:tr>
    </w:tbl>
    <w:p w14:paraId="09E8C4B0" w14:textId="77777777" w:rsidR="00E0351D" w:rsidRDefault="00E0351D" w:rsidP="004E30FD">
      <w:pPr>
        <w:tabs>
          <w:tab w:val="left" w:pos="5507"/>
        </w:tabs>
        <w:autoSpaceDE w:val="0"/>
        <w:autoSpaceDN w:val="0"/>
        <w:adjustRightInd w:val="0"/>
        <w:rPr>
          <w:iCs/>
        </w:rPr>
      </w:pPr>
    </w:p>
    <w:p w14:paraId="41CE3787" w14:textId="77777777" w:rsidR="002040F0" w:rsidRDefault="002040F0"/>
    <w:p w14:paraId="1F351A99" w14:textId="77777777" w:rsidR="002040F0" w:rsidRPr="0049537D" w:rsidRDefault="002040F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24"/>
      </w:tblGrid>
      <w:tr w:rsidR="00E03DE1" w14:paraId="22D9FD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4104" w:type="pct"/>
              <w:jc w:val="center"/>
              <w:tblCellSpacing w:w="15" w:type="dxa"/>
              <w:tblCellMar>
                <w:top w:w="15" w:type="dxa"/>
                <w:left w:w="15" w:type="dxa"/>
                <w:bottom w:w="15" w:type="dxa"/>
                <w:right w:w="15" w:type="dxa"/>
              </w:tblCellMar>
              <w:tblLook w:val="0000" w:firstRow="0" w:lastRow="0" w:firstColumn="0" w:lastColumn="0" w:noHBand="0" w:noVBand="0"/>
            </w:tblPr>
            <w:tblGrid>
              <w:gridCol w:w="3485"/>
              <w:gridCol w:w="3569"/>
            </w:tblGrid>
            <w:tr w:rsidR="00E03DE1" w14:paraId="6D85E802" w14:textId="77777777" w:rsidTr="008C7C21">
              <w:trPr>
                <w:tblCellSpacing w:w="15" w:type="dxa"/>
                <w:jc w:val="center"/>
              </w:trPr>
              <w:tc>
                <w:tcPr>
                  <w:tcW w:w="2439" w:type="pct"/>
                  <w:vAlign w:val="center"/>
                </w:tcPr>
                <w:p w14:paraId="534A3047" w14:textId="77777777" w:rsidR="00E03DE1" w:rsidRPr="002E2B7C" w:rsidRDefault="008C7C21">
                  <w:pPr>
                    <w:pStyle w:val="Heading3"/>
                    <w:keepNext/>
                    <w:spacing w:line="200" w:lineRule="atLeast"/>
                    <w:jc w:val="right"/>
                    <w:rPr>
                      <w:b w:val="0"/>
                      <w:bCs w:val="0"/>
                    </w:rPr>
                  </w:pPr>
                  <w:r w:rsidRPr="002E2B7C">
                    <w:rPr>
                      <w:b w:val="0"/>
                    </w:rPr>
                    <w:t>Senior Global Practice Director</w:t>
                  </w:r>
                  <w:r w:rsidR="00E03DE1" w:rsidRPr="002E2B7C">
                    <w:rPr>
                      <w:b w:val="0"/>
                      <w:bCs w:val="0"/>
                    </w:rPr>
                    <w:t>:</w:t>
                  </w:r>
                </w:p>
              </w:tc>
              <w:tc>
                <w:tcPr>
                  <w:tcW w:w="2498" w:type="pct"/>
                  <w:vAlign w:val="center"/>
                </w:tcPr>
                <w:p w14:paraId="602B05AF" w14:textId="77777777" w:rsidR="00E03DE1" w:rsidRDefault="002E2B7C">
                  <w:pPr>
                    <w:pStyle w:val="Heading3"/>
                    <w:keepNext/>
                    <w:spacing w:line="200" w:lineRule="atLeast"/>
                    <w:rPr>
                      <w:b w:val="0"/>
                      <w:bCs w:val="0"/>
                    </w:rPr>
                  </w:pPr>
                  <w:r>
                    <w:rPr>
                      <w:b w:val="0"/>
                      <w:bCs w:val="0"/>
                    </w:rPr>
                    <w:t>Michal J. Rutkowski</w:t>
                  </w:r>
                </w:p>
              </w:tc>
            </w:tr>
            <w:tr w:rsidR="00E03DE1" w14:paraId="6DF04B24" w14:textId="77777777" w:rsidTr="008C7C21">
              <w:trPr>
                <w:tblCellSpacing w:w="15" w:type="dxa"/>
                <w:jc w:val="center"/>
              </w:trPr>
              <w:tc>
                <w:tcPr>
                  <w:tcW w:w="2439" w:type="pct"/>
                  <w:vAlign w:val="center"/>
                </w:tcPr>
                <w:p w14:paraId="452281F9" w14:textId="77777777" w:rsidR="00E03DE1" w:rsidRPr="002E2B7C" w:rsidRDefault="002F415F">
                  <w:pPr>
                    <w:pStyle w:val="Heading3"/>
                    <w:keepNext/>
                    <w:spacing w:line="200" w:lineRule="atLeast"/>
                    <w:jc w:val="right"/>
                    <w:rPr>
                      <w:b w:val="0"/>
                      <w:bCs w:val="0"/>
                    </w:rPr>
                  </w:pPr>
                  <w:r w:rsidRPr="002E2B7C">
                    <w:rPr>
                      <w:b w:val="0"/>
                      <w:bCs w:val="0"/>
                    </w:rPr>
                    <w:t>Practice</w:t>
                  </w:r>
                  <w:r w:rsidR="00E03DE1" w:rsidRPr="002E2B7C">
                    <w:rPr>
                      <w:b w:val="0"/>
                      <w:bCs w:val="0"/>
                    </w:rPr>
                    <w:t xml:space="preserve"> Manager:</w:t>
                  </w:r>
                </w:p>
              </w:tc>
              <w:tc>
                <w:tcPr>
                  <w:tcW w:w="2498" w:type="pct"/>
                  <w:vAlign w:val="center"/>
                </w:tcPr>
                <w:p w14:paraId="57E10100" w14:textId="77777777" w:rsidR="00E03DE1" w:rsidRDefault="002E2B7C">
                  <w:pPr>
                    <w:pStyle w:val="Heading3"/>
                    <w:keepNext/>
                    <w:spacing w:line="200" w:lineRule="atLeast"/>
                    <w:rPr>
                      <w:b w:val="0"/>
                      <w:bCs w:val="0"/>
                    </w:rPr>
                  </w:pPr>
                  <w:bookmarkStart w:id="4" w:name="SM"/>
                  <w:bookmarkEnd w:id="4"/>
                  <w:r>
                    <w:rPr>
                      <w:b w:val="0"/>
                      <w:bCs w:val="0"/>
                    </w:rPr>
                    <w:t>Pablo Gottret</w:t>
                  </w:r>
                </w:p>
              </w:tc>
            </w:tr>
            <w:tr w:rsidR="00421645" w14:paraId="02FAE345" w14:textId="77777777" w:rsidTr="008C7C21">
              <w:trPr>
                <w:tblCellSpacing w:w="15" w:type="dxa"/>
                <w:jc w:val="center"/>
              </w:trPr>
              <w:tc>
                <w:tcPr>
                  <w:tcW w:w="2439" w:type="pct"/>
                  <w:vAlign w:val="center"/>
                </w:tcPr>
                <w:p w14:paraId="181354EE" w14:textId="6DED7494" w:rsidR="00421645" w:rsidRPr="002E2B7C" w:rsidRDefault="00421645">
                  <w:pPr>
                    <w:pStyle w:val="Heading3"/>
                    <w:keepNext/>
                    <w:spacing w:line="200" w:lineRule="atLeast"/>
                    <w:jc w:val="right"/>
                    <w:rPr>
                      <w:b w:val="0"/>
                      <w:bCs w:val="0"/>
                    </w:rPr>
                  </w:pPr>
                  <w:r>
                    <w:rPr>
                      <w:b w:val="0"/>
                      <w:bCs w:val="0"/>
                    </w:rPr>
                    <w:t>Country Director:</w:t>
                  </w:r>
                </w:p>
              </w:tc>
              <w:tc>
                <w:tcPr>
                  <w:tcW w:w="2498" w:type="pct"/>
                  <w:vAlign w:val="center"/>
                </w:tcPr>
                <w:p w14:paraId="38ADEA1B" w14:textId="499E398B" w:rsidR="00421645" w:rsidRDefault="00421645">
                  <w:pPr>
                    <w:pStyle w:val="Heading3"/>
                    <w:keepNext/>
                    <w:spacing w:line="200" w:lineRule="atLeast"/>
                    <w:rPr>
                      <w:b w:val="0"/>
                      <w:bCs w:val="0"/>
                    </w:rPr>
                  </w:pPr>
                  <w:r>
                    <w:rPr>
                      <w:b w:val="0"/>
                      <w:bCs w:val="0"/>
                    </w:rPr>
                    <w:t>Qimiao Fan</w:t>
                  </w:r>
                </w:p>
              </w:tc>
            </w:tr>
            <w:tr w:rsidR="00E03DE1" w14:paraId="6BB70C9E" w14:textId="77777777" w:rsidTr="008C7C21">
              <w:trPr>
                <w:tblCellSpacing w:w="15" w:type="dxa"/>
                <w:jc w:val="center"/>
              </w:trPr>
              <w:tc>
                <w:tcPr>
                  <w:tcW w:w="2439" w:type="pct"/>
                  <w:vAlign w:val="center"/>
                </w:tcPr>
                <w:p w14:paraId="367FA4BB" w14:textId="77777777" w:rsidR="00E03DE1" w:rsidRPr="002E2B7C" w:rsidRDefault="00E03DE1">
                  <w:pPr>
                    <w:pStyle w:val="Heading3"/>
                    <w:keepNext/>
                    <w:spacing w:line="200" w:lineRule="atLeast"/>
                    <w:jc w:val="right"/>
                    <w:rPr>
                      <w:b w:val="0"/>
                      <w:bCs w:val="0"/>
                    </w:rPr>
                  </w:pPr>
                  <w:r w:rsidRPr="002E2B7C">
                    <w:rPr>
                      <w:b w:val="0"/>
                      <w:bCs w:val="0"/>
                    </w:rPr>
                    <w:t>Project Team Leader:</w:t>
                  </w:r>
                </w:p>
              </w:tc>
              <w:tc>
                <w:tcPr>
                  <w:tcW w:w="2498" w:type="pct"/>
                  <w:vAlign w:val="center"/>
                </w:tcPr>
                <w:p w14:paraId="59DF6F20" w14:textId="77777777" w:rsidR="00E03DE1" w:rsidRDefault="002E2B7C">
                  <w:pPr>
                    <w:pStyle w:val="Heading3"/>
                    <w:keepNext/>
                    <w:spacing w:line="200" w:lineRule="atLeast"/>
                    <w:rPr>
                      <w:b w:val="0"/>
                      <w:bCs w:val="0"/>
                    </w:rPr>
                  </w:pPr>
                  <w:bookmarkStart w:id="5" w:name="PTL"/>
                  <w:bookmarkEnd w:id="5"/>
                  <w:r>
                    <w:rPr>
                      <w:b w:val="0"/>
                      <w:bCs w:val="0"/>
                    </w:rPr>
                    <w:t>Yoonyoung Cho, Ashiq Aziz</w:t>
                  </w:r>
                </w:p>
              </w:tc>
            </w:tr>
            <w:tr w:rsidR="000411CD" w14:paraId="38253457" w14:textId="77777777" w:rsidTr="008C7C21">
              <w:trPr>
                <w:tblCellSpacing w:w="15" w:type="dxa"/>
                <w:jc w:val="center"/>
              </w:trPr>
              <w:tc>
                <w:tcPr>
                  <w:tcW w:w="2439" w:type="pct"/>
                  <w:vAlign w:val="center"/>
                </w:tcPr>
                <w:p w14:paraId="686BFC1D" w14:textId="77777777" w:rsidR="000411CD" w:rsidRPr="002E2B7C" w:rsidRDefault="000411CD">
                  <w:pPr>
                    <w:pStyle w:val="Heading3"/>
                    <w:keepNext/>
                    <w:spacing w:line="200" w:lineRule="atLeast"/>
                    <w:jc w:val="right"/>
                    <w:rPr>
                      <w:b w:val="0"/>
                      <w:bCs w:val="0"/>
                    </w:rPr>
                  </w:pPr>
                  <w:r w:rsidRPr="002E2B7C">
                    <w:rPr>
                      <w:b w:val="0"/>
                      <w:bCs w:val="0"/>
                    </w:rPr>
                    <w:t>ICR Team Leader:</w:t>
                  </w:r>
                </w:p>
              </w:tc>
              <w:tc>
                <w:tcPr>
                  <w:tcW w:w="2498" w:type="pct"/>
                  <w:vAlign w:val="center"/>
                </w:tcPr>
                <w:p w14:paraId="11B3C1F9" w14:textId="4BFCFA20" w:rsidR="000411CD" w:rsidRDefault="0006242B">
                  <w:pPr>
                    <w:pStyle w:val="Heading3"/>
                    <w:keepNext/>
                    <w:spacing w:line="200" w:lineRule="atLeast"/>
                    <w:rPr>
                      <w:b w:val="0"/>
                      <w:bCs w:val="0"/>
                    </w:rPr>
                  </w:pPr>
                  <w:bookmarkStart w:id="6" w:name="ITL"/>
                  <w:bookmarkEnd w:id="6"/>
                  <w:r>
                    <w:rPr>
                      <w:b w:val="0"/>
                      <w:bCs w:val="0"/>
                    </w:rPr>
                    <w:t>Srinivas Varadan</w:t>
                  </w:r>
                </w:p>
              </w:tc>
            </w:tr>
          </w:tbl>
          <w:p w14:paraId="0655C101" w14:textId="77777777" w:rsidR="00E03DE1" w:rsidRDefault="00E03DE1"/>
        </w:tc>
      </w:tr>
    </w:tbl>
    <w:p w14:paraId="1FD3BCC9" w14:textId="77777777" w:rsidR="00E03DE1" w:rsidRDefault="00E03DE1">
      <w:pPr>
        <w:rPr>
          <w:vanish/>
        </w:rPr>
      </w:pPr>
      <w:r>
        <w:rPr>
          <w:rFonts w:eastAsia="Times New Roman"/>
          <w:lang w:eastAsia="en-US"/>
        </w:rPr>
        <w:br w:type="page"/>
      </w:r>
    </w:p>
    <w:tbl>
      <w:tblPr>
        <w:tblW w:w="5000" w:type="pct"/>
        <w:tblCellSpacing w:w="0" w:type="dxa"/>
        <w:tblCellMar>
          <w:left w:w="0" w:type="dxa"/>
          <w:right w:w="0" w:type="dxa"/>
        </w:tblCellMar>
        <w:tblLook w:val="0000" w:firstRow="0" w:lastRow="0" w:firstColumn="0" w:lastColumn="0" w:noHBand="0" w:noVBand="0"/>
      </w:tblPr>
      <w:tblGrid>
        <w:gridCol w:w="8640"/>
      </w:tblGrid>
      <w:tr w:rsidR="00E03DE1" w14:paraId="6CD2A708" w14:textId="77777777">
        <w:trPr>
          <w:tblCellSpacing w:w="0" w:type="dxa"/>
        </w:trPr>
        <w:tc>
          <w:tcPr>
            <w:tcW w:w="0" w:type="auto"/>
            <w:vAlign w:val="center"/>
          </w:tcPr>
          <w:p w14:paraId="18FE3F64" w14:textId="77777777" w:rsidR="00E03DE1" w:rsidRPr="00E7533E" w:rsidRDefault="00246456" w:rsidP="00E7533E">
            <w:pPr>
              <w:jc w:val="center"/>
              <w:rPr>
                <w:b/>
              </w:rPr>
            </w:pPr>
            <w:r>
              <w:rPr>
                <w:b/>
              </w:rPr>
              <w:t>COUNTRY</w:t>
            </w:r>
          </w:p>
        </w:tc>
      </w:tr>
      <w:tr w:rsidR="00E03DE1" w14:paraId="19819519" w14:textId="77777777">
        <w:trPr>
          <w:tblCellSpacing w:w="0" w:type="dxa"/>
        </w:trPr>
        <w:tc>
          <w:tcPr>
            <w:tcW w:w="0" w:type="auto"/>
            <w:vAlign w:val="center"/>
          </w:tcPr>
          <w:p w14:paraId="685ED796" w14:textId="77777777" w:rsidR="00E03DE1" w:rsidRPr="00E7533E" w:rsidRDefault="00E03DE1" w:rsidP="00E7533E">
            <w:pPr>
              <w:jc w:val="center"/>
              <w:rPr>
                <w:b/>
              </w:rPr>
            </w:pPr>
            <w:r w:rsidRPr="00E7533E">
              <w:rPr>
                <w:b/>
              </w:rPr>
              <w:t>Proj</w:t>
            </w:r>
            <w:r w:rsidR="0079781B">
              <w:rPr>
                <w:b/>
              </w:rPr>
              <w:t>ect Name</w:t>
            </w:r>
          </w:p>
        </w:tc>
      </w:tr>
      <w:tr w:rsidR="00E03DE1" w14:paraId="3FB23082" w14:textId="77777777">
        <w:trPr>
          <w:trHeight w:val="390"/>
          <w:tblCellSpacing w:w="0" w:type="dxa"/>
        </w:trPr>
        <w:tc>
          <w:tcPr>
            <w:tcW w:w="4250" w:type="pct"/>
            <w:vAlign w:val="center"/>
          </w:tcPr>
          <w:p w14:paraId="1B41A060" w14:textId="77777777" w:rsidR="00E03DE1" w:rsidRPr="00E7533E" w:rsidRDefault="00E03DE1" w:rsidP="00E7533E">
            <w:pPr>
              <w:jc w:val="center"/>
              <w:rPr>
                <w:b/>
              </w:rPr>
            </w:pPr>
          </w:p>
        </w:tc>
      </w:tr>
      <w:tr w:rsidR="00E03DE1" w:rsidRPr="00E7533E" w14:paraId="20936812" w14:textId="77777777">
        <w:trPr>
          <w:trHeight w:val="390"/>
          <w:tblCellSpacing w:w="0" w:type="dxa"/>
        </w:trPr>
        <w:tc>
          <w:tcPr>
            <w:tcW w:w="4250" w:type="pct"/>
            <w:vAlign w:val="center"/>
          </w:tcPr>
          <w:p w14:paraId="31FBB675" w14:textId="77777777" w:rsidR="00E03DE1" w:rsidRPr="00E7533E" w:rsidRDefault="00E03DE1" w:rsidP="003E69FA"/>
        </w:tc>
      </w:tr>
    </w:tbl>
    <w:p w14:paraId="520C2B8B" w14:textId="77777777" w:rsidR="00E03DE1" w:rsidRPr="00E7533E" w:rsidRDefault="00E03DE1" w:rsidP="003E69FA">
      <w:pPr>
        <w:rPr>
          <w:vanish/>
        </w:rPr>
      </w:pPr>
    </w:p>
    <w:tbl>
      <w:tblPr>
        <w:tblW w:w="4996" w:type="pct"/>
        <w:tblCellSpacing w:w="0" w:type="dxa"/>
        <w:tblCellMar>
          <w:left w:w="0" w:type="dxa"/>
          <w:right w:w="0" w:type="dxa"/>
        </w:tblCellMar>
        <w:tblLook w:val="0000" w:firstRow="0" w:lastRow="0" w:firstColumn="0" w:lastColumn="0" w:noHBand="0" w:noVBand="0"/>
      </w:tblPr>
      <w:tblGrid>
        <w:gridCol w:w="8640"/>
      </w:tblGrid>
      <w:tr w:rsidR="00E03DE1" w:rsidRPr="00E7533E" w14:paraId="3A5481A8" w14:textId="77777777" w:rsidTr="00266838">
        <w:trPr>
          <w:tblCellSpacing w:w="0" w:type="dxa"/>
        </w:trPr>
        <w:tc>
          <w:tcPr>
            <w:tcW w:w="5000" w:type="pct"/>
            <w:vAlign w:val="center"/>
          </w:tcPr>
          <w:tbl>
            <w:tblPr>
              <w:tblW w:w="8640" w:type="dxa"/>
              <w:tblCellMar>
                <w:left w:w="0" w:type="dxa"/>
                <w:bottom w:w="20" w:type="dxa"/>
                <w:right w:w="0" w:type="dxa"/>
              </w:tblCellMar>
              <w:tblLook w:val="0000" w:firstRow="0" w:lastRow="0" w:firstColumn="0" w:lastColumn="0" w:noHBand="0" w:noVBand="0"/>
            </w:tblPr>
            <w:tblGrid>
              <w:gridCol w:w="6780"/>
              <w:gridCol w:w="1195"/>
              <w:gridCol w:w="659"/>
              <w:gridCol w:w="6"/>
            </w:tblGrid>
            <w:tr w:rsidR="00E03DE1" w:rsidRPr="00E7533E" w14:paraId="690F7761" w14:textId="77777777" w:rsidTr="00266838">
              <w:trPr>
                <w:gridAfter w:val="2"/>
                <w:wAfter w:w="385" w:type="pct"/>
                <w:trHeight w:val="390"/>
              </w:trPr>
              <w:tc>
                <w:tcPr>
                  <w:tcW w:w="3924" w:type="pct"/>
                  <w:vAlign w:val="center"/>
                </w:tcPr>
                <w:p w14:paraId="03A013DA" w14:textId="77777777" w:rsidR="00E03DE1" w:rsidRPr="00E7533E" w:rsidRDefault="00E03DE1" w:rsidP="00E7533E">
                  <w:pPr>
                    <w:jc w:val="center"/>
                  </w:pPr>
                </w:p>
              </w:tc>
              <w:tc>
                <w:tcPr>
                  <w:tcW w:w="692" w:type="pct"/>
                  <w:vAlign w:val="center"/>
                </w:tcPr>
                <w:p w14:paraId="2F263D6E" w14:textId="77777777" w:rsidR="00E03DE1" w:rsidRPr="00E7533E" w:rsidRDefault="00E03DE1" w:rsidP="00E7533E">
                  <w:pPr>
                    <w:jc w:val="center"/>
                  </w:pPr>
                </w:p>
              </w:tc>
            </w:tr>
            <w:tr w:rsidR="00266838" w:rsidRPr="00CB75B5" w14:paraId="6F4E5470" w14:textId="77777777" w:rsidTr="00266838">
              <w:tblPrEx>
                <w:tblCellSpacing w:w="0" w:type="dxa"/>
                <w:tblCellMar>
                  <w:bottom w:w="0" w:type="dxa"/>
                </w:tblCellMar>
              </w:tblPrEx>
              <w:trPr>
                <w:tblCellSpacing w:w="0" w:type="dxa"/>
              </w:trPr>
              <w:tc>
                <w:tcPr>
                  <w:tcW w:w="4998" w:type="pct"/>
                  <w:gridSpan w:val="3"/>
                  <w:vAlign w:val="center"/>
                </w:tcPr>
                <w:tbl>
                  <w:tblPr>
                    <w:tblW w:w="5000" w:type="pct"/>
                    <w:jc w:val="center"/>
                    <w:tblCellMar>
                      <w:top w:w="10" w:type="dxa"/>
                      <w:left w:w="10" w:type="dxa"/>
                      <w:bottom w:w="10" w:type="dxa"/>
                      <w:right w:w="10" w:type="dxa"/>
                    </w:tblCellMar>
                    <w:tblLook w:val="0000" w:firstRow="0" w:lastRow="0" w:firstColumn="0" w:lastColumn="0" w:noHBand="0" w:noVBand="0"/>
                  </w:tblPr>
                  <w:tblGrid>
                    <w:gridCol w:w="8634"/>
                  </w:tblGrid>
                  <w:tr w:rsidR="00266838" w:rsidRPr="00CB75B5" w14:paraId="1CCAECB0" w14:textId="77777777" w:rsidTr="006258B2">
                    <w:trPr>
                      <w:jc w:val="center"/>
                    </w:trPr>
                    <w:tc>
                      <w:tcPr>
                        <w:tcW w:w="0" w:type="auto"/>
                        <w:tcBorders>
                          <w:top w:val="nil"/>
                          <w:left w:val="nil"/>
                          <w:bottom w:val="nil"/>
                          <w:right w:val="nil"/>
                        </w:tcBorders>
                        <w:vAlign w:val="center"/>
                      </w:tcPr>
                      <w:p w14:paraId="32811337" w14:textId="77777777" w:rsidR="00266838" w:rsidRPr="00CB75B5" w:rsidRDefault="00266838" w:rsidP="00266838">
                        <w:r w:rsidRPr="00CB75B5">
                          <w:t>Data Sheet</w:t>
                        </w:r>
                      </w:p>
                    </w:tc>
                  </w:tr>
                  <w:tr w:rsidR="00266838" w:rsidRPr="00CB75B5" w14:paraId="49759037" w14:textId="77777777" w:rsidTr="006258B2">
                    <w:trPr>
                      <w:jc w:val="center"/>
                    </w:trPr>
                    <w:tc>
                      <w:tcPr>
                        <w:tcW w:w="0" w:type="auto"/>
                        <w:tcBorders>
                          <w:top w:val="nil"/>
                          <w:left w:val="nil"/>
                          <w:bottom w:val="nil"/>
                          <w:right w:val="nil"/>
                        </w:tcBorders>
                        <w:vAlign w:val="center"/>
                      </w:tcPr>
                      <w:p w14:paraId="2FE6EF42" w14:textId="73AAB640" w:rsidR="00266838" w:rsidRPr="00CB75B5" w:rsidRDefault="00266838" w:rsidP="00266838">
                        <w:pPr>
                          <w:tabs>
                            <w:tab w:val="left" w:pos="380"/>
                          </w:tabs>
                        </w:pPr>
                        <w:r w:rsidRPr="00CB75B5">
                          <w:tab/>
                          <w:t>A. Basic</w:t>
                        </w:r>
                        <w:r>
                          <w:t xml:space="preserve"> </w:t>
                        </w:r>
                        <w:r w:rsidRPr="00CB75B5">
                          <w:t>Information</w:t>
                        </w:r>
                        <w:r>
                          <w:t>……………………………………….………….…………….v</w:t>
                        </w:r>
                      </w:p>
                    </w:tc>
                  </w:tr>
                  <w:tr w:rsidR="00266838" w:rsidRPr="00CB75B5" w14:paraId="7DC93ED8" w14:textId="77777777" w:rsidTr="006258B2">
                    <w:trPr>
                      <w:jc w:val="center"/>
                    </w:trPr>
                    <w:tc>
                      <w:tcPr>
                        <w:tcW w:w="0" w:type="auto"/>
                        <w:tcBorders>
                          <w:top w:val="nil"/>
                          <w:left w:val="nil"/>
                          <w:bottom w:val="nil"/>
                          <w:right w:val="nil"/>
                        </w:tcBorders>
                        <w:vAlign w:val="center"/>
                      </w:tcPr>
                      <w:p w14:paraId="3E2A74A2" w14:textId="485EB0A0" w:rsidR="00266838" w:rsidRPr="00CB75B5" w:rsidRDefault="00266838" w:rsidP="00266838">
                        <w:pPr>
                          <w:tabs>
                            <w:tab w:val="left" w:pos="380"/>
                          </w:tabs>
                        </w:pPr>
                        <w:r w:rsidRPr="00CB75B5">
                          <w:tab/>
                          <w:t>B. Key</w:t>
                        </w:r>
                        <w:r>
                          <w:t xml:space="preserve"> </w:t>
                        </w:r>
                        <w:r w:rsidRPr="00CB75B5">
                          <w:t>Dates</w:t>
                        </w:r>
                        <w:r>
                          <w:t>……………………………………………………...…….……………v</w:t>
                        </w:r>
                      </w:p>
                    </w:tc>
                  </w:tr>
                  <w:tr w:rsidR="00266838" w:rsidRPr="00CB75B5" w14:paraId="4C2CE560" w14:textId="77777777" w:rsidTr="006258B2">
                    <w:trPr>
                      <w:jc w:val="center"/>
                    </w:trPr>
                    <w:tc>
                      <w:tcPr>
                        <w:tcW w:w="0" w:type="auto"/>
                        <w:tcBorders>
                          <w:top w:val="nil"/>
                          <w:left w:val="nil"/>
                          <w:bottom w:val="nil"/>
                          <w:right w:val="nil"/>
                        </w:tcBorders>
                        <w:vAlign w:val="center"/>
                      </w:tcPr>
                      <w:p w14:paraId="2C7CD610" w14:textId="4D476E48" w:rsidR="00266838" w:rsidRPr="00CB75B5" w:rsidRDefault="00266838" w:rsidP="00266838">
                        <w:pPr>
                          <w:tabs>
                            <w:tab w:val="left" w:pos="380"/>
                          </w:tabs>
                        </w:pPr>
                        <w:r w:rsidRPr="00CB75B5">
                          <w:tab/>
                          <w:t>C. Ratings Summary</w:t>
                        </w:r>
                        <w:r>
                          <w:t>……………………………………………….….……………..v</w:t>
                        </w:r>
                      </w:p>
                    </w:tc>
                  </w:tr>
                  <w:tr w:rsidR="00266838" w:rsidRPr="00CB75B5" w14:paraId="4DE6FB6B" w14:textId="77777777" w:rsidTr="006258B2">
                    <w:trPr>
                      <w:jc w:val="center"/>
                    </w:trPr>
                    <w:tc>
                      <w:tcPr>
                        <w:tcW w:w="0" w:type="auto"/>
                        <w:tcBorders>
                          <w:top w:val="nil"/>
                          <w:left w:val="nil"/>
                          <w:bottom w:val="nil"/>
                          <w:right w:val="nil"/>
                        </w:tcBorders>
                        <w:vAlign w:val="center"/>
                      </w:tcPr>
                      <w:p w14:paraId="71686B3D" w14:textId="32DC6CD1" w:rsidR="00266838" w:rsidRPr="00CB75B5" w:rsidRDefault="00266838" w:rsidP="00266838">
                        <w:pPr>
                          <w:tabs>
                            <w:tab w:val="left" w:pos="380"/>
                          </w:tabs>
                        </w:pPr>
                        <w:r w:rsidRPr="00CB75B5">
                          <w:tab/>
                          <w:t>D. Sector and Theme Codes</w:t>
                        </w:r>
                        <w:r>
                          <w:t>…………………………………………..……..………vi</w:t>
                        </w:r>
                      </w:p>
                    </w:tc>
                  </w:tr>
                  <w:tr w:rsidR="00266838" w:rsidRPr="00CB75B5" w14:paraId="37EFE15B" w14:textId="77777777" w:rsidTr="006258B2">
                    <w:trPr>
                      <w:jc w:val="center"/>
                    </w:trPr>
                    <w:tc>
                      <w:tcPr>
                        <w:tcW w:w="0" w:type="auto"/>
                        <w:tcBorders>
                          <w:top w:val="nil"/>
                          <w:left w:val="nil"/>
                          <w:bottom w:val="nil"/>
                          <w:right w:val="nil"/>
                        </w:tcBorders>
                        <w:vAlign w:val="center"/>
                      </w:tcPr>
                      <w:p w14:paraId="3148263E" w14:textId="5EC0BEAE" w:rsidR="00266838" w:rsidRPr="00CB75B5" w:rsidRDefault="00266838" w:rsidP="00266838">
                        <w:pPr>
                          <w:tabs>
                            <w:tab w:val="left" w:pos="380"/>
                          </w:tabs>
                        </w:pPr>
                        <w:r w:rsidRPr="00CB75B5">
                          <w:tab/>
                          <w:t>E. Bank Staff</w:t>
                        </w:r>
                        <w:r>
                          <w:t>…………………………..…………………………….………………vi</w:t>
                        </w:r>
                      </w:p>
                    </w:tc>
                  </w:tr>
                  <w:tr w:rsidR="00266838" w:rsidRPr="00CB75B5" w14:paraId="431B9BB7" w14:textId="77777777" w:rsidTr="006258B2">
                    <w:trPr>
                      <w:jc w:val="center"/>
                    </w:trPr>
                    <w:tc>
                      <w:tcPr>
                        <w:tcW w:w="0" w:type="auto"/>
                        <w:tcBorders>
                          <w:top w:val="nil"/>
                          <w:left w:val="nil"/>
                          <w:bottom w:val="nil"/>
                          <w:right w:val="nil"/>
                        </w:tcBorders>
                        <w:vAlign w:val="center"/>
                      </w:tcPr>
                      <w:p w14:paraId="08A528D1" w14:textId="59996208" w:rsidR="00266838" w:rsidRPr="00CB75B5" w:rsidRDefault="00266838" w:rsidP="00266838">
                        <w:pPr>
                          <w:tabs>
                            <w:tab w:val="left" w:pos="380"/>
                          </w:tabs>
                        </w:pPr>
                        <w:r w:rsidRPr="00CB75B5">
                          <w:tab/>
                          <w:t>F. Results Framework Analysis</w:t>
                        </w:r>
                        <w:r>
                          <w:t>……………………………………………………..vi</w:t>
                        </w:r>
                      </w:p>
                    </w:tc>
                  </w:tr>
                  <w:tr w:rsidR="00266838" w:rsidRPr="00CB75B5" w14:paraId="273D9EDD" w14:textId="77777777" w:rsidTr="006258B2">
                    <w:trPr>
                      <w:jc w:val="center"/>
                    </w:trPr>
                    <w:tc>
                      <w:tcPr>
                        <w:tcW w:w="0" w:type="auto"/>
                        <w:tcBorders>
                          <w:top w:val="nil"/>
                          <w:left w:val="nil"/>
                          <w:bottom w:val="nil"/>
                          <w:right w:val="nil"/>
                        </w:tcBorders>
                        <w:vAlign w:val="center"/>
                      </w:tcPr>
                      <w:p w14:paraId="15318164" w14:textId="235FF23A" w:rsidR="00266838" w:rsidRPr="00CB75B5" w:rsidRDefault="00266838" w:rsidP="00266838">
                        <w:pPr>
                          <w:tabs>
                            <w:tab w:val="left" w:pos="380"/>
                          </w:tabs>
                        </w:pPr>
                        <w:r w:rsidRPr="00CB75B5">
                          <w:tab/>
                          <w:t>G. Ratings of Project Performance in ISRs</w:t>
                        </w:r>
                        <w:r>
                          <w:t>………………………….……………..xvi</w:t>
                        </w:r>
                      </w:p>
                    </w:tc>
                  </w:tr>
                  <w:tr w:rsidR="00266838" w:rsidRPr="00CB75B5" w14:paraId="7A17E043" w14:textId="77777777" w:rsidTr="006258B2">
                    <w:trPr>
                      <w:jc w:val="center"/>
                    </w:trPr>
                    <w:tc>
                      <w:tcPr>
                        <w:tcW w:w="0" w:type="auto"/>
                        <w:tcBorders>
                          <w:top w:val="nil"/>
                          <w:left w:val="nil"/>
                          <w:bottom w:val="nil"/>
                          <w:right w:val="nil"/>
                        </w:tcBorders>
                        <w:vAlign w:val="center"/>
                      </w:tcPr>
                      <w:p w14:paraId="02044D58" w14:textId="431D26A7" w:rsidR="00266838" w:rsidRPr="00CB75B5" w:rsidRDefault="00266838" w:rsidP="00266838">
                        <w:pPr>
                          <w:tabs>
                            <w:tab w:val="left" w:pos="380"/>
                          </w:tabs>
                        </w:pPr>
                        <w:r w:rsidRPr="00CB75B5">
                          <w:tab/>
                          <w:t>H. Restructuring</w:t>
                        </w:r>
                        <w:r>
                          <w:t>…………………………………………………………………...xvii</w:t>
                        </w:r>
                        <w:r w:rsidRPr="00CB75B5">
                          <w:t xml:space="preserve"> </w:t>
                        </w:r>
                      </w:p>
                    </w:tc>
                  </w:tr>
                  <w:tr w:rsidR="00266838" w:rsidRPr="00CB75B5" w14:paraId="7B65FBCE" w14:textId="77777777" w:rsidTr="006258B2">
                    <w:trPr>
                      <w:jc w:val="center"/>
                    </w:trPr>
                    <w:tc>
                      <w:tcPr>
                        <w:tcW w:w="0" w:type="auto"/>
                        <w:tcBorders>
                          <w:top w:val="nil"/>
                          <w:left w:val="nil"/>
                          <w:bottom w:val="nil"/>
                          <w:right w:val="nil"/>
                        </w:tcBorders>
                        <w:vAlign w:val="center"/>
                      </w:tcPr>
                      <w:p w14:paraId="01036C7F" w14:textId="28EDF912" w:rsidR="00266838" w:rsidRPr="00CB75B5" w:rsidRDefault="00266838" w:rsidP="00266838">
                        <w:pPr>
                          <w:tabs>
                            <w:tab w:val="left" w:pos="380"/>
                          </w:tabs>
                        </w:pPr>
                        <w:r w:rsidRPr="00CB75B5">
                          <w:tab/>
                          <w:t>I.  Disbursement Graph…………………</w:t>
                        </w:r>
                        <w:r>
                          <w:t>.</w:t>
                        </w:r>
                        <w:r w:rsidRPr="00CB75B5">
                          <w:t>………………………………………..xviii</w:t>
                        </w:r>
                      </w:p>
                    </w:tc>
                  </w:tr>
                </w:tbl>
                <w:p w14:paraId="127A0C78" w14:textId="77777777" w:rsidR="00266838" w:rsidRPr="00CB75B5" w:rsidRDefault="00266838" w:rsidP="00266838">
                  <w:pPr>
                    <w:jc w:val="center"/>
                  </w:pPr>
                </w:p>
                <w:p w14:paraId="6F3D158F" w14:textId="77777777" w:rsidR="00266838" w:rsidRPr="00CB75B5" w:rsidRDefault="00266838" w:rsidP="00266838">
                  <w:pPr>
                    <w:pStyle w:val="TOC2"/>
                    <w:rPr>
                      <w:rFonts w:eastAsia="Times New Roman"/>
                      <w:noProof/>
                      <w:lang w:eastAsia="en-US"/>
                    </w:rPr>
                  </w:pPr>
                  <w:r w:rsidRPr="00CB75B5">
                    <w:rPr>
                      <w:rStyle w:val="Hyperlink"/>
                      <w:noProof/>
                      <w:color w:val="auto"/>
                    </w:rPr>
                    <w:t>1. Project Context, Development Objectives and Design</w:t>
                  </w:r>
                  <w:r w:rsidRPr="00CB75B5">
                    <w:rPr>
                      <w:noProof/>
                      <w:webHidden/>
                    </w:rPr>
                    <w:tab/>
                    <w:t>1</w:t>
                  </w:r>
                </w:p>
                <w:p w14:paraId="1570F11C" w14:textId="77777777" w:rsidR="00266838" w:rsidRPr="00CB75B5" w:rsidRDefault="00266838" w:rsidP="00266838">
                  <w:pPr>
                    <w:pStyle w:val="TOC2"/>
                    <w:rPr>
                      <w:rFonts w:eastAsia="Times New Roman"/>
                      <w:noProof/>
                      <w:lang w:eastAsia="en-US"/>
                    </w:rPr>
                  </w:pPr>
                  <w:r w:rsidRPr="00CB75B5">
                    <w:rPr>
                      <w:rStyle w:val="Hyperlink"/>
                      <w:noProof/>
                      <w:color w:val="auto"/>
                    </w:rPr>
                    <w:t>2. Key Factors Affecting Implementation and Outcomes</w:t>
                  </w:r>
                  <w:r w:rsidRPr="00CB75B5">
                    <w:rPr>
                      <w:noProof/>
                      <w:webHidden/>
                    </w:rPr>
                    <w:tab/>
                    <w:t>9</w:t>
                  </w:r>
                </w:p>
                <w:p w14:paraId="28DE70DA" w14:textId="77777777" w:rsidR="00266838" w:rsidRPr="00CB75B5" w:rsidRDefault="00266838" w:rsidP="00266838">
                  <w:pPr>
                    <w:pStyle w:val="TOC2"/>
                    <w:rPr>
                      <w:rFonts w:eastAsia="Times New Roman"/>
                      <w:noProof/>
                      <w:lang w:eastAsia="en-US"/>
                    </w:rPr>
                  </w:pPr>
                  <w:r w:rsidRPr="00CB75B5">
                    <w:rPr>
                      <w:rStyle w:val="Hyperlink"/>
                      <w:noProof/>
                      <w:color w:val="auto"/>
                    </w:rPr>
                    <w:t>3. Assessment of Outcomes</w:t>
                  </w:r>
                  <w:r w:rsidRPr="00CB75B5">
                    <w:rPr>
                      <w:noProof/>
                      <w:webHidden/>
                    </w:rPr>
                    <w:tab/>
                    <w:t>15</w:t>
                  </w:r>
                </w:p>
                <w:p w14:paraId="789C1F14" w14:textId="77777777" w:rsidR="00266838" w:rsidRPr="00CB75B5" w:rsidRDefault="00266838" w:rsidP="00266838">
                  <w:pPr>
                    <w:pStyle w:val="TOC2"/>
                    <w:rPr>
                      <w:rFonts w:eastAsia="Times New Roman"/>
                      <w:noProof/>
                      <w:lang w:eastAsia="en-US"/>
                    </w:rPr>
                  </w:pPr>
                  <w:r w:rsidRPr="00CB75B5">
                    <w:rPr>
                      <w:rStyle w:val="Hyperlink"/>
                      <w:noProof/>
                      <w:color w:val="auto"/>
                    </w:rPr>
                    <w:t>4. Assessment of Risk to Development Outcome</w:t>
                  </w:r>
                  <w:r w:rsidRPr="00CB75B5">
                    <w:rPr>
                      <w:noProof/>
                      <w:webHidden/>
                    </w:rPr>
                    <w:tab/>
                    <w:t>24</w:t>
                  </w:r>
                </w:p>
                <w:p w14:paraId="186131D6" w14:textId="77777777" w:rsidR="00266838" w:rsidRPr="00CB75B5" w:rsidRDefault="00266838" w:rsidP="00266838">
                  <w:pPr>
                    <w:pStyle w:val="TOC2"/>
                    <w:rPr>
                      <w:rFonts w:eastAsia="Times New Roman"/>
                      <w:noProof/>
                      <w:lang w:eastAsia="en-US"/>
                    </w:rPr>
                  </w:pPr>
                  <w:r w:rsidRPr="00CB75B5">
                    <w:rPr>
                      <w:rStyle w:val="Hyperlink"/>
                      <w:noProof/>
                      <w:color w:val="auto"/>
                    </w:rPr>
                    <w:t>5. Assessment of Bank and Borrower Performance</w:t>
                  </w:r>
                  <w:r w:rsidRPr="00CB75B5">
                    <w:rPr>
                      <w:noProof/>
                      <w:webHidden/>
                    </w:rPr>
                    <w:tab/>
                    <w:t>25</w:t>
                  </w:r>
                </w:p>
                <w:p w14:paraId="63C1A40D" w14:textId="77777777" w:rsidR="00266838" w:rsidRPr="00CB75B5" w:rsidRDefault="00266838" w:rsidP="00266838">
                  <w:pPr>
                    <w:pStyle w:val="TOC2"/>
                    <w:rPr>
                      <w:rFonts w:eastAsia="Times New Roman"/>
                      <w:noProof/>
                      <w:lang w:eastAsia="en-US"/>
                    </w:rPr>
                  </w:pPr>
                  <w:r w:rsidRPr="00CB75B5">
                    <w:rPr>
                      <w:rStyle w:val="Hyperlink"/>
                      <w:noProof/>
                      <w:color w:val="auto"/>
                    </w:rPr>
                    <w:t>6. Lessons Learned</w:t>
                  </w:r>
                  <w:r w:rsidRPr="00CB75B5">
                    <w:rPr>
                      <w:noProof/>
                      <w:webHidden/>
                    </w:rPr>
                    <w:tab/>
                    <w:t>29</w:t>
                  </w:r>
                </w:p>
                <w:p w14:paraId="16BF613D" w14:textId="77777777" w:rsidR="00266838" w:rsidRPr="00CB75B5" w:rsidRDefault="00266838" w:rsidP="00266838">
                  <w:pPr>
                    <w:pStyle w:val="TOC2"/>
                    <w:rPr>
                      <w:rFonts w:eastAsia="Times New Roman"/>
                      <w:noProof/>
                      <w:lang w:eastAsia="en-US"/>
                    </w:rPr>
                  </w:pPr>
                  <w:r w:rsidRPr="00CB75B5">
                    <w:rPr>
                      <w:rStyle w:val="Hyperlink"/>
                      <w:noProof/>
                      <w:color w:val="auto"/>
                    </w:rPr>
                    <w:t>7. Comments on Issues Raised by Borrower/Implementing Agencies/Partners</w:t>
                  </w:r>
                  <w:r w:rsidRPr="00CB75B5">
                    <w:rPr>
                      <w:noProof/>
                      <w:webHidden/>
                    </w:rPr>
                    <w:tab/>
                    <w:t>30</w:t>
                  </w:r>
                </w:p>
                <w:p w14:paraId="470224D2" w14:textId="77777777" w:rsidR="00266838" w:rsidRPr="00CB75B5" w:rsidRDefault="00266838" w:rsidP="00266838">
                  <w:pPr>
                    <w:pStyle w:val="TOC2"/>
                    <w:rPr>
                      <w:rFonts w:eastAsia="Times New Roman"/>
                      <w:noProof/>
                      <w:lang w:eastAsia="en-US"/>
                    </w:rPr>
                  </w:pPr>
                  <w:r w:rsidRPr="00CB75B5">
                    <w:rPr>
                      <w:rStyle w:val="Hyperlink"/>
                      <w:noProof/>
                      <w:color w:val="auto"/>
                    </w:rPr>
                    <w:t>Annex 1. Project Costs and Financing</w:t>
                  </w:r>
                  <w:r w:rsidRPr="00CB75B5">
                    <w:rPr>
                      <w:noProof/>
                      <w:webHidden/>
                    </w:rPr>
                    <w:tab/>
                    <w:t>31</w:t>
                  </w:r>
                </w:p>
                <w:p w14:paraId="384B66F4" w14:textId="77777777" w:rsidR="00266838" w:rsidRPr="00CB75B5" w:rsidRDefault="00266838" w:rsidP="00266838">
                  <w:pPr>
                    <w:pStyle w:val="TOC2"/>
                    <w:rPr>
                      <w:rFonts w:eastAsia="Times New Roman"/>
                      <w:noProof/>
                      <w:lang w:eastAsia="en-US"/>
                    </w:rPr>
                  </w:pPr>
                  <w:r w:rsidRPr="00CB75B5">
                    <w:rPr>
                      <w:rStyle w:val="Hyperlink"/>
                      <w:noProof/>
                      <w:color w:val="auto"/>
                    </w:rPr>
                    <w:t>Annex 2. Outputs by Component</w:t>
                  </w:r>
                  <w:r w:rsidRPr="00CB75B5">
                    <w:rPr>
                      <w:noProof/>
                      <w:webHidden/>
                    </w:rPr>
                    <w:tab/>
                    <w:t>32</w:t>
                  </w:r>
                </w:p>
                <w:p w14:paraId="3FB9703D" w14:textId="77777777" w:rsidR="00266838" w:rsidRPr="00CB75B5" w:rsidRDefault="00266838" w:rsidP="00266838">
                  <w:pPr>
                    <w:pStyle w:val="TOC2"/>
                    <w:rPr>
                      <w:rFonts w:eastAsia="Times New Roman"/>
                      <w:noProof/>
                      <w:lang w:eastAsia="en-US"/>
                    </w:rPr>
                  </w:pPr>
                  <w:r w:rsidRPr="00CB75B5">
                    <w:rPr>
                      <w:rStyle w:val="Hyperlink"/>
                      <w:noProof/>
                      <w:color w:val="auto"/>
                    </w:rPr>
                    <w:t>Annex 3. Economic and Financial Analysis</w:t>
                  </w:r>
                  <w:r w:rsidRPr="00CB75B5">
                    <w:rPr>
                      <w:noProof/>
                      <w:webHidden/>
                    </w:rPr>
                    <w:tab/>
                    <w:t>34</w:t>
                  </w:r>
                </w:p>
                <w:p w14:paraId="4813A695" w14:textId="77777777" w:rsidR="00266838" w:rsidRPr="00CB75B5" w:rsidRDefault="00266838" w:rsidP="00266838">
                  <w:pPr>
                    <w:pStyle w:val="TOC2"/>
                    <w:rPr>
                      <w:rFonts w:eastAsia="Times New Roman"/>
                      <w:noProof/>
                      <w:lang w:eastAsia="en-US"/>
                    </w:rPr>
                  </w:pPr>
                  <w:r w:rsidRPr="00CB75B5">
                    <w:rPr>
                      <w:rStyle w:val="Hyperlink"/>
                      <w:noProof/>
                      <w:color w:val="auto"/>
                    </w:rPr>
                    <w:t>Annex 4. Bank Lending and Implementation Support/Supervision Processes</w:t>
                  </w:r>
                  <w:r w:rsidRPr="00CB75B5">
                    <w:rPr>
                      <w:noProof/>
                      <w:webHidden/>
                    </w:rPr>
                    <w:tab/>
                    <w:t>38</w:t>
                  </w:r>
                </w:p>
                <w:p w14:paraId="34EA747A" w14:textId="77777777" w:rsidR="00266838" w:rsidRPr="00CB75B5" w:rsidRDefault="00266838" w:rsidP="00266838">
                  <w:pPr>
                    <w:pStyle w:val="TOC2"/>
                    <w:rPr>
                      <w:rFonts w:eastAsia="Times New Roman"/>
                      <w:noProof/>
                      <w:lang w:eastAsia="en-US"/>
                    </w:rPr>
                  </w:pPr>
                  <w:r w:rsidRPr="00CB75B5">
                    <w:rPr>
                      <w:rStyle w:val="Hyperlink"/>
                      <w:noProof/>
                      <w:color w:val="auto"/>
                    </w:rPr>
                    <w:t>Annex 5. Beneficiary Survey Results</w:t>
                  </w:r>
                  <w:r w:rsidRPr="00CB75B5">
                    <w:rPr>
                      <w:noProof/>
                      <w:webHidden/>
                    </w:rPr>
                    <w:tab/>
                    <w:t>40</w:t>
                  </w:r>
                </w:p>
                <w:p w14:paraId="218337B3" w14:textId="77777777" w:rsidR="00266838" w:rsidRPr="00CB75B5" w:rsidRDefault="00266838" w:rsidP="00266838">
                  <w:pPr>
                    <w:pStyle w:val="TOC2"/>
                    <w:rPr>
                      <w:rFonts w:eastAsia="Times New Roman"/>
                      <w:noProof/>
                      <w:lang w:eastAsia="en-US"/>
                    </w:rPr>
                  </w:pPr>
                  <w:r w:rsidRPr="00CB75B5">
                    <w:rPr>
                      <w:rStyle w:val="Hyperlink"/>
                      <w:noProof/>
                      <w:color w:val="auto"/>
                    </w:rPr>
                    <w:t>Annex 6. Stakeholder Workshop Report and Results</w:t>
                  </w:r>
                  <w:r w:rsidRPr="00CB75B5">
                    <w:rPr>
                      <w:noProof/>
                      <w:webHidden/>
                    </w:rPr>
                    <w:tab/>
                    <w:t>44</w:t>
                  </w:r>
                </w:p>
                <w:p w14:paraId="41FC9D87" w14:textId="77777777" w:rsidR="00266838" w:rsidRPr="00CB75B5" w:rsidRDefault="00266838" w:rsidP="00266838">
                  <w:pPr>
                    <w:pStyle w:val="TOC2"/>
                    <w:rPr>
                      <w:rFonts w:eastAsia="Times New Roman"/>
                      <w:noProof/>
                      <w:lang w:eastAsia="en-US"/>
                    </w:rPr>
                  </w:pPr>
                  <w:r w:rsidRPr="00CB75B5">
                    <w:rPr>
                      <w:rStyle w:val="Hyperlink"/>
                      <w:noProof/>
                      <w:color w:val="auto"/>
                    </w:rPr>
                    <w:t>Annex 7. Summary of Borrower's ICR and/or Comments on Draft ICR</w:t>
                  </w:r>
                  <w:r w:rsidRPr="00CB75B5">
                    <w:rPr>
                      <w:noProof/>
                      <w:webHidden/>
                    </w:rPr>
                    <w:tab/>
                    <w:t>45</w:t>
                  </w:r>
                </w:p>
                <w:p w14:paraId="1334132C" w14:textId="77777777" w:rsidR="00266838" w:rsidRPr="00CB75B5" w:rsidRDefault="00266838" w:rsidP="00266838">
                  <w:pPr>
                    <w:pStyle w:val="TOC2"/>
                    <w:rPr>
                      <w:rFonts w:eastAsia="Times New Roman"/>
                      <w:noProof/>
                      <w:lang w:eastAsia="en-US"/>
                    </w:rPr>
                  </w:pPr>
                  <w:r w:rsidRPr="00CB75B5">
                    <w:rPr>
                      <w:rStyle w:val="Hyperlink"/>
                      <w:noProof/>
                      <w:color w:val="auto"/>
                    </w:rPr>
                    <w:t>Annex 8. Comments of Cofinanciers and Other Partners/Stakeholders</w:t>
                  </w:r>
                  <w:r w:rsidRPr="00CB75B5">
                    <w:rPr>
                      <w:noProof/>
                      <w:webHidden/>
                    </w:rPr>
                    <w:tab/>
                    <w:t>48</w:t>
                  </w:r>
                </w:p>
                <w:p w14:paraId="4FD02B44" w14:textId="77777777" w:rsidR="00266838" w:rsidRPr="00CB75B5" w:rsidRDefault="00266838" w:rsidP="00266838">
                  <w:pPr>
                    <w:pStyle w:val="TOC2"/>
                    <w:rPr>
                      <w:rFonts w:eastAsia="Times New Roman"/>
                      <w:noProof/>
                      <w:lang w:eastAsia="en-US"/>
                    </w:rPr>
                  </w:pPr>
                  <w:r w:rsidRPr="00CB75B5">
                    <w:rPr>
                      <w:rStyle w:val="Hyperlink"/>
                      <w:noProof/>
                      <w:color w:val="auto"/>
                    </w:rPr>
                    <w:t>Annex 9. List of Supporting Documents</w:t>
                  </w:r>
                  <w:r w:rsidRPr="00CB75B5">
                    <w:rPr>
                      <w:noProof/>
                      <w:webHidden/>
                    </w:rPr>
                    <w:tab/>
                    <w:t>49</w:t>
                  </w:r>
                </w:p>
                <w:p w14:paraId="0018B6F5" w14:textId="5E7904DF" w:rsidR="00266838" w:rsidRPr="00CB75B5" w:rsidRDefault="00266838" w:rsidP="00266838">
                  <w:r w:rsidRPr="00CB75B5">
                    <w:t xml:space="preserve">    MAP</w:t>
                  </w:r>
                  <w:r>
                    <w:t>…………………………………………..……………………………………….50</w:t>
                  </w:r>
                  <w:r w:rsidRPr="00CB75B5">
                    <w:t xml:space="preserve"> </w:t>
                  </w:r>
                </w:p>
              </w:tc>
              <w:tc>
                <w:tcPr>
                  <w:tcW w:w="2" w:type="pct"/>
                  <w:vAlign w:val="center"/>
                </w:tcPr>
                <w:p w14:paraId="4F2F9405" w14:textId="77777777" w:rsidR="00266838" w:rsidRPr="00CB75B5" w:rsidRDefault="00266838" w:rsidP="00266838"/>
              </w:tc>
            </w:tr>
          </w:tbl>
          <w:p w14:paraId="1163BCF3" w14:textId="77777777" w:rsidR="00E03DE1" w:rsidRPr="00E7533E" w:rsidRDefault="00E03DE1" w:rsidP="00E7533E">
            <w:pPr>
              <w:jc w:val="center"/>
            </w:pPr>
          </w:p>
        </w:tc>
      </w:tr>
      <w:tr w:rsidR="00F42214" w:rsidRPr="00E7533E" w14:paraId="0F4B83BA" w14:textId="77777777" w:rsidTr="00266838">
        <w:trPr>
          <w:tblCellSpacing w:w="0" w:type="dxa"/>
        </w:trPr>
        <w:tc>
          <w:tcPr>
            <w:tcW w:w="5000" w:type="pct"/>
            <w:vAlign w:val="center"/>
          </w:tcPr>
          <w:p w14:paraId="7805BDB3" w14:textId="77777777" w:rsidR="00F42214" w:rsidRPr="00E7533E" w:rsidRDefault="00F42214" w:rsidP="00F42214"/>
        </w:tc>
      </w:tr>
    </w:tbl>
    <w:p w14:paraId="5B327EB7" w14:textId="77777777" w:rsidR="001E0E8C" w:rsidRDefault="001E0E8C"/>
    <w:p w14:paraId="7D59E322" w14:textId="77777777" w:rsidR="00F42214" w:rsidRDefault="00F42214"/>
    <w:p w14:paraId="7C6B7EEB" w14:textId="77777777" w:rsidR="00F42214" w:rsidRDefault="00F42214"/>
    <w:p w14:paraId="42F0E90B" w14:textId="77777777" w:rsidR="00F42214" w:rsidRDefault="00F42214"/>
    <w:p w14:paraId="2F292596" w14:textId="77777777" w:rsidR="00F42214" w:rsidRDefault="00F42214"/>
    <w:p w14:paraId="5893B61F" w14:textId="77777777" w:rsidR="00F42214" w:rsidRDefault="00F42214"/>
    <w:p w14:paraId="35BE99CE" w14:textId="77777777" w:rsidR="00F42214" w:rsidRDefault="00F42214"/>
    <w:p w14:paraId="6C1F45CE" w14:textId="77777777" w:rsidR="00F42214" w:rsidRDefault="00F42214"/>
    <w:p w14:paraId="06C5E51A" w14:textId="77777777" w:rsidR="00F42214" w:rsidRDefault="00F42214"/>
    <w:p w14:paraId="70F2D442" w14:textId="77777777" w:rsidR="00F42214" w:rsidRDefault="00F42214"/>
    <w:tbl>
      <w:tblPr>
        <w:tblW w:w="5000" w:type="pct"/>
        <w:tblLayout w:type="fixed"/>
        <w:tblLook w:val="04A0" w:firstRow="1" w:lastRow="0" w:firstColumn="1" w:lastColumn="0" w:noHBand="0" w:noVBand="1"/>
      </w:tblPr>
      <w:tblGrid>
        <w:gridCol w:w="2156"/>
        <w:gridCol w:w="2156"/>
        <w:gridCol w:w="2156"/>
        <w:gridCol w:w="2156"/>
      </w:tblGrid>
      <w:tr w:rsidR="00F42214" w14:paraId="720C8A48" w14:textId="77777777" w:rsidTr="00F42214">
        <w:tc>
          <w:tcPr>
            <w:tcW w:w="8670" w:type="dxa"/>
            <w:gridSpan w:val="4"/>
            <w:tcBorders>
              <w:top w:val="single" w:sz="6" w:space="0" w:color="B1B1B1"/>
              <w:left w:val="single" w:sz="6" w:space="0" w:color="B1B1B1"/>
              <w:bottom w:val="single" w:sz="6" w:space="0" w:color="B1B1B1"/>
              <w:right w:val="single" w:sz="6" w:space="0" w:color="B1B1B1"/>
            </w:tcBorders>
            <w:shd w:val="clear" w:color="auto" w:fill="CDCCCC"/>
            <w:tcMar>
              <w:top w:w="15" w:type="dxa"/>
              <w:left w:w="15" w:type="dxa"/>
              <w:bottom w:w="15" w:type="dxa"/>
              <w:right w:w="15" w:type="dxa"/>
            </w:tcMar>
            <w:vAlign w:val="center"/>
            <w:hideMark/>
          </w:tcPr>
          <w:tbl>
            <w:tblPr>
              <w:tblW w:w="5000" w:type="pct"/>
              <w:tblLayout w:type="fixed"/>
              <w:tblLook w:val="04A0" w:firstRow="1" w:lastRow="0" w:firstColumn="1" w:lastColumn="0" w:noHBand="0" w:noVBand="1"/>
            </w:tblPr>
            <w:tblGrid>
              <w:gridCol w:w="8594"/>
            </w:tblGrid>
            <w:tr w:rsidR="00F42214" w14:paraId="37AF3A91" w14:textId="77777777">
              <w:tc>
                <w:tcPr>
                  <w:tcW w:w="8640" w:type="dxa"/>
                  <w:shd w:val="clear" w:color="auto" w:fill="CDCCCC"/>
                  <w:tcMar>
                    <w:top w:w="15" w:type="dxa"/>
                    <w:left w:w="15" w:type="dxa"/>
                    <w:bottom w:w="15" w:type="dxa"/>
                    <w:right w:w="15" w:type="dxa"/>
                  </w:tcMar>
                  <w:hideMark/>
                </w:tcPr>
                <w:tbl>
                  <w:tblPr>
                    <w:tblW w:w="5000" w:type="pct"/>
                    <w:tblLayout w:type="fixed"/>
                    <w:tblCellMar>
                      <w:top w:w="10" w:type="dxa"/>
                      <w:left w:w="10" w:type="dxa"/>
                      <w:bottom w:w="10" w:type="dxa"/>
                      <w:right w:w="10" w:type="dxa"/>
                    </w:tblCellMar>
                    <w:tblLook w:val="04A0" w:firstRow="1" w:lastRow="0" w:firstColumn="1" w:lastColumn="0" w:noHBand="0" w:noVBand="1"/>
                  </w:tblPr>
                  <w:tblGrid>
                    <w:gridCol w:w="8564"/>
                  </w:tblGrid>
                  <w:tr w:rsidR="00F42214" w14:paraId="2437E4E2" w14:textId="77777777">
                    <w:tc>
                      <w:tcPr>
                        <w:tcW w:w="8610" w:type="dxa"/>
                        <w:shd w:val="clear" w:color="auto" w:fill="CDCCCC"/>
                        <w:vAlign w:val="center"/>
                        <w:hideMark/>
                      </w:tcPr>
                      <w:p w14:paraId="03385C41" w14:textId="77777777" w:rsidR="00F42214" w:rsidRDefault="00F42214">
                        <w:pPr>
                          <w:pStyle w:val="ICRTOC"/>
                          <w:keepLines/>
                        </w:pPr>
                        <w:bookmarkStart w:id="7" w:name="_IL1"/>
                        <w:r>
                          <w:rPr>
                            <w:rStyle w:val="Strong"/>
                            <w:b/>
                            <w:bCs/>
                          </w:rPr>
                          <w:lastRenderedPageBreak/>
                          <w:t>A. Basic Information</w:t>
                        </w:r>
                        <w:bookmarkEnd w:id="7"/>
                        <w:r>
                          <w:t xml:space="preserve"> </w:t>
                        </w:r>
                      </w:p>
                    </w:tc>
                  </w:tr>
                </w:tbl>
                <w:p w14:paraId="0F547F95" w14:textId="77777777" w:rsidR="00F42214" w:rsidRDefault="00F42214">
                  <w:pPr>
                    <w:pStyle w:val="Heading2"/>
                  </w:pPr>
                </w:p>
              </w:tc>
            </w:tr>
          </w:tbl>
          <w:p w14:paraId="5866926F" w14:textId="77777777" w:rsidR="00F42214" w:rsidRDefault="00F42214">
            <w:pPr>
              <w:pStyle w:val="Heading2"/>
            </w:pPr>
          </w:p>
        </w:tc>
      </w:tr>
      <w:tr w:rsidR="00F42214" w14:paraId="114BB1F3"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621E3D1" w14:textId="77777777" w:rsidR="00F42214" w:rsidRDefault="00F42214">
            <w:pPr>
              <w:spacing w:line="300" w:lineRule="atLeast"/>
              <w:rPr>
                <w:color w:val="000000"/>
                <w:sz w:val="22"/>
                <w:szCs w:val="22"/>
              </w:rPr>
            </w:pPr>
            <w:r>
              <w:rPr>
                <w:color w:val="000000"/>
                <w:sz w:val="22"/>
                <w:szCs w:val="22"/>
              </w:rPr>
              <w:t>Country:</w:t>
            </w:r>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D2DA5EA" w14:textId="77777777" w:rsidR="00F42214" w:rsidRDefault="00F42214">
            <w:pPr>
              <w:spacing w:line="300" w:lineRule="atLeast"/>
              <w:rPr>
                <w:color w:val="000000"/>
                <w:sz w:val="22"/>
                <w:szCs w:val="22"/>
              </w:rPr>
            </w:pPr>
            <w:bookmarkStart w:id="8" w:name="countr_fld"/>
            <w:r>
              <w:rPr>
                <w:color w:val="000000"/>
                <w:sz w:val="22"/>
                <w:szCs w:val="22"/>
              </w:rPr>
              <w:t>Bangladesh</w:t>
            </w:r>
            <w:bookmarkEnd w:id="8"/>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B42C572" w14:textId="77777777" w:rsidR="00F42214" w:rsidRDefault="00F42214">
            <w:pPr>
              <w:spacing w:line="300" w:lineRule="atLeast"/>
              <w:rPr>
                <w:color w:val="000000"/>
                <w:sz w:val="22"/>
                <w:szCs w:val="22"/>
              </w:rPr>
            </w:pPr>
            <w:r>
              <w:rPr>
                <w:color w:val="000000"/>
                <w:sz w:val="22"/>
                <w:szCs w:val="22"/>
              </w:rPr>
              <w:t>Project Name:</w:t>
            </w:r>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B9D6C2C" w14:textId="77777777" w:rsidR="00F42214" w:rsidRDefault="00F42214">
            <w:pPr>
              <w:spacing w:line="300" w:lineRule="atLeast"/>
              <w:rPr>
                <w:color w:val="000000"/>
                <w:sz w:val="22"/>
                <w:szCs w:val="22"/>
              </w:rPr>
            </w:pPr>
            <w:bookmarkStart w:id="9" w:name="pronam_fld"/>
            <w:r>
              <w:rPr>
                <w:color w:val="000000"/>
                <w:sz w:val="22"/>
                <w:szCs w:val="22"/>
              </w:rPr>
              <w:t>Bangladesh Disability and Children at Risk</w:t>
            </w:r>
            <w:bookmarkEnd w:id="9"/>
          </w:p>
        </w:tc>
      </w:tr>
      <w:tr w:rsidR="00F42214" w14:paraId="47B6E3F0"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FF6625D" w14:textId="77777777" w:rsidR="00F42214" w:rsidRDefault="00F42214">
            <w:pPr>
              <w:spacing w:line="300" w:lineRule="atLeast"/>
              <w:rPr>
                <w:color w:val="000000"/>
                <w:sz w:val="22"/>
                <w:szCs w:val="22"/>
              </w:rPr>
            </w:pPr>
            <w:r>
              <w:rPr>
                <w:color w:val="000000"/>
                <w:sz w:val="22"/>
                <w:szCs w:val="22"/>
              </w:rPr>
              <w:t>Project ID:</w:t>
            </w:r>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A284E45" w14:textId="77777777" w:rsidR="00F42214" w:rsidRDefault="00F42214">
            <w:pPr>
              <w:spacing w:line="300" w:lineRule="atLeast"/>
              <w:rPr>
                <w:color w:val="000000"/>
                <w:sz w:val="22"/>
                <w:szCs w:val="22"/>
              </w:rPr>
            </w:pPr>
            <w:bookmarkStart w:id="10" w:name="projid_fld"/>
            <w:r>
              <w:rPr>
                <w:color w:val="000000"/>
                <w:sz w:val="22"/>
                <w:szCs w:val="22"/>
              </w:rPr>
              <w:t>P106332</w:t>
            </w:r>
            <w:bookmarkEnd w:id="10"/>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74F87A9" w14:textId="77777777" w:rsidR="00F42214" w:rsidRDefault="00F42214">
            <w:pPr>
              <w:spacing w:line="300" w:lineRule="atLeast"/>
              <w:rPr>
                <w:color w:val="000000"/>
                <w:sz w:val="22"/>
                <w:szCs w:val="22"/>
              </w:rPr>
            </w:pPr>
            <w:r>
              <w:rPr>
                <w:color w:val="000000"/>
                <w:sz w:val="22"/>
                <w:szCs w:val="22"/>
              </w:rPr>
              <w:t>L/C/TF Number(s):</w:t>
            </w:r>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11402AA" w14:textId="77777777" w:rsidR="00F42214" w:rsidRDefault="00F42214">
            <w:pPr>
              <w:spacing w:line="300" w:lineRule="atLeast"/>
              <w:rPr>
                <w:color w:val="000000"/>
                <w:sz w:val="22"/>
                <w:szCs w:val="22"/>
              </w:rPr>
            </w:pPr>
            <w:bookmarkStart w:id="11" w:name="lctfnu_fld"/>
            <w:r>
              <w:rPr>
                <w:color w:val="000000"/>
                <w:sz w:val="22"/>
                <w:szCs w:val="22"/>
              </w:rPr>
              <w:t>IDA-44810</w:t>
            </w:r>
            <w:bookmarkEnd w:id="11"/>
          </w:p>
        </w:tc>
      </w:tr>
      <w:tr w:rsidR="00F42214" w14:paraId="08B497BF"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E534029" w14:textId="77777777" w:rsidR="00F42214" w:rsidRDefault="00F42214">
            <w:pPr>
              <w:spacing w:line="300" w:lineRule="atLeast"/>
              <w:rPr>
                <w:color w:val="000000"/>
                <w:sz w:val="22"/>
                <w:szCs w:val="22"/>
              </w:rPr>
            </w:pPr>
            <w:r>
              <w:rPr>
                <w:color w:val="000000"/>
                <w:sz w:val="22"/>
                <w:szCs w:val="22"/>
              </w:rPr>
              <w:t>ICR Date:</w:t>
            </w:r>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AD133CB" w14:textId="77777777" w:rsidR="00F42214" w:rsidRDefault="00F42214">
            <w:pPr>
              <w:spacing w:line="300" w:lineRule="atLeast"/>
              <w:rPr>
                <w:color w:val="000000"/>
                <w:sz w:val="22"/>
                <w:szCs w:val="22"/>
              </w:rPr>
            </w:pPr>
            <w:bookmarkStart w:id="12" w:name="icrdat_fld"/>
            <w:r>
              <w:rPr>
                <w:color w:val="000000"/>
                <w:sz w:val="22"/>
                <w:szCs w:val="22"/>
              </w:rPr>
              <w:t>12/20/2016</w:t>
            </w:r>
            <w:bookmarkEnd w:id="12"/>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6BCD6D9" w14:textId="77777777" w:rsidR="00F42214" w:rsidRDefault="00F42214">
            <w:pPr>
              <w:spacing w:line="300" w:lineRule="atLeast"/>
              <w:rPr>
                <w:color w:val="000000"/>
                <w:sz w:val="22"/>
                <w:szCs w:val="22"/>
              </w:rPr>
            </w:pPr>
            <w:r>
              <w:rPr>
                <w:color w:val="000000"/>
                <w:sz w:val="22"/>
                <w:szCs w:val="22"/>
              </w:rPr>
              <w:t>ICR Type:</w:t>
            </w:r>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58B3672" w14:textId="77777777" w:rsidR="00F42214" w:rsidRDefault="00F42214">
            <w:pPr>
              <w:spacing w:line="300" w:lineRule="atLeast"/>
              <w:rPr>
                <w:color w:val="000000"/>
                <w:sz w:val="22"/>
                <w:szCs w:val="22"/>
              </w:rPr>
            </w:pPr>
            <w:bookmarkStart w:id="13" w:name="icrtyp_fld"/>
            <w:r>
              <w:rPr>
                <w:color w:val="000000"/>
                <w:sz w:val="22"/>
                <w:szCs w:val="22"/>
              </w:rPr>
              <w:t>Core ICR</w:t>
            </w:r>
            <w:bookmarkEnd w:id="13"/>
          </w:p>
        </w:tc>
      </w:tr>
      <w:tr w:rsidR="00F42214" w14:paraId="1F590D16"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32E362F" w14:textId="77777777" w:rsidR="00F42214" w:rsidRDefault="00F42214">
            <w:pPr>
              <w:spacing w:line="300" w:lineRule="atLeast"/>
              <w:rPr>
                <w:color w:val="000000"/>
                <w:sz w:val="22"/>
                <w:szCs w:val="22"/>
              </w:rPr>
            </w:pPr>
            <w:r>
              <w:rPr>
                <w:color w:val="000000"/>
                <w:sz w:val="22"/>
                <w:szCs w:val="22"/>
              </w:rPr>
              <w:t>Lending Instrument:</w:t>
            </w:r>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EE15A99" w14:textId="77777777" w:rsidR="00F42214" w:rsidRDefault="00F42214">
            <w:pPr>
              <w:spacing w:line="300" w:lineRule="atLeast"/>
              <w:rPr>
                <w:color w:val="000000"/>
                <w:sz w:val="22"/>
                <w:szCs w:val="22"/>
              </w:rPr>
            </w:pPr>
            <w:bookmarkStart w:id="14" w:name="lenins_fld"/>
            <w:r>
              <w:rPr>
                <w:color w:val="000000"/>
                <w:sz w:val="22"/>
                <w:szCs w:val="22"/>
              </w:rPr>
              <w:t>SIL</w:t>
            </w:r>
            <w:bookmarkEnd w:id="14"/>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65DA242" w14:textId="77777777" w:rsidR="00F42214" w:rsidRDefault="00F42214">
            <w:pPr>
              <w:spacing w:line="300" w:lineRule="atLeast"/>
              <w:rPr>
                <w:color w:val="000000"/>
                <w:sz w:val="22"/>
                <w:szCs w:val="22"/>
              </w:rPr>
            </w:pPr>
            <w:bookmarkStart w:id="15" w:name="borrow_fld_lbl"/>
            <w:r>
              <w:rPr>
                <w:color w:val="000000"/>
                <w:sz w:val="22"/>
                <w:szCs w:val="22"/>
              </w:rPr>
              <w:t>Borrower:</w:t>
            </w:r>
            <w:bookmarkEnd w:id="15"/>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1268F6C" w14:textId="77777777" w:rsidR="00F42214" w:rsidRDefault="00F42214">
            <w:pPr>
              <w:spacing w:line="300" w:lineRule="atLeast"/>
              <w:rPr>
                <w:color w:val="000000"/>
                <w:sz w:val="22"/>
                <w:szCs w:val="22"/>
              </w:rPr>
            </w:pPr>
            <w:bookmarkStart w:id="16" w:name="borrow_fld"/>
            <w:r>
              <w:rPr>
                <w:color w:val="000000"/>
                <w:sz w:val="22"/>
                <w:szCs w:val="22"/>
              </w:rPr>
              <w:t>GOVERNMENT OF BANGLADESH</w:t>
            </w:r>
            <w:bookmarkEnd w:id="16"/>
          </w:p>
        </w:tc>
      </w:tr>
      <w:tr w:rsidR="00F42214" w14:paraId="16729A5C"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657B938" w14:textId="77777777" w:rsidR="00F42214" w:rsidRDefault="00F42214">
            <w:pPr>
              <w:spacing w:line="300" w:lineRule="atLeast"/>
              <w:rPr>
                <w:color w:val="000000"/>
                <w:sz w:val="22"/>
                <w:szCs w:val="22"/>
              </w:rPr>
            </w:pPr>
            <w:r>
              <w:rPr>
                <w:color w:val="000000"/>
                <w:sz w:val="22"/>
                <w:szCs w:val="22"/>
              </w:rPr>
              <w:t>Original Total Commitment:</w:t>
            </w:r>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E6963F9" w14:textId="77777777" w:rsidR="00F42214" w:rsidRDefault="00F42214">
            <w:pPr>
              <w:spacing w:line="300" w:lineRule="atLeast"/>
              <w:rPr>
                <w:color w:val="000000"/>
                <w:sz w:val="22"/>
                <w:szCs w:val="22"/>
              </w:rPr>
            </w:pPr>
            <w:bookmarkStart w:id="17" w:name="oritot_fld"/>
            <w:r>
              <w:rPr>
                <w:color w:val="000000"/>
                <w:sz w:val="22"/>
                <w:szCs w:val="22"/>
              </w:rPr>
              <w:t>XDR 21.90M</w:t>
            </w:r>
            <w:bookmarkEnd w:id="17"/>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C2D1E01" w14:textId="77777777" w:rsidR="00F42214" w:rsidRDefault="00F42214">
            <w:pPr>
              <w:spacing w:line="300" w:lineRule="atLeast"/>
              <w:rPr>
                <w:color w:val="000000"/>
                <w:sz w:val="22"/>
                <w:szCs w:val="22"/>
              </w:rPr>
            </w:pPr>
            <w:r>
              <w:rPr>
                <w:color w:val="000000"/>
                <w:sz w:val="22"/>
                <w:szCs w:val="22"/>
              </w:rPr>
              <w:t>Disbursed Amount:</w:t>
            </w:r>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9E4B7F9" w14:textId="77777777" w:rsidR="00F42214" w:rsidRDefault="00F42214">
            <w:pPr>
              <w:spacing w:line="300" w:lineRule="atLeast"/>
              <w:rPr>
                <w:color w:val="000000"/>
                <w:sz w:val="22"/>
                <w:szCs w:val="22"/>
              </w:rPr>
            </w:pPr>
            <w:bookmarkStart w:id="18" w:name="disamo_fld"/>
            <w:r>
              <w:rPr>
                <w:color w:val="000000"/>
                <w:sz w:val="22"/>
                <w:szCs w:val="22"/>
              </w:rPr>
              <w:t>XDR 12.46M</w:t>
            </w:r>
            <w:bookmarkEnd w:id="18"/>
          </w:p>
        </w:tc>
      </w:tr>
      <w:tr w:rsidR="00F42214" w14:paraId="3238A406" w14:textId="77777777" w:rsidTr="00F42214">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598792A" w14:textId="77777777" w:rsidR="00F42214" w:rsidRDefault="00F42214">
            <w:pPr>
              <w:spacing w:line="300" w:lineRule="atLeast"/>
              <w:rPr>
                <w:color w:val="000000"/>
                <w:sz w:val="22"/>
                <w:szCs w:val="22"/>
              </w:rPr>
            </w:pPr>
            <w:bookmarkStart w:id="19" w:name="revamt_fld_lbl"/>
            <w:r>
              <w:rPr>
                <w:color w:val="000000"/>
                <w:sz w:val="22"/>
                <w:szCs w:val="22"/>
              </w:rPr>
              <w:t>Revised Amount:</w:t>
            </w:r>
            <w:bookmarkEnd w:id="19"/>
          </w:p>
        </w:tc>
        <w:tc>
          <w:tcPr>
            <w:tcW w:w="2167"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56D0D83" w14:textId="77777777" w:rsidR="00F42214" w:rsidRDefault="00F42214">
            <w:pPr>
              <w:spacing w:line="300" w:lineRule="atLeast"/>
              <w:rPr>
                <w:color w:val="000000"/>
                <w:sz w:val="22"/>
                <w:szCs w:val="22"/>
              </w:rPr>
            </w:pPr>
            <w:bookmarkStart w:id="20" w:name="revamt_fld"/>
            <w:r>
              <w:rPr>
                <w:color w:val="000000"/>
                <w:sz w:val="22"/>
                <w:szCs w:val="22"/>
              </w:rPr>
              <w:t>XDR 12.56M</w:t>
            </w:r>
            <w:bookmarkEnd w:id="20"/>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43AC187B" w14:textId="77777777" w:rsidR="00F42214" w:rsidRDefault="00F42214">
            <w:pPr>
              <w:spacing w:line="300" w:lineRule="atLeast"/>
              <w:rPr>
                <w:color w:val="000000"/>
                <w:sz w:val="22"/>
                <w:szCs w:val="22"/>
              </w:rPr>
            </w:pPr>
          </w:p>
        </w:tc>
        <w:tc>
          <w:tcPr>
            <w:tcW w:w="216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3C3401DF" w14:textId="77777777" w:rsidR="00F42214" w:rsidRDefault="00F42214">
            <w:pPr>
              <w:spacing w:line="300" w:lineRule="atLeast"/>
              <w:rPr>
                <w:color w:val="000000"/>
                <w:sz w:val="22"/>
                <w:szCs w:val="22"/>
              </w:rPr>
            </w:pPr>
          </w:p>
        </w:tc>
      </w:tr>
      <w:tr w:rsidR="00F42214" w14:paraId="156991DF" w14:textId="77777777" w:rsidTr="00F42214">
        <w:tc>
          <w:tcPr>
            <w:tcW w:w="8670" w:type="dxa"/>
            <w:gridSpan w:val="4"/>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1F9561E" w14:textId="77777777" w:rsidR="00F42214" w:rsidRDefault="00F42214">
            <w:pPr>
              <w:spacing w:line="300" w:lineRule="atLeast"/>
              <w:rPr>
                <w:color w:val="000000"/>
                <w:sz w:val="22"/>
                <w:szCs w:val="22"/>
              </w:rPr>
            </w:pPr>
            <w:r>
              <w:rPr>
                <w:rStyle w:val="Strong"/>
                <w:color w:val="000000"/>
                <w:sz w:val="22"/>
                <w:szCs w:val="22"/>
              </w:rPr>
              <w:t xml:space="preserve">Environmental Category: </w:t>
            </w:r>
            <w:bookmarkStart w:id="21" w:name="envcat_fld"/>
            <w:r>
              <w:rPr>
                <w:rStyle w:val="Strong"/>
                <w:color w:val="000000"/>
                <w:sz w:val="22"/>
                <w:szCs w:val="22"/>
              </w:rPr>
              <w:t>C</w:t>
            </w:r>
            <w:bookmarkEnd w:id="21"/>
          </w:p>
        </w:tc>
      </w:tr>
      <w:tr w:rsidR="00F42214" w14:paraId="5677BB03" w14:textId="77777777" w:rsidTr="00F42214">
        <w:tc>
          <w:tcPr>
            <w:tcW w:w="8670" w:type="dxa"/>
            <w:gridSpan w:val="4"/>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E0DCABE" w14:textId="77777777" w:rsidR="00F42214" w:rsidRDefault="00F42214">
            <w:pPr>
              <w:spacing w:line="300" w:lineRule="atLeast"/>
              <w:rPr>
                <w:rStyle w:val="Strong"/>
                <w:b w:val="0"/>
              </w:rPr>
            </w:pPr>
            <w:r>
              <w:rPr>
                <w:rStyle w:val="Strong"/>
                <w:color w:val="000000"/>
                <w:sz w:val="22"/>
                <w:szCs w:val="22"/>
              </w:rPr>
              <w:t>Implementing Agencies:</w:t>
            </w:r>
            <w:r>
              <w:rPr>
                <w:rStyle w:val="Strong"/>
                <w:b w:val="0"/>
                <w:color w:val="000000"/>
                <w:sz w:val="22"/>
                <w:szCs w:val="22"/>
              </w:rPr>
              <w:t xml:space="preserve"> </w:t>
            </w:r>
          </w:p>
          <w:p w14:paraId="42278D60" w14:textId="77777777" w:rsidR="00F42214" w:rsidRDefault="00F42214">
            <w:pPr>
              <w:spacing w:line="300" w:lineRule="atLeast"/>
              <w:rPr>
                <w:rStyle w:val="Strong"/>
                <w:b w:val="0"/>
                <w:color w:val="000000"/>
                <w:sz w:val="22"/>
                <w:szCs w:val="22"/>
              </w:rPr>
            </w:pPr>
            <w:r>
              <w:rPr>
                <w:color w:val="000000"/>
                <w:sz w:val="22"/>
                <w:szCs w:val="22"/>
              </w:rPr>
              <w:t xml:space="preserve"> Department of Social Services </w:t>
            </w:r>
          </w:p>
          <w:p w14:paraId="0267781E" w14:textId="77777777" w:rsidR="00F42214" w:rsidRDefault="00F42214">
            <w:pPr>
              <w:keepLines/>
              <w:spacing w:line="300" w:lineRule="atLeast"/>
            </w:pPr>
            <w:r>
              <w:rPr>
                <w:color w:val="000000"/>
                <w:sz w:val="22"/>
                <w:szCs w:val="22"/>
              </w:rPr>
              <w:t xml:space="preserve"> </w:t>
            </w:r>
            <w:bookmarkStart w:id="22" w:name="IMP_AGEN_COL_1"/>
            <w:r>
              <w:rPr>
                <w:color w:val="000000"/>
                <w:sz w:val="22"/>
                <w:szCs w:val="22"/>
              </w:rPr>
              <w:t>Jatiyo Protibhondi Unnayan Foundation</w:t>
            </w:r>
            <w:bookmarkEnd w:id="22"/>
            <w:r>
              <w:rPr>
                <w:color w:val="000000"/>
                <w:sz w:val="22"/>
                <w:szCs w:val="22"/>
              </w:rPr>
              <w:t xml:space="preserve"> </w:t>
            </w:r>
            <w:bookmarkStart w:id="23" w:name="IMP_AGEN"/>
            <w:bookmarkEnd w:id="23"/>
          </w:p>
        </w:tc>
      </w:tr>
      <w:tr w:rsidR="00F42214" w14:paraId="39889DAB" w14:textId="77777777" w:rsidTr="00F42214">
        <w:trPr>
          <w:cantSplit/>
        </w:trPr>
        <w:tc>
          <w:tcPr>
            <w:tcW w:w="8670" w:type="dxa"/>
            <w:gridSpan w:val="4"/>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A4E5110" w14:textId="77777777" w:rsidR="00F42214" w:rsidRDefault="00F42214">
            <w:pPr>
              <w:keepLines/>
              <w:spacing w:line="300" w:lineRule="atLeast"/>
              <w:rPr>
                <w:rStyle w:val="Strong"/>
                <w:b w:val="0"/>
              </w:rPr>
            </w:pPr>
            <w:r>
              <w:rPr>
                <w:rStyle w:val="Strong"/>
                <w:color w:val="000000"/>
                <w:sz w:val="22"/>
                <w:szCs w:val="22"/>
              </w:rPr>
              <w:t>Cofinanciers and Other External Partners:</w:t>
            </w:r>
            <w:r>
              <w:rPr>
                <w:rStyle w:val="Strong"/>
                <w:b w:val="0"/>
                <w:color w:val="000000"/>
                <w:sz w:val="22"/>
                <w:szCs w:val="22"/>
              </w:rPr>
              <w:t xml:space="preserve"> </w:t>
            </w:r>
            <w:bookmarkStart w:id="24" w:name="EXT_PART"/>
            <w:bookmarkEnd w:id="24"/>
          </w:p>
        </w:tc>
      </w:tr>
    </w:tbl>
    <w:p w14:paraId="49156E34" w14:textId="77777777" w:rsidR="00F42214" w:rsidRDefault="00F42214" w:rsidP="00F42214"/>
    <w:tbl>
      <w:tblPr>
        <w:tblW w:w="5000" w:type="pct"/>
        <w:tblLayout w:type="fixed"/>
        <w:tblLook w:val="04A0" w:firstRow="1" w:lastRow="0" w:firstColumn="1" w:lastColumn="0" w:noHBand="0" w:noVBand="1"/>
      </w:tblPr>
      <w:tblGrid>
        <w:gridCol w:w="1724"/>
        <w:gridCol w:w="1725"/>
        <w:gridCol w:w="1725"/>
        <w:gridCol w:w="1725"/>
        <w:gridCol w:w="1725"/>
      </w:tblGrid>
      <w:tr w:rsidR="00F42214" w14:paraId="4AC16A4F" w14:textId="77777777" w:rsidTr="00F42214">
        <w:tc>
          <w:tcPr>
            <w:tcW w:w="8670" w:type="dxa"/>
            <w:gridSpan w:val="5"/>
            <w:tcBorders>
              <w:top w:val="single" w:sz="6" w:space="0" w:color="B1B1B1"/>
              <w:left w:val="single" w:sz="6" w:space="0" w:color="B1B1B1"/>
              <w:bottom w:val="single" w:sz="6" w:space="0" w:color="B1B1B1"/>
              <w:right w:val="single" w:sz="6" w:space="0" w:color="B1B1B1"/>
            </w:tcBorders>
            <w:shd w:val="clear" w:color="auto" w:fill="CDCCCC"/>
            <w:tcMar>
              <w:top w:w="15" w:type="dxa"/>
              <w:left w:w="15" w:type="dxa"/>
              <w:bottom w:w="15" w:type="dxa"/>
              <w:right w:w="15" w:type="dxa"/>
            </w:tcMar>
            <w:vAlign w:val="center"/>
            <w:hideMark/>
          </w:tcPr>
          <w:p w14:paraId="5631ACDC" w14:textId="77777777" w:rsidR="00F42214" w:rsidRDefault="00F42214">
            <w:pPr>
              <w:pStyle w:val="Heading2"/>
              <w:keepNext/>
              <w:keepLines/>
            </w:pPr>
            <w:bookmarkStart w:id="25" w:name="_IL2"/>
            <w:bookmarkStart w:id="26" w:name="_Toc147483790"/>
            <w:r>
              <w:t>B. Key Dates</w:t>
            </w:r>
            <w:bookmarkEnd w:id="25"/>
            <w:bookmarkEnd w:id="26"/>
            <w:r>
              <w:t xml:space="preserve"> </w:t>
            </w:r>
          </w:p>
        </w:tc>
      </w:tr>
      <w:tr w:rsidR="00F42214" w14:paraId="06B16B4A" w14:textId="77777777" w:rsidTr="00F42214">
        <w:tc>
          <w:tcPr>
            <w:tcW w:w="1734"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7918323C" w14:textId="77777777" w:rsidR="00F42214" w:rsidRDefault="00F42214">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304C2A53" w14:textId="77777777" w:rsidR="00F42214" w:rsidRDefault="00F42214">
            <w:pPr>
              <w:keepNext/>
              <w:keepLines/>
              <w:jc w:val="center"/>
              <w:rPr>
                <w:b/>
                <w:bCs/>
                <w:color w:val="606060"/>
                <w:sz w:val="22"/>
                <w:szCs w:val="22"/>
              </w:rPr>
            </w:pPr>
            <w:r>
              <w:rPr>
                <w:b/>
                <w:bCs/>
                <w:color w:val="606060"/>
                <w:sz w:val="22"/>
                <w:szCs w:val="22"/>
              </w:rPr>
              <w:t>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750075CF" w14:textId="77777777" w:rsidR="00F42214" w:rsidRDefault="00F42214">
            <w:pPr>
              <w:keepNext/>
              <w:keepLines/>
              <w:jc w:val="center"/>
              <w:rPr>
                <w:b/>
                <w:bCs/>
                <w:color w:val="606060"/>
                <w:sz w:val="22"/>
                <w:szCs w:val="22"/>
              </w:rPr>
            </w:pPr>
            <w:r>
              <w:rPr>
                <w:b/>
                <w:bCs/>
                <w:color w:val="606060"/>
                <w:sz w:val="22"/>
                <w:szCs w:val="22"/>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2DB4873A" w14:textId="77777777" w:rsidR="00F42214" w:rsidRDefault="00F42214">
            <w:pPr>
              <w:keepNext/>
              <w:keepLines/>
              <w:jc w:val="center"/>
              <w:rPr>
                <w:b/>
                <w:bCs/>
                <w:color w:val="606060"/>
                <w:sz w:val="22"/>
                <w:szCs w:val="22"/>
              </w:rPr>
            </w:pPr>
            <w:r>
              <w:rPr>
                <w:b/>
                <w:bCs/>
                <w:color w:val="606060"/>
                <w:sz w:val="22"/>
                <w:szCs w:val="22"/>
              </w:rPr>
              <w:t>Original 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01B48DD2" w14:textId="77777777" w:rsidR="00F42214" w:rsidRDefault="00F42214">
            <w:pPr>
              <w:keepNext/>
              <w:keepLines/>
              <w:jc w:val="center"/>
              <w:rPr>
                <w:b/>
                <w:bCs/>
                <w:color w:val="606060"/>
                <w:sz w:val="22"/>
                <w:szCs w:val="22"/>
              </w:rPr>
            </w:pPr>
            <w:r>
              <w:rPr>
                <w:b/>
                <w:bCs/>
                <w:color w:val="606060"/>
                <w:sz w:val="22"/>
                <w:szCs w:val="22"/>
              </w:rPr>
              <w:t>Revised / Actual Date(s)</w:t>
            </w:r>
          </w:p>
        </w:tc>
      </w:tr>
      <w:tr w:rsidR="00F42214" w14:paraId="73BAD9FA" w14:textId="77777777" w:rsidTr="00F42214">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F6D99A0" w14:textId="77777777" w:rsidR="00F42214" w:rsidRDefault="00F42214">
            <w:pPr>
              <w:spacing w:line="300" w:lineRule="atLeast"/>
              <w:rPr>
                <w:color w:val="000000"/>
                <w:sz w:val="22"/>
                <w:szCs w:val="22"/>
              </w:rPr>
            </w:pPr>
            <w:r>
              <w:rPr>
                <w:color w:val="000000"/>
                <w:sz w:val="22"/>
                <w:szCs w:val="22"/>
              </w:rPr>
              <w:t xml:space="preserve"> Concept Review:</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AAB7240" w14:textId="77777777" w:rsidR="00F42214" w:rsidRDefault="00F42214">
            <w:pPr>
              <w:spacing w:line="300" w:lineRule="atLeast"/>
              <w:jc w:val="center"/>
              <w:rPr>
                <w:color w:val="000000"/>
                <w:sz w:val="22"/>
                <w:szCs w:val="22"/>
              </w:rPr>
            </w:pPr>
            <w:r>
              <w:rPr>
                <w:color w:val="000000"/>
                <w:sz w:val="22"/>
                <w:szCs w:val="22"/>
              </w:rPr>
              <w:t>10/09/2007</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E4AB15A" w14:textId="77777777" w:rsidR="00F42214" w:rsidRDefault="00F42214">
            <w:pPr>
              <w:spacing w:line="300" w:lineRule="atLeast"/>
              <w:rPr>
                <w:color w:val="000000"/>
                <w:sz w:val="22"/>
                <w:szCs w:val="22"/>
              </w:rPr>
            </w:pPr>
            <w:r>
              <w:rPr>
                <w:color w:val="000000"/>
                <w:sz w:val="22"/>
                <w:szCs w:val="22"/>
              </w:rPr>
              <w:t>Effectiveness:</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282BB10" w14:textId="77777777" w:rsidR="00F42214" w:rsidRDefault="00F42214">
            <w:pPr>
              <w:spacing w:line="300" w:lineRule="atLeast"/>
              <w:jc w:val="center"/>
              <w:rPr>
                <w:color w:val="000000"/>
                <w:sz w:val="22"/>
                <w:szCs w:val="22"/>
              </w:rPr>
            </w:pPr>
            <w:r>
              <w:rPr>
                <w:color w:val="000000"/>
                <w:sz w:val="22"/>
                <w:szCs w:val="22"/>
              </w:rPr>
              <w:t>01/22/2009</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C4F27E9" w14:textId="77777777" w:rsidR="00F42214" w:rsidRDefault="00F42214">
            <w:pPr>
              <w:spacing w:line="300" w:lineRule="atLeast"/>
              <w:jc w:val="center"/>
              <w:rPr>
                <w:color w:val="000000"/>
                <w:sz w:val="22"/>
                <w:szCs w:val="22"/>
              </w:rPr>
            </w:pPr>
            <w:r>
              <w:rPr>
                <w:color w:val="000000"/>
                <w:sz w:val="22"/>
                <w:szCs w:val="22"/>
              </w:rPr>
              <w:t>01/22/2009</w:t>
            </w:r>
          </w:p>
        </w:tc>
      </w:tr>
      <w:tr w:rsidR="00F42214" w14:paraId="61B72196" w14:textId="77777777" w:rsidTr="00F42214">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2493ED5" w14:textId="77777777" w:rsidR="00F42214" w:rsidRDefault="00F42214">
            <w:pPr>
              <w:spacing w:line="300" w:lineRule="atLeast"/>
              <w:rPr>
                <w:color w:val="000000"/>
                <w:sz w:val="22"/>
                <w:szCs w:val="22"/>
              </w:rPr>
            </w:pPr>
            <w:r>
              <w:rPr>
                <w:color w:val="000000"/>
                <w:sz w:val="22"/>
                <w:szCs w:val="22"/>
              </w:rPr>
              <w:t xml:space="preserve"> Appraisal:</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EFC6AB0" w14:textId="77777777" w:rsidR="00F42214" w:rsidRDefault="00F42214">
            <w:pPr>
              <w:spacing w:line="300" w:lineRule="atLeast"/>
              <w:jc w:val="center"/>
              <w:rPr>
                <w:color w:val="000000"/>
                <w:sz w:val="22"/>
                <w:szCs w:val="22"/>
              </w:rPr>
            </w:pPr>
            <w:r>
              <w:rPr>
                <w:color w:val="000000"/>
                <w:sz w:val="22"/>
                <w:szCs w:val="22"/>
              </w:rPr>
              <w:t>02/27/2008</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495BEB3" w14:textId="77777777" w:rsidR="00F42214" w:rsidRDefault="00F42214">
            <w:pPr>
              <w:spacing w:line="300" w:lineRule="atLeast"/>
              <w:rPr>
                <w:color w:val="000000"/>
                <w:sz w:val="22"/>
                <w:szCs w:val="22"/>
              </w:rPr>
            </w:pPr>
            <w:r>
              <w:rPr>
                <w:color w:val="000000"/>
                <w:sz w:val="22"/>
                <w:szCs w:val="22"/>
              </w:rPr>
              <w:t>Restructuring(s):</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1FC1ADEC" w14:textId="77777777" w:rsidR="00F42214" w:rsidRDefault="00F42214">
            <w:pPr>
              <w:spacing w:line="300" w:lineRule="atLeast"/>
              <w:jc w:val="center"/>
              <w:rPr>
                <w:color w:val="000000"/>
                <w:sz w:val="22"/>
                <w:szCs w:val="22"/>
              </w:rPr>
            </w:pP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643A08DB" w14:textId="77777777" w:rsidR="00F42214" w:rsidRDefault="00F42214">
            <w:pPr>
              <w:spacing w:line="300" w:lineRule="atLeast"/>
              <w:jc w:val="center"/>
              <w:rPr>
                <w:color w:val="000000"/>
                <w:sz w:val="22"/>
                <w:szCs w:val="22"/>
              </w:rPr>
            </w:pPr>
            <w:r>
              <w:rPr>
                <w:color w:val="000000"/>
                <w:sz w:val="22"/>
                <w:szCs w:val="22"/>
              </w:rPr>
              <w:t>06/24/2011</w:t>
            </w:r>
          </w:p>
          <w:p w14:paraId="21729666" w14:textId="77777777" w:rsidR="00F42214" w:rsidRDefault="00F42214">
            <w:pPr>
              <w:spacing w:line="300" w:lineRule="atLeast"/>
              <w:jc w:val="center"/>
              <w:rPr>
                <w:color w:val="000000"/>
                <w:sz w:val="22"/>
                <w:szCs w:val="22"/>
              </w:rPr>
            </w:pPr>
            <w:r>
              <w:rPr>
                <w:color w:val="000000"/>
                <w:sz w:val="22"/>
                <w:szCs w:val="22"/>
              </w:rPr>
              <w:t>12/31/2013</w:t>
            </w:r>
          </w:p>
          <w:p w14:paraId="44007C8E" w14:textId="77777777" w:rsidR="00F42214" w:rsidRDefault="00F42214">
            <w:pPr>
              <w:spacing w:line="300" w:lineRule="atLeast"/>
              <w:jc w:val="center"/>
              <w:rPr>
                <w:color w:val="000000"/>
                <w:sz w:val="22"/>
                <w:szCs w:val="22"/>
              </w:rPr>
            </w:pPr>
            <w:r>
              <w:rPr>
                <w:color w:val="000000"/>
                <w:sz w:val="22"/>
                <w:szCs w:val="22"/>
              </w:rPr>
              <w:t>03/25/2015</w:t>
            </w:r>
          </w:p>
        </w:tc>
      </w:tr>
      <w:tr w:rsidR="00F42214" w14:paraId="0A716F7D" w14:textId="77777777" w:rsidTr="00F42214">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99054B4" w14:textId="77777777" w:rsidR="00F42214" w:rsidRDefault="00F42214">
            <w:pPr>
              <w:spacing w:line="300" w:lineRule="atLeast"/>
              <w:rPr>
                <w:color w:val="000000"/>
                <w:sz w:val="22"/>
                <w:szCs w:val="22"/>
              </w:rPr>
            </w:pPr>
            <w:r>
              <w:rPr>
                <w:color w:val="000000"/>
                <w:sz w:val="22"/>
                <w:szCs w:val="22"/>
              </w:rPr>
              <w:t xml:space="preserve"> Approval:</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10E55BB" w14:textId="77777777" w:rsidR="00F42214" w:rsidRDefault="00F42214">
            <w:pPr>
              <w:spacing w:line="300" w:lineRule="atLeast"/>
              <w:jc w:val="center"/>
              <w:rPr>
                <w:color w:val="000000"/>
                <w:sz w:val="22"/>
                <w:szCs w:val="22"/>
              </w:rPr>
            </w:pPr>
            <w:r>
              <w:rPr>
                <w:color w:val="000000"/>
                <w:sz w:val="22"/>
                <w:szCs w:val="22"/>
              </w:rPr>
              <w:t>07/01/2008</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DFBC6B1" w14:textId="77777777" w:rsidR="00F42214" w:rsidRDefault="00F42214">
            <w:pPr>
              <w:spacing w:line="300" w:lineRule="atLeast"/>
              <w:rPr>
                <w:color w:val="000000"/>
                <w:sz w:val="22"/>
                <w:szCs w:val="22"/>
              </w:rPr>
            </w:pPr>
            <w:r>
              <w:rPr>
                <w:color w:val="000000"/>
                <w:sz w:val="22"/>
                <w:szCs w:val="22"/>
              </w:rPr>
              <w:t>Mid-term Review:</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F025363" w14:textId="77777777" w:rsidR="00F42214" w:rsidRDefault="00F42214">
            <w:pPr>
              <w:spacing w:line="300" w:lineRule="atLeast"/>
              <w:jc w:val="center"/>
              <w:rPr>
                <w:color w:val="000000"/>
                <w:sz w:val="22"/>
                <w:szCs w:val="22"/>
              </w:rPr>
            </w:pPr>
            <w:r>
              <w:rPr>
                <w:color w:val="000000"/>
                <w:sz w:val="22"/>
                <w:szCs w:val="22"/>
              </w:rPr>
              <w:t>12/13/2012</w:t>
            </w:r>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745C3B3" w14:textId="77777777" w:rsidR="00F42214" w:rsidRDefault="00F42214">
            <w:pPr>
              <w:spacing w:line="300" w:lineRule="atLeast"/>
              <w:jc w:val="center"/>
              <w:rPr>
                <w:color w:val="000000"/>
                <w:sz w:val="22"/>
                <w:szCs w:val="22"/>
              </w:rPr>
            </w:pPr>
            <w:r>
              <w:rPr>
                <w:color w:val="000000"/>
                <w:sz w:val="22"/>
                <w:szCs w:val="22"/>
              </w:rPr>
              <w:t>12/26/2012</w:t>
            </w:r>
          </w:p>
        </w:tc>
      </w:tr>
      <w:tr w:rsidR="00F42214" w14:paraId="10571EEB" w14:textId="77777777" w:rsidTr="00F42214">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CCED07F" w14:textId="77777777" w:rsidR="00F42214" w:rsidRDefault="00F42214">
            <w:pPr>
              <w:spacing w:line="300" w:lineRule="atLeast"/>
              <w:rPr>
                <w:color w:val="000000"/>
                <w:sz w:val="22"/>
                <w:szCs w:val="22"/>
              </w:rPr>
            </w:pPr>
            <w:r>
              <w:rPr>
                <w:color w:val="000000"/>
                <w:sz w:val="22"/>
                <w:szCs w:val="22"/>
              </w:rPr>
              <w:t xml:space="preserve"> </w:t>
            </w:r>
            <w:bookmarkStart w:id="27" w:name="MILESTONE_COL_1"/>
            <w:bookmarkEnd w:id="27"/>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652179EB" w14:textId="77777777" w:rsidR="00F42214" w:rsidRDefault="00F42214">
            <w:pPr>
              <w:spacing w:line="300" w:lineRule="atLeast"/>
              <w:jc w:val="center"/>
              <w:rPr>
                <w:color w:val="000000"/>
                <w:sz w:val="22"/>
                <w:szCs w:val="22"/>
              </w:rPr>
            </w:pPr>
            <w:bookmarkStart w:id="28" w:name="MILESTONE_COL_2"/>
            <w:bookmarkEnd w:id="28"/>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04F07C8" w14:textId="77777777" w:rsidR="00F42214" w:rsidRDefault="00F42214">
            <w:pPr>
              <w:spacing w:line="300" w:lineRule="atLeast"/>
              <w:rPr>
                <w:color w:val="000000"/>
                <w:sz w:val="22"/>
                <w:szCs w:val="22"/>
              </w:rPr>
            </w:pPr>
            <w:bookmarkStart w:id="29" w:name="MILESTONE_COL_3"/>
            <w:r>
              <w:rPr>
                <w:color w:val="000000"/>
                <w:sz w:val="22"/>
                <w:szCs w:val="22"/>
              </w:rPr>
              <w:t>Closing:</w:t>
            </w:r>
            <w:bookmarkEnd w:id="29"/>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2EA7494" w14:textId="77777777" w:rsidR="00F42214" w:rsidRDefault="00F42214">
            <w:pPr>
              <w:spacing w:line="300" w:lineRule="atLeast"/>
              <w:jc w:val="center"/>
              <w:rPr>
                <w:color w:val="000000"/>
                <w:sz w:val="22"/>
                <w:szCs w:val="22"/>
              </w:rPr>
            </w:pPr>
            <w:bookmarkStart w:id="30" w:name="MILESTONE_COL_4"/>
            <w:r>
              <w:rPr>
                <w:color w:val="000000"/>
                <w:sz w:val="22"/>
                <w:szCs w:val="22"/>
              </w:rPr>
              <w:t>12/31/2014</w:t>
            </w:r>
            <w:bookmarkEnd w:id="30"/>
          </w:p>
        </w:tc>
        <w:tc>
          <w:tcPr>
            <w:tcW w:w="1734"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786FAF9" w14:textId="77777777" w:rsidR="00F42214" w:rsidRDefault="00F42214">
            <w:pPr>
              <w:spacing w:line="300" w:lineRule="atLeast"/>
              <w:jc w:val="center"/>
              <w:rPr>
                <w:color w:val="000000"/>
                <w:sz w:val="22"/>
                <w:szCs w:val="22"/>
              </w:rPr>
            </w:pPr>
            <w:bookmarkStart w:id="31" w:name="MILESTONE_COL_5"/>
            <w:r>
              <w:rPr>
                <w:color w:val="000000"/>
                <w:sz w:val="22"/>
                <w:szCs w:val="22"/>
              </w:rPr>
              <w:t>06/30/2016</w:t>
            </w:r>
            <w:bookmarkEnd w:id="31"/>
          </w:p>
        </w:tc>
      </w:tr>
    </w:tbl>
    <w:p w14:paraId="7949DC88" w14:textId="77777777" w:rsidR="00F42214" w:rsidRDefault="00F42214" w:rsidP="00F42214">
      <w:bookmarkStart w:id="32" w:name="MILESTONE"/>
      <w:bookmarkEnd w:id="32"/>
    </w:p>
    <w:tbl>
      <w:tblPr>
        <w:tblW w:w="5000" w:type="pct"/>
        <w:tblLayout w:type="fixed"/>
        <w:tblLook w:val="04A0" w:firstRow="1" w:lastRow="0" w:firstColumn="1" w:lastColumn="0" w:noHBand="0" w:noVBand="1"/>
      </w:tblPr>
      <w:tblGrid>
        <w:gridCol w:w="4312"/>
        <w:gridCol w:w="4312"/>
      </w:tblGrid>
      <w:tr w:rsidR="00F42214" w14:paraId="51C94358" w14:textId="77777777" w:rsidTr="00F42214">
        <w:tc>
          <w:tcPr>
            <w:tcW w:w="8670" w:type="dxa"/>
            <w:gridSpan w:val="2"/>
            <w:tcBorders>
              <w:top w:val="single" w:sz="6" w:space="0" w:color="B1B1B1"/>
              <w:left w:val="single" w:sz="6" w:space="0" w:color="B1B1B1"/>
              <w:bottom w:val="single" w:sz="6" w:space="0" w:color="B1B1B1"/>
              <w:right w:val="single" w:sz="6" w:space="0" w:color="B1B1B1"/>
            </w:tcBorders>
            <w:shd w:val="clear" w:color="auto" w:fill="CDCCCC"/>
            <w:tcMar>
              <w:top w:w="15" w:type="dxa"/>
              <w:left w:w="15" w:type="dxa"/>
              <w:bottom w:w="15" w:type="dxa"/>
              <w:right w:w="15" w:type="dxa"/>
            </w:tcMar>
            <w:vAlign w:val="center"/>
            <w:hideMark/>
          </w:tcPr>
          <w:p w14:paraId="219E5255" w14:textId="77777777" w:rsidR="00F42214" w:rsidRDefault="00F42214">
            <w:pPr>
              <w:pStyle w:val="Heading2"/>
              <w:keepNext/>
              <w:keepLines/>
            </w:pPr>
            <w:bookmarkStart w:id="33" w:name="_IL3"/>
            <w:bookmarkStart w:id="34" w:name="_Toc147483791"/>
            <w:r>
              <w:t>C. Ratings Summary</w:t>
            </w:r>
            <w:bookmarkEnd w:id="33"/>
            <w:bookmarkEnd w:id="34"/>
            <w:r>
              <w:t xml:space="preserve"> </w:t>
            </w:r>
          </w:p>
        </w:tc>
      </w:tr>
      <w:tr w:rsidR="00F42214" w14:paraId="1ECF3034" w14:textId="77777777" w:rsidTr="00F42214">
        <w:tc>
          <w:tcPr>
            <w:tcW w:w="8670" w:type="dxa"/>
            <w:gridSpan w:val="2"/>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1297736" w14:textId="77777777" w:rsidR="00F42214" w:rsidRDefault="00F42214">
            <w:pPr>
              <w:keepNext/>
              <w:keepLines/>
              <w:rPr>
                <w:b/>
                <w:sz w:val="22"/>
                <w:szCs w:val="22"/>
              </w:rPr>
            </w:pPr>
            <w:r>
              <w:rPr>
                <w:b/>
                <w:sz w:val="22"/>
                <w:szCs w:val="22"/>
              </w:rPr>
              <w:t>C.1 Performance Rating by ICR</w:t>
            </w:r>
          </w:p>
        </w:tc>
      </w:tr>
      <w:tr w:rsidR="00F42214" w14:paraId="104B2C07" w14:textId="77777777" w:rsidTr="00F42214">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D790FB6" w14:textId="77777777" w:rsidR="00F42214" w:rsidRDefault="00F42214">
            <w:pPr>
              <w:spacing w:line="300" w:lineRule="atLeast"/>
              <w:rPr>
                <w:color w:val="000000"/>
                <w:sz w:val="22"/>
                <w:szCs w:val="22"/>
              </w:rPr>
            </w:pPr>
            <w:r>
              <w:rPr>
                <w:color w:val="000000"/>
                <w:sz w:val="22"/>
                <w:szCs w:val="22"/>
              </w:rPr>
              <w:t xml:space="preserve"> Outcomes:</w:t>
            </w:r>
          </w:p>
        </w:tc>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85C8444" w14:textId="77777777" w:rsidR="00F42214" w:rsidRDefault="00F42214">
            <w:pPr>
              <w:spacing w:line="300" w:lineRule="atLeast"/>
              <w:rPr>
                <w:color w:val="000000"/>
                <w:sz w:val="22"/>
                <w:szCs w:val="22"/>
              </w:rPr>
            </w:pPr>
            <w:r>
              <w:rPr>
                <w:color w:val="000000"/>
                <w:sz w:val="22"/>
                <w:szCs w:val="22"/>
              </w:rPr>
              <w:t>Moderately Satisfactory</w:t>
            </w:r>
          </w:p>
        </w:tc>
      </w:tr>
      <w:tr w:rsidR="00F42214" w14:paraId="3D90CB2D" w14:textId="77777777" w:rsidTr="00F42214">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EE4BDD1" w14:textId="77777777" w:rsidR="00F42214" w:rsidRDefault="00F42214">
            <w:pPr>
              <w:spacing w:line="300" w:lineRule="atLeast"/>
              <w:rPr>
                <w:color w:val="000000"/>
                <w:sz w:val="22"/>
                <w:szCs w:val="22"/>
              </w:rPr>
            </w:pPr>
            <w:r>
              <w:rPr>
                <w:color w:val="000000"/>
                <w:sz w:val="22"/>
                <w:szCs w:val="22"/>
              </w:rPr>
              <w:t xml:space="preserve"> Risk to Development Outcome:</w:t>
            </w:r>
          </w:p>
        </w:tc>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852DA63" w14:textId="77777777" w:rsidR="00F42214" w:rsidRDefault="00F42214">
            <w:pPr>
              <w:spacing w:line="300" w:lineRule="atLeast"/>
              <w:rPr>
                <w:color w:val="000000"/>
                <w:sz w:val="22"/>
                <w:szCs w:val="22"/>
              </w:rPr>
            </w:pPr>
            <w:r>
              <w:rPr>
                <w:color w:val="000000"/>
                <w:sz w:val="22"/>
                <w:szCs w:val="22"/>
              </w:rPr>
              <w:t>Moderate</w:t>
            </w:r>
          </w:p>
        </w:tc>
      </w:tr>
      <w:tr w:rsidR="00F42214" w14:paraId="1B2DF777" w14:textId="77777777" w:rsidTr="00F42214">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6CF5490" w14:textId="77777777" w:rsidR="00F42214" w:rsidRDefault="00F42214">
            <w:pPr>
              <w:spacing w:line="300" w:lineRule="atLeast"/>
              <w:rPr>
                <w:color w:val="000000"/>
                <w:sz w:val="22"/>
                <w:szCs w:val="22"/>
              </w:rPr>
            </w:pPr>
            <w:r>
              <w:rPr>
                <w:color w:val="000000"/>
                <w:sz w:val="22"/>
                <w:szCs w:val="22"/>
              </w:rPr>
              <w:t xml:space="preserve"> Bank Performance:</w:t>
            </w:r>
          </w:p>
        </w:tc>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AEC02A4" w14:textId="77777777" w:rsidR="00F42214" w:rsidRDefault="00F42214">
            <w:pPr>
              <w:spacing w:line="300" w:lineRule="atLeast"/>
              <w:rPr>
                <w:color w:val="000000"/>
                <w:sz w:val="22"/>
                <w:szCs w:val="22"/>
              </w:rPr>
            </w:pPr>
            <w:r>
              <w:rPr>
                <w:color w:val="000000"/>
                <w:sz w:val="22"/>
                <w:szCs w:val="22"/>
              </w:rPr>
              <w:t>Moderately Satisfactory</w:t>
            </w:r>
          </w:p>
        </w:tc>
      </w:tr>
      <w:tr w:rsidR="00F42214" w14:paraId="2F4816EC" w14:textId="77777777" w:rsidTr="00F42214">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D7B5850" w14:textId="77777777" w:rsidR="00F42214" w:rsidRDefault="00F42214">
            <w:pPr>
              <w:spacing w:line="300" w:lineRule="atLeast"/>
              <w:rPr>
                <w:color w:val="000000"/>
                <w:sz w:val="22"/>
                <w:szCs w:val="22"/>
              </w:rPr>
            </w:pPr>
            <w:r>
              <w:rPr>
                <w:color w:val="000000"/>
                <w:sz w:val="22"/>
                <w:szCs w:val="22"/>
              </w:rPr>
              <w:t xml:space="preserve"> </w:t>
            </w:r>
            <w:bookmarkStart w:id="35" w:name="SEC_3_1_COL_1"/>
            <w:r>
              <w:rPr>
                <w:color w:val="000000"/>
                <w:sz w:val="22"/>
                <w:szCs w:val="22"/>
              </w:rPr>
              <w:t>Borrower Performance:</w:t>
            </w:r>
            <w:bookmarkEnd w:id="35"/>
          </w:p>
        </w:tc>
        <w:tc>
          <w:tcPr>
            <w:tcW w:w="433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FF7C4DD" w14:textId="77777777" w:rsidR="00F42214" w:rsidRDefault="00F42214">
            <w:pPr>
              <w:spacing w:line="300" w:lineRule="atLeast"/>
              <w:rPr>
                <w:color w:val="000000"/>
                <w:sz w:val="22"/>
                <w:szCs w:val="22"/>
              </w:rPr>
            </w:pPr>
            <w:bookmarkStart w:id="36" w:name="SEC_3_1_COL_2"/>
            <w:r>
              <w:rPr>
                <w:color w:val="000000"/>
                <w:sz w:val="22"/>
                <w:szCs w:val="22"/>
              </w:rPr>
              <w:t>Moderately Satisfactory</w:t>
            </w:r>
            <w:bookmarkEnd w:id="36"/>
          </w:p>
        </w:tc>
      </w:tr>
    </w:tbl>
    <w:p w14:paraId="7BA41DE5" w14:textId="77777777" w:rsidR="00F42214" w:rsidRDefault="00F42214" w:rsidP="00F42214">
      <w:bookmarkStart w:id="37" w:name="SEC_3_1"/>
      <w:bookmarkEnd w:id="37"/>
    </w:p>
    <w:p w14:paraId="621BC2F0" w14:textId="77777777" w:rsidR="00F42214" w:rsidRDefault="00F42214" w:rsidP="00F42214">
      <w:pPr>
        <w:rPr>
          <w:sz w:val="2"/>
          <w:szCs w:val="2"/>
        </w:rPr>
      </w:pPr>
    </w:p>
    <w:tbl>
      <w:tblPr>
        <w:tblW w:w="5000" w:type="pct"/>
        <w:tblCellMar>
          <w:top w:w="10" w:type="dxa"/>
          <w:left w:w="10" w:type="dxa"/>
          <w:bottom w:w="10" w:type="dxa"/>
          <w:right w:w="10" w:type="dxa"/>
        </w:tblCellMar>
        <w:tblLook w:val="04A0" w:firstRow="1" w:lastRow="0" w:firstColumn="1" w:lastColumn="0" w:noHBand="0" w:noVBand="1"/>
      </w:tblPr>
      <w:tblGrid>
        <w:gridCol w:w="2157"/>
        <w:gridCol w:w="2157"/>
        <w:gridCol w:w="2158"/>
        <w:gridCol w:w="2158"/>
      </w:tblGrid>
      <w:tr w:rsidR="00F42214" w14:paraId="0438DF24" w14:textId="77777777" w:rsidTr="00F42214">
        <w:tc>
          <w:tcPr>
            <w:tcW w:w="5000" w:type="pct"/>
            <w:gridSpan w:val="4"/>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5E126EFE" w14:textId="77777777" w:rsidR="00F42214" w:rsidRDefault="00F42214">
            <w:pPr>
              <w:keepNext/>
              <w:keepLines/>
              <w:rPr>
                <w:b/>
                <w:bCs/>
                <w:color w:val="606060"/>
                <w:sz w:val="22"/>
                <w:szCs w:val="22"/>
              </w:rPr>
            </w:pPr>
            <w:r>
              <w:rPr>
                <w:b/>
                <w:sz w:val="22"/>
                <w:szCs w:val="22"/>
              </w:rPr>
              <w:t>C.2  Detailed Ratings of Bank and Borrower Performance (by ICR)</w:t>
            </w:r>
          </w:p>
        </w:tc>
      </w:tr>
      <w:tr w:rsidR="00F42214" w14:paraId="0E1D5612" w14:textId="77777777" w:rsidTr="00F42214">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14D52BE4" w14:textId="77777777" w:rsidR="00F42214" w:rsidRDefault="00F42214">
            <w:pPr>
              <w:keepNext/>
              <w:jc w:val="center"/>
              <w:rPr>
                <w:b/>
                <w:bCs/>
                <w:color w:val="606060"/>
                <w:sz w:val="22"/>
                <w:szCs w:val="22"/>
              </w:rPr>
            </w:pPr>
            <w:r>
              <w:rPr>
                <w:b/>
                <w:bCs/>
                <w:color w:val="606060"/>
                <w:sz w:val="22"/>
                <w:szCs w:val="22"/>
              </w:rPr>
              <w:t>Bank</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51018C10" w14:textId="77777777" w:rsidR="00F42214" w:rsidRDefault="00F42214">
            <w:pPr>
              <w:keepNext/>
              <w:keepLines/>
              <w:jc w:val="center"/>
              <w:rPr>
                <w:b/>
                <w:bCs/>
                <w:color w:val="606060"/>
                <w:sz w:val="22"/>
                <w:szCs w:val="22"/>
              </w:rPr>
            </w:pPr>
            <w:r>
              <w:rPr>
                <w:b/>
                <w:bCs/>
                <w:color w:val="606060"/>
                <w:sz w:val="22"/>
                <w:szCs w:val="22"/>
              </w:rPr>
              <w:t>Ratings</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3673188" w14:textId="77777777" w:rsidR="00F42214" w:rsidRDefault="00F42214">
            <w:pPr>
              <w:keepNext/>
              <w:jc w:val="center"/>
              <w:rPr>
                <w:b/>
                <w:bCs/>
                <w:color w:val="606060"/>
                <w:sz w:val="22"/>
                <w:szCs w:val="22"/>
              </w:rPr>
            </w:pPr>
            <w:r>
              <w:rPr>
                <w:b/>
                <w:bCs/>
                <w:color w:val="606060"/>
                <w:sz w:val="22"/>
                <w:szCs w:val="22"/>
              </w:rPr>
              <w:t>Borrower</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68E40193" w14:textId="77777777" w:rsidR="00F42214" w:rsidRDefault="00F42214">
            <w:pPr>
              <w:keepNext/>
              <w:jc w:val="center"/>
              <w:rPr>
                <w:b/>
                <w:bCs/>
                <w:color w:val="606060"/>
                <w:sz w:val="22"/>
                <w:szCs w:val="22"/>
              </w:rPr>
            </w:pPr>
            <w:r>
              <w:rPr>
                <w:b/>
                <w:bCs/>
                <w:color w:val="606060"/>
                <w:sz w:val="22"/>
                <w:szCs w:val="22"/>
              </w:rPr>
              <w:t>Ratings</w:t>
            </w:r>
          </w:p>
        </w:tc>
      </w:tr>
      <w:tr w:rsidR="00F42214" w14:paraId="634F38A6" w14:textId="77777777" w:rsidTr="00F42214">
        <w:tc>
          <w:tcPr>
            <w:tcW w:w="0" w:type="auto"/>
            <w:tcBorders>
              <w:top w:val="single" w:sz="4" w:space="0" w:color="B1B1B1"/>
              <w:left w:val="single" w:sz="4" w:space="0" w:color="B1B1B1"/>
              <w:bottom w:val="single" w:sz="4" w:space="0" w:color="B1B1B1"/>
              <w:right w:val="single" w:sz="4" w:space="0" w:color="B1B1B1"/>
            </w:tcBorders>
            <w:vAlign w:val="center"/>
            <w:hideMark/>
          </w:tcPr>
          <w:p w14:paraId="167BB913" w14:textId="77777777" w:rsidR="00F42214" w:rsidRDefault="00F42214">
            <w:pPr>
              <w:keepLines/>
              <w:spacing w:line="200" w:lineRule="atLeast"/>
              <w:rPr>
                <w:color w:val="000000"/>
                <w:sz w:val="22"/>
                <w:szCs w:val="22"/>
              </w:rPr>
            </w:pPr>
            <w:r>
              <w:rPr>
                <w:color w:val="000000"/>
                <w:sz w:val="22"/>
                <w:szCs w:val="22"/>
              </w:rPr>
              <w:t>Quality at Entry:</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2377BAC9" w14:textId="77777777" w:rsidR="00F42214" w:rsidRDefault="00F42214">
            <w:pPr>
              <w:keepLines/>
              <w:spacing w:line="200" w:lineRule="atLeast"/>
              <w:rPr>
                <w:color w:val="000000"/>
                <w:sz w:val="22"/>
                <w:szCs w:val="22"/>
              </w:rPr>
            </w:pPr>
            <w:bookmarkStart w:id="38" w:name="RAT_1"/>
            <w:r>
              <w:rPr>
                <w:color w:val="000000"/>
                <w:sz w:val="22"/>
                <w:szCs w:val="22"/>
              </w:rPr>
              <w:t>Moderately Unsatisfactory</w:t>
            </w:r>
            <w:bookmarkEnd w:id="38"/>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4345834A" w14:textId="77777777" w:rsidR="00F42214" w:rsidRDefault="00F42214">
            <w:pPr>
              <w:keepLines/>
              <w:spacing w:line="200" w:lineRule="atLeast"/>
              <w:rPr>
                <w:color w:val="000000"/>
                <w:sz w:val="22"/>
                <w:szCs w:val="22"/>
              </w:rPr>
            </w:pPr>
            <w:r>
              <w:rPr>
                <w:color w:val="000000"/>
                <w:sz w:val="22"/>
                <w:szCs w:val="22"/>
              </w:rPr>
              <w:t>Government:</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5CCA98A7" w14:textId="77777777" w:rsidR="00F42214" w:rsidRDefault="00F42214">
            <w:pPr>
              <w:keepLines/>
              <w:spacing w:line="200" w:lineRule="atLeast"/>
              <w:rPr>
                <w:color w:val="000000"/>
                <w:sz w:val="22"/>
                <w:szCs w:val="22"/>
              </w:rPr>
            </w:pPr>
            <w:bookmarkStart w:id="39" w:name="RAT_4"/>
            <w:r>
              <w:rPr>
                <w:color w:val="000000"/>
                <w:sz w:val="22"/>
                <w:szCs w:val="22"/>
              </w:rPr>
              <w:t>Moderately Satisfactory</w:t>
            </w:r>
            <w:bookmarkEnd w:id="39"/>
          </w:p>
        </w:tc>
      </w:tr>
      <w:tr w:rsidR="00F42214" w14:paraId="3DDC1000" w14:textId="77777777" w:rsidTr="00F42214">
        <w:tc>
          <w:tcPr>
            <w:tcW w:w="0" w:type="auto"/>
            <w:tcBorders>
              <w:top w:val="single" w:sz="4" w:space="0" w:color="B1B1B1"/>
              <w:left w:val="single" w:sz="4" w:space="0" w:color="B1B1B1"/>
              <w:bottom w:val="single" w:sz="4" w:space="0" w:color="B1B1B1"/>
              <w:right w:val="single" w:sz="4" w:space="0" w:color="B1B1B1"/>
            </w:tcBorders>
            <w:vAlign w:val="center"/>
            <w:hideMark/>
          </w:tcPr>
          <w:p w14:paraId="713D2D6A" w14:textId="77777777" w:rsidR="00F42214" w:rsidRDefault="00F42214">
            <w:pPr>
              <w:keepLines/>
              <w:spacing w:line="200" w:lineRule="atLeast"/>
              <w:rPr>
                <w:color w:val="000000"/>
                <w:sz w:val="22"/>
                <w:szCs w:val="22"/>
              </w:rPr>
            </w:pPr>
            <w:r>
              <w:rPr>
                <w:color w:val="000000"/>
                <w:sz w:val="22"/>
                <w:szCs w:val="22"/>
              </w:rPr>
              <w:t>Quality of Supervision:</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5304380A" w14:textId="77777777" w:rsidR="00F42214" w:rsidRDefault="00F42214">
            <w:pPr>
              <w:keepLines/>
              <w:spacing w:line="200" w:lineRule="atLeast"/>
              <w:rPr>
                <w:color w:val="000000"/>
                <w:sz w:val="22"/>
                <w:szCs w:val="22"/>
              </w:rPr>
            </w:pPr>
            <w:bookmarkStart w:id="40" w:name="RAT_2"/>
            <w:r>
              <w:rPr>
                <w:color w:val="000000"/>
                <w:sz w:val="22"/>
                <w:szCs w:val="22"/>
              </w:rPr>
              <w:t>Satisfactory</w:t>
            </w:r>
            <w:bookmarkEnd w:id="40"/>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63E6AD46" w14:textId="77777777" w:rsidR="00F42214" w:rsidRDefault="00F42214">
            <w:pPr>
              <w:keepLines/>
              <w:spacing w:line="200" w:lineRule="atLeast"/>
              <w:rPr>
                <w:color w:val="000000"/>
                <w:sz w:val="22"/>
                <w:szCs w:val="22"/>
              </w:rPr>
            </w:pPr>
            <w:r>
              <w:rPr>
                <w:color w:val="000000"/>
                <w:sz w:val="22"/>
                <w:szCs w:val="22"/>
              </w:rPr>
              <w:t>Implementing Agency/Agencies:</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239247E0" w14:textId="77777777" w:rsidR="00F42214" w:rsidRDefault="00F42214">
            <w:pPr>
              <w:keepLines/>
              <w:spacing w:line="200" w:lineRule="atLeast"/>
              <w:rPr>
                <w:color w:val="000000"/>
                <w:sz w:val="22"/>
                <w:szCs w:val="22"/>
              </w:rPr>
            </w:pPr>
            <w:bookmarkStart w:id="41" w:name="RAT_5"/>
            <w:r>
              <w:rPr>
                <w:color w:val="000000"/>
                <w:sz w:val="22"/>
                <w:szCs w:val="22"/>
              </w:rPr>
              <w:t>Moderately Satisfactory</w:t>
            </w:r>
            <w:bookmarkEnd w:id="41"/>
          </w:p>
        </w:tc>
      </w:tr>
      <w:tr w:rsidR="00F42214" w14:paraId="6EB33FA3" w14:textId="77777777" w:rsidTr="00F42214">
        <w:tc>
          <w:tcPr>
            <w:tcW w:w="0" w:type="auto"/>
            <w:tcBorders>
              <w:top w:val="single" w:sz="4" w:space="0" w:color="B1B1B1"/>
              <w:left w:val="single" w:sz="4" w:space="0" w:color="B1B1B1"/>
              <w:bottom w:val="single" w:sz="4" w:space="0" w:color="B1B1B1"/>
              <w:right w:val="single" w:sz="4" w:space="0" w:color="B1B1B1"/>
            </w:tcBorders>
            <w:vAlign w:val="center"/>
            <w:hideMark/>
          </w:tcPr>
          <w:p w14:paraId="3E5EAF9C" w14:textId="77777777" w:rsidR="00F42214" w:rsidRDefault="00F42214">
            <w:pPr>
              <w:keepLines/>
              <w:spacing w:line="200" w:lineRule="atLeast"/>
              <w:rPr>
                <w:color w:val="000000"/>
                <w:sz w:val="22"/>
                <w:szCs w:val="22"/>
              </w:rPr>
            </w:pPr>
            <w:r>
              <w:rPr>
                <w:rStyle w:val="Strong"/>
                <w:color w:val="000000"/>
                <w:sz w:val="22"/>
                <w:szCs w:val="22"/>
              </w:rPr>
              <w:t>Overall Bank Performance:</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5183C4D2" w14:textId="77777777" w:rsidR="00F42214" w:rsidRDefault="00F42214">
            <w:pPr>
              <w:keepLines/>
              <w:spacing w:line="200" w:lineRule="atLeast"/>
              <w:rPr>
                <w:color w:val="000000"/>
                <w:sz w:val="22"/>
                <w:szCs w:val="22"/>
              </w:rPr>
            </w:pPr>
            <w:bookmarkStart w:id="42" w:name="RAT_3"/>
            <w:r>
              <w:rPr>
                <w:color w:val="000000"/>
                <w:sz w:val="22"/>
                <w:szCs w:val="22"/>
              </w:rPr>
              <w:t>Moderately Satisfactory</w:t>
            </w:r>
            <w:bookmarkEnd w:id="42"/>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47227B43" w14:textId="77777777" w:rsidR="00F42214" w:rsidRDefault="00F42214">
            <w:pPr>
              <w:keepLines/>
              <w:spacing w:line="200" w:lineRule="atLeast"/>
              <w:rPr>
                <w:color w:val="000000"/>
                <w:sz w:val="22"/>
                <w:szCs w:val="22"/>
              </w:rPr>
            </w:pPr>
            <w:r>
              <w:rPr>
                <w:rStyle w:val="Strong"/>
                <w:color w:val="000000"/>
                <w:sz w:val="22"/>
                <w:szCs w:val="22"/>
              </w:rPr>
              <w:t>Overall Borrower Performance:</w:t>
            </w:r>
          </w:p>
        </w:tc>
        <w:tc>
          <w:tcPr>
            <w:tcW w:w="0" w:type="auto"/>
            <w:tcBorders>
              <w:top w:val="single" w:sz="4" w:space="0" w:color="B1B1B1"/>
              <w:left w:val="single" w:sz="4" w:space="0" w:color="B1B1B1"/>
              <w:bottom w:val="single" w:sz="4" w:space="0" w:color="B1B1B1"/>
              <w:right w:val="single" w:sz="4" w:space="0" w:color="B1B1B1"/>
            </w:tcBorders>
            <w:vAlign w:val="center"/>
            <w:hideMark/>
          </w:tcPr>
          <w:p w14:paraId="10DFA46A" w14:textId="77777777" w:rsidR="00F42214" w:rsidRDefault="00F42214">
            <w:pPr>
              <w:keepLines/>
              <w:spacing w:line="200" w:lineRule="atLeast"/>
              <w:rPr>
                <w:color w:val="000000"/>
                <w:sz w:val="22"/>
                <w:szCs w:val="22"/>
              </w:rPr>
            </w:pPr>
            <w:bookmarkStart w:id="43" w:name="RAT_6"/>
            <w:r>
              <w:rPr>
                <w:color w:val="000000"/>
                <w:sz w:val="22"/>
                <w:szCs w:val="22"/>
              </w:rPr>
              <w:t>Moderately Satisfactory</w:t>
            </w:r>
            <w:bookmarkEnd w:id="43"/>
          </w:p>
        </w:tc>
      </w:tr>
    </w:tbl>
    <w:p w14:paraId="6D9D34D7" w14:textId="77777777" w:rsidR="00F42214" w:rsidRDefault="00F42214" w:rsidP="00F42214"/>
    <w:tbl>
      <w:tblPr>
        <w:tblW w:w="5000" w:type="pct"/>
        <w:tblLayout w:type="fixed"/>
        <w:tblLook w:val="04A0" w:firstRow="1" w:lastRow="0" w:firstColumn="1" w:lastColumn="0" w:noHBand="0" w:noVBand="1"/>
      </w:tblPr>
      <w:tblGrid>
        <w:gridCol w:w="2342"/>
        <w:gridCol w:w="1970"/>
        <w:gridCol w:w="1970"/>
        <w:gridCol w:w="2342"/>
      </w:tblGrid>
      <w:tr w:rsidR="00F42214" w14:paraId="1C575812" w14:textId="77777777" w:rsidTr="00F42214">
        <w:tc>
          <w:tcPr>
            <w:tcW w:w="8670" w:type="dxa"/>
            <w:gridSpan w:val="4"/>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3011A36" w14:textId="77777777" w:rsidR="00F42214" w:rsidRDefault="00F42214">
            <w:pPr>
              <w:keepNext/>
              <w:keepLines/>
            </w:pPr>
            <w:r>
              <w:rPr>
                <w:b/>
                <w:sz w:val="22"/>
                <w:szCs w:val="22"/>
              </w:rPr>
              <w:t>C.3 Quality at Entry and Implementation Performance Indicators</w:t>
            </w:r>
          </w:p>
        </w:tc>
      </w:tr>
      <w:tr w:rsidR="00F42214" w14:paraId="191B3A8B" w14:textId="77777777" w:rsidTr="00F42214">
        <w:tc>
          <w:tcPr>
            <w:tcW w:w="2355"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5DDA64D5" w14:textId="77777777" w:rsidR="00F42214" w:rsidRDefault="00F42214">
            <w:pPr>
              <w:keepNext/>
              <w:keepLines/>
              <w:jc w:val="center"/>
              <w:rPr>
                <w:b/>
                <w:bCs/>
                <w:color w:val="606060"/>
                <w:sz w:val="22"/>
                <w:szCs w:val="22"/>
              </w:rPr>
            </w:pPr>
            <w:r>
              <w:rPr>
                <w:b/>
                <w:bCs/>
                <w:color w:val="606060"/>
                <w:sz w:val="22"/>
                <w:szCs w:val="22"/>
              </w:rPr>
              <w:t>Implementation Performance</w:t>
            </w:r>
          </w:p>
        </w:tc>
        <w:tc>
          <w:tcPr>
            <w:tcW w:w="1980"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1E5B255C" w14:textId="77777777" w:rsidR="00F42214" w:rsidRDefault="00F42214">
            <w:pPr>
              <w:keepNext/>
              <w:keepLines/>
              <w:jc w:val="center"/>
              <w:rPr>
                <w:b/>
                <w:bCs/>
                <w:color w:val="606060"/>
                <w:sz w:val="22"/>
                <w:szCs w:val="22"/>
              </w:rPr>
            </w:pPr>
            <w:r>
              <w:rPr>
                <w:b/>
                <w:bCs/>
                <w:color w:val="606060"/>
                <w:sz w:val="22"/>
                <w:szCs w:val="22"/>
              </w:rPr>
              <w:t>Indicators</w:t>
            </w:r>
          </w:p>
        </w:tc>
        <w:tc>
          <w:tcPr>
            <w:tcW w:w="1980"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29B4F611" w14:textId="77777777" w:rsidR="00F42214" w:rsidRDefault="00F42214">
            <w:pPr>
              <w:keepNext/>
              <w:keepLines/>
              <w:jc w:val="center"/>
              <w:rPr>
                <w:b/>
                <w:bCs/>
                <w:color w:val="606060"/>
                <w:sz w:val="22"/>
                <w:szCs w:val="22"/>
              </w:rPr>
            </w:pPr>
            <w:r>
              <w:rPr>
                <w:b/>
                <w:bCs/>
                <w:color w:val="606060"/>
                <w:sz w:val="22"/>
                <w:szCs w:val="22"/>
              </w:rPr>
              <w:t>QAG Assessments (if any)</w:t>
            </w:r>
          </w:p>
        </w:tc>
        <w:tc>
          <w:tcPr>
            <w:tcW w:w="2355"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1E50B422" w14:textId="77777777" w:rsidR="00F42214" w:rsidRDefault="00F42214">
            <w:pPr>
              <w:keepNext/>
              <w:keepLines/>
              <w:jc w:val="center"/>
              <w:rPr>
                <w:b/>
                <w:bCs/>
                <w:color w:val="606060"/>
                <w:sz w:val="22"/>
                <w:szCs w:val="22"/>
              </w:rPr>
            </w:pPr>
            <w:r>
              <w:rPr>
                <w:b/>
                <w:bCs/>
                <w:color w:val="606060"/>
                <w:sz w:val="22"/>
                <w:szCs w:val="22"/>
              </w:rPr>
              <w:t xml:space="preserve">Rating </w:t>
            </w:r>
          </w:p>
        </w:tc>
      </w:tr>
      <w:tr w:rsidR="00F42214" w14:paraId="59DE4BE4" w14:textId="77777777" w:rsidTr="00F42214">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4A1B732" w14:textId="77777777" w:rsidR="00F42214" w:rsidRDefault="00F42214">
            <w:pPr>
              <w:spacing w:line="300" w:lineRule="atLeast"/>
              <w:rPr>
                <w:color w:val="000000"/>
                <w:sz w:val="22"/>
                <w:szCs w:val="22"/>
              </w:rPr>
            </w:pPr>
            <w:r>
              <w:rPr>
                <w:color w:val="000000"/>
                <w:sz w:val="22"/>
                <w:szCs w:val="22"/>
              </w:rPr>
              <w:t xml:space="preserve"> Potential Problem Project at any time (Yes/No):</w:t>
            </w:r>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AFDC4B2" w14:textId="77777777" w:rsidR="00F42214" w:rsidRDefault="00F42214">
            <w:pPr>
              <w:spacing w:line="300" w:lineRule="atLeast"/>
              <w:rPr>
                <w:color w:val="000000"/>
                <w:sz w:val="22"/>
                <w:szCs w:val="22"/>
              </w:rPr>
            </w:pPr>
            <w:r>
              <w:rPr>
                <w:color w:val="000000"/>
                <w:sz w:val="22"/>
                <w:szCs w:val="22"/>
              </w:rPr>
              <w:t>No</w:t>
            </w:r>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46F97BD" w14:textId="77777777" w:rsidR="00F42214" w:rsidRDefault="00F42214">
            <w:pPr>
              <w:spacing w:line="300" w:lineRule="atLeast"/>
              <w:rPr>
                <w:color w:val="000000"/>
                <w:sz w:val="22"/>
                <w:szCs w:val="22"/>
              </w:rPr>
            </w:pPr>
            <w:r>
              <w:rPr>
                <w:color w:val="000000"/>
                <w:sz w:val="22"/>
                <w:szCs w:val="22"/>
              </w:rPr>
              <w:t>Quality at Entry (QEA):</w:t>
            </w:r>
          </w:p>
        </w:tc>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81CF48C" w14:textId="77777777" w:rsidR="00F42214" w:rsidRDefault="00F42214">
            <w:pPr>
              <w:spacing w:line="300" w:lineRule="atLeast"/>
              <w:rPr>
                <w:color w:val="000000"/>
                <w:sz w:val="22"/>
                <w:szCs w:val="22"/>
              </w:rPr>
            </w:pPr>
            <w:r>
              <w:rPr>
                <w:color w:val="000000"/>
                <w:sz w:val="22"/>
                <w:szCs w:val="22"/>
              </w:rPr>
              <w:t>None</w:t>
            </w:r>
          </w:p>
        </w:tc>
      </w:tr>
      <w:tr w:rsidR="00F42214" w14:paraId="4EBEDCAB" w14:textId="77777777" w:rsidTr="00F42214">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0124A09" w14:textId="77777777" w:rsidR="00F42214" w:rsidRDefault="00F42214">
            <w:pPr>
              <w:spacing w:line="300" w:lineRule="atLeast"/>
              <w:rPr>
                <w:color w:val="000000"/>
                <w:sz w:val="22"/>
                <w:szCs w:val="22"/>
              </w:rPr>
            </w:pPr>
            <w:r>
              <w:rPr>
                <w:color w:val="000000"/>
                <w:sz w:val="22"/>
                <w:szCs w:val="22"/>
              </w:rPr>
              <w:t xml:space="preserve"> Problem Project at any time (Yes/No):</w:t>
            </w:r>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8AF1DCE" w14:textId="77777777" w:rsidR="00F42214" w:rsidRDefault="00F42214">
            <w:pPr>
              <w:spacing w:line="300" w:lineRule="atLeast"/>
              <w:rPr>
                <w:color w:val="000000"/>
                <w:sz w:val="22"/>
                <w:szCs w:val="22"/>
              </w:rPr>
            </w:pPr>
            <w:r>
              <w:rPr>
                <w:color w:val="000000"/>
                <w:sz w:val="22"/>
                <w:szCs w:val="22"/>
              </w:rPr>
              <w:t>Yes</w:t>
            </w:r>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11715D8" w14:textId="77777777" w:rsidR="00F42214" w:rsidRDefault="00F42214">
            <w:pPr>
              <w:spacing w:line="300" w:lineRule="atLeast"/>
              <w:rPr>
                <w:color w:val="000000"/>
                <w:sz w:val="22"/>
                <w:szCs w:val="22"/>
              </w:rPr>
            </w:pPr>
            <w:r>
              <w:rPr>
                <w:color w:val="000000"/>
                <w:sz w:val="22"/>
                <w:szCs w:val="22"/>
              </w:rPr>
              <w:t>Quality of Supervision (QSA):</w:t>
            </w:r>
          </w:p>
        </w:tc>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3DADC72D" w14:textId="77777777" w:rsidR="00F42214" w:rsidRDefault="00F42214">
            <w:pPr>
              <w:spacing w:line="300" w:lineRule="atLeast"/>
              <w:rPr>
                <w:color w:val="000000"/>
                <w:sz w:val="22"/>
                <w:szCs w:val="22"/>
              </w:rPr>
            </w:pPr>
            <w:r>
              <w:rPr>
                <w:color w:val="000000"/>
                <w:sz w:val="22"/>
                <w:szCs w:val="22"/>
              </w:rPr>
              <w:t>None</w:t>
            </w:r>
          </w:p>
        </w:tc>
      </w:tr>
      <w:tr w:rsidR="00F42214" w14:paraId="72CACB94" w14:textId="77777777" w:rsidTr="00F42214">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B24655D" w14:textId="77777777" w:rsidR="00F42214" w:rsidRDefault="00F42214">
            <w:pPr>
              <w:spacing w:line="300" w:lineRule="atLeast"/>
              <w:rPr>
                <w:color w:val="000000"/>
                <w:sz w:val="22"/>
                <w:szCs w:val="22"/>
              </w:rPr>
            </w:pPr>
            <w:r>
              <w:rPr>
                <w:color w:val="000000"/>
                <w:sz w:val="22"/>
                <w:szCs w:val="22"/>
              </w:rPr>
              <w:t xml:space="preserve"> </w:t>
            </w:r>
            <w:bookmarkStart w:id="44" w:name="SEC_3_2_COL_1"/>
            <w:r>
              <w:rPr>
                <w:color w:val="000000"/>
                <w:sz w:val="22"/>
                <w:szCs w:val="22"/>
              </w:rPr>
              <w:t>DO rating before Closing/Inactive status:</w:t>
            </w:r>
            <w:bookmarkEnd w:id="44"/>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0E516114" w14:textId="77777777" w:rsidR="00F42214" w:rsidRDefault="00F42214">
            <w:pPr>
              <w:spacing w:line="300" w:lineRule="atLeast"/>
              <w:rPr>
                <w:color w:val="000000"/>
                <w:sz w:val="22"/>
                <w:szCs w:val="22"/>
              </w:rPr>
            </w:pPr>
            <w:bookmarkStart w:id="45" w:name="SEC_3_2_COL_2"/>
            <w:r>
              <w:rPr>
                <w:color w:val="000000"/>
                <w:sz w:val="22"/>
                <w:szCs w:val="22"/>
              </w:rPr>
              <w:t>Satisfactory</w:t>
            </w:r>
            <w:bookmarkEnd w:id="45"/>
          </w:p>
        </w:tc>
        <w:tc>
          <w:tcPr>
            <w:tcW w:w="1980"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6305E9E5" w14:textId="77777777" w:rsidR="00F42214" w:rsidRDefault="00F42214">
            <w:pPr>
              <w:spacing w:line="300" w:lineRule="atLeast"/>
              <w:rPr>
                <w:color w:val="000000"/>
                <w:sz w:val="22"/>
                <w:szCs w:val="22"/>
              </w:rPr>
            </w:pPr>
            <w:bookmarkStart w:id="46" w:name="SEC_3_2_COL_3"/>
            <w:bookmarkEnd w:id="46"/>
          </w:p>
        </w:tc>
        <w:tc>
          <w:tcPr>
            <w:tcW w:w="235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74EAE7C8" w14:textId="77777777" w:rsidR="00F42214" w:rsidRDefault="00F42214">
            <w:pPr>
              <w:spacing w:line="300" w:lineRule="atLeast"/>
              <w:rPr>
                <w:color w:val="000000"/>
                <w:sz w:val="22"/>
                <w:szCs w:val="22"/>
              </w:rPr>
            </w:pPr>
            <w:bookmarkStart w:id="47" w:name="SEC_3_2_COL_4"/>
            <w:bookmarkEnd w:id="47"/>
          </w:p>
        </w:tc>
      </w:tr>
    </w:tbl>
    <w:p w14:paraId="68F0EA91" w14:textId="77777777" w:rsidR="00F42214" w:rsidRDefault="00F42214" w:rsidP="00F42214">
      <w:bookmarkStart w:id="48" w:name="SEC_3_2"/>
      <w:bookmarkEnd w:id="48"/>
    </w:p>
    <w:tbl>
      <w:tblPr>
        <w:tblW w:w="5000" w:type="pct"/>
        <w:tblLayout w:type="fixed"/>
        <w:tblLook w:val="04A0" w:firstRow="1" w:lastRow="0" w:firstColumn="1" w:lastColumn="0" w:noHBand="0" w:noVBand="1"/>
      </w:tblPr>
      <w:tblGrid>
        <w:gridCol w:w="5175"/>
        <w:gridCol w:w="1805"/>
        <w:gridCol w:w="1644"/>
      </w:tblGrid>
      <w:tr w:rsidR="00F42214" w14:paraId="762F56F6" w14:textId="77777777" w:rsidTr="00F42214">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tcMar>
              <w:top w:w="15" w:type="dxa"/>
              <w:left w:w="15" w:type="dxa"/>
              <w:bottom w:w="15" w:type="dxa"/>
              <w:right w:w="15" w:type="dxa"/>
            </w:tcMar>
            <w:vAlign w:val="center"/>
            <w:hideMark/>
          </w:tcPr>
          <w:p w14:paraId="7D63BBFA" w14:textId="77777777" w:rsidR="00F42214" w:rsidRDefault="00F42214">
            <w:pPr>
              <w:pStyle w:val="Heading2"/>
              <w:keepNext/>
              <w:keepLines/>
            </w:pPr>
            <w:bookmarkStart w:id="49" w:name="_IL4"/>
            <w:bookmarkStart w:id="50" w:name="_Toc147483792"/>
            <w:r>
              <w:t>D. Sector and Theme Codes</w:t>
            </w:r>
            <w:bookmarkEnd w:id="49"/>
            <w:bookmarkEnd w:id="50"/>
            <w:r>
              <w:t xml:space="preserve"> </w:t>
            </w:r>
          </w:p>
        </w:tc>
      </w:tr>
      <w:tr w:rsidR="00F42214" w14:paraId="4368F4B9" w14:textId="77777777" w:rsidTr="00F42214">
        <w:tc>
          <w:tcPr>
            <w:tcW w:w="5202"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tcPr>
          <w:p w14:paraId="11280000" w14:textId="77777777" w:rsidR="00F42214" w:rsidRDefault="00F42214">
            <w:pPr>
              <w:keepNext/>
              <w:keepLines/>
              <w:jc w:val="center"/>
              <w:rPr>
                <w:b/>
                <w:bCs/>
                <w:color w:val="606060"/>
                <w:sz w:val="22"/>
                <w:szCs w:val="22"/>
              </w:rPr>
            </w:pPr>
          </w:p>
        </w:tc>
        <w:tc>
          <w:tcPr>
            <w:tcW w:w="1815"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4694B161" w14:textId="77777777" w:rsidR="00F42214" w:rsidRDefault="00F42214">
            <w:pPr>
              <w:keepNext/>
              <w:keepLines/>
              <w:jc w:val="center"/>
              <w:rPr>
                <w:b/>
                <w:bCs/>
                <w:color w:val="606060"/>
                <w:sz w:val="22"/>
                <w:szCs w:val="22"/>
              </w:rPr>
            </w:pPr>
            <w:r>
              <w:rPr>
                <w:b/>
                <w:bCs/>
                <w:color w:val="606060"/>
                <w:sz w:val="22"/>
                <w:szCs w:val="22"/>
              </w:rPr>
              <w:t>Original</w:t>
            </w:r>
          </w:p>
        </w:tc>
        <w:tc>
          <w:tcPr>
            <w:tcW w:w="1653"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5165A49D" w14:textId="77777777" w:rsidR="00F42214" w:rsidRDefault="00F42214">
            <w:pPr>
              <w:keepNext/>
              <w:keepLines/>
              <w:jc w:val="center"/>
              <w:rPr>
                <w:b/>
                <w:bCs/>
                <w:color w:val="606060"/>
                <w:sz w:val="22"/>
                <w:szCs w:val="22"/>
              </w:rPr>
            </w:pPr>
            <w:r>
              <w:rPr>
                <w:b/>
                <w:bCs/>
                <w:color w:val="606060"/>
                <w:sz w:val="22"/>
                <w:szCs w:val="22"/>
              </w:rPr>
              <w:t>Actual</w:t>
            </w:r>
          </w:p>
        </w:tc>
      </w:tr>
      <w:tr w:rsidR="00F42214" w14:paraId="6248AAFC" w14:textId="77777777" w:rsidTr="00F42214">
        <w:tc>
          <w:tcPr>
            <w:tcW w:w="5202"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C81474F" w14:textId="77777777" w:rsidR="00F42214" w:rsidRDefault="00F42214">
            <w:pPr>
              <w:keepNext/>
              <w:keepLines/>
              <w:spacing w:line="300" w:lineRule="atLeast"/>
              <w:rPr>
                <w:b/>
                <w:color w:val="000000"/>
                <w:sz w:val="22"/>
                <w:szCs w:val="22"/>
              </w:rPr>
            </w:pPr>
            <w:r>
              <w:rPr>
                <w:rStyle w:val="Strong"/>
                <w:color w:val="000000"/>
                <w:sz w:val="22"/>
                <w:szCs w:val="22"/>
              </w:rPr>
              <w:t>Sector Code (as % of total Bank financing)</w:t>
            </w:r>
          </w:p>
        </w:tc>
        <w:tc>
          <w:tcPr>
            <w:tcW w:w="181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76995CF7" w14:textId="77777777" w:rsidR="00F42214" w:rsidRDefault="00F42214">
            <w:pPr>
              <w:keepNext/>
              <w:keepLine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74906391" w14:textId="77777777" w:rsidR="00F42214" w:rsidRDefault="00F42214">
            <w:pPr>
              <w:keepNext/>
              <w:keepLines/>
              <w:spacing w:line="300" w:lineRule="atLeast"/>
              <w:rPr>
                <w:color w:val="000000"/>
                <w:sz w:val="22"/>
                <w:szCs w:val="22"/>
              </w:rPr>
            </w:pPr>
          </w:p>
        </w:tc>
      </w:tr>
      <w:tr w:rsidR="00F42214" w14:paraId="035DF8A6" w14:textId="77777777" w:rsidTr="00F42214">
        <w:tc>
          <w:tcPr>
            <w:tcW w:w="5202"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8D46263" w14:textId="77777777" w:rsidR="00F42214" w:rsidRDefault="00F42214">
            <w:pPr>
              <w:spacing w:line="300" w:lineRule="atLeast"/>
              <w:rPr>
                <w:color w:val="000000"/>
                <w:sz w:val="22"/>
                <w:szCs w:val="22"/>
              </w:rPr>
            </w:pPr>
            <w:r>
              <w:rPr>
                <w:color w:val="000000"/>
                <w:sz w:val="22"/>
                <w:szCs w:val="22"/>
              </w:rPr>
              <w:t xml:space="preserve"> Public administration - Other social services</w:t>
            </w:r>
          </w:p>
        </w:tc>
        <w:tc>
          <w:tcPr>
            <w:tcW w:w="181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26CF2577" w14:textId="77777777" w:rsidR="00F42214" w:rsidRDefault="00F42214">
            <w:pPr>
              <w:tabs>
                <w:tab w:val="decimal" w:pos="918"/>
              </w:tabs>
              <w:spacing w:line="300" w:lineRule="atLeast"/>
              <w:rPr>
                <w:color w:val="000000"/>
                <w:sz w:val="22"/>
                <w:szCs w:val="22"/>
              </w:rPr>
            </w:pPr>
            <w:r>
              <w:rPr>
                <w:color w:val="000000"/>
                <w:sz w:val="22"/>
                <w:szCs w:val="22"/>
              </w:rPr>
              <w:t>22</w:t>
            </w:r>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3DD143A" w14:textId="77777777" w:rsidR="00F42214" w:rsidRDefault="00F42214">
            <w:pPr>
              <w:tabs>
                <w:tab w:val="decimal" w:pos="918"/>
              </w:tabs>
              <w:spacing w:line="300" w:lineRule="atLeast"/>
              <w:rPr>
                <w:color w:val="000000"/>
                <w:sz w:val="22"/>
                <w:szCs w:val="22"/>
              </w:rPr>
            </w:pPr>
            <w:r>
              <w:rPr>
                <w:color w:val="000000"/>
                <w:sz w:val="22"/>
                <w:szCs w:val="22"/>
              </w:rPr>
              <w:t>22</w:t>
            </w:r>
          </w:p>
        </w:tc>
      </w:tr>
      <w:tr w:rsidR="00F42214" w14:paraId="33BE9274" w14:textId="77777777" w:rsidTr="00F42214">
        <w:tc>
          <w:tcPr>
            <w:tcW w:w="5202"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718AA48" w14:textId="77777777" w:rsidR="00F42214" w:rsidRDefault="00F42214">
            <w:pPr>
              <w:spacing w:line="300" w:lineRule="atLeast"/>
              <w:rPr>
                <w:color w:val="000000"/>
                <w:sz w:val="22"/>
                <w:szCs w:val="22"/>
              </w:rPr>
            </w:pPr>
            <w:r>
              <w:rPr>
                <w:color w:val="000000"/>
                <w:sz w:val="22"/>
                <w:szCs w:val="22"/>
              </w:rPr>
              <w:t xml:space="preserve"> </w:t>
            </w:r>
            <w:bookmarkStart w:id="51" w:name="SECTORS_COL_1"/>
            <w:r>
              <w:rPr>
                <w:color w:val="000000"/>
                <w:sz w:val="22"/>
                <w:szCs w:val="22"/>
              </w:rPr>
              <w:t>Other social services</w:t>
            </w:r>
            <w:bookmarkEnd w:id="51"/>
          </w:p>
        </w:tc>
        <w:tc>
          <w:tcPr>
            <w:tcW w:w="1815"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8496BEB" w14:textId="77777777" w:rsidR="00F42214" w:rsidRDefault="00F42214">
            <w:pPr>
              <w:tabs>
                <w:tab w:val="decimal" w:pos="918"/>
              </w:tabs>
              <w:spacing w:line="300" w:lineRule="atLeast"/>
              <w:rPr>
                <w:color w:val="000000"/>
                <w:sz w:val="22"/>
                <w:szCs w:val="22"/>
              </w:rPr>
            </w:pPr>
            <w:bookmarkStart w:id="52" w:name="SECTORS_COL_2"/>
            <w:r>
              <w:rPr>
                <w:color w:val="000000"/>
                <w:sz w:val="22"/>
                <w:szCs w:val="22"/>
              </w:rPr>
              <w:t>78</w:t>
            </w:r>
            <w:bookmarkEnd w:id="52"/>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3BDCF17" w14:textId="77777777" w:rsidR="00F42214" w:rsidRDefault="00F42214">
            <w:pPr>
              <w:tabs>
                <w:tab w:val="decimal" w:pos="918"/>
              </w:tabs>
              <w:spacing w:line="300" w:lineRule="atLeast"/>
              <w:rPr>
                <w:color w:val="000000"/>
                <w:sz w:val="22"/>
                <w:szCs w:val="22"/>
              </w:rPr>
            </w:pPr>
            <w:bookmarkStart w:id="53" w:name="SECTORS_COL_3"/>
            <w:r>
              <w:rPr>
                <w:color w:val="000000"/>
                <w:sz w:val="22"/>
                <w:szCs w:val="22"/>
              </w:rPr>
              <w:t>78</w:t>
            </w:r>
            <w:bookmarkEnd w:id="53"/>
          </w:p>
        </w:tc>
      </w:tr>
    </w:tbl>
    <w:p w14:paraId="3105319A" w14:textId="77777777" w:rsidR="00F42214" w:rsidRDefault="00F42214" w:rsidP="00F42214">
      <w:pPr>
        <w:tabs>
          <w:tab w:val="left" w:pos="5202"/>
          <w:tab w:val="left" w:pos="6936"/>
        </w:tabs>
        <w:rPr>
          <w:b/>
          <w:bCs/>
          <w:color w:val="606060"/>
          <w:sz w:val="2"/>
          <w:szCs w:val="2"/>
        </w:rPr>
      </w:pPr>
      <w:bookmarkStart w:id="54" w:name="SECTORS"/>
      <w:bookmarkEnd w:id="54"/>
    </w:p>
    <w:p w14:paraId="2F4CA309" w14:textId="77777777" w:rsidR="00F42214" w:rsidRDefault="00F42214" w:rsidP="00F42214">
      <w:pPr>
        <w:tabs>
          <w:tab w:val="left" w:pos="5202"/>
          <w:tab w:val="left" w:pos="6936"/>
        </w:tabs>
        <w:rPr>
          <w:b/>
          <w:bCs/>
          <w:color w:val="606060"/>
          <w:sz w:val="2"/>
          <w:szCs w:val="2"/>
        </w:rPr>
      </w:pPr>
    </w:p>
    <w:tbl>
      <w:tblPr>
        <w:tblW w:w="5000" w:type="pct"/>
        <w:tblLayout w:type="fixed"/>
        <w:tblLook w:val="04A0" w:firstRow="1" w:lastRow="0" w:firstColumn="1" w:lastColumn="0" w:noHBand="0" w:noVBand="1"/>
      </w:tblPr>
      <w:tblGrid>
        <w:gridCol w:w="5180"/>
        <w:gridCol w:w="1800"/>
        <w:gridCol w:w="1644"/>
      </w:tblGrid>
      <w:tr w:rsidR="00F42214" w14:paraId="7D94FBD2" w14:textId="77777777" w:rsidTr="00F42214">
        <w:tc>
          <w:tcPr>
            <w:tcW w:w="5208"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tcPr>
          <w:p w14:paraId="2A174BB0" w14:textId="77777777" w:rsidR="00F42214" w:rsidRDefault="00F42214">
            <w:pPr>
              <w:keepNext/>
              <w:keepLines/>
              <w:jc w:val="center"/>
              <w:rPr>
                <w:b/>
                <w:bCs/>
                <w:color w:val="606060"/>
                <w:sz w:val="22"/>
                <w:szCs w:val="22"/>
              </w:rPr>
            </w:pPr>
          </w:p>
        </w:tc>
        <w:tc>
          <w:tcPr>
            <w:tcW w:w="1809"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5ABF7A59" w14:textId="77777777" w:rsidR="00F42214" w:rsidRDefault="00F42214">
            <w:pPr>
              <w:keepNext/>
              <w:keepLines/>
              <w:jc w:val="center"/>
              <w:rPr>
                <w:b/>
                <w:bCs/>
                <w:color w:val="606060"/>
                <w:sz w:val="22"/>
                <w:szCs w:val="22"/>
              </w:rPr>
            </w:pPr>
            <w:r>
              <w:rPr>
                <w:b/>
                <w:bCs/>
                <w:color w:val="606060"/>
                <w:sz w:val="22"/>
                <w:szCs w:val="22"/>
              </w:rPr>
              <w:t xml:space="preserve"> </w:t>
            </w:r>
          </w:p>
        </w:tc>
        <w:tc>
          <w:tcPr>
            <w:tcW w:w="1653"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7EC5993F" w14:textId="77777777" w:rsidR="00F42214" w:rsidRDefault="00F42214">
            <w:pPr>
              <w:keepNext/>
              <w:keepLines/>
              <w:jc w:val="center"/>
              <w:rPr>
                <w:b/>
                <w:bCs/>
                <w:color w:val="606060"/>
                <w:sz w:val="22"/>
                <w:szCs w:val="22"/>
              </w:rPr>
            </w:pPr>
            <w:r>
              <w:rPr>
                <w:b/>
                <w:bCs/>
                <w:color w:val="606060"/>
                <w:sz w:val="22"/>
                <w:szCs w:val="22"/>
              </w:rPr>
              <w:t xml:space="preserve"> </w:t>
            </w:r>
          </w:p>
        </w:tc>
      </w:tr>
      <w:tr w:rsidR="00F42214" w14:paraId="7B9D515E" w14:textId="77777777" w:rsidTr="00F42214">
        <w:tc>
          <w:tcPr>
            <w:tcW w:w="520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78DA3E5" w14:textId="77777777" w:rsidR="00F42214" w:rsidRDefault="00F42214">
            <w:pPr>
              <w:keepNext/>
              <w:keepLines/>
              <w:spacing w:line="300" w:lineRule="atLeast"/>
              <w:rPr>
                <w:b/>
                <w:color w:val="000000"/>
                <w:sz w:val="22"/>
                <w:szCs w:val="22"/>
              </w:rPr>
            </w:pPr>
            <w:r>
              <w:rPr>
                <w:rStyle w:val="Strong"/>
                <w:color w:val="000000"/>
                <w:sz w:val="22"/>
                <w:szCs w:val="22"/>
              </w:rPr>
              <w:t>Theme Code (as % of total Bank financing)</w:t>
            </w:r>
          </w:p>
        </w:tc>
        <w:tc>
          <w:tcPr>
            <w:tcW w:w="1809"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6FD564BA" w14:textId="77777777" w:rsidR="00F42214" w:rsidRDefault="00F42214">
            <w:pPr>
              <w:keepNext/>
              <w:keepLines/>
              <w:spacing w:line="300" w:lineRule="atLeast"/>
              <w:rPr>
                <w:color w:val="000000"/>
                <w:sz w:val="22"/>
                <w:szCs w:val="22"/>
              </w:rPr>
            </w:pPr>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tcPr>
          <w:p w14:paraId="688619EC" w14:textId="77777777" w:rsidR="00F42214" w:rsidRDefault="00F42214">
            <w:pPr>
              <w:keepNext/>
              <w:keepLines/>
              <w:spacing w:line="300" w:lineRule="atLeast"/>
              <w:rPr>
                <w:color w:val="000000"/>
                <w:sz w:val="22"/>
                <w:szCs w:val="22"/>
              </w:rPr>
            </w:pPr>
          </w:p>
        </w:tc>
      </w:tr>
      <w:tr w:rsidR="00F42214" w14:paraId="7E31A31A" w14:textId="77777777" w:rsidTr="00F42214">
        <w:tc>
          <w:tcPr>
            <w:tcW w:w="520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D476CCC" w14:textId="77777777" w:rsidR="00F42214" w:rsidRDefault="00F42214">
            <w:pPr>
              <w:spacing w:line="300" w:lineRule="atLeast"/>
              <w:rPr>
                <w:color w:val="000000"/>
                <w:sz w:val="22"/>
                <w:szCs w:val="22"/>
              </w:rPr>
            </w:pPr>
            <w:r>
              <w:rPr>
                <w:color w:val="000000"/>
                <w:sz w:val="22"/>
                <w:szCs w:val="22"/>
              </w:rPr>
              <w:t xml:space="preserve"> Participation and civic engagement</w:t>
            </w:r>
          </w:p>
        </w:tc>
        <w:tc>
          <w:tcPr>
            <w:tcW w:w="1809"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825AC72" w14:textId="77777777" w:rsidR="00F42214" w:rsidRDefault="00F42214">
            <w:pPr>
              <w:spacing w:line="300" w:lineRule="atLeast"/>
              <w:jc w:val="center"/>
              <w:rPr>
                <w:color w:val="000000"/>
                <w:sz w:val="22"/>
                <w:szCs w:val="22"/>
              </w:rPr>
            </w:pPr>
            <w:r>
              <w:rPr>
                <w:color w:val="000000"/>
                <w:sz w:val="22"/>
                <w:szCs w:val="22"/>
              </w:rPr>
              <w:t>10</w:t>
            </w:r>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78555F30" w14:textId="77777777" w:rsidR="00F42214" w:rsidRDefault="00F42214">
            <w:pPr>
              <w:spacing w:line="300" w:lineRule="atLeast"/>
              <w:jc w:val="center"/>
              <w:rPr>
                <w:color w:val="000000"/>
                <w:sz w:val="22"/>
                <w:szCs w:val="22"/>
              </w:rPr>
            </w:pPr>
            <w:r>
              <w:rPr>
                <w:color w:val="000000"/>
                <w:sz w:val="22"/>
                <w:szCs w:val="22"/>
              </w:rPr>
              <w:t>10</w:t>
            </w:r>
          </w:p>
        </w:tc>
      </w:tr>
      <w:tr w:rsidR="00F42214" w14:paraId="4FA4A256" w14:textId="77777777" w:rsidTr="00F42214">
        <w:tc>
          <w:tcPr>
            <w:tcW w:w="5208"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514B2796" w14:textId="77777777" w:rsidR="00F42214" w:rsidRDefault="00F42214">
            <w:pPr>
              <w:spacing w:line="300" w:lineRule="atLeast"/>
              <w:rPr>
                <w:color w:val="000000"/>
                <w:sz w:val="22"/>
                <w:szCs w:val="22"/>
              </w:rPr>
            </w:pPr>
            <w:r>
              <w:rPr>
                <w:color w:val="000000"/>
                <w:sz w:val="22"/>
                <w:szCs w:val="22"/>
              </w:rPr>
              <w:t xml:space="preserve"> </w:t>
            </w:r>
            <w:bookmarkStart w:id="55" w:name="THEMES_COL_1"/>
            <w:r>
              <w:rPr>
                <w:color w:val="000000"/>
                <w:sz w:val="22"/>
                <w:szCs w:val="22"/>
              </w:rPr>
              <w:t>Social Safety Nets/Social Assistance &amp; Social Care Services</w:t>
            </w:r>
            <w:bookmarkEnd w:id="55"/>
          </w:p>
        </w:tc>
        <w:tc>
          <w:tcPr>
            <w:tcW w:w="1809"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4B3A8B2B" w14:textId="77777777" w:rsidR="00F42214" w:rsidRDefault="00F42214">
            <w:pPr>
              <w:spacing w:line="300" w:lineRule="atLeast"/>
              <w:jc w:val="center"/>
              <w:rPr>
                <w:color w:val="000000"/>
                <w:sz w:val="22"/>
                <w:szCs w:val="22"/>
              </w:rPr>
            </w:pPr>
            <w:bookmarkStart w:id="56" w:name="THEMES_COL_2"/>
            <w:r>
              <w:rPr>
                <w:color w:val="000000"/>
                <w:sz w:val="22"/>
                <w:szCs w:val="22"/>
              </w:rPr>
              <w:t>90</w:t>
            </w:r>
            <w:bookmarkEnd w:id="56"/>
          </w:p>
        </w:tc>
        <w:tc>
          <w:tcPr>
            <w:tcW w:w="1653" w:type="dxa"/>
            <w:tcBorders>
              <w:top w:val="single" w:sz="6" w:space="0" w:color="B1B1B1"/>
              <w:left w:val="single" w:sz="6" w:space="0" w:color="B1B1B1"/>
              <w:bottom w:val="single" w:sz="6" w:space="0" w:color="B1B1B1"/>
              <w:right w:val="single" w:sz="6" w:space="0" w:color="B1B1B1"/>
            </w:tcBorders>
            <w:tcMar>
              <w:top w:w="15" w:type="dxa"/>
              <w:left w:w="15" w:type="dxa"/>
              <w:bottom w:w="15" w:type="dxa"/>
              <w:right w:w="15" w:type="dxa"/>
            </w:tcMar>
            <w:vAlign w:val="center"/>
            <w:hideMark/>
          </w:tcPr>
          <w:p w14:paraId="1FF9DD1F" w14:textId="77777777" w:rsidR="00F42214" w:rsidRDefault="00F42214">
            <w:pPr>
              <w:spacing w:line="300" w:lineRule="atLeast"/>
              <w:jc w:val="center"/>
              <w:rPr>
                <w:color w:val="000000"/>
                <w:sz w:val="22"/>
                <w:szCs w:val="22"/>
              </w:rPr>
            </w:pPr>
            <w:bookmarkStart w:id="57" w:name="THEMES_COL_3"/>
            <w:r>
              <w:rPr>
                <w:color w:val="000000"/>
                <w:sz w:val="22"/>
                <w:szCs w:val="22"/>
              </w:rPr>
              <w:t>90</w:t>
            </w:r>
            <w:bookmarkEnd w:id="57"/>
          </w:p>
        </w:tc>
      </w:tr>
    </w:tbl>
    <w:p w14:paraId="79F4A04B" w14:textId="77777777" w:rsidR="00F42214" w:rsidRDefault="00F42214" w:rsidP="00F42214">
      <w:bookmarkStart w:id="58" w:name="THEMES"/>
      <w:bookmarkEnd w:id="58"/>
    </w:p>
    <w:tbl>
      <w:tblPr>
        <w:tblW w:w="5000" w:type="pct"/>
        <w:tblLayout w:type="fixed"/>
        <w:tblLook w:val="04A0" w:firstRow="1" w:lastRow="0" w:firstColumn="1" w:lastColumn="0" w:noHBand="0" w:noVBand="1"/>
      </w:tblPr>
      <w:tblGrid>
        <w:gridCol w:w="2343"/>
        <w:gridCol w:w="3140"/>
        <w:gridCol w:w="3141"/>
      </w:tblGrid>
      <w:tr w:rsidR="00F42214" w14:paraId="47E98DFD" w14:textId="77777777" w:rsidTr="00F42214">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tcMar>
              <w:top w:w="15" w:type="dxa"/>
              <w:left w:w="15" w:type="dxa"/>
              <w:bottom w:w="15" w:type="dxa"/>
              <w:right w:w="15" w:type="dxa"/>
            </w:tcMar>
            <w:vAlign w:val="center"/>
            <w:hideMark/>
          </w:tcPr>
          <w:p w14:paraId="38B66265" w14:textId="77777777" w:rsidR="00F42214" w:rsidRDefault="00F42214">
            <w:pPr>
              <w:pStyle w:val="Heading2"/>
              <w:keepNext/>
              <w:keepLines/>
            </w:pPr>
            <w:bookmarkStart w:id="59" w:name="_IL5"/>
            <w:bookmarkStart w:id="60" w:name="_Toc147483793"/>
            <w:r>
              <w:t>E. Bank Staff</w:t>
            </w:r>
            <w:bookmarkEnd w:id="59"/>
            <w:bookmarkEnd w:id="60"/>
            <w:r>
              <w:t xml:space="preserve"> </w:t>
            </w:r>
          </w:p>
        </w:tc>
      </w:tr>
      <w:tr w:rsidR="00F42214" w14:paraId="32F903AA" w14:textId="77777777" w:rsidTr="00F42214">
        <w:tc>
          <w:tcPr>
            <w:tcW w:w="2355"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65F8FFD2" w14:textId="77777777" w:rsidR="00F42214" w:rsidRDefault="00F42214">
            <w:pPr>
              <w:keepNext/>
              <w:keepLines/>
              <w:jc w:val="center"/>
              <w:rPr>
                <w:b/>
                <w:bCs/>
                <w:color w:val="606060"/>
                <w:sz w:val="22"/>
                <w:szCs w:val="22"/>
              </w:rPr>
            </w:pPr>
            <w:r>
              <w:rPr>
                <w:b/>
                <w:bCs/>
                <w:color w:val="606060"/>
                <w:sz w:val="22"/>
                <w:szCs w:val="22"/>
              </w:rPr>
              <w:t>Positions</w:t>
            </w:r>
          </w:p>
        </w:tc>
        <w:tc>
          <w:tcPr>
            <w:tcW w:w="3157"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1C7AFE1F" w14:textId="77777777" w:rsidR="00F42214" w:rsidRDefault="00F42214">
            <w:pPr>
              <w:keepNext/>
              <w:keepLines/>
              <w:jc w:val="center"/>
              <w:rPr>
                <w:b/>
                <w:bCs/>
                <w:color w:val="606060"/>
                <w:sz w:val="22"/>
                <w:szCs w:val="22"/>
              </w:rPr>
            </w:pPr>
            <w:r>
              <w:rPr>
                <w:b/>
                <w:bCs/>
                <w:color w:val="606060"/>
                <w:sz w:val="22"/>
                <w:szCs w:val="22"/>
              </w:rPr>
              <w:t>At ICR</w:t>
            </w:r>
          </w:p>
        </w:tc>
        <w:tc>
          <w:tcPr>
            <w:tcW w:w="3158" w:type="dxa"/>
            <w:tcBorders>
              <w:top w:val="single" w:sz="6" w:space="0" w:color="B1B1B1"/>
              <w:left w:val="single" w:sz="6" w:space="0" w:color="B1B1B1"/>
              <w:bottom w:val="single" w:sz="6" w:space="0" w:color="B1B1B1"/>
              <w:right w:val="single" w:sz="6" w:space="0" w:color="B1B1B1"/>
            </w:tcBorders>
            <w:shd w:val="clear" w:color="auto" w:fill="F1F1F1"/>
            <w:tcMar>
              <w:top w:w="15" w:type="dxa"/>
              <w:left w:w="15" w:type="dxa"/>
              <w:bottom w:w="15" w:type="dxa"/>
              <w:right w:w="15" w:type="dxa"/>
            </w:tcMar>
            <w:vAlign w:val="center"/>
            <w:hideMark/>
          </w:tcPr>
          <w:p w14:paraId="3573B524" w14:textId="77777777" w:rsidR="00F42214" w:rsidRDefault="00F42214">
            <w:pPr>
              <w:keepNext/>
              <w:keepLines/>
              <w:jc w:val="center"/>
              <w:rPr>
                <w:b/>
                <w:bCs/>
                <w:color w:val="606060"/>
                <w:sz w:val="22"/>
                <w:szCs w:val="22"/>
              </w:rPr>
            </w:pPr>
            <w:r>
              <w:rPr>
                <w:b/>
                <w:bCs/>
                <w:color w:val="606060"/>
                <w:sz w:val="22"/>
                <w:szCs w:val="22"/>
              </w:rPr>
              <w:t>At Approval</w:t>
            </w:r>
          </w:p>
        </w:tc>
      </w:tr>
      <w:tr w:rsidR="00F42214" w14:paraId="32DEDB01"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160E6594" w14:textId="77777777" w:rsidR="00F42214" w:rsidRDefault="00F42214">
            <w:pPr>
              <w:spacing w:line="300" w:lineRule="atLeast"/>
              <w:rPr>
                <w:color w:val="000000"/>
                <w:sz w:val="22"/>
                <w:szCs w:val="22"/>
              </w:rPr>
            </w:pPr>
            <w:r>
              <w:rPr>
                <w:color w:val="000000"/>
                <w:sz w:val="22"/>
                <w:szCs w:val="22"/>
              </w:rPr>
              <w:t xml:space="preserve"> Vice President:</w:t>
            </w:r>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415BA9EB" w14:textId="77777777" w:rsidR="00F42214" w:rsidRDefault="00F42214">
            <w:pPr>
              <w:spacing w:line="300" w:lineRule="atLeast"/>
              <w:rPr>
                <w:color w:val="000000"/>
                <w:sz w:val="22"/>
                <w:szCs w:val="22"/>
              </w:rPr>
            </w:pPr>
            <w:r>
              <w:rPr>
                <w:color w:val="000000"/>
                <w:sz w:val="22"/>
                <w:szCs w:val="22"/>
              </w:rPr>
              <w:t>Annette Dixon</w:t>
            </w:r>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74927D53" w14:textId="77777777" w:rsidR="00F42214" w:rsidRDefault="00F42214">
            <w:pPr>
              <w:spacing w:line="300" w:lineRule="atLeast"/>
              <w:rPr>
                <w:color w:val="000000"/>
                <w:sz w:val="22"/>
                <w:szCs w:val="22"/>
              </w:rPr>
            </w:pPr>
            <w:r>
              <w:rPr>
                <w:color w:val="000000"/>
                <w:sz w:val="22"/>
                <w:szCs w:val="22"/>
              </w:rPr>
              <w:t>Praful C. Patel</w:t>
            </w:r>
          </w:p>
        </w:tc>
      </w:tr>
      <w:tr w:rsidR="00F42214" w14:paraId="47B63150"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2A8486F6" w14:textId="77777777" w:rsidR="00F42214" w:rsidRDefault="00F42214">
            <w:pPr>
              <w:spacing w:line="300" w:lineRule="atLeast"/>
              <w:rPr>
                <w:color w:val="000000"/>
                <w:sz w:val="22"/>
                <w:szCs w:val="22"/>
              </w:rPr>
            </w:pPr>
            <w:r>
              <w:rPr>
                <w:color w:val="000000"/>
                <w:sz w:val="22"/>
                <w:szCs w:val="22"/>
              </w:rPr>
              <w:t xml:space="preserve"> Country Director:</w:t>
            </w:r>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393A5DCA" w14:textId="77777777" w:rsidR="00F42214" w:rsidRDefault="00F42214">
            <w:pPr>
              <w:spacing w:line="300" w:lineRule="atLeast"/>
              <w:rPr>
                <w:color w:val="000000"/>
                <w:sz w:val="22"/>
                <w:szCs w:val="22"/>
              </w:rPr>
            </w:pPr>
            <w:r>
              <w:rPr>
                <w:color w:val="000000"/>
                <w:sz w:val="22"/>
                <w:szCs w:val="22"/>
              </w:rPr>
              <w:t>Qimiao Fan</w:t>
            </w:r>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0F2CE0BB" w14:textId="77777777" w:rsidR="00F42214" w:rsidRDefault="00F42214">
            <w:pPr>
              <w:spacing w:line="300" w:lineRule="atLeast"/>
              <w:rPr>
                <w:color w:val="000000"/>
                <w:sz w:val="22"/>
                <w:szCs w:val="22"/>
              </w:rPr>
            </w:pPr>
            <w:r>
              <w:rPr>
                <w:color w:val="000000"/>
                <w:sz w:val="22"/>
                <w:szCs w:val="22"/>
              </w:rPr>
              <w:t>Xian Zhu</w:t>
            </w:r>
          </w:p>
        </w:tc>
      </w:tr>
      <w:tr w:rsidR="00F42214" w14:paraId="6C44AB21"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338E9990" w14:textId="77777777" w:rsidR="00F42214" w:rsidRDefault="00F42214">
            <w:pPr>
              <w:spacing w:line="300" w:lineRule="atLeast"/>
              <w:rPr>
                <w:color w:val="000000"/>
                <w:sz w:val="22"/>
                <w:szCs w:val="22"/>
              </w:rPr>
            </w:pPr>
            <w:r>
              <w:rPr>
                <w:color w:val="000000"/>
                <w:sz w:val="22"/>
                <w:szCs w:val="22"/>
              </w:rPr>
              <w:t xml:space="preserve"> Practice Manager/Manager:</w:t>
            </w:r>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00A5F871" w14:textId="77777777" w:rsidR="00F42214" w:rsidRDefault="00F42214">
            <w:pPr>
              <w:spacing w:line="300" w:lineRule="atLeast"/>
              <w:rPr>
                <w:color w:val="000000"/>
                <w:sz w:val="22"/>
                <w:szCs w:val="22"/>
              </w:rPr>
            </w:pPr>
            <w:r>
              <w:rPr>
                <w:color w:val="000000"/>
                <w:sz w:val="22"/>
                <w:szCs w:val="22"/>
              </w:rPr>
              <w:t>Pablo Gottret</w:t>
            </w:r>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7A38B355" w14:textId="77777777" w:rsidR="00F42214" w:rsidRDefault="00F42214">
            <w:pPr>
              <w:spacing w:line="300" w:lineRule="atLeast"/>
              <w:rPr>
                <w:color w:val="000000"/>
                <w:sz w:val="22"/>
                <w:szCs w:val="22"/>
              </w:rPr>
            </w:pPr>
            <w:r>
              <w:rPr>
                <w:color w:val="000000"/>
                <w:sz w:val="22"/>
                <w:szCs w:val="22"/>
              </w:rPr>
              <w:t>Mansoora Rashid</w:t>
            </w:r>
          </w:p>
        </w:tc>
      </w:tr>
      <w:tr w:rsidR="00F42214" w14:paraId="7F735A14"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216601E8" w14:textId="77777777" w:rsidR="00F42214" w:rsidRDefault="00F42214">
            <w:pPr>
              <w:spacing w:line="300" w:lineRule="atLeast"/>
              <w:rPr>
                <w:color w:val="000000"/>
                <w:sz w:val="22"/>
                <w:szCs w:val="22"/>
              </w:rPr>
            </w:pPr>
            <w:r>
              <w:rPr>
                <w:color w:val="000000"/>
                <w:sz w:val="22"/>
                <w:szCs w:val="22"/>
              </w:rPr>
              <w:t xml:space="preserve"> Project Team Leader:</w:t>
            </w:r>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6163F0EE" w14:textId="77777777" w:rsidR="00F42214" w:rsidRDefault="00F42214">
            <w:pPr>
              <w:spacing w:line="300" w:lineRule="atLeast"/>
              <w:rPr>
                <w:color w:val="000000"/>
                <w:sz w:val="22"/>
                <w:szCs w:val="22"/>
              </w:rPr>
            </w:pPr>
            <w:r>
              <w:rPr>
                <w:color w:val="000000"/>
                <w:sz w:val="22"/>
                <w:szCs w:val="22"/>
              </w:rPr>
              <w:t>Yoonyoung Cho</w:t>
            </w:r>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521EB785" w14:textId="77777777" w:rsidR="00F42214" w:rsidRDefault="00F42214">
            <w:pPr>
              <w:spacing w:line="300" w:lineRule="atLeast"/>
              <w:rPr>
                <w:color w:val="000000"/>
                <w:sz w:val="22"/>
                <w:szCs w:val="22"/>
              </w:rPr>
            </w:pPr>
            <w:r>
              <w:rPr>
                <w:color w:val="000000"/>
                <w:sz w:val="22"/>
                <w:szCs w:val="22"/>
              </w:rPr>
              <w:t>Qaiser M. Khan</w:t>
            </w:r>
          </w:p>
        </w:tc>
      </w:tr>
      <w:tr w:rsidR="00F42214" w14:paraId="32B4A945"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0753BFA2" w14:textId="77777777" w:rsidR="00F42214" w:rsidRDefault="00F42214">
            <w:pPr>
              <w:spacing w:line="300" w:lineRule="atLeast"/>
              <w:rPr>
                <w:color w:val="000000"/>
                <w:sz w:val="22"/>
                <w:szCs w:val="22"/>
              </w:rPr>
            </w:pPr>
            <w:r>
              <w:rPr>
                <w:color w:val="000000"/>
                <w:sz w:val="22"/>
                <w:szCs w:val="22"/>
              </w:rPr>
              <w:t xml:space="preserve"> ICR Team Leader:</w:t>
            </w:r>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32EB61D3" w14:textId="77777777" w:rsidR="00F42214" w:rsidRDefault="00F42214">
            <w:pPr>
              <w:spacing w:line="300" w:lineRule="atLeast"/>
              <w:rPr>
                <w:color w:val="000000"/>
                <w:sz w:val="22"/>
                <w:szCs w:val="22"/>
              </w:rPr>
            </w:pPr>
            <w:r>
              <w:rPr>
                <w:color w:val="000000"/>
                <w:sz w:val="22"/>
                <w:szCs w:val="22"/>
              </w:rPr>
              <w:t>Srinivas Varadan</w:t>
            </w:r>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tcPr>
          <w:p w14:paraId="0B14A96E" w14:textId="77777777" w:rsidR="00F42214" w:rsidRDefault="00F42214">
            <w:pPr>
              <w:spacing w:line="300" w:lineRule="atLeast"/>
              <w:rPr>
                <w:color w:val="000000"/>
                <w:sz w:val="22"/>
                <w:szCs w:val="22"/>
              </w:rPr>
            </w:pPr>
          </w:p>
        </w:tc>
      </w:tr>
      <w:tr w:rsidR="00F42214" w14:paraId="26246EB8" w14:textId="77777777" w:rsidTr="00F42214">
        <w:tc>
          <w:tcPr>
            <w:tcW w:w="2355"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57CE7A68" w14:textId="77777777" w:rsidR="00F42214" w:rsidRDefault="00F42214">
            <w:pPr>
              <w:spacing w:line="300" w:lineRule="atLeast"/>
              <w:rPr>
                <w:color w:val="000000"/>
                <w:sz w:val="22"/>
                <w:szCs w:val="22"/>
              </w:rPr>
            </w:pPr>
            <w:r>
              <w:rPr>
                <w:color w:val="000000"/>
                <w:sz w:val="22"/>
                <w:szCs w:val="22"/>
              </w:rPr>
              <w:t xml:space="preserve"> </w:t>
            </w:r>
            <w:bookmarkStart w:id="61" w:name="BANK_STAFF_COL_1"/>
            <w:r>
              <w:rPr>
                <w:color w:val="000000"/>
                <w:sz w:val="22"/>
                <w:szCs w:val="22"/>
              </w:rPr>
              <w:t>ICR Primary Author:</w:t>
            </w:r>
            <w:bookmarkEnd w:id="61"/>
          </w:p>
        </w:tc>
        <w:tc>
          <w:tcPr>
            <w:tcW w:w="3157"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hideMark/>
          </w:tcPr>
          <w:p w14:paraId="273AC66B" w14:textId="77777777" w:rsidR="00F42214" w:rsidRDefault="00F42214">
            <w:pPr>
              <w:spacing w:line="300" w:lineRule="atLeast"/>
              <w:rPr>
                <w:color w:val="000000"/>
                <w:sz w:val="22"/>
                <w:szCs w:val="22"/>
              </w:rPr>
            </w:pPr>
            <w:bookmarkStart w:id="62" w:name="BANK_STAFF_COL_4"/>
            <w:bookmarkStart w:id="63" w:name="BANK_STAFF_COL_2"/>
            <w:bookmarkEnd w:id="62"/>
            <w:r>
              <w:rPr>
                <w:color w:val="000000"/>
                <w:sz w:val="22"/>
                <w:szCs w:val="22"/>
              </w:rPr>
              <w:t>Anastasiya Denisova</w:t>
            </w:r>
            <w:bookmarkEnd w:id="63"/>
          </w:p>
        </w:tc>
        <w:tc>
          <w:tcPr>
            <w:tcW w:w="3158" w:type="dxa"/>
            <w:tcBorders>
              <w:top w:val="single" w:sz="6" w:space="0" w:color="B1B1B1"/>
              <w:left w:val="single" w:sz="6" w:space="0" w:color="B1B1B1"/>
              <w:bottom w:val="single" w:sz="6" w:space="0" w:color="B1B1B1"/>
              <w:right w:val="single" w:sz="6" w:space="0" w:color="B1B1B1"/>
            </w:tcBorders>
            <w:noWrap/>
            <w:tcMar>
              <w:top w:w="15" w:type="dxa"/>
              <w:left w:w="15" w:type="dxa"/>
              <w:bottom w:w="15" w:type="dxa"/>
              <w:right w:w="15" w:type="dxa"/>
            </w:tcMar>
            <w:vAlign w:val="center"/>
          </w:tcPr>
          <w:p w14:paraId="14DABA29" w14:textId="77777777" w:rsidR="00F42214" w:rsidRDefault="00F42214">
            <w:pPr>
              <w:spacing w:line="300" w:lineRule="atLeast"/>
              <w:rPr>
                <w:color w:val="000000"/>
                <w:sz w:val="22"/>
                <w:szCs w:val="22"/>
              </w:rPr>
            </w:pPr>
            <w:bookmarkStart w:id="64" w:name="BANK_STAFF_COL_3"/>
            <w:bookmarkStart w:id="65" w:name="BANK_STAFF_COL_6"/>
            <w:bookmarkEnd w:id="64"/>
            <w:bookmarkEnd w:id="65"/>
          </w:p>
        </w:tc>
      </w:tr>
    </w:tbl>
    <w:p w14:paraId="5EB848AE" w14:textId="77777777" w:rsidR="00F42214" w:rsidRDefault="00F42214" w:rsidP="00F42214">
      <w:bookmarkStart w:id="66" w:name="BANK_STAFF"/>
      <w:bookmarkEnd w:id="66"/>
    </w:p>
    <w:p w14:paraId="5EC9321F" w14:textId="77777777" w:rsidR="00F42214" w:rsidRDefault="00F42214" w:rsidP="00F42214"/>
    <w:tbl>
      <w:tblPr>
        <w:tblW w:w="5000" w:type="pct"/>
        <w:tblLayout w:type="fixed"/>
        <w:tblCellMar>
          <w:left w:w="0" w:type="dxa"/>
          <w:right w:w="0" w:type="dxa"/>
        </w:tblCellMar>
        <w:tblLook w:val="04A0" w:firstRow="1" w:lastRow="0" w:firstColumn="1" w:lastColumn="0" w:noHBand="0" w:noVBand="1"/>
      </w:tblPr>
      <w:tblGrid>
        <w:gridCol w:w="3013"/>
        <w:gridCol w:w="1739"/>
        <w:gridCol w:w="1509"/>
        <w:gridCol w:w="715"/>
        <w:gridCol w:w="1664"/>
      </w:tblGrid>
      <w:tr w:rsidR="00F42214" w14:paraId="4EAC2AA8" w14:textId="77777777" w:rsidTr="00F42214">
        <w:tc>
          <w:tcPr>
            <w:tcW w:w="8640" w:type="dxa"/>
            <w:gridSpan w:val="5"/>
            <w:vAlign w:val="center"/>
            <w:hideMark/>
          </w:tcPr>
          <w:p w14:paraId="6794B337" w14:textId="77777777" w:rsidR="00F42214" w:rsidRDefault="00F42214">
            <w:pPr>
              <w:pStyle w:val="Heading2"/>
              <w:keepNext/>
            </w:pPr>
            <w:bookmarkStart w:id="67" w:name="_IL13"/>
            <w:r>
              <w:t>F. Results Framework Analysis</w:t>
            </w:r>
            <w:bookmarkEnd w:id="67"/>
            <w:r>
              <w:t xml:space="preserve"> </w:t>
            </w:r>
          </w:p>
        </w:tc>
      </w:tr>
      <w:tr w:rsidR="00F42214" w14:paraId="05954329" w14:textId="77777777" w:rsidTr="00F42214">
        <w:tc>
          <w:tcPr>
            <w:tcW w:w="3013" w:type="dxa"/>
            <w:vAlign w:val="center"/>
          </w:tcPr>
          <w:p w14:paraId="3DED5B87" w14:textId="77777777" w:rsidR="00F42214" w:rsidRDefault="00F42214">
            <w:pPr>
              <w:keepNext/>
            </w:pPr>
          </w:p>
        </w:tc>
        <w:tc>
          <w:tcPr>
            <w:tcW w:w="1739" w:type="dxa"/>
            <w:vAlign w:val="center"/>
          </w:tcPr>
          <w:p w14:paraId="55DD247B" w14:textId="77777777" w:rsidR="00F42214" w:rsidRDefault="00F42214">
            <w:pPr>
              <w:keepNext/>
              <w:rPr>
                <w:sz w:val="20"/>
                <w:szCs w:val="20"/>
              </w:rPr>
            </w:pPr>
          </w:p>
        </w:tc>
        <w:tc>
          <w:tcPr>
            <w:tcW w:w="1509" w:type="dxa"/>
            <w:vAlign w:val="center"/>
          </w:tcPr>
          <w:p w14:paraId="1FCD65BE" w14:textId="77777777" w:rsidR="00F42214" w:rsidRDefault="00F42214">
            <w:pPr>
              <w:keepNext/>
              <w:rPr>
                <w:sz w:val="20"/>
                <w:szCs w:val="20"/>
              </w:rPr>
            </w:pPr>
          </w:p>
        </w:tc>
        <w:tc>
          <w:tcPr>
            <w:tcW w:w="715" w:type="dxa"/>
            <w:vAlign w:val="center"/>
          </w:tcPr>
          <w:p w14:paraId="25C4E272" w14:textId="77777777" w:rsidR="00F42214" w:rsidRDefault="00F42214">
            <w:pPr>
              <w:keepNext/>
              <w:rPr>
                <w:sz w:val="20"/>
                <w:szCs w:val="20"/>
              </w:rPr>
            </w:pPr>
          </w:p>
        </w:tc>
        <w:tc>
          <w:tcPr>
            <w:tcW w:w="1664" w:type="dxa"/>
            <w:vAlign w:val="center"/>
          </w:tcPr>
          <w:p w14:paraId="0D3000A4" w14:textId="77777777" w:rsidR="00F42214" w:rsidRDefault="00F42214">
            <w:pPr>
              <w:keepNext/>
              <w:rPr>
                <w:sz w:val="20"/>
                <w:szCs w:val="20"/>
              </w:rPr>
            </w:pPr>
          </w:p>
        </w:tc>
      </w:tr>
      <w:tr w:rsidR="00F42214" w14:paraId="50A32A8D" w14:textId="77777777" w:rsidTr="00F42214">
        <w:tc>
          <w:tcPr>
            <w:tcW w:w="8640" w:type="dxa"/>
            <w:gridSpan w:val="5"/>
            <w:vAlign w:val="center"/>
            <w:hideMark/>
          </w:tcPr>
          <w:p w14:paraId="4A3E3C7C" w14:textId="77777777" w:rsidR="00F42214" w:rsidRDefault="00F42214">
            <w:pPr>
              <w:keepNext/>
            </w:pPr>
            <w:r>
              <w:rPr>
                <w:rStyle w:val="Strong"/>
              </w:rPr>
              <w:t>Project Development Objectives (</w:t>
            </w:r>
            <w:r>
              <w:rPr>
                <w:rStyle w:val="Strong"/>
                <w:b w:val="0"/>
              </w:rPr>
              <w:t>from Project Appraisal Document</w:t>
            </w:r>
            <w:r>
              <w:rPr>
                <w:rStyle w:val="Strong"/>
              </w:rPr>
              <w:t>)</w:t>
            </w:r>
          </w:p>
        </w:tc>
      </w:tr>
    </w:tbl>
    <w:p w14:paraId="1EA44455" w14:textId="77777777" w:rsidR="00F42214" w:rsidRDefault="00F42214" w:rsidP="00F42214">
      <w:r>
        <w:t>The objective of the proposed Project is to expand the coverage, use, and quality of social care services for persons with disabilities and children at risk as a means of promoting equity and social inclusion. </w:t>
      </w:r>
    </w:p>
    <w:p w14:paraId="1EDE33F1" w14:textId="77777777" w:rsidR="00F42214" w:rsidRDefault="00F42214" w:rsidP="00F42214">
      <w:pPr>
        <w:pStyle w:val="NormalWeb"/>
        <w:spacing w:before="0" w:beforeAutospacing="0" w:after="0" w:afterAutospacing="0"/>
        <w:jc w:val="both"/>
        <w:rPr>
          <w:color w:val="000000"/>
        </w:rPr>
      </w:pPr>
    </w:p>
    <w:p w14:paraId="4D7B6DD5" w14:textId="77777777" w:rsidR="00F42214" w:rsidRDefault="00F42214" w:rsidP="00F42214">
      <w:pPr>
        <w:pStyle w:val="NormalWeb"/>
        <w:spacing w:before="0" w:beforeAutospacing="0" w:after="0" w:afterAutospacing="0"/>
        <w:rPr>
          <w:color w:val="000000"/>
        </w:rPr>
      </w:pPr>
    </w:p>
    <w:tbl>
      <w:tblPr>
        <w:tblW w:w="5000" w:type="pct"/>
        <w:tblLayout w:type="fixed"/>
        <w:tblCellMar>
          <w:left w:w="0" w:type="dxa"/>
          <w:right w:w="0" w:type="dxa"/>
        </w:tblCellMar>
        <w:tblLook w:val="04A0" w:firstRow="1" w:lastRow="0" w:firstColumn="1" w:lastColumn="0" w:noHBand="0" w:noVBand="1"/>
      </w:tblPr>
      <w:tblGrid>
        <w:gridCol w:w="8640"/>
      </w:tblGrid>
      <w:tr w:rsidR="00F42214" w14:paraId="65ED338D" w14:textId="77777777" w:rsidTr="00F42214">
        <w:tc>
          <w:tcPr>
            <w:tcW w:w="8640" w:type="dxa"/>
            <w:vAlign w:val="center"/>
            <w:hideMark/>
          </w:tcPr>
          <w:p w14:paraId="13315096" w14:textId="77777777" w:rsidR="00F42214" w:rsidRDefault="00F42214">
            <w:pPr>
              <w:keepNext/>
              <w:spacing w:line="200" w:lineRule="atLeast"/>
              <w:rPr>
                <w:color w:val="000000"/>
                <w:sz w:val="22"/>
                <w:szCs w:val="22"/>
              </w:rPr>
            </w:pPr>
            <w:r>
              <w:rPr>
                <w:rStyle w:val="Strong"/>
                <w:color w:val="000000"/>
                <w:sz w:val="22"/>
                <w:szCs w:val="22"/>
              </w:rPr>
              <w:t>Revised Project Development Objectives (as approved by original approving authority)</w:t>
            </w:r>
          </w:p>
        </w:tc>
      </w:tr>
    </w:tbl>
    <w:p w14:paraId="57DF96BE" w14:textId="77777777" w:rsidR="00F42214" w:rsidRDefault="00F42214" w:rsidP="00F42214">
      <w:r>
        <w:t>To expand coverage and improve quality of services for persons with disabilities and children at risk by strengthening and scaling up government service delivery systems. </w:t>
      </w:r>
    </w:p>
    <w:p w14:paraId="37A6CDCB" w14:textId="77777777" w:rsidR="00F42214" w:rsidRDefault="00F42214" w:rsidP="00F42214">
      <w:pPr>
        <w:pStyle w:val="NormalWeb"/>
        <w:spacing w:before="0" w:beforeAutospacing="0" w:after="0" w:afterAutospacing="0"/>
        <w:jc w:val="both"/>
        <w:rPr>
          <w:color w:val="000000"/>
        </w:rPr>
      </w:pPr>
    </w:p>
    <w:p w14:paraId="1531A543" w14:textId="77777777" w:rsidR="00F42214" w:rsidRDefault="00F42214" w:rsidP="00F42214">
      <w:pPr>
        <w:pStyle w:val="NormalWeb"/>
        <w:spacing w:before="0" w:beforeAutospacing="0" w:after="0" w:afterAutospacing="0"/>
        <w:rPr>
          <w:color w:val="000000"/>
        </w:rPr>
      </w:pPr>
    </w:p>
    <w:tbl>
      <w:tblPr>
        <w:tblW w:w="5000" w:type="pct"/>
        <w:tblLayout w:type="fixed"/>
        <w:tblCellMar>
          <w:left w:w="0" w:type="dxa"/>
          <w:right w:w="0" w:type="dxa"/>
        </w:tblCellMar>
        <w:tblLook w:val="04A0" w:firstRow="1" w:lastRow="0" w:firstColumn="1" w:lastColumn="0" w:noHBand="0" w:noVBand="1"/>
      </w:tblPr>
      <w:tblGrid>
        <w:gridCol w:w="8640"/>
      </w:tblGrid>
      <w:tr w:rsidR="00F42214" w14:paraId="3A8A1F9B" w14:textId="77777777" w:rsidTr="00F42214">
        <w:tc>
          <w:tcPr>
            <w:tcW w:w="8660" w:type="dxa"/>
            <w:tcMar>
              <w:top w:w="10" w:type="dxa"/>
              <w:left w:w="10" w:type="dxa"/>
              <w:bottom w:w="10" w:type="dxa"/>
              <w:right w:w="10" w:type="dxa"/>
            </w:tcMar>
            <w:vAlign w:val="center"/>
            <w:hideMark/>
          </w:tcPr>
          <w:p w14:paraId="2C9DBDE1" w14:textId="77777777" w:rsidR="00F42214" w:rsidRDefault="00F42214">
            <w:pPr>
              <w:keepNext/>
              <w:keepLines/>
              <w:spacing w:line="200" w:lineRule="atLeast"/>
              <w:rPr>
                <w:rStyle w:val="Strong"/>
                <w:sz w:val="22"/>
                <w:szCs w:val="22"/>
              </w:rPr>
            </w:pPr>
            <w:r>
              <w:rPr>
                <w:rStyle w:val="Strong"/>
                <w:color w:val="000000"/>
                <w:sz w:val="22"/>
                <w:szCs w:val="22"/>
              </w:rPr>
              <w:t xml:space="preserve"> (a) PDO Indicator(s)</w:t>
            </w:r>
          </w:p>
        </w:tc>
      </w:tr>
    </w:tbl>
    <w:p w14:paraId="5FEB3FFE" w14:textId="77777777" w:rsidR="00F42214" w:rsidRDefault="00F42214" w:rsidP="00F42214">
      <w:pPr>
        <w:keepNext/>
        <w:keepLines/>
        <w:spacing w:line="200" w:lineRule="atLeast"/>
        <w:rPr>
          <w:color w:val="000000"/>
          <w:sz w:val="22"/>
          <w:szCs w:val="22"/>
        </w:rPr>
      </w:pPr>
    </w:p>
    <w:tbl>
      <w:tblPr>
        <w:tblW w:w="5000" w:type="pct"/>
        <w:tblLayout w:type="fixed"/>
        <w:tblCellMar>
          <w:top w:w="10" w:type="dxa"/>
          <w:left w:w="10" w:type="dxa"/>
          <w:bottom w:w="10" w:type="dxa"/>
          <w:right w:w="10" w:type="dxa"/>
        </w:tblCellMar>
        <w:tblLook w:val="04A0" w:firstRow="1" w:lastRow="0" w:firstColumn="1" w:lastColumn="0" w:noHBand="0" w:noVBand="1"/>
      </w:tblPr>
      <w:tblGrid>
        <w:gridCol w:w="1444"/>
        <w:gridCol w:w="2332"/>
        <w:gridCol w:w="1708"/>
        <w:gridCol w:w="1327"/>
        <w:gridCol w:w="22"/>
        <w:gridCol w:w="1797"/>
      </w:tblGrid>
      <w:tr w:rsidR="00F42214" w14:paraId="3F4F7B3B" w14:textId="77777777" w:rsidTr="00F42214">
        <w:tc>
          <w:tcPr>
            <w:tcW w:w="145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5F02E670" w14:textId="77777777" w:rsidR="00F42214" w:rsidRDefault="00F42214">
            <w:pPr>
              <w:keepNext/>
              <w:keepLines/>
              <w:jc w:val="center"/>
              <w:rPr>
                <w:b/>
                <w:bCs/>
                <w:color w:val="606060"/>
                <w:sz w:val="22"/>
                <w:szCs w:val="22"/>
              </w:rPr>
            </w:pPr>
            <w:r>
              <w:rPr>
                <w:b/>
                <w:bCs/>
                <w:color w:val="606060"/>
                <w:sz w:val="22"/>
                <w:szCs w:val="22"/>
              </w:rPr>
              <w:t>Indicator</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0D4F3780" w14:textId="77777777" w:rsidR="00F42214" w:rsidRDefault="00F42214">
            <w:pPr>
              <w:keepNext/>
              <w:keepLines/>
              <w:jc w:val="center"/>
              <w:rPr>
                <w:b/>
                <w:bCs/>
                <w:color w:val="606060"/>
                <w:sz w:val="22"/>
                <w:szCs w:val="22"/>
              </w:rPr>
            </w:pPr>
            <w:r>
              <w:rPr>
                <w:b/>
                <w:bCs/>
                <w:color w:val="606060"/>
                <w:sz w:val="22"/>
                <w:szCs w:val="22"/>
              </w:rPr>
              <w:t>Baseline Value</w:t>
            </w:r>
          </w:p>
        </w:tc>
        <w:tc>
          <w:tcPr>
            <w:tcW w:w="1713"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3310D0B0" w14:textId="77777777" w:rsidR="00F42214" w:rsidRDefault="00F42214">
            <w:pPr>
              <w:keepNext/>
              <w:keepLines/>
              <w:jc w:val="center"/>
              <w:rPr>
                <w:b/>
                <w:bCs/>
                <w:color w:val="606060"/>
                <w:sz w:val="22"/>
                <w:szCs w:val="22"/>
              </w:rPr>
            </w:pPr>
            <w:r>
              <w:rPr>
                <w:b/>
                <w:bCs/>
                <w:color w:val="606060"/>
                <w:sz w:val="22"/>
                <w:szCs w:val="22"/>
              </w:rPr>
              <w:t>Original Target Values (from approval documents)</w:t>
            </w:r>
          </w:p>
        </w:tc>
        <w:tc>
          <w:tcPr>
            <w:tcW w:w="1332"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2722C9B4" w14:textId="77777777" w:rsidR="00F42214" w:rsidRDefault="00F42214">
            <w:pPr>
              <w:keepNext/>
              <w:keepLines/>
              <w:jc w:val="center"/>
              <w:rPr>
                <w:b/>
                <w:bCs/>
                <w:color w:val="606060"/>
                <w:sz w:val="22"/>
                <w:szCs w:val="22"/>
              </w:rPr>
            </w:pPr>
            <w:r>
              <w:rPr>
                <w:b/>
                <w:bCs/>
                <w:color w:val="606060"/>
                <w:sz w:val="22"/>
                <w:szCs w:val="22"/>
              </w:rPr>
              <w:t>Formally Revised Target Values</w:t>
            </w:r>
          </w:p>
        </w:tc>
        <w:tc>
          <w:tcPr>
            <w:tcW w:w="1825"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CA0C917" w14:textId="77777777" w:rsidR="00F42214" w:rsidRDefault="00F42214">
            <w:pPr>
              <w:keepNext/>
              <w:keepLines/>
              <w:jc w:val="center"/>
              <w:rPr>
                <w:b/>
                <w:bCs/>
                <w:color w:val="606060"/>
                <w:sz w:val="22"/>
                <w:szCs w:val="22"/>
              </w:rPr>
            </w:pPr>
            <w:r>
              <w:rPr>
                <w:b/>
                <w:bCs/>
                <w:color w:val="606060"/>
                <w:sz w:val="22"/>
                <w:szCs w:val="22"/>
              </w:rPr>
              <w:t>Actual Value Achieved at Completion or Target Years</w:t>
            </w:r>
          </w:p>
        </w:tc>
      </w:tr>
      <w:tr w:rsidR="00F42214" w14:paraId="2F78AC87"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7375448" w14:textId="77777777" w:rsidR="00F42214" w:rsidRDefault="00F42214">
            <w:pPr>
              <w:spacing w:line="200" w:lineRule="atLeast"/>
              <w:rPr>
                <w:color w:val="000000"/>
                <w:sz w:val="22"/>
                <w:szCs w:val="22"/>
              </w:rPr>
            </w:pPr>
            <w:r>
              <w:rPr>
                <w:rStyle w:val="Strong"/>
                <w:color w:val="000000"/>
                <w:sz w:val="22"/>
                <w:szCs w:val="22"/>
              </w:rPr>
              <w:t xml:space="preserve">Indicator 1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50A943CB" w14:textId="77777777" w:rsidR="00F42214" w:rsidRDefault="00F42214">
            <w:r>
              <w:t xml:space="preserve">10% increase in the coverage of disabled population by JPUF- original </w:t>
            </w:r>
          </w:p>
          <w:p w14:paraId="089AA355" w14:textId="77777777" w:rsidR="00F42214" w:rsidRDefault="00F42214">
            <w:pPr>
              <w:spacing w:line="200" w:lineRule="atLeast"/>
              <w:rPr>
                <w:color w:val="000000"/>
                <w:sz w:val="22"/>
                <w:szCs w:val="22"/>
              </w:rPr>
            </w:pPr>
          </w:p>
        </w:tc>
      </w:tr>
      <w:tr w:rsidR="00F42214" w14:paraId="557D072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37F76CF" w14:textId="77777777" w:rsidR="00F42214" w:rsidRDefault="00F42214">
            <w:pPr>
              <w:spacing w:line="200" w:lineRule="atLeast"/>
              <w:rPr>
                <w:color w:val="000000"/>
                <w:sz w:val="22"/>
                <w:szCs w:val="22"/>
              </w:rPr>
            </w:pPr>
            <w:r>
              <w:rPr>
                <w:color w:val="000000"/>
                <w:sz w:val="22"/>
                <w:szCs w:val="22"/>
              </w:rPr>
              <w:t xml:space="preserve">Value </w:t>
            </w:r>
          </w:p>
          <w:p w14:paraId="0BFDACC8" w14:textId="77777777" w:rsidR="00F42214" w:rsidRDefault="00F42214">
            <w:pPr>
              <w:spacing w:line="200" w:lineRule="atLeast"/>
              <w:rPr>
                <w:color w:val="000000"/>
                <w:sz w:val="22"/>
                <w:szCs w:val="22"/>
              </w:rPr>
            </w:pPr>
            <w:r>
              <w:rPr>
                <w:color w:val="000000"/>
                <w:sz w:val="22"/>
                <w:szCs w:val="22"/>
              </w:rPr>
              <w:t xml:space="preserve">quantitative or </w:t>
            </w:r>
          </w:p>
          <w:p w14:paraId="1DDA365F"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57649973" w14:textId="77777777" w:rsidR="00F42214" w:rsidRDefault="00F42214">
            <w:r>
              <w:t xml:space="preserve">24,165 </w:t>
            </w:r>
          </w:p>
          <w:p w14:paraId="495FC0CB"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79741AC9" w14:textId="77777777" w:rsidR="00F42214" w:rsidRDefault="00F42214">
            <w:r>
              <w:t xml:space="preserve">5-10% </w:t>
            </w:r>
          </w:p>
          <w:p w14:paraId="76349890"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ACDBCC7" w14:textId="77777777" w:rsidR="00F42214" w:rsidRDefault="00F42214"/>
          <w:p w14:paraId="21D010DC"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46239759" w14:textId="77777777" w:rsidR="00F42214" w:rsidRDefault="00F42214">
            <w:r>
              <w:t xml:space="preserve">370,464 (160,525 female and 209,939 male) </w:t>
            </w:r>
          </w:p>
          <w:p w14:paraId="5E71F97D" w14:textId="77777777" w:rsidR="00F42214" w:rsidRDefault="00F42214">
            <w:pPr>
              <w:spacing w:line="200" w:lineRule="atLeast"/>
              <w:rPr>
                <w:color w:val="000000"/>
                <w:sz w:val="22"/>
                <w:szCs w:val="22"/>
              </w:rPr>
            </w:pPr>
          </w:p>
        </w:tc>
      </w:tr>
      <w:tr w:rsidR="00F42214" w14:paraId="3DBCBA7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889303A"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20BE39C" w14:textId="77777777" w:rsidR="00F42214" w:rsidRDefault="00F42214">
            <w:pPr>
              <w:spacing w:line="200" w:lineRule="atLeast"/>
              <w:rPr>
                <w:color w:val="000000"/>
                <w:sz w:val="22"/>
                <w:szCs w:val="22"/>
              </w:rPr>
            </w:pPr>
            <w:r>
              <w:rPr>
                <w:color w:val="000000"/>
                <w:sz w:val="22"/>
                <w:szCs w:val="22"/>
              </w:rPr>
              <w:t>06/03/2008</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1D27968A"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12C6EED3"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74C4D217" w14:textId="77777777" w:rsidR="00F42214" w:rsidRDefault="00F42214">
            <w:pPr>
              <w:spacing w:line="200" w:lineRule="atLeast"/>
              <w:rPr>
                <w:color w:val="000000"/>
                <w:sz w:val="22"/>
                <w:szCs w:val="22"/>
              </w:rPr>
            </w:pPr>
            <w:r>
              <w:rPr>
                <w:color w:val="000000"/>
                <w:sz w:val="22"/>
                <w:szCs w:val="22"/>
              </w:rPr>
              <w:t>06/30/2016</w:t>
            </w:r>
          </w:p>
        </w:tc>
      </w:tr>
      <w:tr w:rsidR="00F42214" w14:paraId="48E1E0CB"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C4A0F52" w14:textId="77777777" w:rsidR="00F42214" w:rsidRDefault="00F42214">
            <w:pPr>
              <w:spacing w:line="200" w:lineRule="atLeast"/>
              <w:rPr>
                <w:color w:val="000000"/>
                <w:sz w:val="22"/>
                <w:szCs w:val="22"/>
              </w:rPr>
            </w:pPr>
            <w:r>
              <w:rPr>
                <w:color w:val="000000"/>
                <w:sz w:val="22"/>
                <w:szCs w:val="22"/>
              </w:rPr>
              <w:t xml:space="preserve">Comments </w:t>
            </w:r>
          </w:p>
          <w:p w14:paraId="103A7716" w14:textId="77777777" w:rsidR="00F42214" w:rsidRDefault="00F42214">
            <w:pPr>
              <w:spacing w:line="200" w:lineRule="atLeast"/>
              <w:rPr>
                <w:color w:val="000000"/>
                <w:sz w:val="22"/>
                <w:szCs w:val="22"/>
              </w:rPr>
            </w:pPr>
            <w:r>
              <w:rPr>
                <w:color w:val="000000"/>
                <w:sz w:val="22"/>
                <w:szCs w:val="22"/>
              </w:rPr>
              <w:t xml:space="preserve">(incl. % </w:t>
            </w:r>
          </w:p>
          <w:p w14:paraId="2DF7469C"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025C8A52" w14:textId="77777777" w:rsidR="00F42214" w:rsidRDefault="00F42214">
            <w:r>
              <w:t xml:space="preserve">SURPASSED: dropped in June 2011, but project data show that by the closing date JPUF covered at least 370,464 beneficiaries, which represents more than 140% increase in the coverage of disabled population by JPUF. </w:t>
            </w:r>
          </w:p>
          <w:p w14:paraId="33330F62" w14:textId="77777777" w:rsidR="00F42214" w:rsidRDefault="00F42214">
            <w:pPr>
              <w:spacing w:line="200" w:lineRule="atLeast"/>
              <w:rPr>
                <w:color w:val="000000"/>
                <w:sz w:val="22"/>
                <w:szCs w:val="22"/>
              </w:rPr>
            </w:pPr>
          </w:p>
        </w:tc>
      </w:tr>
      <w:tr w:rsidR="00F42214" w14:paraId="52B29D0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C79B373" w14:textId="77777777" w:rsidR="00F42214" w:rsidRDefault="00F42214">
            <w:pPr>
              <w:spacing w:line="200" w:lineRule="atLeast"/>
              <w:rPr>
                <w:color w:val="000000"/>
                <w:sz w:val="22"/>
                <w:szCs w:val="22"/>
              </w:rPr>
            </w:pPr>
            <w:r>
              <w:rPr>
                <w:rStyle w:val="Strong"/>
                <w:color w:val="000000"/>
                <w:sz w:val="22"/>
                <w:szCs w:val="22"/>
              </w:rPr>
              <w:t xml:space="preserve">Indicator 2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03E6053E" w14:textId="77777777" w:rsidR="00F42214" w:rsidRDefault="00F42214">
            <w:r>
              <w:t xml:space="preserve">30% increase in early detection of disabilities and impairments-original </w:t>
            </w:r>
          </w:p>
          <w:p w14:paraId="2A63D36C" w14:textId="77777777" w:rsidR="00F42214" w:rsidRDefault="00F42214">
            <w:pPr>
              <w:spacing w:line="200" w:lineRule="atLeast"/>
              <w:rPr>
                <w:color w:val="000000"/>
                <w:sz w:val="22"/>
                <w:szCs w:val="22"/>
              </w:rPr>
            </w:pPr>
          </w:p>
        </w:tc>
      </w:tr>
      <w:tr w:rsidR="00F42214" w14:paraId="3B680F2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93F7B6D" w14:textId="77777777" w:rsidR="00F42214" w:rsidRDefault="00F42214">
            <w:pPr>
              <w:spacing w:line="200" w:lineRule="atLeast"/>
              <w:rPr>
                <w:color w:val="000000"/>
                <w:sz w:val="22"/>
                <w:szCs w:val="22"/>
              </w:rPr>
            </w:pPr>
            <w:r>
              <w:rPr>
                <w:color w:val="000000"/>
                <w:sz w:val="22"/>
                <w:szCs w:val="22"/>
              </w:rPr>
              <w:t xml:space="preserve">Value </w:t>
            </w:r>
          </w:p>
          <w:p w14:paraId="036EC291" w14:textId="77777777" w:rsidR="00F42214" w:rsidRDefault="00F42214">
            <w:pPr>
              <w:spacing w:line="200" w:lineRule="atLeast"/>
              <w:rPr>
                <w:color w:val="000000"/>
                <w:sz w:val="22"/>
                <w:szCs w:val="22"/>
              </w:rPr>
            </w:pPr>
            <w:r>
              <w:rPr>
                <w:color w:val="000000"/>
                <w:sz w:val="22"/>
                <w:szCs w:val="22"/>
              </w:rPr>
              <w:t xml:space="preserve">quantitative or </w:t>
            </w:r>
          </w:p>
          <w:p w14:paraId="4B2AF078"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958037C" w14:textId="77777777" w:rsidR="00F42214" w:rsidRDefault="00F42214">
            <w:r>
              <w:t xml:space="preserve">2% </w:t>
            </w:r>
          </w:p>
          <w:p w14:paraId="508A885C"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6D9E02DE" w14:textId="77777777" w:rsidR="00F42214" w:rsidRDefault="00F42214">
            <w:r>
              <w:t xml:space="preserve">40-50% </w:t>
            </w:r>
          </w:p>
          <w:p w14:paraId="61E0E97F"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0C6A87E1" w14:textId="77777777" w:rsidR="00F42214" w:rsidRDefault="00F42214"/>
          <w:p w14:paraId="6DEB74F0"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7CF20FD9" w14:textId="77777777" w:rsidR="00F42214" w:rsidRDefault="00F42214"/>
          <w:p w14:paraId="6D56F0FD" w14:textId="77777777" w:rsidR="00F42214" w:rsidRDefault="00F42214">
            <w:pPr>
              <w:spacing w:line="200" w:lineRule="atLeast"/>
              <w:rPr>
                <w:color w:val="000000"/>
                <w:sz w:val="22"/>
                <w:szCs w:val="22"/>
              </w:rPr>
            </w:pPr>
          </w:p>
        </w:tc>
      </w:tr>
      <w:tr w:rsidR="00F42214" w14:paraId="401D3B5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21AEF2A"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E55F279" w14:textId="77777777" w:rsidR="00F42214" w:rsidRDefault="00F42214">
            <w:pPr>
              <w:spacing w:line="200" w:lineRule="atLeast"/>
              <w:rPr>
                <w:color w:val="000000"/>
                <w:sz w:val="22"/>
                <w:szCs w:val="22"/>
              </w:rPr>
            </w:pPr>
            <w:r>
              <w:rPr>
                <w:color w:val="000000"/>
                <w:sz w:val="22"/>
                <w:szCs w:val="22"/>
              </w:rPr>
              <w:t>06/03/2008</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42441274"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4884C7C7"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28F0FCC1" w14:textId="77777777" w:rsidR="00F42214" w:rsidRDefault="00F42214">
            <w:pPr>
              <w:spacing w:line="200" w:lineRule="atLeast"/>
              <w:rPr>
                <w:color w:val="000000"/>
                <w:sz w:val="22"/>
                <w:szCs w:val="22"/>
              </w:rPr>
            </w:pPr>
          </w:p>
        </w:tc>
      </w:tr>
      <w:tr w:rsidR="00F42214" w14:paraId="128F9A6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C79B65F" w14:textId="77777777" w:rsidR="00F42214" w:rsidRDefault="00F42214">
            <w:pPr>
              <w:spacing w:line="200" w:lineRule="atLeast"/>
              <w:rPr>
                <w:color w:val="000000"/>
                <w:sz w:val="22"/>
                <w:szCs w:val="22"/>
              </w:rPr>
            </w:pPr>
            <w:r>
              <w:rPr>
                <w:color w:val="000000"/>
                <w:sz w:val="22"/>
                <w:szCs w:val="22"/>
              </w:rPr>
              <w:t xml:space="preserve">Comments </w:t>
            </w:r>
          </w:p>
          <w:p w14:paraId="24561E79" w14:textId="77777777" w:rsidR="00F42214" w:rsidRDefault="00F42214">
            <w:pPr>
              <w:spacing w:line="200" w:lineRule="atLeast"/>
              <w:rPr>
                <w:color w:val="000000"/>
                <w:sz w:val="22"/>
                <w:szCs w:val="22"/>
              </w:rPr>
            </w:pPr>
            <w:r>
              <w:rPr>
                <w:color w:val="000000"/>
                <w:sz w:val="22"/>
                <w:szCs w:val="22"/>
              </w:rPr>
              <w:t xml:space="preserve">(incl. % </w:t>
            </w:r>
          </w:p>
          <w:p w14:paraId="16DBD822"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0AFF5178" w14:textId="77777777" w:rsidR="00F42214" w:rsidRDefault="00F42214">
            <w:r>
              <w:t xml:space="preserve">Dropped during June 2011 restructuring. Data on current status of early detection of disabilities is not available. </w:t>
            </w:r>
          </w:p>
          <w:p w14:paraId="7FE51626" w14:textId="77777777" w:rsidR="00F42214" w:rsidRDefault="00F42214">
            <w:pPr>
              <w:spacing w:line="200" w:lineRule="atLeast"/>
              <w:rPr>
                <w:color w:val="000000"/>
                <w:sz w:val="22"/>
                <w:szCs w:val="22"/>
              </w:rPr>
            </w:pPr>
          </w:p>
        </w:tc>
      </w:tr>
      <w:tr w:rsidR="00F42214" w14:paraId="570DD44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A2433B9" w14:textId="77777777" w:rsidR="00F42214" w:rsidRDefault="00F42214">
            <w:pPr>
              <w:spacing w:line="200" w:lineRule="atLeast"/>
              <w:rPr>
                <w:color w:val="000000"/>
                <w:sz w:val="22"/>
                <w:szCs w:val="22"/>
              </w:rPr>
            </w:pPr>
            <w:r>
              <w:rPr>
                <w:rStyle w:val="Strong"/>
                <w:color w:val="000000"/>
                <w:sz w:val="22"/>
                <w:szCs w:val="22"/>
              </w:rPr>
              <w:t xml:space="preserve">Indicator 3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49E0F7CE" w14:textId="77777777" w:rsidR="00F42214" w:rsidRDefault="00F42214">
            <w:r>
              <w:t xml:space="preserve">10% increase of PWD in the workforce - original </w:t>
            </w:r>
          </w:p>
          <w:p w14:paraId="568F6B22" w14:textId="77777777" w:rsidR="00F42214" w:rsidRDefault="00F42214">
            <w:pPr>
              <w:spacing w:line="200" w:lineRule="atLeast"/>
              <w:rPr>
                <w:color w:val="000000"/>
                <w:sz w:val="22"/>
                <w:szCs w:val="22"/>
              </w:rPr>
            </w:pPr>
          </w:p>
        </w:tc>
      </w:tr>
      <w:tr w:rsidR="00F42214" w14:paraId="0796C9D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894F12C" w14:textId="77777777" w:rsidR="00F42214" w:rsidRDefault="00F42214">
            <w:pPr>
              <w:spacing w:line="200" w:lineRule="atLeast"/>
              <w:rPr>
                <w:color w:val="000000"/>
                <w:sz w:val="22"/>
                <w:szCs w:val="22"/>
              </w:rPr>
            </w:pPr>
            <w:r>
              <w:rPr>
                <w:color w:val="000000"/>
                <w:sz w:val="22"/>
                <w:szCs w:val="22"/>
              </w:rPr>
              <w:t xml:space="preserve">Value </w:t>
            </w:r>
          </w:p>
          <w:p w14:paraId="14F4EEDE" w14:textId="77777777" w:rsidR="00F42214" w:rsidRDefault="00F42214">
            <w:pPr>
              <w:spacing w:line="200" w:lineRule="atLeast"/>
              <w:rPr>
                <w:color w:val="000000"/>
                <w:sz w:val="22"/>
                <w:szCs w:val="22"/>
              </w:rPr>
            </w:pPr>
            <w:r>
              <w:rPr>
                <w:color w:val="000000"/>
                <w:sz w:val="22"/>
                <w:szCs w:val="22"/>
              </w:rPr>
              <w:t xml:space="preserve">quantitative or </w:t>
            </w:r>
          </w:p>
          <w:p w14:paraId="137C71E0"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8294CD5" w14:textId="77777777" w:rsidR="00F42214" w:rsidRDefault="00F42214">
            <w:r>
              <w:t xml:space="preserve">769,000 </w:t>
            </w:r>
          </w:p>
          <w:p w14:paraId="53755288"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56EC0C5D" w14:textId="77777777" w:rsidR="00F42214" w:rsidRDefault="00F42214">
            <w:r>
              <w:t xml:space="preserve">6-10% </w:t>
            </w:r>
          </w:p>
          <w:p w14:paraId="38A32746"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662679F3" w14:textId="77777777" w:rsidR="00F42214" w:rsidRDefault="00F42214"/>
          <w:p w14:paraId="6D215117"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3230DC30" w14:textId="77777777" w:rsidR="00F42214" w:rsidRDefault="00F42214"/>
          <w:p w14:paraId="177BE898" w14:textId="77777777" w:rsidR="00F42214" w:rsidRDefault="00F42214">
            <w:pPr>
              <w:spacing w:line="200" w:lineRule="atLeast"/>
              <w:rPr>
                <w:color w:val="000000"/>
                <w:sz w:val="22"/>
                <w:szCs w:val="22"/>
              </w:rPr>
            </w:pPr>
          </w:p>
        </w:tc>
      </w:tr>
      <w:tr w:rsidR="00F42214" w14:paraId="12E9FA4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EC90C0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41E0203F" w14:textId="77777777" w:rsidR="00F42214" w:rsidRDefault="00F42214">
            <w:pPr>
              <w:spacing w:line="200" w:lineRule="atLeast"/>
              <w:rPr>
                <w:color w:val="000000"/>
                <w:sz w:val="22"/>
                <w:szCs w:val="22"/>
              </w:rPr>
            </w:pPr>
            <w:r>
              <w:rPr>
                <w:color w:val="000000"/>
                <w:sz w:val="22"/>
                <w:szCs w:val="22"/>
              </w:rPr>
              <w:t>06/03/2008</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4E41DC57"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4FAECC12"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7FD7BFE7" w14:textId="77777777" w:rsidR="00F42214" w:rsidRDefault="00F42214">
            <w:pPr>
              <w:spacing w:line="200" w:lineRule="atLeast"/>
              <w:rPr>
                <w:color w:val="000000"/>
                <w:sz w:val="22"/>
                <w:szCs w:val="22"/>
              </w:rPr>
            </w:pPr>
          </w:p>
        </w:tc>
      </w:tr>
      <w:tr w:rsidR="00F42214" w14:paraId="2E51064B"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5343FB4" w14:textId="77777777" w:rsidR="00F42214" w:rsidRDefault="00F42214">
            <w:pPr>
              <w:spacing w:line="200" w:lineRule="atLeast"/>
              <w:rPr>
                <w:color w:val="000000"/>
                <w:sz w:val="22"/>
                <w:szCs w:val="22"/>
              </w:rPr>
            </w:pPr>
            <w:r>
              <w:rPr>
                <w:color w:val="000000"/>
                <w:sz w:val="22"/>
                <w:szCs w:val="22"/>
              </w:rPr>
              <w:t xml:space="preserve">Comments </w:t>
            </w:r>
          </w:p>
          <w:p w14:paraId="307CAD2A" w14:textId="77777777" w:rsidR="00F42214" w:rsidRDefault="00F42214">
            <w:pPr>
              <w:spacing w:line="200" w:lineRule="atLeast"/>
              <w:rPr>
                <w:color w:val="000000"/>
                <w:sz w:val="22"/>
                <w:szCs w:val="22"/>
              </w:rPr>
            </w:pPr>
            <w:r>
              <w:rPr>
                <w:color w:val="000000"/>
                <w:sz w:val="22"/>
                <w:szCs w:val="22"/>
              </w:rPr>
              <w:t xml:space="preserve">(incl. % </w:t>
            </w:r>
          </w:p>
          <w:p w14:paraId="3A0BF6C1"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7806236D" w14:textId="77777777" w:rsidR="00F42214" w:rsidRDefault="00F42214">
            <w:r>
              <w:t xml:space="preserve">Dropped during June 2011 restructuring. Data on number of PWDs in the workforce at any later dates is not available. </w:t>
            </w:r>
          </w:p>
          <w:p w14:paraId="1E89FA38" w14:textId="77777777" w:rsidR="00F42214" w:rsidRDefault="00F42214">
            <w:pPr>
              <w:spacing w:line="200" w:lineRule="atLeast"/>
              <w:rPr>
                <w:color w:val="000000"/>
                <w:sz w:val="22"/>
                <w:szCs w:val="22"/>
              </w:rPr>
            </w:pPr>
          </w:p>
        </w:tc>
      </w:tr>
      <w:tr w:rsidR="00F42214" w14:paraId="2879413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56B3DD0" w14:textId="77777777" w:rsidR="00F42214" w:rsidRDefault="00F42214">
            <w:pPr>
              <w:spacing w:line="200" w:lineRule="atLeast"/>
              <w:rPr>
                <w:color w:val="000000"/>
                <w:sz w:val="22"/>
                <w:szCs w:val="22"/>
              </w:rPr>
            </w:pPr>
            <w:r>
              <w:rPr>
                <w:rStyle w:val="Strong"/>
                <w:color w:val="000000"/>
                <w:sz w:val="22"/>
                <w:szCs w:val="22"/>
              </w:rPr>
              <w:t xml:space="preserve">Indicator 4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2E2F5B36" w14:textId="77777777" w:rsidR="00F42214" w:rsidRDefault="00F42214">
            <w:r>
              <w:t xml:space="preserve">30% of participating street children attend formal or non formal education, or training - original </w:t>
            </w:r>
          </w:p>
          <w:p w14:paraId="69CAE9D3" w14:textId="77777777" w:rsidR="00F42214" w:rsidRDefault="00F42214">
            <w:pPr>
              <w:spacing w:line="200" w:lineRule="atLeast"/>
              <w:rPr>
                <w:color w:val="000000"/>
                <w:sz w:val="22"/>
                <w:szCs w:val="22"/>
              </w:rPr>
            </w:pPr>
          </w:p>
        </w:tc>
      </w:tr>
      <w:tr w:rsidR="00F42214" w14:paraId="7482894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EC85EC2" w14:textId="77777777" w:rsidR="00F42214" w:rsidRDefault="00F42214">
            <w:pPr>
              <w:spacing w:line="200" w:lineRule="atLeast"/>
              <w:rPr>
                <w:color w:val="000000"/>
                <w:sz w:val="22"/>
                <w:szCs w:val="22"/>
              </w:rPr>
            </w:pPr>
            <w:r>
              <w:rPr>
                <w:color w:val="000000"/>
                <w:sz w:val="22"/>
                <w:szCs w:val="22"/>
              </w:rPr>
              <w:t xml:space="preserve">Value </w:t>
            </w:r>
          </w:p>
          <w:p w14:paraId="77E808A6" w14:textId="77777777" w:rsidR="00F42214" w:rsidRDefault="00F42214">
            <w:pPr>
              <w:spacing w:line="200" w:lineRule="atLeast"/>
              <w:rPr>
                <w:color w:val="000000"/>
                <w:sz w:val="22"/>
                <w:szCs w:val="22"/>
              </w:rPr>
            </w:pPr>
            <w:r>
              <w:rPr>
                <w:color w:val="000000"/>
                <w:sz w:val="22"/>
                <w:szCs w:val="22"/>
              </w:rPr>
              <w:t xml:space="preserve">quantitative or </w:t>
            </w:r>
          </w:p>
          <w:p w14:paraId="1BA0AFC9"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7E845FA6" w14:textId="77777777" w:rsidR="00F42214" w:rsidRDefault="00F42214">
            <w:r>
              <w:t xml:space="preserve">8080 </w:t>
            </w:r>
          </w:p>
          <w:p w14:paraId="375654E6"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0603BD1F" w14:textId="77777777" w:rsidR="00F42214" w:rsidRDefault="00F42214">
            <w:r>
              <w:t xml:space="preserve">30% </w:t>
            </w:r>
          </w:p>
          <w:p w14:paraId="587AFF43"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019FA59B" w14:textId="77777777" w:rsidR="00F42214" w:rsidRDefault="00F42214"/>
          <w:p w14:paraId="64A0CCE0"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07E0959B" w14:textId="77777777" w:rsidR="00F42214" w:rsidRDefault="00F42214">
            <w:r>
              <w:t xml:space="preserve">24% </w:t>
            </w:r>
          </w:p>
          <w:p w14:paraId="4DD80D49" w14:textId="77777777" w:rsidR="00F42214" w:rsidRDefault="00F42214">
            <w:pPr>
              <w:spacing w:line="200" w:lineRule="atLeast"/>
              <w:rPr>
                <w:color w:val="000000"/>
                <w:sz w:val="22"/>
                <w:szCs w:val="22"/>
              </w:rPr>
            </w:pPr>
          </w:p>
        </w:tc>
      </w:tr>
      <w:tr w:rsidR="00F42214" w14:paraId="29D9FBF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ED947E0"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0A7498D" w14:textId="77777777" w:rsidR="00F42214" w:rsidRDefault="00F42214">
            <w:pPr>
              <w:spacing w:line="200" w:lineRule="atLeast"/>
              <w:rPr>
                <w:color w:val="000000"/>
                <w:sz w:val="22"/>
                <w:szCs w:val="22"/>
              </w:rPr>
            </w:pPr>
            <w:r>
              <w:rPr>
                <w:color w:val="000000"/>
                <w:sz w:val="22"/>
                <w:szCs w:val="22"/>
              </w:rPr>
              <w:t>06/03/2008</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2CBD4C4A"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752470D9"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120A227E" w14:textId="77777777" w:rsidR="00F42214" w:rsidRDefault="00F42214">
            <w:pPr>
              <w:spacing w:line="200" w:lineRule="atLeast"/>
              <w:rPr>
                <w:color w:val="000000"/>
                <w:sz w:val="22"/>
                <w:szCs w:val="22"/>
              </w:rPr>
            </w:pPr>
            <w:r>
              <w:rPr>
                <w:color w:val="000000"/>
                <w:sz w:val="22"/>
                <w:szCs w:val="22"/>
              </w:rPr>
              <w:t>06/30/2016</w:t>
            </w:r>
          </w:p>
        </w:tc>
      </w:tr>
      <w:tr w:rsidR="00F42214" w14:paraId="5C86FFC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AA4E5F0" w14:textId="77777777" w:rsidR="00F42214" w:rsidRDefault="00F42214">
            <w:pPr>
              <w:spacing w:line="200" w:lineRule="atLeast"/>
              <w:rPr>
                <w:color w:val="000000"/>
                <w:sz w:val="22"/>
                <w:szCs w:val="22"/>
              </w:rPr>
            </w:pPr>
            <w:r>
              <w:rPr>
                <w:color w:val="000000"/>
                <w:sz w:val="22"/>
                <w:szCs w:val="22"/>
              </w:rPr>
              <w:t xml:space="preserve">Comments </w:t>
            </w:r>
          </w:p>
          <w:p w14:paraId="1315F78A" w14:textId="77777777" w:rsidR="00F42214" w:rsidRDefault="00F42214">
            <w:pPr>
              <w:spacing w:line="200" w:lineRule="atLeast"/>
              <w:rPr>
                <w:color w:val="000000"/>
                <w:sz w:val="22"/>
                <w:szCs w:val="22"/>
              </w:rPr>
            </w:pPr>
            <w:r>
              <w:rPr>
                <w:color w:val="000000"/>
                <w:sz w:val="22"/>
                <w:szCs w:val="22"/>
              </w:rPr>
              <w:t xml:space="preserve">(incl. % </w:t>
            </w:r>
          </w:p>
          <w:p w14:paraId="4CC62A52"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695266AD" w14:textId="77777777" w:rsidR="00F42214" w:rsidRDefault="00F42214">
            <w:r>
              <w:t xml:space="preserve">PARTIALLY ACHIEVED: Dropped during June 2011 restructuring. However, according to DSS data by the end of the project more than 500 out of not reintegrated 2100 children (24%) received technical/vocational training. Thus 80% of the target was achieved. </w:t>
            </w:r>
          </w:p>
          <w:p w14:paraId="1939E15A" w14:textId="77777777" w:rsidR="00F42214" w:rsidRDefault="00F42214">
            <w:pPr>
              <w:spacing w:line="200" w:lineRule="atLeast"/>
              <w:rPr>
                <w:color w:val="000000"/>
                <w:sz w:val="22"/>
                <w:szCs w:val="22"/>
              </w:rPr>
            </w:pPr>
          </w:p>
        </w:tc>
      </w:tr>
      <w:tr w:rsidR="00F42214" w14:paraId="3B39472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20E6295" w14:textId="77777777" w:rsidR="00F42214" w:rsidRDefault="00F42214">
            <w:pPr>
              <w:spacing w:line="200" w:lineRule="atLeast"/>
              <w:rPr>
                <w:color w:val="000000"/>
                <w:sz w:val="22"/>
                <w:szCs w:val="22"/>
              </w:rPr>
            </w:pPr>
            <w:r>
              <w:rPr>
                <w:rStyle w:val="Strong"/>
                <w:color w:val="000000"/>
                <w:sz w:val="22"/>
                <w:szCs w:val="22"/>
              </w:rPr>
              <w:t xml:space="preserve">Indicator 5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3CE8D54E" w14:textId="77777777" w:rsidR="00F42214" w:rsidRDefault="00F42214">
            <w:r>
              <w:t xml:space="preserve">Increased number of people with disabilities receiving services - new </w:t>
            </w:r>
          </w:p>
          <w:p w14:paraId="4B4BEFBF" w14:textId="77777777" w:rsidR="00F42214" w:rsidRDefault="00F42214">
            <w:pPr>
              <w:spacing w:line="200" w:lineRule="atLeast"/>
              <w:rPr>
                <w:color w:val="000000"/>
                <w:sz w:val="22"/>
                <w:szCs w:val="22"/>
              </w:rPr>
            </w:pPr>
          </w:p>
        </w:tc>
      </w:tr>
      <w:tr w:rsidR="00F42214" w14:paraId="51261E6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F6AA78A" w14:textId="77777777" w:rsidR="00F42214" w:rsidRDefault="00F42214">
            <w:pPr>
              <w:spacing w:line="200" w:lineRule="atLeast"/>
              <w:rPr>
                <w:color w:val="000000"/>
                <w:sz w:val="22"/>
                <w:szCs w:val="22"/>
              </w:rPr>
            </w:pPr>
            <w:r>
              <w:rPr>
                <w:color w:val="000000"/>
                <w:sz w:val="22"/>
                <w:szCs w:val="22"/>
              </w:rPr>
              <w:t xml:space="preserve">Value </w:t>
            </w:r>
          </w:p>
          <w:p w14:paraId="59AA17D9" w14:textId="77777777" w:rsidR="00F42214" w:rsidRDefault="00F42214">
            <w:pPr>
              <w:spacing w:line="200" w:lineRule="atLeast"/>
              <w:rPr>
                <w:color w:val="000000"/>
                <w:sz w:val="22"/>
                <w:szCs w:val="22"/>
              </w:rPr>
            </w:pPr>
            <w:r>
              <w:rPr>
                <w:color w:val="000000"/>
                <w:sz w:val="22"/>
                <w:szCs w:val="22"/>
              </w:rPr>
              <w:t xml:space="preserve">quantitative or </w:t>
            </w:r>
          </w:p>
          <w:p w14:paraId="6D61BAF1"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594DAAF5" w14:textId="77777777" w:rsidR="00F42214" w:rsidRDefault="00F42214">
            <w:r>
              <w:t xml:space="preserve">15,000 </w:t>
            </w:r>
          </w:p>
          <w:p w14:paraId="13A45924"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22FC6F48" w14:textId="77777777" w:rsidR="00F42214" w:rsidRDefault="00F42214">
            <w:r>
              <w:t xml:space="preserve">100,000 </w:t>
            </w:r>
          </w:p>
          <w:p w14:paraId="4945CF48"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162DEADB" w14:textId="77777777" w:rsidR="00F42214" w:rsidRDefault="00F42214"/>
          <w:p w14:paraId="7A978409"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21B13B1E" w14:textId="77777777" w:rsidR="00F42214" w:rsidRDefault="00F42214">
            <w:r>
              <w:t xml:space="preserve">370,464 (160,525 female and 209,939 male) </w:t>
            </w:r>
          </w:p>
          <w:p w14:paraId="2735AC77" w14:textId="77777777" w:rsidR="00F42214" w:rsidRDefault="00F42214">
            <w:pPr>
              <w:spacing w:line="200" w:lineRule="atLeast"/>
              <w:rPr>
                <w:color w:val="000000"/>
                <w:sz w:val="22"/>
                <w:szCs w:val="22"/>
              </w:rPr>
            </w:pPr>
          </w:p>
        </w:tc>
      </w:tr>
      <w:tr w:rsidR="00F42214" w14:paraId="133302F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E695911"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A8AC07B" w14:textId="77777777" w:rsidR="00F42214" w:rsidRDefault="00F42214">
            <w:pPr>
              <w:spacing w:line="200" w:lineRule="atLeast"/>
              <w:rPr>
                <w:color w:val="000000"/>
                <w:sz w:val="22"/>
                <w:szCs w:val="22"/>
              </w:rPr>
            </w:pPr>
            <w:r>
              <w:rPr>
                <w:color w:val="000000"/>
                <w:sz w:val="22"/>
                <w:szCs w:val="22"/>
              </w:rPr>
              <w:t>12/31/2009</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680730AF"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76E38908"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120CE17C" w14:textId="77777777" w:rsidR="00F42214" w:rsidRDefault="00F42214">
            <w:pPr>
              <w:spacing w:line="200" w:lineRule="atLeast"/>
              <w:rPr>
                <w:color w:val="000000"/>
                <w:sz w:val="22"/>
                <w:szCs w:val="22"/>
              </w:rPr>
            </w:pPr>
            <w:r>
              <w:rPr>
                <w:color w:val="000000"/>
                <w:sz w:val="22"/>
                <w:szCs w:val="22"/>
              </w:rPr>
              <w:t>06/30/2016</w:t>
            </w:r>
          </w:p>
        </w:tc>
      </w:tr>
      <w:tr w:rsidR="00F42214" w14:paraId="4E2ACD0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705FBC0" w14:textId="77777777" w:rsidR="00F42214" w:rsidRDefault="00F42214">
            <w:pPr>
              <w:spacing w:line="200" w:lineRule="atLeast"/>
              <w:rPr>
                <w:color w:val="000000"/>
                <w:sz w:val="22"/>
                <w:szCs w:val="22"/>
              </w:rPr>
            </w:pPr>
            <w:r>
              <w:rPr>
                <w:color w:val="000000"/>
                <w:sz w:val="22"/>
                <w:szCs w:val="22"/>
              </w:rPr>
              <w:t xml:space="preserve">Comments </w:t>
            </w:r>
          </w:p>
          <w:p w14:paraId="2B97C0CE" w14:textId="77777777" w:rsidR="00F42214" w:rsidRDefault="00F42214">
            <w:pPr>
              <w:spacing w:line="200" w:lineRule="atLeast"/>
              <w:rPr>
                <w:color w:val="000000"/>
                <w:sz w:val="22"/>
                <w:szCs w:val="22"/>
              </w:rPr>
            </w:pPr>
            <w:r>
              <w:rPr>
                <w:color w:val="000000"/>
                <w:sz w:val="22"/>
                <w:szCs w:val="22"/>
              </w:rPr>
              <w:t xml:space="preserve">(incl. % </w:t>
            </w:r>
          </w:p>
          <w:p w14:paraId="77CC6052"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7698208C" w14:textId="77777777" w:rsidR="00F42214" w:rsidRDefault="00F42214">
            <w:r>
              <w:t xml:space="preserve">SURPASSED: Added during the first restructuring and rephrased to: "Number of people with disabilities registered at DSCs" in Dec 2013. During the third restructuring the baseline was revised to 8,168 based on the availability of digitized records </w:t>
            </w:r>
          </w:p>
          <w:p w14:paraId="45259751" w14:textId="77777777" w:rsidR="00F42214" w:rsidRDefault="00F42214">
            <w:pPr>
              <w:spacing w:line="200" w:lineRule="atLeast"/>
              <w:rPr>
                <w:color w:val="000000"/>
                <w:sz w:val="22"/>
                <w:szCs w:val="22"/>
              </w:rPr>
            </w:pPr>
          </w:p>
        </w:tc>
      </w:tr>
      <w:tr w:rsidR="00F42214" w14:paraId="569408D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B084DC6" w14:textId="77777777" w:rsidR="00F42214" w:rsidRDefault="00F42214">
            <w:pPr>
              <w:spacing w:line="200" w:lineRule="atLeast"/>
              <w:rPr>
                <w:color w:val="000000"/>
                <w:sz w:val="22"/>
                <w:szCs w:val="22"/>
              </w:rPr>
            </w:pPr>
            <w:r>
              <w:rPr>
                <w:rStyle w:val="Strong"/>
                <w:color w:val="000000"/>
                <w:sz w:val="22"/>
                <w:szCs w:val="22"/>
              </w:rPr>
              <w:t xml:space="preserve">Indicator 6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689C82AA" w14:textId="517E0DAB" w:rsidR="00F42214" w:rsidRDefault="00F42214">
            <w:r>
              <w:t>Increased percentage of beneficiaries report satisfaction with services received at disability service centers - new</w:t>
            </w:r>
          </w:p>
          <w:p w14:paraId="574D9683" w14:textId="77777777" w:rsidR="00F42214" w:rsidRDefault="00F42214">
            <w:pPr>
              <w:spacing w:line="200" w:lineRule="atLeast"/>
              <w:rPr>
                <w:color w:val="000000"/>
                <w:sz w:val="22"/>
                <w:szCs w:val="22"/>
              </w:rPr>
            </w:pPr>
          </w:p>
        </w:tc>
      </w:tr>
      <w:tr w:rsidR="00F42214" w14:paraId="4893122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824E7FF" w14:textId="77777777" w:rsidR="00F42214" w:rsidRDefault="00F42214">
            <w:pPr>
              <w:spacing w:line="200" w:lineRule="atLeast"/>
              <w:rPr>
                <w:color w:val="000000"/>
                <w:sz w:val="22"/>
                <w:szCs w:val="22"/>
              </w:rPr>
            </w:pPr>
            <w:r>
              <w:rPr>
                <w:color w:val="000000"/>
                <w:sz w:val="22"/>
                <w:szCs w:val="22"/>
              </w:rPr>
              <w:t xml:space="preserve">Value </w:t>
            </w:r>
          </w:p>
          <w:p w14:paraId="0AE4CFB9" w14:textId="77777777" w:rsidR="00F42214" w:rsidRDefault="00F42214">
            <w:pPr>
              <w:spacing w:line="200" w:lineRule="atLeast"/>
              <w:rPr>
                <w:color w:val="000000"/>
                <w:sz w:val="22"/>
                <w:szCs w:val="22"/>
              </w:rPr>
            </w:pPr>
            <w:r>
              <w:rPr>
                <w:color w:val="000000"/>
                <w:sz w:val="22"/>
                <w:szCs w:val="22"/>
              </w:rPr>
              <w:t xml:space="preserve">quantitative or </w:t>
            </w:r>
          </w:p>
          <w:p w14:paraId="07019486"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62AB8184" w14:textId="77777777" w:rsidR="00F42214" w:rsidRDefault="00F42214">
            <w:r>
              <w:t xml:space="preserve">N/A </w:t>
            </w:r>
          </w:p>
          <w:p w14:paraId="68947E91"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23C863CF" w14:textId="77777777" w:rsidR="00F42214" w:rsidRDefault="00F42214">
            <w:r>
              <w:t xml:space="preserve">80% of beneficiaries "fully satisfied" with DSC services, equipment, staff behavior and competency. </w:t>
            </w:r>
          </w:p>
          <w:p w14:paraId="59A9BB96"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F8E5CF5" w14:textId="77777777" w:rsidR="00F42214" w:rsidRDefault="00F42214">
            <w:r>
              <w:t xml:space="preserve">70% of beneficiaries "fully satisfied" with DSC services, equipment, staff behavior and competency. </w:t>
            </w:r>
          </w:p>
          <w:p w14:paraId="7390F952"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1BB9A239" w14:textId="77777777" w:rsidR="00F42214" w:rsidRDefault="00F42214">
            <w:r>
              <w:t xml:space="preserve">93.53% of beneficiaries "fully satisfied" with DSC services, equipment, staff behavior and competency. </w:t>
            </w:r>
          </w:p>
          <w:p w14:paraId="3B9119AF" w14:textId="77777777" w:rsidR="00F42214" w:rsidRDefault="00F42214">
            <w:pPr>
              <w:spacing w:line="200" w:lineRule="atLeast"/>
              <w:rPr>
                <w:color w:val="000000"/>
                <w:sz w:val="22"/>
                <w:szCs w:val="22"/>
              </w:rPr>
            </w:pPr>
          </w:p>
        </w:tc>
      </w:tr>
      <w:tr w:rsidR="00F42214" w14:paraId="7F072CB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D2C8297"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F9AB093" w14:textId="77777777" w:rsidR="00F42214" w:rsidRDefault="00F42214">
            <w:pPr>
              <w:spacing w:line="200" w:lineRule="atLeast"/>
              <w:rPr>
                <w:color w:val="000000"/>
                <w:sz w:val="22"/>
                <w:szCs w:val="22"/>
              </w:rPr>
            </w:pPr>
            <w:r>
              <w:rPr>
                <w:color w:val="000000"/>
                <w:sz w:val="22"/>
                <w:szCs w:val="22"/>
              </w:rPr>
              <w:t>05/26/2011</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2C74C973"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hideMark/>
          </w:tcPr>
          <w:p w14:paraId="176116A6" w14:textId="77777777" w:rsidR="00F42214" w:rsidRDefault="00F42214">
            <w:pPr>
              <w:spacing w:line="200" w:lineRule="atLeast"/>
              <w:rPr>
                <w:color w:val="000000"/>
                <w:sz w:val="22"/>
                <w:szCs w:val="22"/>
              </w:rPr>
            </w:pPr>
            <w:r>
              <w:rPr>
                <w:color w:val="000000"/>
                <w:sz w:val="22"/>
                <w:szCs w:val="22"/>
              </w:rPr>
              <w:t>06/30/2016</w:t>
            </w: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02AE97EE" w14:textId="77777777" w:rsidR="00F42214" w:rsidRDefault="00F42214">
            <w:pPr>
              <w:spacing w:line="200" w:lineRule="atLeast"/>
              <w:rPr>
                <w:color w:val="000000"/>
                <w:sz w:val="22"/>
                <w:szCs w:val="22"/>
              </w:rPr>
            </w:pPr>
            <w:r>
              <w:rPr>
                <w:color w:val="000000"/>
                <w:sz w:val="22"/>
                <w:szCs w:val="22"/>
              </w:rPr>
              <w:t>06/30/2016</w:t>
            </w:r>
          </w:p>
        </w:tc>
      </w:tr>
      <w:tr w:rsidR="00F42214" w14:paraId="5B2684C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14B95F1" w14:textId="77777777" w:rsidR="00F42214" w:rsidRDefault="00F42214">
            <w:pPr>
              <w:spacing w:line="200" w:lineRule="atLeast"/>
              <w:rPr>
                <w:color w:val="000000"/>
                <w:sz w:val="22"/>
                <w:szCs w:val="22"/>
              </w:rPr>
            </w:pPr>
            <w:r>
              <w:rPr>
                <w:color w:val="000000"/>
                <w:sz w:val="22"/>
                <w:szCs w:val="22"/>
              </w:rPr>
              <w:t xml:space="preserve">Comments </w:t>
            </w:r>
          </w:p>
          <w:p w14:paraId="5BC41C23" w14:textId="77777777" w:rsidR="00F42214" w:rsidRDefault="00F42214">
            <w:pPr>
              <w:spacing w:line="200" w:lineRule="atLeast"/>
              <w:rPr>
                <w:color w:val="000000"/>
                <w:sz w:val="22"/>
                <w:szCs w:val="22"/>
              </w:rPr>
            </w:pPr>
            <w:r>
              <w:rPr>
                <w:color w:val="000000"/>
                <w:sz w:val="22"/>
                <w:szCs w:val="22"/>
              </w:rPr>
              <w:t xml:space="preserve">(incl. % </w:t>
            </w:r>
          </w:p>
          <w:p w14:paraId="0D783F89"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592A35EC" w14:textId="77777777" w:rsidR="00F42214" w:rsidRDefault="00F42214">
            <w:r>
              <w:t xml:space="preserve">SURPASSED: Introduced during the first restructuring in June 2011. Revised to "Share of beneficiaries that report satisfaction with services received at disability service centers" during the second restructuring in December 2013. </w:t>
            </w:r>
          </w:p>
          <w:p w14:paraId="43637FB1" w14:textId="77777777" w:rsidR="00F42214" w:rsidRDefault="00F42214">
            <w:pPr>
              <w:spacing w:line="200" w:lineRule="atLeast"/>
              <w:rPr>
                <w:color w:val="000000"/>
                <w:sz w:val="22"/>
                <w:szCs w:val="22"/>
              </w:rPr>
            </w:pPr>
          </w:p>
        </w:tc>
      </w:tr>
      <w:tr w:rsidR="00F42214" w14:paraId="71DE3D1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FC10AE7" w14:textId="77777777" w:rsidR="00F42214" w:rsidRDefault="00F42214">
            <w:pPr>
              <w:spacing w:line="200" w:lineRule="atLeast"/>
              <w:rPr>
                <w:color w:val="000000"/>
                <w:sz w:val="22"/>
                <w:szCs w:val="22"/>
              </w:rPr>
            </w:pPr>
            <w:r>
              <w:rPr>
                <w:rStyle w:val="Strong"/>
                <w:color w:val="000000"/>
                <w:sz w:val="22"/>
                <w:szCs w:val="22"/>
              </w:rPr>
              <w:t xml:space="preserve">Indicator 7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5BCC31BC" w14:textId="77777777" w:rsidR="00F42214" w:rsidRDefault="00F42214">
            <w:r>
              <w:t xml:space="preserve">Increased number of children at risk receiving child protection services.-new </w:t>
            </w:r>
          </w:p>
          <w:p w14:paraId="439CCFD7" w14:textId="77777777" w:rsidR="00F42214" w:rsidRDefault="00F42214">
            <w:pPr>
              <w:spacing w:line="200" w:lineRule="atLeast"/>
              <w:rPr>
                <w:color w:val="000000"/>
                <w:sz w:val="22"/>
                <w:szCs w:val="22"/>
              </w:rPr>
            </w:pPr>
          </w:p>
        </w:tc>
      </w:tr>
      <w:tr w:rsidR="00F42214" w14:paraId="761DF3B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5D9F72A" w14:textId="77777777" w:rsidR="00F42214" w:rsidRDefault="00F42214">
            <w:pPr>
              <w:spacing w:line="200" w:lineRule="atLeast"/>
              <w:rPr>
                <w:color w:val="000000"/>
                <w:sz w:val="22"/>
                <w:szCs w:val="22"/>
              </w:rPr>
            </w:pPr>
            <w:r>
              <w:rPr>
                <w:color w:val="000000"/>
                <w:sz w:val="22"/>
                <w:szCs w:val="22"/>
              </w:rPr>
              <w:t xml:space="preserve">Value </w:t>
            </w:r>
          </w:p>
          <w:p w14:paraId="45EBEA70" w14:textId="77777777" w:rsidR="00F42214" w:rsidRDefault="00F42214">
            <w:pPr>
              <w:spacing w:line="200" w:lineRule="atLeast"/>
              <w:rPr>
                <w:color w:val="000000"/>
                <w:sz w:val="22"/>
                <w:szCs w:val="22"/>
              </w:rPr>
            </w:pPr>
            <w:r>
              <w:rPr>
                <w:color w:val="000000"/>
                <w:sz w:val="22"/>
                <w:szCs w:val="22"/>
              </w:rPr>
              <w:t xml:space="preserve">quantitative or </w:t>
            </w:r>
          </w:p>
          <w:p w14:paraId="068D9EFC"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0218EA4A" w14:textId="77777777" w:rsidR="00F42214" w:rsidRDefault="00F42214">
            <w:r>
              <w:t xml:space="preserve">Not available </w:t>
            </w:r>
          </w:p>
          <w:p w14:paraId="10E0C9F7"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1AB0BB3D" w14:textId="77777777" w:rsidR="00F42214" w:rsidRDefault="00F42214">
            <w:r>
              <w:t xml:space="preserve">Double baseline </w:t>
            </w:r>
          </w:p>
          <w:p w14:paraId="090BC79D"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23F58B35" w14:textId="77777777" w:rsidR="00F42214" w:rsidRDefault="00F42214">
            <w:r>
              <w:t xml:space="preserve">3,000 </w:t>
            </w:r>
          </w:p>
          <w:p w14:paraId="1DEA3A6F"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3DD0876C" w14:textId="77777777" w:rsidR="00F42214" w:rsidRDefault="00F42214">
            <w:r>
              <w:t xml:space="preserve">6,193 (3,176 female and 3,017 male) </w:t>
            </w:r>
          </w:p>
          <w:p w14:paraId="03E7FE93" w14:textId="77777777" w:rsidR="00F42214" w:rsidRDefault="00F42214">
            <w:pPr>
              <w:spacing w:line="200" w:lineRule="atLeast"/>
              <w:rPr>
                <w:color w:val="000000"/>
                <w:sz w:val="22"/>
                <w:szCs w:val="22"/>
              </w:rPr>
            </w:pPr>
          </w:p>
        </w:tc>
      </w:tr>
      <w:tr w:rsidR="00F42214" w14:paraId="36ED3BD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61AA02B"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67F8DED" w14:textId="77777777" w:rsidR="00F42214" w:rsidRDefault="00F42214">
            <w:pPr>
              <w:spacing w:line="200" w:lineRule="atLeast"/>
              <w:rPr>
                <w:color w:val="000000"/>
                <w:sz w:val="22"/>
                <w:szCs w:val="22"/>
              </w:rPr>
            </w:pPr>
            <w:r>
              <w:rPr>
                <w:color w:val="000000"/>
                <w:sz w:val="22"/>
                <w:szCs w:val="22"/>
              </w:rPr>
              <w:t>05/26/2011</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1674A420"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hideMark/>
          </w:tcPr>
          <w:p w14:paraId="13C9302D" w14:textId="77777777" w:rsidR="00F42214" w:rsidRDefault="00F42214">
            <w:pPr>
              <w:spacing w:line="200" w:lineRule="atLeast"/>
              <w:rPr>
                <w:color w:val="000000"/>
                <w:sz w:val="22"/>
                <w:szCs w:val="22"/>
              </w:rPr>
            </w:pPr>
            <w:r>
              <w:rPr>
                <w:color w:val="000000"/>
                <w:sz w:val="22"/>
                <w:szCs w:val="22"/>
              </w:rPr>
              <w:t>06/30/2016</w:t>
            </w: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2849EBF1" w14:textId="77777777" w:rsidR="00F42214" w:rsidRDefault="00F42214">
            <w:pPr>
              <w:spacing w:line="200" w:lineRule="atLeast"/>
              <w:rPr>
                <w:color w:val="000000"/>
                <w:sz w:val="22"/>
                <w:szCs w:val="22"/>
              </w:rPr>
            </w:pPr>
            <w:r>
              <w:rPr>
                <w:color w:val="000000"/>
                <w:sz w:val="22"/>
                <w:szCs w:val="22"/>
              </w:rPr>
              <w:t>06/30/2016</w:t>
            </w:r>
          </w:p>
        </w:tc>
      </w:tr>
      <w:tr w:rsidR="00F42214" w14:paraId="3E74015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61E79C8" w14:textId="77777777" w:rsidR="00F42214" w:rsidRDefault="00F42214">
            <w:pPr>
              <w:spacing w:line="200" w:lineRule="atLeast"/>
              <w:rPr>
                <w:color w:val="000000"/>
                <w:sz w:val="22"/>
                <w:szCs w:val="22"/>
              </w:rPr>
            </w:pPr>
            <w:r>
              <w:rPr>
                <w:color w:val="000000"/>
                <w:sz w:val="22"/>
                <w:szCs w:val="22"/>
              </w:rPr>
              <w:t xml:space="preserve">Comments </w:t>
            </w:r>
          </w:p>
          <w:p w14:paraId="1A32C819" w14:textId="77777777" w:rsidR="00F42214" w:rsidRDefault="00F42214">
            <w:pPr>
              <w:spacing w:line="200" w:lineRule="atLeast"/>
              <w:rPr>
                <w:color w:val="000000"/>
                <w:sz w:val="22"/>
                <w:szCs w:val="22"/>
              </w:rPr>
            </w:pPr>
            <w:r>
              <w:rPr>
                <w:color w:val="000000"/>
                <w:sz w:val="22"/>
                <w:szCs w:val="22"/>
              </w:rPr>
              <w:t xml:space="preserve">(incl. % </w:t>
            </w:r>
          </w:p>
          <w:p w14:paraId="293323C7"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29F041B7" w14:textId="77777777" w:rsidR="00F42214" w:rsidRDefault="00F42214">
            <w:r>
              <w:t xml:space="preserve">SURPASSED: Introduced during the first restructuring. Rephrased to "Number of children at risk registered with ICDSCs" during the second restructuring in December 2013. The baseline value was set in May 2013, and the target revised in December 2013. </w:t>
            </w:r>
          </w:p>
          <w:p w14:paraId="0115DAB5" w14:textId="77777777" w:rsidR="00F42214" w:rsidRDefault="00F42214">
            <w:pPr>
              <w:spacing w:line="200" w:lineRule="atLeast"/>
              <w:rPr>
                <w:color w:val="000000"/>
                <w:sz w:val="22"/>
                <w:szCs w:val="22"/>
              </w:rPr>
            </w:pPr>
          </w:p>
        </w:tc>
      </w:tr>
      <w:tr w:rsidR="00F42214" w14:paraId="2770DAF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36400D6" w14:textId="77777777" w:rsidR="00F42214" w:rsidRDefault="00F42214">
            <w:pPr>
              <w:spacing w:line="200" w:lineRule="atLeast"/>
              <w:rPr>
                <w:color w:val="000000"/>
                <w:sz w:val="22"/>
                <w:szCs w:val="22"/>
              </w:rPr>
            </w:pPr>
            <w:r>
              <w:rPr>
                <w:rStyle w:val="Strong"/>
                <w:color w:val="000000"/>
                <w:sz w:val="22"/>
                <w:szCs w:val="22"/>
              </w:rPr>
              <w:t xml:space="preserve">Indicator 8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2E80C059" w14:textId="77777777" w:rsidR="00F42214" w:rsidRDefault="00F42214">
            <w:r>
              <w:t xml:space="preserve">Increased awareness and positive change in attitude towards persons with disability and children at risk in communities where services provided. -new </w:t>
            </w:r>
          </w:p>
          <w:p w14:paraId="1C5FEF6D" w14:textId="77777777" w:rsidR="00F42214" w:rsidRDefault="00F42214">
            <w:pPr>
              <w:spacing w:line="200" w:lineRule="atLeast"/>
              <w:rPr>
                <w:color w:val="000000"/>
                <w:sz w:val="22"/>
                <w:szCs w:val="22"/>
              </w:rPr>
            </w:pPr>
          </w:p>
        </w:tc>
      </w:tr>
      <w:tr w:rsidR="00F42214" w14:paraId="4C28A6E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F8C7884" w14:textId="77777777" w:rsidR="00F42214" w:rsidRDefault="00F42214">
            <w:pPr>
              <w:spacing w:line="200" w:lineRule="atLeast"/>
              <w:rPr>
                <w:color w:val="000000"/>
                <w:sz w:val="22"/>
                <w:szCs w:val="22"/>
              </w:rPr>
            </w:pPr>
            <w:r>
              <w:rPr>
                <w:color w:val="000000"/>
                <w:sz w:val="22"/>
                <w:szCs w:val="22"/>
              </w:rPr>
              <w:t xml:space="preserve">Value </w:t>
            </w:r>
          </w:p>
          <w:p w14:paraId="3AF82A6F" w14:textId="77777777" w:rsidR="00F42214" w:rsidRDefault="00F42214">
            <w:pPr>
              <w:spacing w:line="200" w:lineRule="atLeast"/>
              <w:rPr>
                <w:color w:val="000000"/>
                <w:sz w:val="22"/>
                <w:szCs w:val="22"/>
              </w:rPr>
            </w:pPr>
            <w:r>
              <w:rPr>
                <w:color w:val="000000"/>
                <w:sz w:val="22"/>
                <w:szCs w:val="22"/>
              </w:rPr>
              <w:t xml:space="preserve">quantitative or </w:t>
            </w:r>
          </w:p>
          <w:p w14:paraId="5D80ACEE"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C7700AD" w14:textId="77777777" w:rsidR="00F42214" w:rsidRDefault="00F42214">
            <w:r>
              <w:t xml:space="preserve">Not available </w:t>
            </w:r>
          </w:p>
          <w:p w14:paraId="6C61BAFF"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7C4FB3C8" w14:textId="77777777" w:rsidR="00F42214" w:rsidRDefault="00F42214">
            <w:r>
              <w:t xml:space="preserve">20% increase </w:t>
            </w:r>
          </w:p>
          <w:p w14:paraId="18B0F645"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7E47D39" w14:textId="77777777" w:rsidR="00F42214" w:rsidRDefault="00F42214">
            <w:r>
              <w:t xml:space="preserve">20% aware of key government programs for PWDs and children at risk </w:t>
            </w:r>
          </w:p>
          <w:p w14:paraId="73A4CA79"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13F86AD6" w14:textId="77777777" w:rsidR="00F42214" w:rsidRDefault="00F42214">
            <w:r>
              <w:t xml:space="preserve">29.4% of interviewed individuals fully aware of government program including services at Disability Serv </w:t>
            </w:r>
          </w:p>
          <w:p w14:paraId="3C27565B" w14:textId="77777777" w:rsidR="00F42214" w:rsidRDefault="00F42214">
            <w:pPr>
              <w:spacing w:line="200" w:lineRule="atLeast"/>
              <w:rPr>
                <w:color w:val="000000"/>
                <w:sz w:val="22"/>
                <w:szCs w:val="22"/>
              </w:rPr>
            </w:pPr>
          </w:p>
        </w:tc>
      </w:tr>
      <w:tr w:rsidR="00F42214" w14:paraId="3681BF7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E975DC2"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1FF4A8A8" w14:textId="77777777" w:rsidR="00F42214" w:rsidRDefault="00F42214">
            <w:pPr>
              <w:spacing w:line="200" w:lineRule="atLeast"/>
              <w:rPr>
                <w:color w:val="000000"/>
                <w:sz w:val="22"/>
                <w:szCs w:val="22"/>
              </w:rPr>
            </w:pPr>
            <w:r>
              <w:rPr>
                <w:color w:val="000000"/>
                <w:sz w:val="22"/>
                <w:szCs w:val="22"/>
              </w:rPr>
              <w:t>05/26/2011</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07F6EBF5" w14:textId="77777777" w:rsidR="00F42214" w:rsidRDefault="00F42214">
            <w:pPr>
              <w:spacing w:line="200" w:lineRule="atLeast"/>
              <w:rPr>
                <w:color w:val="000000"/>
                <w:sz w:val="22"/>
                <w:szCs w:val="22"/>
              </w:rPr>
            </w:pPr>
            <w:r>
              <w:rPr>
                <w:color w:val="000000"/>
                <w:sz w:val="22"/>
                <w:szCs w:val="22"/>
              </w:rPr>
              <w:t>12/31/2014</w:t>
            </w:r>
          </w:p>
        </w:tc>
        <w:tc>
          <w:tcPr>
            <w:tcW w:w="1354" w:type="dxa"/>
            <w:gridSpan w:val="2"/>
            <w:tcBorders>
              <w:top w:val="single" w:sz="4" w:space="0" w:color="B1B1B1"/>
              <w:left w:val="single" w:sz="4" w:space="0" w:color="B1B1B1"/>
              <w:bottom w:val="single" w:sz="4" w:space="0" w:color="B1B1B1"/>
              <w:right w:val="single" w:sz="4" w:space="0" w:color="B1B1B1"/>
            </w:tcBorders>
            <w:vAlign w:val="center"/>
            <w:hideMark/>
          </w:tcPr>
          <w:p w14:paraId="26C6CEF4" w14:textId="77777777" w:rsidR="00F42214" w:rsidRDefault="00F42214">
            <w:pPr>
              <w:spacing w:line="200" w:lineRule="atLeast"/>
              <w:rPr>
                <w:color w:val="000000"/>
                <w:sz w:val="22"/>
                <w:szCs w:val="22"/>
              </w:rPr>
            </w:pPr>
            <w:r>
              <w:rPr>
                <w:color w:val="000000"/>
                <w:sz w:val="22"/>
                <w:szCs w:val="22"/>
              </w:rPr>
              <w:t>06/30/2016</w:t>
            </w: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33FE1BEA" w14:textId="77777777" w:rsidR="00F42214" w:rsidRDefault="00F42214">
            <w:pPr>
              <w:spacing w:line="200" w:lineRule="atLeast"/>
              <w:rPr>
                <w:color w:val="000000"/>
                <w:sz w:val="22"/>
                <w:szCs w:val="22"/>
              </w:rPr>
            </w:pPr>
            <w:r>
              <w:rPr>
                <w:color w:val="000000"/>
                <w:sz w:val="22"/>
                <w:szCs w:val="22"/>
              </w:rPr>
              <w:t>06/30/2016</w:t>
            </w:r>
          </w:p>
        </w:tc>
      </w:tr>
      <w:tr w:rsidR="00F42214" w14:paraId="6E4FCA0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A9B21CE" w14:textId="77777777" w:rsidR="00F42214" w:rsidRDefault="00F42214">
            <w:pPr>
              <w:spacing w:line="200" w:lineRule="atLeast"/>
              <w:rPr>
                <w:color w:val="000000"/>
                <w:sz w:val="22"/>
                <w:szCs w:val="22"/>
              </w:rPr>
            </w:pPr>
            <w:r>
              <w:rPr>
                <w:color w:val="000000"/>
                <w:sz w:val="22"/>
                <w:szCs w:val="22"/>
              </w:rPr>
              <w:t xml:space="preserve">Comments </w:t>
            </w:r>
          </w:p>
          <w:p w14:paraId="1C6CB30E" w14:textId="77777777" w:rsidR="00F42214" w:rsidRDefault="00F42214">
            <w:pPr>
              <w:spacing w:line="200" w:lineRule="atLeast"/>
              <w:rPr>
                <w:color w:val="000000"/>
                <w:sz w:val="22"/>
                <w:szCs w:val="22"/>
              </w:rPr>
            </w:pPr>
            <w:r>
              <w:rPr>
                <w:color w:val="000000"/>
                <w:sz w:val="22"/>
                <w:szCs w:val="22"/>
              </w:rPr>
              <w:t xml:space="preserve">(incl. % </w:t>
            </w:r>
          </w:p>
          <w:p w14:paraId="111DE40D"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42C27088" w14:textId="77777777" w:rsidR="00F42214" w:rsidRDefault="00F42214">
            <w:r>
              <w:t xml:space="preserve">SURPASSED: Introduced during the first restructuring. Rephrased to "Share of persons reporting greater awareness on related issues in communities where services have been provided" in Dec 2013. Baselines were set as 12% for PWD &amp; 9% for children at risk </w:t>
            </w:r>
          </w:p>
          <w:p w14:paraId="3863F8E2" w14:textId="77777777" w:rsidR="00F42214" w:rsidRDefault="00F42214">
            <w:pPr>
              <w:spacing w:line="200" w:lineRule="atLeast"/>
              <w:rPr>
                <w:color w:val="000000"/>
                <w:sz w:val="22"/>
                <w:szCs w:val="22"/>
              </w:rPr>
            </w:pPr>
          </w:p>
        </w:tc>
      </w:tr>
      <w:tr w:rsidR="00F42214" w14:paraId="3D6AFD3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6060C71" w14:textId="77777777" w:rsidR="00F42214" w:rsidRDefault="00F42214">
            <w:pPr>
              <w:spacing w:line="200" w:lineRule="atLeast"/>
              <w:rPr>
                <w:color w:val="000000"/>
                <w:sz w:val="22"/>
                <w:szCs w:val="22"/>
              </w:rPr>
            </w:pPr>
            <w:r>
              <w:rPr>
                <w:rStyle w:val="Strong"/>
                <w:color w:val="000000"/>
                <w:sz w:val="22"/>
                <w:szCs w:val="22"/>
              </w:rPr>
              <w:t xml:space="preserve">Indicator 9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311810CF" w14:textId="77777777" w:rsidR="00F42214" w:rsidRDefault="00F42214">
            <w:r>
              <w:t xml:space="preserve">Performance of disability and children at risk programs regularly monitored and reviewed.-new </w:t>
            </w:r>
          </w:p>
          <w:p w14:paraId="0349B32A" w14:textId="77777777" w:rsidR="00F42214" w:rsidRDefault="00F42214">
            <w:pPr>
              <w:spacing w:line="200" w:lineRule="atLeast"/>
              <w:rPr>
                <w:color w:val="000000"/>
                <w:sz w:val="22"/>
                <w:szCs w:val="22"/>
              </w:rPr>
            </w:pPr>
          </w:p>
        </w:tc>
      </w:tr>
      <w:tr w:rsidR="00F42214" w14:paraId="4E669BF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C801DB7" w14:textId="77777777" w:rsidR="00F42214" w:rsidRDefault="00F42214">
            <w:pPr>
              <w:spacing w:line="200" w:lineRule="atLeast"/>
              <w:rPr>
                <w:color w:val="000000"/>
                <w:sz w:val="22"/>
                <w:szCs w:val="22"/>
              </w:rPr>
            </w:pPr>
            <w:r>
              <w:rPr>
                <w:color w:val="000000"/>
                <w:sz w:val="22"/>
                <w:szCs w:val="22"/>
              </w:rPr>
              <w:t xml:space="preserve">Value </w:t>
            </w:r>
          </w:p>
          <w:p w14:paraId="6A00C8F3" w14:textId="77777777" w:rsidR="00F42214" w:rsidRDefault="00F42214">
            <w:pPr>
              <w:spacing w:line="200" w:lineRule="atLeast"/>
              <w:rPr>
                <w:color w:val="000000"/>
                <w:sz w:val="22"/>
                <w:szCs w:val="22"/>
              </w:rPr>
            </w:pPr>
            <w:r>
              <w:rPr>
                <w:color w:val="000000"/>
                <w:sz w:val="22"/>
                <w:szCs w:val="22"/>
              </w:rPr>
              <w:t xml:space="preserve">quantitative or </w:t>
            </w:r>
          </w:p>
          <w:p w14:paraId="3B29F974"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5453B58D" w14:textId="77777777" w:rsidR="00F42214" w:rsidRDefault="00F42214">
            <w:r>
              <w:t xml:space="preserve">Not available </w:t>
            </w:r>
          </w:p>
          <w:p w14:paraId="2A68B6F8"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0E400C48" w14:textId="77777777" w:rsidR="00F42214" w:rsidRDefault="00F42214">
            <w:r>
              <w:t xml:space="preserve">Annual conference held where monitoring reports and program results are discussed </w:t>
            </w:r>
          </w:p>
          <w:p w14:paraId="4A23E4DF"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E101A1F" w14:textId="77777777" w:rsidR="00F42214" w:rsidRDefault="00F42214"/>
          <w:p w14:paraId="2AC712AC"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32240A2E" w14:textId="77777777" w:rsidR="00F42214" w:rsidRDefault="00F42214">
            <w:r>
              <w:t xml:space="preserve">Reports prepared in 2014 &amp; 2016. Workshops held in 2014 &amp; 2016. 2016 report to be finalized. </w:t>
            </w:r>
          </w:p>
          <w:p w14:paraId="2BA75B4E" w14:textId="77777777" w:rsidR="00F42214" w:rsidRDefault="00F42214">
            <w:pPr>
              <w:spacing w:line="200" w:lineRule="atLeast"/>
              <w:rPr>
                <w:color w:val="000000"/>
                <w:sz w:val="22"/>
                <w:szCs w:val="22"/>
              </w:rPr>
            </w:pPr>
          </w:p>
        </w:tc>
      </w:tr>
      <w:tr w:rsidR="00F42214" w14:paraId="6AAD535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179803C"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D395829" w14:textId="77777777" w:rsidR="00F42214" w:rsidRDefault="00F42214">
            <w:pPr>
              <w:spacing w:line="200" w:lineRule="atLeast"/>
              <w:rPr>
                <w:color w:val="000000"/>
                <w:sz w:val="22"/>
                <w:szCs w:val="22"/>
              </w:rPr>
            </w:pPr>
            <w:r>
              <w:rPr>
                <w:color w:val="000000"/>
                <w:sz w:val="22"/>
                <w:szCs w:val="22"/>
              </w:rPr>
              <w:t>05/26/2011</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5BF7F8FB" w14:textId="77777777" w:rsidR="00F42214" w:rsidRDefault="00F42214">
            <w:pPr>
              <w:spacing w:line="200" w:lineRule="atLeast"/>
              <w:rPr>
                <w:color w:val="000000"/>
                <w:sz w:val="22"/>
                <w:szCs w:val="22"/>
              </w:rPr>
            </w:pPr>
            <w:r>
              <w:rPr>
                <w:color w:val="000000"/>
                <w:sz w:val="22"/>
                <w:szCs w:val="22"/>
              </w:rPr>
              <w:t>06/30/2016</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3179817"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4B327B34" w14:textId="77777777" w:rsidR="00F42214" w:rsidRDefault="00F42214">
            <w:pPr>
              <w:spacing w:line="200" w:lineRule="atLeast"/>
              <w:rPr>
                <w:color w:val="000000"/>
                <w:sz w:val="22"/>
                <w:szCs w:val="22"/>
              </w:rPr>
            </w:pPr>
            <w:r>
              <w:rPr>
                <w:color w:val="000000"/>
                <w:sz w:val="22"/>
                <w:szCs w:val="22"/>
              </w:rPr>
              <w:t>06/30/2016</w:t>
            </w:r>
          </w:p>
        </w:tc>
      </w:tr>
      <w:tr w:rsidR="00F42214" w14:paraId="078764B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6639F41" w14:textId="77777777" w:rsidR="00F42214" w:rsidRDefault="00F42214">
            <w:pPr>
              <w:spacing w:line="200" w:lineRule="atLeast"/>
              <w:rPr>
                <w:color w:val="000000"/>
                <w:sz w:val="22"/>
                <w:szCs w:val="22"/>
              </w:rPr>
            </w:pPr>
            <w:r>
              <w:rPr>
                <w:color w:val="000000"/>
                <w:sz w:val="22"/>
                <w:szCs w:val="22"/>
              </w:rPr>
              <w:t xml:space="preserve">Comments </w:t>
            </w:r>
          </w:p>
          <w:p w14:paraId="06E14840" w14:textId="77777777" w:rsidR="00F42214" w:rsidRDefault="00F42214">
            <w:pPr>
              <w:spacing w:line="200" w:lineRule="atLeast"/>
              <w:rPr>
                <w:color w:val="000000"/>
                <w:sz w:val="22"/>
                <w:szCs w:val="22"/>
              </w:rPr>
            </w:pPr>
            <w:r>
              <w:rPr>
                <w:color w:val="000000"/>
                <w:sz w:val="22"/>
                <w:szCs w:val="22"/>
              </w:rPr>
              <w:t xml:space="preserve">(incl. % </w:t>
            </w:r>
          </w:p>
          <w:p w14:paraId="0B9D653E"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3041B286" w14:textId="77777777" w:rsidR="00F42214" w:rsidRDefault="00F42214">
            <w:r>
              <w:t xml:space="preserve">ACHIEVED </w:t>
            </w:r>
          </w:p>
          <w:p w14:paraId="636A7E97" w14:textId="77777777" w:rsidR="00F42214" w:rsidRDefault="00F42214">
            <w:pPr>
              <w:spacing w:line="200" w:lineRule="atLeast"/>
              <w:rPr>
                <w:color w:val="000000"/>
                <w:sz w:val="22"/>
                <w:szCs w:val="22"/>
              </w:rPr>
            </w:pPr>
          </w:p>
        </w:tc>
      </w:tr>
      <w:tr w:rsidR="00F42214" w14:paraId="4442263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0306021" w14:textId="77777777" w:rsidR="00F42214" w:rsidRDefault="00F42214">
            <w:pPr>
              <w:spacing w:line="200" w:lineRule="atLeast"/>
              <w:rPr>
                <w:color w:val="000000"/>
                <w:sz w:val="22"/>
                <w:szCs w:val="22"/>
              </w:rPr>
            </w:pPr>
            <w:r>
              <w:rPr>
                <w:rStyle w:val="Strong"/>
                <w:color w:val="000000"/>
                <w:sz w:val="22"/>
                <w:szCs w:val="22"/>
              </w:rPr>
              <w:t xml:space="preserve">Indicator 10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0AE4B80B" w14:textId="77777777" w:rsidR="00F42214" w:rsidRDefault="00F42214">
            <w:r>
              <w:t xml:space="preserve">Direct project beneficiaries - new </w:t>
            </w:r>
          </w:p>
          <w:p w14:paraId="037540C3" w14:textId="77777777" w:rsidR="00F42214" w:rsidRDefault="00F42214">
            <w:pPr>
              <w:spacing w:line="200" w:lineRule="atLeast"/>
              <w:rPr>
                <w:color w:val="000000"/>
                <w:sz w:val="22"/>
                <w:szCs w:val="22"/>
              </w:rPr>
            </w:pPr>
          </w:p>
        </w:tc>
      </w:tr>
      <w:tr w:rsidR="00F42214" w14:paraId="100A265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8C21B93" w14:textId="77777777" w:rsidR="00F42214" w:rsidRDefault="00F42214">
            <w:pPr>
              <w:spacing w:line="200" w:lineRule="atLeast"/>
              <w:rPr>
                <w:color w:val="000000"/>
                <w:sz w:val="22"/>
                <w:szCs w:val="22"/>
              </w:rPr>
            </w:pPr>
            <w:r>
              <w:rPr>
                <w:color w:val="000000"/>
                <w:sz w:val="22"/>
                <w:szCs w:val="22"/>
              </w:rPr>
              <w:t xml:space="preserve">Value </w:t>
            </w:r>
          </w:p>
          <w:p w14:paraId="09A8A455" w14:textId="77777777" w:rsidR="00F42214" w:rsidRDefault="00F42214">
            <w:pPr>
              <w:spacing w:line="200" w:lineRule="atLeast"/>
              <w:rPr>
                <w:color w:val="000000"/>
                <w:sz w:val="22"/>
                <w:szCs w:val="22"/>
              </w:rPr>
            </w:pPr>
            <w:r>
              <w:rPr>
                <w:color w:val="000000"/>
                <w:sz w:val="22"/>
                <w:szCs w:val="22"/>
              </w:rPr>
              <w:t xml:space="preserve">quantitative or </w:t>
            </w:r>
          </w:p>
          <w:p w14:paraId="25B500C3"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BEAEEF1" w14:textId="77777777" w:rsidR="00F42214" w:rsidRDefault="00F42214">
            <w:r>
              <w:t xml:space="preserve">8,168.00 </w:t>
            </w:r>
          </w:p>
          <w:p w14:paraId="6EDD4C92"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3ACF5FA5" w14:textId="77777777" w:rsidR="00F42214" w:rsidRDefault="00F42214">
            <w:r>
              <w:t xml:space="preserve">103,000 </w:t>
            </w:r>
          </w:p>
          <w:p w14:paraId="40951847"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32D145BE" w14:textId="77777777" w:rsidR="00F42214" w:rsidRDefault="00F42214"/>
          <w:p w14:paraId="216D5DB8"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7BB1318F" w14:textId="77777777" w:rsidR="00F42214" w:rsidRDefault="00F42214">
            <w:r>
              <w:t xml:space="preserve">376,657.00 </w:t>
            </w:r>
          </w:p>
          <w:p w14:paraId="57C7335C" w14:textId="77777777" w:rsidR="00F42214" w:rsidRDefault="00F42214">
            <w:pPr>
              <w:spacing w:line="200" w:lineRule="atLeast"/>
              <w:rPr>
                <w:color w:val="000000"/>
                <w:sz w:val="22"/>
                <w:szCs w:val="22"/>
              </w:rPr>
            </w:pPr>
          </w:p>
        </w:tc>
      </w:tr>
      <w:tr w:rsidR="00F42214" w14:paraId="5B0BE0F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06EA4BC"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FB2B02A" w14:textId="77777777" w:rsidR="00F42214" w:rsidRDefault="00F42214">
            <w:pPr>
              <w:spacing w:line="200" w:lineRule="atLeast"/>
              <w:rPr>
                <w:color w:val="000000"/>
                <w:sz w:val="22"/>
                <w:szCs w:val="22"/>
              </w:rPr>
            </w:pPr>
            <w:r>
              <w:rPr>
                <w:color w:val="000000"/>
                <w:sz w:val="22"/>
                <w:szCs w:val="22"/>
              </w:rPr>
              <w:t>06/24/2011</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651D1C70" w14:textId="77777777" w:rsidR="00F42214" w:rsidRDefault="00F42214">
            <w:pPr>
              <w:spacing w:line="200" w:lineRule="atLeast"/>
              <w:rPr>
                <w:color w:val="000000"/>
                <w:sz w:val="22"/>
                <w:szCs w:val="22"/>
              </w:rPr>
            </w:pPr>
            <w:r>
              <w:rPr>
                <w:color w:val="000000"/>
                <w:sz w:val="22"/>
                <w:szCs w:val="22"/>
              </w:rPr>
              <w:t>06/30/2016</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28D8E515"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23D91BCA" w14:textId="77777777" w:rsidR="00F42214" w:rsidRDefault="00F42214">
            <w:pPr>
              <w:spacing w:line="200" w:lineRule="atLeast"/>
              <w:rPr>
                <w:color w:val="000000"/>
                <w:sz w:val="22"/>
                <w:szCs w:val="22"/>
              </w:rPr>
            </w:pPr>
            <w:r>
              <w:rPr>
                <w:color w:val="000000"/>
                <w:sz w:val="22"/>
                <w:szCs w:val="22"/>
              </w:rPr>
              <w:t>06/30/2016</w:t>
            </w:r>
          </w:p>
        </w:tc>
      </w:tr>
      <w:tr w:rsidR="00F42214" w14:paraId="57CFC07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1C20944" w14:textId="77777777" w:rsidR="00F42214" w:rsidRDefault="00F42214">
            <w:pPr>
              <w:spacing w:line="200" w:lineRule="atLeast"/>
              <w:rPr>
                <w:color w:val="000000"/>
                <w:sz w:val="22"/>
                <w:szCs w:val="22"/>
              </w:rPr>
            </w:pPr>
            <w:r>
              <w:rPr>
                <w:color w:val="000000"/>
                <w:sz w:val="22"/>
                <w:szCs w:val="22"/>
              </w:rPr>
              <w:t xml:space="preserve">Comments </w:t>
            </w:r>
          </w:p>
          <w:p w14:paraId="3BEA75FB" w14:textId="77777777" w:rsidR="00F42214" w:rsidRDefault="00F42214">
            <w:pPr>
              <w:spacing w:line="200" w:lineRule="atLeast"/>
              <w:rPr>
                <w:color w:val="000000"/>
                <w:sz w:val="22"/>
                <w:szCs w:val="22"/>
              </w:rPr>
            </w:pPr>
            <w:r>
              <w:rPr>
                <w:color w:val="000000"/>
                <w:sz w:val="22"/>
                <w:szCs w:val="22"/>
              </w:rPr>
              <w:t xml:space="preserve">(incl. % </w:t>
            </w:r>
          </w:p>
          <w:p w14:paraId="2CBCF6D3"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6855D1EB" w14:textId="77777777" w:rsidR="00F42214" w:rsidRDefault="00F42214">
            <w:r>
              <w:t xml:space="preserve">SURPASSED: Core indicator added during December 2013 restructuring. Baseline revised in March 2015 given new digitized records for PWD. Children at risk not counted for in the baseline due to lack of data at the time. </w:t>
            </w:r>
          </w:p>
          <w:p w14:paraId="3F631956" w14:textId="77777777" w:rsidR="00F42214" w:rsidRDefault="00F42214">
            <w:pPr>
              <w:spacing w:line="200" w:lineRule="atLeast"/>
              <w:rPr>
                <w:color w:val="000000"/>
                <w:sz w:val="22"/>
                <w:szCs w:val="22"/>
              </w:rPr>
            </w:pPr>
          </w:p>
        </w:tc>
      </w:tr>
      <w:tr w:rsidR="00F42214" w14:paraId="1DFF912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817BFB1" w14:textId="77777777" w:rsidR="00F42214" w:rsidRDefault="00F42214">
            <w:pPr>
              <w:spacing w:line="200" w:lineRule="atLeast"/>
              <w:rPr>
                <w:color w:val="000000"/>
                <w:sz w:val="22"/>
                <w:szCs w:val="22"/>
              </w:rPr>
            </w:pPr>
            <w:r>
              <w:rPr>
                <w:rStyle w:val="Strong"/>
                <w:color w:val="000000"/>
                <w:sz w:val="22"/>
                <w:szCs w:val="22"/>
              </w:rPr>
              <w:t xml:space="preserve">Indicator 11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2221CC0F" w14:textId="77777777" w:rsidR="00F42214" w:rsidRDefault="00F42214">
            <w:r>
              <w:t xml:space="preserve">Percent female beneficiaries-new </w:t>
            </w:r>
          </w:p>
          <w:p w14:paraId="059E1E5D" w14:textId="77777777" w:rsidR="00F42214" w:rsidRDefault="00F42214">
            <w:pPr>
              <w:spacing w:line="200" w:lineRule="atLeast"/>
              <w:rPr>
                <w:color w:val="000000"/>
                <w:sz w:val="22"/>
                <w:szCs w:val="22"/>
              </w:rPr>
            </w:pPr>
          </w:p>
        </w:tc>
      </w:tr>
      <w:tr w:rsidR="00F42214" w14:paraId="4B2D65E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06F736E" w14:textId="77777777" w:rsidR="00F42214" w:rsidRDefault="00F42214">
            <w:pPr>
              <w:spacing w:line="200" w:lineRule="atLeast"/>
              <w:rPr>
                <w:color w:val="000000"/>
                <w:sz w:val="22"/>
                <w:szCs w:val="22"/>
              </w:rPr>
            </w:pPr>
            <w:r>
              <w:rPr>
                <w:color w:val="000000"/>
                <w:sz w:val="22"/>
                <w:szCs w:val="22"/>
              </w:rPr>
              <w:t xml:space="preserve">Value </w:t>
            </w:r>
          </w:p>
          <w:p w14:paraId="7EAC37FF" w14:textId="77777777" w:rsidR="00F42214" w:rsidRDefault="00F42214">
            <w:pPr>
              <w:spacing w:line="200" w:lineRule="atLeast"/>
              <w:rPr>
                <w:color w:val="000000"/>
                <w:sz w:val="22"/>
                <w:szCs w:val="22"/>
              </w:rPr>
            </w:pPr>
            <w:r>
              <w:rPr>
                <w:color w:val="000000"/>
                <w:sz w:val="22"/>
                <w:szCs w:val="22"/>
              </w:rPr>
              <w:t xml:space="preserve">quantitative or </w:t>
            </w:r>
          </w:p>
          <w:p w14:paraId="2FED275A"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380B68F5" w14:textId="77777777" w:rsidR="00F42214" w:rsidRDefault="00F42214">
            <w:r>
              <w:t xml:space="preserve">0.00 </w:t>
            </w:r>
          </w:p>
          <w:p w14:paraId="28C660DD"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5D7EBA4D" w14:textId="77777777" w:rsidR="00F42214" w:rsidRDefault="00F42214">
            <w:r>
              <w:t xml:space="preserve">40.00% </w:t>
            </w:r>
          </w:p>
          <w:p w14:paraId="61BE08C4"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2633D84" w14:textId="77777777" w:rsidR="00F42214" w:rsidRDefault="00F42214"/>
          <w:p w14:paraId="443BC386"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43C8CBF6" w14:textId="77777777" w:rsidR="00F42214" w:rsidRDefault="00F42214">
            <w:r>
              <w:t xml:space="preserve">43.40 </w:t>
            </w:r>
          </w:p>
          <w:p w14:paraId="094585DF" w14:textId="77777777" w:rsidR="00F42214" w:rsidRDefault="00F42214">
            <w:pPr>
              <w:spacing w:line="200" w:lineRule="atLeast"/>
              <w:rPr>
                <w:color w:val="000000"/>
                <w:sz w:val="22"/>
                <w:szCs w:val="22"/>
              </w:rPr>
            </w:pPr>
          </w:p>
        </w:tc>
      </w:tr>
      <w:tr w:rsidR="00F42214" w14:paraId="6B6967A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7AAF0A3"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3DE6D03" w14:textId="77777777" w:rsidR="00F42214" w:rsidRDefault="00F42214">
            <w:pPr>
              <w:spacing w:line="200" w:lineRule="atLeast"/>
              <w:rPr>
                <w:color w:val="000000"/>
                <w:sz w:val="22"/>
                <w:szCs w:val="22"/>
              </w:rPr>
            </w:pPr>
            <w:r>
              <w:rPr>
                <w:color w:val="000000"/>
                <w:sz w:val="22"/>
                <w:szCs w:val="22"/>
              </w:rPr>
              <w:t>12/31/2013</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6708F716" w14:textId="77777777" w:rsidR="00F42214" w:rsidRDefault="00F42214">
            <w:pPr>
              <w:spacing w:line="200" w:lineRule="atLeast"/>
              <w:rPr>
                <w:color w:val="000000"/>
                <w:sz w:val="22"/>
                <w:szCs w:val="22"/>
              </w:rPr>
            </w:pPr>
            <w:r>
              <w:rPr>
                <w:color w:val="000000"/>
                <w:sz w:val="22"/>
                <w:szCs w:val="22"/>
              </w:rPr>
              <w:t>06/30/2016</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5DFBEF84"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252083B4" w14:textId="77777777" w:rsidR="00F42214" w:rsidRDefault="00F42214">
            <w:pPr>
              <w:spacing w:line="200" w:lineRule="atLeast"/>
              <w:rPr>
                <w:color w:val="000000"/>
                <w:sz w:val="22"/>
                <w:szCs w:val="22"/>
              </w:rPr>
            </w:pPr>
            <w:r>
              <w:rPr>
                <w:color w:val="000000"/>
                <w:sz w:val="22"/>
                <w:szCs w:val="22"/>
              </w:rPr>
              <w:t>06/30/2016</w:t>
            </w:r>
          </w:p>
        </w:tc>
      </w:tr>
      <w:tr w:rsidR="00F42214" w14:paraId="2B53D2C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5BB6F81" w14:textId="77777777" w:rsidR="00F42214" w:rsidRDefault="00F42214">
            <w:pPr>
              <w:spacing w:line="200" w:lineRule="atLeast"/>
              <w:rPr>
                <w:color w:val="000000"/>
                <w:sz w:val="22"/>
                <w:szCs w:val="22"/>
              </w:rPr>
            </w:pPr>
            <w:r>
              <w:rPr>
                <w:color w:val="000000"/>
                <w:sz w:val="22"/>
                <w:szCs w:val="22"/>
              </w:rPr>
              <w:t xml:space="preserve">Comments </w:t>
            </w:r>
          </w:p>
          <w:p w14:paraId="42B173EA" w14:textId="77777777" w:rsidR="00F42214" w:rsidRDefault="00F42214">
            <w:pPr>
              <w:spacing w:line="200" w:lineRule="atLeast"/>
              <w:rPr>
                <w:color w:val="000000"/>
                <w:sz w:val="22"/>
                <w:szCs w:val="22"/>
              </w:rPr>
            </w:pPr>
            <w:r>
              <w:rPr>
                <w:color w:val="000000"/>
                <w:sz w:val="22"/>
                <w:szCs w:val="22"/>
              </w:rPr>
              <w:t xml:space="preserve">(incl. % </w:t>
            </w:r>
          </w:p>
          <w:p w14:paraId="2CB8BFDC"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46A52B52" w14:textId="77777777" w:rsidR="00F42214" w:rsidRDefault="00F42214">
            <w:r>
              <w:t xml:space="preserve">SURPASSED: Core indicator added during December 2013 restructuring. </w:t>
            </w:r>
          </w:p>
          <w:p w14:paraId="497BBECE" w14:textId="77777777" w:rsidR="00F42214" w:rsidRDefault="00F42214">
            <w:pPr>
              <w:spacing w:line="200" w:lineRule="atLeast"/>
              <w:rPr>
                <w:color w:val="000000"/>
                <w:sz w:val="22"/>
                <w:szCs w:val="22"/>
              </w:rPr>
            </w:pPr>
          </w:p>
        </w:tc>
      </w:tr>
      <w:tr w:rsidR="00F42214" w14:paraId="05EC0BD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9C921DC" w14:textId="77777777" w:rsidR="00F42214" w:rsidRDefault="00F42214">
            <w:pPr>
              <w:spacing w:line="200" w:lineRule="atLeast"/>
              <w:rPr>
                <w:color w:val="000000"/>
                <w:sz w:val="22"/>
                <w:szCs w:val="22"/>
              </w:rPr>
            </w:pPr>
            <w:r>
              <w:rPr>
                <w:rStyle w:val="Strong"/>
                <w:color w:val="000000"/>
                <w:sz w:val="22"/>
                <w:szCs w:val="22"/>
              </w:rPr>
              <w:t xml:space="preserve">Indicator 12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4424D667" w14:textId="77777777" w:rsidR="00F42214" w:rsidRDefault="00F42214">
            <w:r>
              <w:t xml:space="preserve">Share of DSC staff that attain a minimum score on a technical skills assessment - new </w:t>
            </w:r>
          </w:p>
          <w:p w14:paraId="54421352" w14:textId="77777777" w:rsidR="00F42214" w:rsidRDefault="00F42214">
            <w:pPr>
              <w:spacing w:line="200" w:lineRule="atLeast"/>
              <w:rPr>
                <w:color w:val="000000"/>
                <w:sz w:val="22"/>
                <w:szCs w:val="22"/>
              </w:rPr>
            </w:pPr>
          </w:p>
        </w:tc>
      </w:tr>
      <w:tr w:rsidR="00F42214" w14:paraId="2AA1666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B8E9217" w14:textId="77777777" w:rsidR="00F42214" w:rsidRDefault="00F42214">
            <w:pPr>
              <w:spacing w:line="200" w:lineRule="atLeast"/>
              <w:rPr>
                <w:color w:val="000000"/>
                <w:sz w:val="22"/>
                <w:szCs w:val="22"/>
              </w:rPr>
            </w:pPr>
            <w:r>
              <w:rPr>
                <w:color w:val="000000"/>
                <w:sz w:val="22"/>
                <w:szCs w:val="22"/>
              </w:rPr>
              <w:t xml:space="preserve">Value </w:t>
            </w:r>
          </w:p>
          <w:p w14:paraId="37876089" w14:textId="77777777" w:rsidR="00F42214" w:rsidRDefault="00F42214">
            <w:pPr>
              <w:spacing w:line="200" w:lineRule="atLeast"/>
              <w:rPr>
                <w:color w:val="000000"/>
                <w:sz w:val="22"/>
                <w:szCs w:val="22"/>
              </w:rPr>
            </w:pPr>
            <w:r>
              <w:rPr>
                <w:color w:val="000000"/>
                <w:sz w:val="22"/>
                <w:szCs w:val="22"/>
              </w:rPr>
              <w:t xml:space="preserve">quantitative or </w:t>
            </w:r>
          </w:p>
          <w:p w14:paraId="5F8F3BFD"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14FD390C" w14:textId="77777777" w:rsidR="00F42214" w:rsidRDefault="00F42214">
            <w:r>
              <w:t xml:space="preserve">66% </w:t>
            </w:r>
          </w:p>
          <w:p w14:paraId="5182368F"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0B73E471" w14:textId="77777777" w:rsidR="00F42214" w:rsidRDefault="00F42214">
            <w:r>
              <w:t xml:space="preserve">80% </w:t>
            </w:r>
          </w:p>
          <w:p w14:paraId="780F8A61"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073CA872" w14:textId="77777777" w:rsidR="00F42214" w:rsidRDefault="00F42214"/>
          <w:p w14:paraId="3D16E4F9"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325AE9D7" w14:textId="77777777" w:rsidR="00F42214" w:rsidRDefault="00F42214">
            <w:r>
              <w:t xml:space="preserve">60% </w:t>
            </w:r>
          </w:p>
          <w:p w14:paraId="64C9BE96" w14:textId="77777777" w:rsidR="00F42214" w:rsidRDefault="00F42214">
            <w:pPr>
              <w:spacing w:line="200" w:lineRule="atLeast"/>
              <w:rPr>
                <w:color w:val="000000"/>
                <w:sz w:val="22"/>
                <w:szCs w:val="22"/>
              </w:rPr>
            </w:pPr>
          </w:p>
        </w:tc>
      </w:tr>
      <w:tr w:rsidR="00F42214" w14:paraId="012FC37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CE20BBC"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6E8D302" w14:textId="77777777" w:rsidR="00F42214" w:rsidRDefault="00F42214">
            <w:pPr>
              <w:spacing w:line="200" w:lineRule="atLeast"/>
              <w:rPr>
                <w:color w:val="000000"/>
                <w:sz w:val="22"/>
                <w:szCs w:val="22"/>
              </w:rPr>
            </w:pPr>
            <w:r>
              <w:rPr>
                <w:color w:val="000000"/>
                <w:sz w:val="22"/>
                <w:szCs w:val="22"/>
              </w:rPr>
              <w:t>06/11/2013</w:t>
            </w:r>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3CF3D7E8" w14:textId="77777777" w:rsidR="00F42214" w:rsidRDefault="00F42214">
            <w:pPr>
              <w:spacing w:line="200" w:lineRule="atLeast"/>
              <w:rPr>
                <w:color w:val="000000"/>
                <w:sz w:val="22"/>
                <w:szCs w:val="22"/>
              </w:rPr>
            </w:pPr>
            <w:r>
              <w:rPr>
                <w:color w:val="000000"/>
                <w:sz w:val="22"/>
                <w:szCs w:val="22"/>
              </w:rPr>
              <w:t>06/30/2016</w:t>
            </w: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71AEB37F"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562915A2" w14:textId="77777777" w:rsidR="00F42214" w:rsidRDefault="00F42214">
            <w:pPr>
              <w:spacing w:line="200" w:lineRule="atLeast"/>
              <w:rPr>
                <w:color w:val="000000"/>
                <w:sz w:val="22"/>
                <w:szCs w:val="22"/>
              </w:rPr>
            </w:pPr>
            <w:r>
              <w:rPr>
                <w:color w:val="000000"/>
                <w:sz w:val="22"/>
                <w:szCs w:val="22"/>
              </w:rPr>
              <w:t>06/30/2016</w:t>
            </w:r>
          </w:p>
        </w:tc>
      </w:tr>
      <w:tr w:rsidR="00F42214" w14:paraId="50E8682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06B71DF" w14:textId="77777777" w:rsidR="00F42214" w:rsidRDefault="00F42214">
            <w:pPr>
              <w:spacing w:line="200" w:lineRule="atLeast"/>
              <w:rPr>
                <w:color w:val="000000"/>
                <w:sz w:val="22"/>
                <w:szCs w:val="22"/>
              </w:rPr>
            </w:pPr>
            <w:r>
              <w:rPr>
                <w:color w:val="000000"/>
                <w:sz w:val="22"/>
                <w:szCs w:val="22"/>
              </w:rPr>
              <w:t xml:space="preserve">Comments </w:t>
            </w:r>
          </w:p>
          <w:p w14:paraId="54FC3B39" w14:textId="77777777" w:rsidR="00F42214" w:rsidRDefault="00F42214">
            <w:pPr>
              <w:spacing w:line="200" w:lineRule="atLeast"/>
              <w:rPr>
                <w:color w:val="000000"/>
                <w:sz w:val="22"/>
                <w:szCs w:val="22"/>
              </w:rPr>
            </w:pPr>
            <w:r>
              <w:rPr>
                <w:color w:val="000000"/>
                <w:sz w:val="22"/>
                <w:szCs w:val="22"/>
              </w:rPr>
              <w:t xml:space="preserve">(incl. % </w:t>
            </w:r>
          </w:p>
          <w:p w14:paraId="6B78DC6C"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16AD142C" w14:textId="77777777" w:rsidR="00F42214" w:rsidRDefault="00F42214">
            <w:r>
              <w:t xml:space="preserve">PARTIALLY ACHIEVED: Baseline based on data collected by JPUF for a training needs assessment in May 2013. Results are based on aggregation and harmonization of various certificates and accreditation, which is not directly comparable to baseline. </w:t>
            </w:r>
          </w:p>
          <w:p w14:paraId="08EB960F" w14:textId="77777777" w:rsidR="00F42214" w:rsidRDefault="00F42214">
            <w:pPr>
              <w:spacing w:line="200" w:lineRule="atLeast"/>
              <w:rPr>
                <w:color w:val="000000"/>
                <w:sz w:val="22"/>
                <w:szCs w:val="22"/>
              </w:rPr>
            </w:pPr>
          </w:p>
        </w:tc>
      </w:tr>
      <w:tr w:rsidR="00F42214" w14:paraId="78256D1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EF0B4E6" w14:textId="77777777" w:rsidR="00F42214" w:rsidRDefault="00F42214">
            <w:pPr>
              <w:spacing w:line="200" w:lineRule="atLeast"/>
              <w:rPr>
                <w:color w:val="000000"/>
                <w:sz w:val="22"/>
                <w:szCs w:val="22"/>
              </w:rPr>
            </w:pPr>
            <w:r>
              <w:rPr>
                <w:rStyle w:val="Strong"/>
                <w:color w:val="000000"/>
                <w:sz w:val="22"/>
                <w:szCs w:val="22"/>
              </w:rPr>
              <w:t xml:space="preserve">Indicator </w:t>
            </w:r>
            <w:bookmarkStart w:id="68" w:name="PDO_INDICATORS_COL_1"/>
            <w:r>
              <w:rPr>
                <w:rStyle w:val="Strong"/>
                <w:color w:val="000000"/>
                <w:sz w:val="22"/>
                <w:szCs w:val="22"/>
              </w:rPr>
              <w:t>13</w:t>
            </w:r>
            <w:bookmarkEnd w:id="68"/>
            <w:r>
              <w:rPr>
                <w:rStyle w:val="Strong"/>
                <w:color w:val="000000"/>
                <w:sz w:val="22"/>
                <w:szCs w:val="22"/>
              </w:rPr>
              <w:t xml:space="preserve"> :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7358CABF" w14:textId="77777777" w:rsidR="00F42214" w:rsidRDefault="00F42214">
            <w:bookmarkStart w:id="69" w:name="PDO_INDICATORS_COL_2"/>
            <w:bookmarkEnd w:id="69"/>
            <w:r>
              <w:t xml:space="preserve">Children at risk reintegrated - new </w:t>
            </w:r>
          </w:p>
          <w:p w14:paraId="3066F082" w14:textId="77777777" w:rsidR="00F42214" w:rsidRDefault="00F42214">
            <w:pPr>
              <w:spacing w:line="200" w:lineRule="atLeast"/>
              <w:rPr>
                <w:color w:val="000000"/>
                <w:sz w:val="22"/>
                <w:szCs w:val="22"/>
              </w:rPr>
            </w:pPr>
          </w:p>
        </w:tc>
      </w:tr>
      <w:tr w:rsidR="00F42214" w14:paraId="7555B47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ED6D83B" w14:textId="77777777" w:rsidR="00F42214" w:rsidRDefault="00F42214">
            <w:pPr>
              <w:spacing w:line="200" w:lineRule="atLeast"/>
              <w:rPr>
                <w:color w:val="000000"/>
                <w:sz w:val="22"/>
                <w:szCs w:val="22"/>
              </w:rPr>
            </w:pPr>
            <w:r>
              <w:rPr>
                <w:color w:val="000000"/>
                <w:sz w:val="22"/>
                <w:szCs w:val="22"/>
              </w:rPr>
              <w:t xml:space="preserve">Value </w:t>
            </w:r>
          </w:p>
          <w:p w14:paraId="2332375C" w14:textId="77777777" w:rsidR="00F42214" w:rsidRDefault="00F42214">
            <w:pPr>
              <w:spacing w:line="200" w:lineRule="atLeast"/>
              <w:rPr>
                <w:color w:val="000000"/>
                <w:sz w:val="22"/>
                <w:szCs w:val="22"/>
              </w:rPr>
            </w:pPr>
            <w:r>
              <w:rPr>
                <w:color w:val="000000"/>
                <w:sz w:val="22"/>
                <w:szCs w:val="22"/>
              </w:rPr>
              <w:t xml:space="preserve">quantitative or </w:t>
            </w:r>
          </w:p>
          <w:p w14:paraId="58829BC9" w14:textId="77777777" w:rsidR="00F42214" w:rsidRDefault="00F42214">
            <w:pPr>
              <w:spacing w:line="200" w:lineRule="atLeast"/>
              <w:rPr>
                <w:color w:val="000000"/>
                <w:sz w:val="22"/>
                <w:szCs w:val="22"/>
              </w:rPr>
            </w:pPr>
            <w:r>
              <w:rPr>
                <w:color w:val="000000"/>
                <w:sz w:val="22"/>
                <w:szCs w:val="22"/>
              </w:rPr>
              <w:t xml:space="preserve">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59F6648" w14:textId="77777777" w:rsidR="00F42214" w:rsidRDefault="00F42214">
            <w:bookmarkStart w:id="70" w:name="PDO_INDICATORS_COL_3"/>
            <w:bookmarkEnd w:id="70"/>
            <w:r>
              <w:t xml:space="preserve">N/A </w:t>
            </w:r>
          </w:p>
          <w:p w14:paraId="6F23A016" w14:textId="77777777" w:rsidR="00F42214" w:rsidRDefault="00F42214">
            <w:pPr>
              <w:spacing w:line="200" w:lineRule="atLeast"/>
              <w:rPr>
                <w:color w:val="000000"/>
                <w:sz w:val="22"/>
                <w:szCs w:val="22"/>
              </w:rPr>
            </w:pPr>
          </w:p>
        </w:tc>
        <w:tc>
          <w:tcPr>
            <w:tcW w:w="1714" w:type="dxa"/>
            <w:tcBorders>
              <w:top w:val="single" w:sz="4" w:space="0" w:color="B1B1B1"/>
              <w:left w:val="single" w:sz="4" w:space="0" w:color="B1B1B1"/>
              <w:bottom w:val="single" w:sz="4" w:space="0" w:color="B1B1B1"/>
              <w:right w:val="single" w:sz="4" w:space="0" w:color="B1B1B1"/>
            </w:tcBorders>
            <w:vAlign w:val="center"/>
          </w:tcPr>
          <w:p w14:paraId="44C15438" w14:textId="77777777" w:rsidR="00F42214" w:rsidRDefault="00F42214">
            <w:bookmarkStart w:id="71" w:name="PDO_INDICATORS_COL_4"/>
            <w:bookmarkEnd w:id="71"/>
            <w:r>
              <w:t xml:space="preserve">25% </w:t>
            </w:r>
          </w:p>
          <w:p w14:paraId="47C8B54C" w14:textId="77777777" w:rsidR="00F42214" w:rsidRDefault="00F42214">
            <w:pPr>
              <w:spacing w:line="200" w:lineRule="atLeast"/>
              <w:rPr>
                <w:color w:val="000000"/>
                <w:sz w:val="22"/>
                <w:szCs w:val="22"/>
              </w:rPr>
            </w:pPr>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79DFECFD" w14:textId="77777777" w:rsidR="00F42214" w:rsidRDefault="00F42214">
            <w:bookmarkStart w:id="72" w:name="PDO_INDICATORS_COL_5"/>
            <w:bookmarkEnd w:id="72"/>
          </w:p>
          <w:p w14:paraId="1E939196" w14:textId="77777777" w:rsidR="00F42214" w:rsidRDefault="00F42214">
            <w:pPr>
              <w:spacing w:line="200" w:lineRule="atLeast"/>
              <w:rPr>
                <w:color w:val="000000"/>
                <w:sz w:val="22"/>
                <w:szCs w:val="22"/>
              </w:rPr>
            </w:pPr>
          </w:p>
        </w:tc>
        <w:tc>
          <w:tcPr>
            <w:tcW w:w="1802" w:type="dxa"/>
            <w:tcBorders>
              <w:top w:val="single" w:sz="4" w:space="0" w:color="B1B1B1"/>
              <w:left w:val="single" w:sz="4" w:space="0" w:color="B1B1B1"/>
              <w:bottom w:val="single" w:sz="4" w:space="0" w:color="B1B1B1"/>
              <w:right w:val="single" w:sz="4" w:space="0" w:color="B1B1B1"/>
            </w:tcBorders>
            <w:vAlign w:val="center"/>
          </w:tcPr>
          <w:p w14:paraId="1E44DBB8" w14:textId="77777777" w:rsidR="00F42214" w:rsidRDefault="00F42214">
            <w:bookmarkStart w:id="73" w:name="PDO_INDICATORS_COL_6"/>
            <w:bookmarkEnd w:id="73"/>
            <w:r>
              <w:t xml:space="preserve">70% </w:t>
            </w:r>
          </w:p>
          <w:p w14:paraId="52ADEC79" w14:textId="77777777" w:rsidR="00F42214" w:rsidRDefault="00F42214">
            <w:pPr>
              <w:spacing w:line="200" w:lineRule="atLeast"/>
              <w:rPr>
                <w:color w:val="000000"/>
                <w:sz w:val="22"/>
                <w:szCs w:val="22"/>
              </w:rPr>
            </w:pPr>
          </w:p>
        </w:tc>
      </w:tr>
      <w:tr w:rsidR="00F42214" w14:paraId="3C80B35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3FA6478"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7ED4501" w14:textId="77777777" w:rsidR="00F42214" w:rsidRDefault="00F42214">
            <w:pPr>
              <w:spacing w:line="200" w:lineRule="atLeast"/>
              <w:rPr>
                <w:color w:val="000000"/>
                <w:sz w:val="22"/>
                <w:szCs w:val="22"/>
              </w:rPr>
            </w:pPr>
            <w:bookmarkStart w:id="74" w:name="PDO_INDICATORS_COL_7"/>
            <w:r>
              <w:rPr>
                <w:color w:val="000000"/>
                <w:sz w:val="22"/>
                <w:szCs w:val="22"/>
              </w:rPr>
              <w:t>06/30/2011</w:t>
            </w:r>
            <w:bookmarkEnd w:id="74"/>
          </w:p>
        </w:tc>
        <w:tc>
          <w:tcPr>
            <w:tcW w:w="1714" w:type="dxa"/>
            <w:tcBorders>
              <w:top w:val="single" w:sz="4" w:space="0" w:color="B1B1B1"/>
              <w:left w:val="single" w:sz="4" w:space="0" w:color="B1B1B1"/>
              <w:bottom w:val="single" w:sz="4" w:space="0" w:color="B1B1B1"/>
              <w:right w:val="single" w:sz="4" w:space="0" w:color="B1B1B1"/>
            </w:tcBorders>
            <w:vAlign w:val="center"/>
            <w:hideMark/>
          </w:tcPr>
          <w:p w14:paraId="147D297B" w14:textId="77777777" w:rsidR="00F42214" w:rsidRDefault="00F42214">
            <w:pPr>
              <w:spacing w:line="200" w:lineRule="atLeast"/>
              <w:rPr>
                <w:color w:val="000000"/>
                <w:sz w:val="22"/>
                <w:szCs w:val="22"/>
              </w:rPr>
            </w:pPr>
            <w:bookmarkStart w:id="75" w:name="PDO_INDICATORS_COL_8"/>
            <w:r>
              <w:rPr>
                <w:color w:val="000000"/>
                <w:sz w:val="22"/>
                <w:szCs w:val="22"/>
              </w:rPr>
              <w:t>06/30/2016</w:t>
            </w:r>
            <w:bookmarkEnd w:id="75"/>
          </w:p>
        </w:tc>
        <w:tc>
          <w:tcPr>
            <w:tcW w:w="1354" w:type="dxa"/>
            <w:gridSpan w:val="2"/>
            <w:tcBorders>
              <w:top w:val="single" w:sz="4" w:space="0" w:color="B1B1B1"/>
              <w:left w:val="single" w:sz="4" w:space="0" w:color="B1B1B1"/>
              <w:bottom w:val="single" w:sz="4" w:space="0" w:color="B1B1B1"/>
              <w:right w:val="single" w:sz="4" w:space="0" w:color="B1B1B1"/>
            </w:tcBorders>
            <w:vAlign w:val="center"/>
          </w:tcPr>
          <w:p w14:paraId="20AD1FAA" w14:textId="77777777" w:rsidR="00F42214" w:rsidRDefault="00F42214">
            <w:pPr>
              <w:spacing w:line="200" w:lineRule="atLeast"/>
              <w:rPr>
                <w:color w:val="000000"/>
                <w:sz w:val="22"/>
                <w:szCs w:val="22"/>
              </w:rPr>
            </w:pPr>
            <w:bookmarkStart w:id="76" w:name="PDO_INDICATORS_COL_9"/>
            <w:bookmarkEnd w:id="76"/>
          </w:p>
        </w:tc>
        <w:tc>
          <w:tcPr>
            <w:tcW w:w="1802" w:type="dxa"/>
            <w:tcBorders>
              <w:top w:val="single" w:sz="4" w:space="0" w:color="B1B1B1"/>
              <w:left w:val="single" w:sz="4" w:space="0" w:color="B1B1B1"/>
              <w:bottom w:val="single" w:sz="4" w:space="0" w:color="B1B1B1"/>
              <w:right w:val="single" w:sz="4" w:space="0" w:color="B1B1B1"/>
            </w:tcBorders>
            <w:vAlign w:val="center"/>
            <w:hideMark/>
          </w:tcPr>
          <w:p w14:paraId="2CA47747" w14:textId="77777777" w:rsidR="00F42214" w:rsidRDefault="00F42214">
            <w:pPr>
              <w:spacing w:line="200" w:lineRule="atLeast"/>
              <w:rPr>
                <w:color w:val="000000"/>
                <w:sz w:val="22"/>
                <w:szCs w:val="22"/>
              </w:rPr>
            </w:pPr>
            <w:bookmarkStart w:id="77" w:name="PDO_INDICATORS_COL_10"/>
            <w:r>
              <w:rPr>
                <w:color w:val="000000"/>
                <w:sz w:val="22"/>
                <w:szCs w:val="22"/>
              </w:rPr>
              <w:t>05/31/2016</w:t>
            </w:r>
            <w:bookmarkEnd w:id="77"/>
          </w:p>
        </w:tc>
      </w:tr>
      <w:tr w:rsidR="00F42214" w14:paraId="0BD1651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06BD9B5" w14:textId="77777777" w:rsidR="00F42214" w:rsidRDefault="00F42214">
            <w:pPr>
              <w:spacing w:line="200" w:lineRule="atLeast"/>
              <w:rPr>
                <w:color w:val="000000"/>
                <w:sz w:val="22"/>
                <w:szCs w:val="22"/>
              </w:rPr>
            </w:pPr>
            <w:r>
              <w:rPr>
                <w:color w:val="000000"/>
                <w:sz w:val="22"/>
                <w:szCs w:val="22"/>
              </w:rPr>
              <w:t xml:space="preserve">Comments </w:t>
            </w:r>
          </w:p>
          <w:p w14:paraId="348BBFD5" w14:textId="77777777" w:rsidR="00F42214" w:rsidRDefault="00F42214">
            <w:pPr>
              <w:spacing w:line="200" w:lineRule="atLeast"/>
              <w:rPr>
                <w:color w:val="000000"/>
                <w:sz w:val="22"/>
                <w:szCs w:val="22"/>
              </w:rPr>
            </w:pPr>
            <w:r>
              <w:rPr>
                <w:color w:val="000000"/>
                <w:sz w:val="22"/>
                <w:szCs w:val="22"/>
              </w:rPr>
              <w:t xml:space="preserve">(incl. % </w:t>
            </w:r>
          </w:p>
          <w:p w14:paraId="704B285D"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5"/>
            <w:tcBorders>
              <w:top w:val="single" w:sz="4" w:space="0" w:color="B1B1B1"/>
              <w:left w:val="single" w:sz="4" w:space="0" w:color="B1B1B1"/>
              <w:bottom w:val="single" w:sz="4" w:space="0" w:color="B1B1B1"/>
              <w:right w:val="single" w:sz="4" w:space="0" w:color="B1B1B1"/>
            </w:tcBorders>
            <w:vAlign w:val="center"/>
          </w:tcPr>
          <w:p w14:paraId="0E587DC3" w14:textId="77777777" w:rsidR="00F42214" w:rsidRDefault="00F42214">
            <w:bookmarkStart w:id="78" w:name="PDO_INDICATORS_COL_11"/>
            <w:bookmarkEnd w:id="78"/>
            <w:r>
              <w:t xml:space="preserve">SURPASSED: New PDO indicator added during restructuring in December 2013. </w:t>
            </w:r>
          </w:p>
          <w:p w14:paraId="73DD4C9F" w14:textId="77777777" w:rsidR="00F42214" w:rsidRDefault="00F42214">
            <w:pPr>
              <w:spacing w:line="200" w:lineRule="atLeast"/>
              <w:rPr>
                <w:color w:val="000000"/>
                <w:sz w:val="22"/>
                <w:szCs w:val="22"/>
              </w:rPr>
            </w:pPr>
          </w:p>
        </w:tc>
      </w:tr>
    </w:tbl>
    <w:p w14:paraId="7B205B4D" w14:textId="77777777" w:rsidR="00F42214" w:rsidRDefault="00F42214" w:rsidP="00F42214">
      <w:bookmarkStart w:id="79" w:name="PDO_INDICATORS"/>
      <w:bookmarkEnd w:id="79"/>
    </w:p>
    <w:p w14:paraId="235B9668" w14:textId="77777777" w:rsidR="00F42214" w:rsidRDefault="00F42214" w:rsidP="00F42214">
      <w:pPr>
        <w:rPr>
          <w:sz w:val="2"/>
          <w:szCs w:val="2"/>
        </w:rPr>
      </w:pPr>
    </w:p>
    <w:tbl>
      <w:tblPr>
        <w:tblW w:w="5000" w:type="pct"/>
        <w:tblLayout w:type="fixed"/>
        <w:tblCellMar>
          <w:left w:w="0" w:type="dxa"/>
          <w:right w:w="0" w:type="dxa"/>
        </w:tblCellMar>
        <w:tblLook w:val="04A0" w:firstRow="1" w:lastRow="0" w:firstColumn="1" w:lastColumn="0" w:noHBand="0" w:noVBand="1"/>
      </w:tblPr>
      <w:tblGrid>
        <w:gridCol w:w="8640"/>
      </w:tblGrid>
      <w:tr w:rsidR="00F42214" w14:paraId="72417BFD" w14:textId="77777777" w:rsidTr="00F42214">
        <w:tc>
          <w:tcPr>
            <w:tcW w:w="8640" w:type="dxa"/>
            <w:vAlign w:val="center"/>
            <w:hideMark/>
          </w:tcPr>
          <w:p w14:paraId="0BA5C9F5" w14:textId="77777777" w:rsidR="00F42214" w:rsidRDefault="00F42214">
            <w:pPr>
              <w:keepNext/>
              <w:keepLines/>
              <w:spacing w:line="200" w:lineRule="atLeast"/>
              <w:rPr>
                <w:rStyle w:val="Strong"/>
                <w:color w:val="000000"/>
                <w:sz w:val="22"/>
                <w:szCs w:val="22"/>
              </w:rPr>
            </w:pPr>
            <w:r>
              <w:rPr>
                <w:rStyle w:val="Strong"/>
                <w:color w:val="000000"/>
                <w:sz w:val="22"/>
                <w:szCs w:val="22"/>
              </w:rPr>
              <w:t>(b) Intermediate Outcome Indicator(s)</w:t>
            </w:r>
          </w:p>
        </w:tc>
      </w:tr>
    </w:tbl>
    <w:p w14:paraId="553E9DC2" w14:textId="77777777" w:rsidR="00F42214" w:rsidRDefault="00F42214" w:rsidP="00F42214">
      <w:pPr>
        <w:keepNext/>
        <w:keepLines/>
        <w:spacing w:line="200" w:lineRule="atLeast"/>
        <w:rPr>
          <w:color w:val="000000"/>
          <w:sz w:val="22"/>
          <w:szCs w:val="22"/>
        </w:rPr>
      </w:pPr>
    </w:p>
    <w:tbl>
      <w:tblPr>
        <w:tblW w:w="5000" w:type="pct"/>
        <w:tblLayout w:type="fixed"/>
        <w:tblCellMar>
          <w:top w:w="10" w:type="dxa"/>
          <w:left w:w="10" w:type="dxa"/>
          <w:bottom w:w="10" w:type="dxa"/>
          <w:right w:w="10" w:type="dxa"/>
        </w:tblCellMar>
        <w:tblLook w:val="04A0" w:firstRow="1" w:lastRow="0" w:firstColumn="1" w:lastColumn="0" w:noHBand="0" w:noVBand="1"/>
      </w:tblPr>
      <w:tblGrid>
        <w:gridCol w:w="1445"/>
        <w:gridCol w:w="2332"/>
        <w:gridCol w:w="1707"/>
        <w:gridCol w:w="1347"/>
        <w:gridCol w:w="1799"/>
      </w:tblGrid>
      <w:tr w:rsidR="00F42214" w14:paraId="091BC29B" w14:textId="77777777" w:rsidTr="00F42214">
        <w:tc>
          <w:tcPr>
            <w:tcW w:w="145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5E36F743" w14:textId="77777777" w:rsidR="00F42214" w:rsidRDefault="00F42214">
            <w:pPr>
              <w:keepNext/>
              <w:keepLines/>
              <w:jc w:val="center"/>
              <w:rPr>
                <w:b/>
                <w:bCs/>
                <w:color w:val="606060"/>
                <w:sz w:val="22"/>
                <w:szCs w:val="22"/>
              </w:rPr>
            </w:pPr>
            <w:r>
              <w:rPr>
                <w:b/>
                <w:bCs/>
                <w:color w:val="606060"/>
                <w:sz w:val="22"/>
                <w:szCs w:val="22"/>
              </w:rPr>
              <w:t>Indicator</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DB8B2BB" w14:textId="77777777" w:rsidR="00F42214" w:rsidRDefault="00F42214">
            <w:pPr>
              <w:keepNext/>
              <w:keepLines/>
              <w:jc w:val="center"/>
              <w:rPr>
                <w:b/>
                <w:bCs/>
                <w:color w:val="606060"/>
                <w:sz w:val="22"/>
                <w:szCs w:val="22"/>
              </w:rPr>
            </w:pPr>
            <w:r>
              <w:rPr>
                <w:b/>
                <w:bCs/>
                <w:color w:val="606060"/>
                <w:sz w:val="22"/>
                <w:szCs w:val="22"/>
              </w:rPr>
              <w:t>Baseline Value</w:t>
            </w:r>
          </w:p>
        </w:tc>
        <w:tc>
          <w:tcPr>
            <w:tcW w:w="1713"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31ADB7A1" w14:textId="77777777" w:rsidR="00F42214" w:rsidRDefault="00F42214">
            <w:pPr>
              <w:keepNext/>
              <w:keepLines/>
              <w:jc w:val="center"/>
              <w:rPr>
                <w:b/>
                <w:bCs/>
                <w:color w:val="606060"/>
                <w:sz w:val="22"/>
                <w:szCs w:val="22"/>
              </w:rPr>
            </w:pPr>
            <w:r>
              <w:rPr>
                <w:b/>
                <w:bCs/>
                <w:color w:val="606060"/>
                <w:sz w:val="22"/>
                <w:szCs w:val="22"/>
              </w:rPr>
              <w:t>Original Target Values (from approval documents)</w:t>
            </w:r>
          </w:p>
        </w:tc>
        <w:tc>
          <w:tcPr>
            <w:tcW w:w="1352"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06A7387" w14:textId="77777777" w:rsidR="00F42214" w:rsidRDefault="00F42214">
            <w:pPr>
              <w:keepNext/>
              <w:keepLines/>
              <w:jc w:val="center"/>
              <w:rPr>
                <w:b/>
                <w:bCs/>
                <w:color w:val="606060"/>
                <w:sz w:val="22"/>
                <w:szCs w:val="22"/>
              </w:rPr>
            </w:pPr>
            <w:r>
              <w:rPr>
                <w:b/>
                <w:bCs/>
                <w:color w:val="606060"/>
                <w:sz w:val="22"/>
                <w:szCs w:val="22"/>
              </w:rPr>
              <w:t>Formally Revised Target Values</w:t>
            </w:r>
          </w:p>
        </w:tc>
        <w:tc>
          <w:tcPr>
            <w:tcW w:w="1805"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3EDEEC4B" w14:textId="77777777" w:rsidR="00F42214" w:rsidRDefault="00F42214">
            <w:pPr>
              <w:keepNext/>
              <w:keepLines/>
              <w:jc w:val="center"/>
              <w:rPr>
                <w:b/>
                <w:bCs/>
                <w:color w:val="606060"/>
                <w:sz w:val="22"/>
                <w:szCs w:val="22"/>
              </w:rPr>
            </w:pPr>
            <w:r>
              <w:rPr>
                <w:b/>
                <w:bCs/>
                <w:color w:val="606060"/>
                <w:sz w:val="22"/>
                <w:szCs w:val="22"/>
              </w:rPr>
              <w:t>Actual Value Achieved at Completion or Target Years</w:t>
            </w:r>
          </w:p>
        </w:tc>
      </w:tr>
      <w:tr w:rsidR="00F42214" w14:paraId="0D80687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905611F" w14:textId="77777777" w:rsidR="00F42214" w:rsidRDefault="00F42214">
            <w:pPr>
              <w:spacing w:line="200" w:lineRule="atLeast"/>
              <w:rPr>
                <w:color w:val="000000"/>
                <w:sz w:val="22"/>
                <w:szCs w:val="22"/>
              </w:rPr>
            </w:pPr>
            <w:r>
              <w:rPr>
                <w:rStyle w:val="Strong"/>
                <w:color w:val="000000"/>
                <w:sz w:val="22"/>
                <w:szCs w:val="22"/>
              </w:rPr>
              <w:t xml:space="preserve">Indicator 1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2E6B8734" w14:textId="77777777" w:rsidR="00F42214" w:rsidRDefault="00F42214">
            <w:r>
              <w:t xml:space="preserve">10% increase in PWDs using the services provided by NGOs contracted by JPUF-original </w:t>
            </w:r>
          </w:p>
          <w:p w14:paraId="6E2E9E6B" w14:textId="77777777" w:rsidR="00F42214" w:rsidRDefault="00F42214">
            <w:pPr>
              <w:spacing w:line="200" w:lineRule="atLeast"/>
              <w:rPr>
                <w:color w:val="000000"/>
                <w:sz w:val="22"/>
                <w:szCs w:val="22"/>
              </w:rPr>
            </w:pPr>
          </w:p>
        </w:tc>
      </w:tr>
      <w:tr w:rsidR="00F42214" w14:paraId="5AF704F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2350908" w14:textId="77777777" w:rsidR="00F42214" w:rsidRDefault="00F42214">
            <w:pPr>
              <w:spacing w:line="200" w:lineRule="atLeast"/>
              <w:rPr>
                <w:color w:val="000000"/>
                <w:sz w:val="22"/>
                <w:szCs w:val="22"/>
              </w:rPr>
            </w:pPr>
            <w:r>
              <w:rPr>
                <w:color w:val="000000"/>
                <w:sz w:val="22"/>
                <w:szCs w:val="22"/>
              </w:rPr>
              <w:t xml:space="preserve">Value </w:t>
            </w:r>
          </w:p>
          <w:p w14:paraId="17A84349" w14:textId="77777777" w:rsidR="00F42214" w:rsidRDefault="00F42214">
            <w:pPr>
              <w:spacing w:line="200" w:lineRule="atLeast"/>
              <w:rPr>
                <w:color w:val="000000"/>
                <w:sz w:val="22"/>
                <w:szCs w:val="22"/>
              </w:rPr>
            </w:pPr>
            <w:r>
              <w:rPr>
                <w:color w:val="000000"/>
                <w:sz w:val="22"/>
                <w:szCs w:val="22"/>
              </w:rPr>
              <w:t xml:space="preserve">(quantitative </w:t>
            </w:r>
          </w:p>
          <w:p w14:paraId="2D2A1705"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2C1E9F1" w14:textId="77777777" w:rsidR="00F42214" w:rsidRDefault="00F42214">
            <w:r>
              <w:t xml:space="preserve">35,000 </w:t>
            </w:r>
          </w:p>
          <w:p w14:paraId="24389533"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29C0866B" w14:textId="77777777" w:rsidR="00F42214" w:rsidRDefault="00F42214">
            <w:r>
              <w:t xml:space="preserve">8-10% increase + assessment to verify performance </w:t>
            </w:r>
          </w:p>
          <w:p w14:paraId="59F175E2"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1F445617" w14:textId="77777777" w:rsidR="00F42214" w:rsidRDefault="00F42214"/>
          <w:p w14:paraId="1BA774E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23D1692" w14:textId="77777777" w:rsidR="00F42214" w:rsidRDefault="00F42214"/>
          <w:p w14:paraId="7C977F2E" w14:textId="77777777" w:rsidR="00F42214" w:rsidRDefault="00F42214">
            <w:pPr>
              <w:spacing w:line="200" w:lineRule="atLeast"/>
              <w:rPr>
                <w:color w:val="000000"/>
                <w:sz w:val="22"/>
                <w:szCs w:val="22"/>
              </w:rPr>
            </w:pPr>
          </w:p>
        </w:tc>
      </w:tr>
      <w:tr w:rsidR="00F42214" w14:paraId="33D2274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18769C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2F2BC08"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45246196"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1FC099C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AD90CF0" w14:textId="77777777" w:rsidR="00F42214" w:rsidRDefault="00F42214">
            <w:pPr>
              <w:spacing w:line="200" w:lineRule="atLeast"/>
              <w:rPr>
                <w:color w:val="000000"/>
                <w:sz w:val="22"/>
                <w:szCs w:val="22"/>
              </w:rPr>
            </w:pPr>
          </w:p>
        </w:tc>
      </w:tr>
      <w:tr w:rsidR="00F42214" w14:paraId="735A11C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038E12D" w14:textId="77777777" w:rsidR="00F42214" w:rsidRDefault="00F42214">
            <w:pPr>
              <w:spacing w:line="200" w:lineRule="atLeast"/>
              <w:rPr>
                <w:color w:val="000000"/>
                <w:sz w:val="22"/>
                <w:szCs w:val="22"/>
              </w:rPr>
            </w:pPr>
            <w:r>
              <w:rPr>
                <w:color w:val="000000"/>
                <w:sz w:val="22"/>
                <w:szCs w:val="22"/>
              </w:rPr>
              <w:t xml:space="preserve">Comments </w:t>
            </w:r>
          </w:p>
          <w:p w14:paraId="412338CA" w14:textId="77777777" w:rsidR="00F42214" w:rsidRDefault="00F42214">
            <w:pPr>
              <w:spacing w:line="200" w:lineRule="atLeast"/>
              <w:rPr>
                <w:color w:val="000000"/>
                <w:sz w:val="22"/>
                <w:szCs w:val="22"/>
              </w:rPr>
            </w:pPr>
            <w:r>
              <w:rPr>
                <w:color w:val="000000"/>
                <w:sz w:val="22"/>
                <w:szCs w:val="22"/>
              </w:rPr>
              <w:t xml:space="preserve">(incl. % </w:t>
            </w:r>
          </w:p>
          <w:p w14:paraId="7F46751F"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4D081B00" w14:textId="77777777" w:rsidR="00F42214" w:rsidRDefault="00F42214">
            <w:r>
              <w:t xml:space="preserve">Dropped during the first restructuring. Became irrelevant as JPUF no longer needed to contract NGOs for service provision. </w:t>
            </w:r>
          </w:p>
          <w:p w14:paraId="4B00A8D7" w14:textId="77777777" w:rsidR="00F42214" w:rsidRDefault="00F42214">
            <w:pPr>
              <w:spacing w:line="200" w:lineRule="atLeast"/>
              <w:rPr>
                <w:color w:val="000000"/>
                <w:sz w:val="22"/>
                <w:szCs w:val="22"/>
              </w:rPr>
            </w:pPr>
          </w:p>
        </w:tc>
      </w:tr>
      <w:tr w:rsidR="00F42214" w14:paraId="105E91F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168D8AE" w14:textId="77777777" w:rsidR="00F42214" w:rsidRDefault="00F42214">
            <w:pPr>
              <w:spacing w:line="200" w:lineRule="atLeast"/>
              <w:rPr>
                <w:color w:val="000000"/>
                <w:sz w:val="22"/>
                <w:szCs w:val="22"/>
              </w:rPr>
            </w:pPr>
            <w:r>
              <w:rPr>
                <w:rStyle w:val="Strong"/>
                <w:color w:val="000000"/>
                <w:sz w:val="22"/>
                <w:szCs w:val="22"/>
              </w:rPr>
              <w:t xml:space="preserve">Indicator 2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0E4D7FE1" w14:textId="77777777" w:rsidR="00F42214" w:rsidRDefault="00F42214">
            <w:r>
              <w:t xml:space="preserve">Percentage increase in the number of NGOs, DPOs and community groups capable of developing and implementing rehabilitation and other disability services -original </w:t>
            </w:r>
          </w:p>
          <w:p w14:paraId="4E2F8718" w14:textId="77777777" w:rsidR="00F42214" w:rsidRDefault="00F42214">
            <w:pPr>
              <w:spacing w:line="200" w:lineRule="atLeast"/>
              <w:rPr>
                <w:color w:val="000000"/>
                <w:sz w:val="22"/>
                <w:szCs w:val="22"/>
              </w:rPr>
            </w:pPr>
          </w:p>
        </w:tc>
      </w:tr>
      <w:tr w:rsidR="00F42214" w14:paraId="15D53BE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7118572" w14:textId="77777777" w:rsidR="00F42214" w:rsidRDefault="00F42214">
            <w:pPr>
              <w:spacing w:line="200" w:lineRule="atLeast"/>
              <w:rPr>
                <w:color w:val="000000"/>
                <w:sz w:val="22"/>
                <w:szCs w:val="22"/>
              </w:rPr>
            </w:pPr>
            <w:r>
              <w:rPr>
                <w:color w:val="000000"/>
                <w:sz w:val="22"/>
                <w:szCs w:val="22"/>
              </w:rPr>
              <w:t xml:space="preserve">Value </w:t>
            </w:r>
          </w:p>
          <w:p w14:paraId="1639376A" w14:textId="77777777" w:rsidR="00F42214" w:rsidRDefault="00F42214">
            <w:pPr>
              <w:spacing w:line="200" w:lineRule="atLeast"/>
              <w:rPr>
                <w:color w:val="000000"/>
                <w:sz w:val="22"/>
                <w:szCs w:val="22"/>
              </w:rPr>
            </w:pPr>
            <w:r>
              <w:rPr>
                <w:color w:val="000000"/>
                <w:sz w:val="22"/>
                <w:szCs w:val="22"/>
              </w:rPr>
              <w:t xml:space="preserve">(quantitative </w:t>
            </w:r>
          </w:p>
          <w:p w14:paraId="2C0F9E8C"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6E422DCF" w14:textId="77777777" w:rsidR="00F42214" w:rsidRDefault="00F42214">
            <w:r>
              <w:t xml:space="preserve">521 </w:t>
            </w:r>
          </w:p>
          <w:p w14:paraId="7BE44CF1"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0068A560" w14:textId="77777777" w:rsidR="00F42214" w:rsidRDefault="00F42214">
            <w:r>
              <w:t xml:space="preserve">500-600 </w:t>
            </w:r>
          </w:p>
          <w:p w14:paraId="499D1609"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2A634006" w14:textId="77777777" w:rsidR="00F42214" w:rsidRDefault="00F42214"/>
          <w:p w14:paraId="3C9BE57F"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43BFFF45" w14:textId="77777777" w:rsidR="00F42214" w:rsidRDefault="00F42214"/>
          <w:p w14:paraId="37B0D481" w14:textId="77777777" w:rsidR="00F42214" w:rsidRDefault="00F42214">
            <w:pPr>
              <w:spacing w:line="200" w:lineRule="atLeast"/>
              <w:rPr>
                <w:color w:val="000000"/>
                <w:sz w:val="22"/>
                <w:szCs w:val="22"/>
              </w:rPr>
            </w:pPr>
          </w:p>
        </w:tc>
      </w:tr>
      <w:tr w:rsidR="00F42214" w14:paraId="71538EE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0688528"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4C920C1"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22FA620F"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7A909A09"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18723B24" w14:textId="77777777" w:rsidR="00F42214" w:rsidRDefault="00F42214">
            <w:pPr>
              <w:spacing w:line="200" w:lineRule="atLeast"/>
              <w:rPr>
                <w:color w:val="000000"/>
                <w:sz w:val="22"/>
                <w:szCs w:val="22"/>
              </w:rPr>
            </w:pPr>
          </w:p>
        </w:tc>
      </w:tr>
      <w:tr w:rsidR="00F42214" w14:paraId="4DD9141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D9DD796" w14:textId="77777777" w:rsidR="00F42214" w:rsidRDefault="00F42214">
            <w:pPr>
              <w:spacing w:line="200" w:lineRule="atLeast"/>
              <w:rPr>
                <w:color w:val="000000"/>
                <w:sz w:val="22"/>
                <w:szCs w:val="22"/>
              </w:rPr>
            </w:pPr>
            <w:r>
              <w:rPr>
                <w:color w:val="000000"/>
                <w:sz w:val="22"/>
                <w:szCs w:val="22"/>
              </w:rPr>
              <w:t xml:space="preserve">Comments </w:t>
            </w:r>
          </w:p>
          <w:p w14:paraId="1B645AA7" w14:textId="77777777" w:rsidR="00F42214" w:rsidRDefault="00F42214">
            <w:pPr>
              <w:spacing w:line="200" w:lineRule="atLeast"/>
              <w:rPr>
                <w:color w:val="000000"/>
                <w:sz w:val="22"/>
                <w:szCs w:val="22"/>
              </w:rPr>
            </w:pPr>
            <w:r>
              <w:rPr>
                <w:color w:val="000000"/>
                <w:sz w:val="22"/>
                <w:szCs w:val="22"/>
              </w:rPr>
              <w:t xml:space="preserve">(incl. % </w:t>
            </w:r>
          </w:p>
          <w:p w14:paraId="73F6853E"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3628DCA" w14:textId="77777777" w:rsidR="00F42214" w:rsidRDefault="00F42214">
            <w:r>
              <w:t xml:space="preserve">Dropped during the first restructuring. Became irrelevant due to focus on government provision of disability services. </w:t>
            </w:r>
          </w:p>
          <w:p w14:paraId="06E65860" w14:textId="77777777" w:rsidR="00F42214" w:rsidRDefault="00F42214">
            <w:pPr>
              <w:spacing w:line="200" w:lineRule="atLeast"/>
              <w:rPr>
                <w:color w:val="000000"/>
                <w:sz w:val="22"/>
                <w:szCs w:val="22"/>
              </w:rPr>
            </w:pPr>
          </w:p>
        </w:tc>
      </w:tr>
      <w:tr w:rsidR="00F42214" w14:paraId="69F0039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BE5BA69" w14:textId="77777777" w:rsidR="00F42214" w:rsidRDefault="00F42214">
            <w:pPr>
              <w:spacing w:line="200" w:lineRule="atLeast"/>
              <w:rPr>
                <w:color w:val="000000"/>
                <w:sz w:val="22"/>
                <w:szCs w:val="22"/>
              </w:rPr>
            </w:pPr>
            <w:r>
              <w:rPr>
                <w:rStyle w:val="Strong"/>
                <w:color w:val="000000"/>
                <w:sz w:val="22"/>
                <w:szCs w:val="22"/>
              </w:rPr>
              <w:t xml:space="preserve">Indicator 3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72D1D1E" w14:textId="77777777" w:rsidR="00F42214" w:rsidRDefault="00F42214">
            <w:r>
              <w:t xml:space="preserve">Percentage increased in the number of NGOs, PDOs capable of providing specialized services on specific issues (such as early detection of disabilities and impairments-original </w:t>
            </w:r>
          </w:p>
          <w:p w14:paraId="78C2F2F8" w14:textId="77777777" w:rsidR="00F42214" w:rsidRDefault="00F42214">
            <w:pPr>
              <w:spacing w:line="200" w:lineRule="atLeast"/>
              <w:rPr>
                <w:color w:val="000000"/>
                <w:sz w:val="22"/>
                <w:szCs w:val="22"/>
              </w:rPr>
            </w:pPr>
          </w:p>
        </w:tc>
      </w:tr>
      <w:tr w:rsidR="00F42214" w14:paraId="24C6EAB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7C6761F" w14:textId="77777777" w:rsidR="00F42214" w:rsidRDefault="00F42214">
            <w:pPr>
              <w:spacing w:line="200" w:lineRule="atLeast"/>
              <w:rPr>
                <w:color w:val="000000"/>
                <w:sz w:val="22"/>
                <w:szCs w:val="22"/>
              </w:rPr>
            </w:pPr>
            <w:r>
              <w:rPr>
                <w:color w:val="000000"/>
                <w:sz w:val="22"/>
                <w:szCs w:val="22"/>
              </w:rPr>
              <w:t xml:space="preserve">Value </w:t>
            </w:r>
          </w:p>
          <w:p w14:paraId="53AE5AED" w14:textId="77777777" w:rsidR="00F42214" w:rsidRDefault="00F42214">
            <w:pPr>
              <w:spacing w:line="200" w:lineRule="atLeast"/>
              <w:rPr>
                <w:color w:val="000000"/>
                <w:sz w:val="22"/>
                <w:szCs w:val="22"/>
              </w:rPr>
            </w:pPr>
            <w:r>
              <w:rPr>
                <w:color w:val="000000"/>
                <w:sz w:val="22"/>
                <w:szCs w:val="22"/>
              </w:rPr>
              <w:t xml:space="preserve">(quantitative </w:t>
            </w:r>
          </w:p>
          <w:p w14:paraId="62E323DE"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3EE3D976" w14:textId="77777777" w:rsidR="00F42214" w:rsidRDefault="00F42214">
            <w:r>
              <w:t xml:space="preserve">89 </w:t>
            </w:r>
          </w:p>
          <w:p w14:paraId="461A473A"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792B6138" w14:textId="77777777" w:rsidR="00F42214" w:rsidRDefault="00F42214">
            <w:r>
              <w:t xml:space="preserve">75-100 </w:t>
            </w:r>
          </w:p>
          <w:p w14:paraId="103DA9CB"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28A77B62" w14:textId="77777777" w:rsidR="00F42214" w:rsidRDefault="00F42214"/>
          <w:p w14:paraId="3C351FA4"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5D0BA387" w14:textId="77777777" w:rsidR="00F42214" w:rsidRDefault="00F42214"/>
          <w:p w14:paraId="228D60CA" w14:textId="77777777" w:rsidR="00F42214" w:rsidRDefault="00F42214">
            <w:pPr>
              <w:spacing w:line="200" w:lineRule="atLeast"/>
              <w:rPr>
                <w:color w:val="000000"/>
                <w:sz w:val="22"/>
                <w:szCs w:val="22"/>
              </w:rPr>
            </w:pPr>
          </w:p>
        </w:tc>
      </w:tr>
      <w:tr w:rsidR="00F42214" w14:paraId="3E53EAC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E2662D0"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1A9AF97"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5C1E83C"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7AF6F7FF"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6F94E64C" w14:textId="77777777" w:rsidR="00F42214" w:rsidRDefault="00F42214">
            <w:pPr>
              <w:spacing w:line="200" w:lineRule="atLeast"/>
              <w:rPr>
                <w:color w:val="000000"/>
                <w:sz w:val="22"/>
                <w:szCs w:val="22"/>
              </w:rPr>
            </w:pPr>
          </w:p>
        </w:tc>
      </w:tr>
      <w:tr w:rsidR="00F42214" w14:paraId="6E565A0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4625678" w14:textId="77777777" w:rsidR="00F42214" w:rsidRDefault="00F42214">
            <w:pPr>
              <w:spacing w:line="200" w:lineRule="atLeast"/>
              <w:rPr>
                <w:color w:val="000000"/>
                <w:sz w:val="22"/>
                <w:szCs w:val="22"/>
              </w:rPr>
            </w:pPr>
            <w:r>
              <w:rPr>
                <w:color w:val="000000"/>
                <w:sz w:val="22"/>
                <w:szCs w:val="22"/>
              </w:rPr>
              <w:t xml:space="preserve">Comments </w:t>
            </w:r>
          </w:p>
          <w:p w14:paraId="3B9BF756" w14:textId="77777777" w:rsidR="00F42214" w:rsidRDefault="00F42214">
            <w:pPr>
              <w:spacing w:line="200" w:lineRule="atLeast"/>
              <w:rPr>
                <w:color w:val="000000"/>
                <w:sz w:val="22"/>
                <w:szCs w:val="22"/>
              </w:rPr>
            </w:pPr>
            <w:r>
              <w:rPr>
                <w:color w:val="000000"/>
                <w:sz w:val="22"/>
                <w:szCs w:val="22"/>
              </w:rPr>
              <w:t xml:space="preserve">(incl. % </w:t>
            </w:r>
          </w:p>
          <w:p w14:paraId="696C6B7E"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F64A506" w14:textId="77777777" w:rsidR="00F42214" w:rsidRDefault="00F42214">
            <w:r>
              <w:t xml:space="preserve">Dropped during the first restructuring. Became irrelevant due to focus on government provision of disability services. </w:t>
            </w:r>
          </w:p>
          <w:p w14:paraId="531BD8BB" w14:textId="77777777" w:rsidR="00F42214" w:rsidRDefault="00F42214">
            <w:pPr>
              <w:spacing w:line="200" w:lineRule="atLeast"/>
              <w:rPr>
                <w:color w:val="000000"/>
                <w:sz w:val="22"/>
                <w:szCs w:val="22"/>
              </w:rPr>
            </w:pPr>
          </w:p>
        </w:tc>
      </w:tr>
      <w:tr w:rsidR="00F42214" w14:paraId="24BBF57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1C854BA" w14:textId="77777777" w:rsidR="00F42214" w:rsidRDefault="00F42214">
            <w:pPr>
              <w:spacing w:line="200" w:lineRule="atLeast"/>
              <w:rPr>
                <w:color w:val="000000"/>
                <w:sz w:val="22"/>
                <w:szCs w:val="22"/>
              </w:rPr>
            </w:pPr>
            <w:r>
              <w:rPr>
                <w:rStyle w:val="Strong"/>
                <w:color w:val="000000"/>
                <w:sz w:val="22"/>
                <w:szCs w:val="22"/>
              </w:rPr>
              <w:t xml:space="preserve">Indicator 4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D670E0D" w14:textId="77777777" w:rsidR="00F42214" w:rsidRDefault="00F42214">
            <w:r>
              <w:t xml:space="preserve">At least 10 spot surveys over a period of 5 years conducted to assess awareness on specific disability issues and need of relevant care-original </w:t>
            </w:r>
          </w:p>
          <w:p w14:paraId="7593088D" w14:textId="77777777" w:rsidR="00F42214" w:rsidRDefault="00F42214">
            <w:pPr>
              <w:spacing w:line="200" w:lineRule="atLeast"/>
              <w:rPr>
                <w:color w:val="000000"/>
                <w:sz w:val="22"/>
                <w:szCs w:val="22"/>
              </w:rPr>
            </w:pPr>
          </w:p>
        </w:tc>
      </w:tr>
      <w:tr w:rsidR="00F42214" w14:paraId="1984881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9C5CEBE" w14:textId="77777777" w:rsidR="00F42214" w:rsidRDefault="00F42214">
            <w:pPr>
              <w:spacing w:line="200" w:lineRule="atLeast"/>
              <w:rPr>
                <w:color w:val="000000"/>
                <w:sz w:val="22"/>
                <w:szCs w:val="22"/>
              </w:rPr>
            </w:pPr>
            <w:r>
              <w:rPr>
                <w:color w:val="000000"/>
                <w:sz w:val="22"/>
                <w:szCs w:val="22"/>
              </w:rPr>
              <w:t xml:space="preserve">Value </w:t>
            </w:r>
          </w:p>
          <w:p w14:paraId="1499456A" w14:textId="77777777" w:rsidR="00F42214" w:rsidRDefault="00F42214">
            <w:pPr>
              <w:spacing w:line="200" w:lineRule="atLeast"/>
              <w:rPr>
                <w:color w:val="000000"/>
                <w:sz w:val="22"/>
                <w:szCs w:val="22"/>
              </w:rPr>
            </w:pPr>
            <w:r>
              <w:rPr>
                <w:color w:val="000000"/>
                <w:sz w:val="22"/>
                <w:szCs w:val="22"/>
              </w:rPr>
              <w:t xml:space="preserve">(quantitative </w:t>
            </w:r>
          </w:p>
          <w:p w14:paraId="5708A6AF"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01EF63BD" w14:textId="77777777" w:rsidR="00F42214" w:rsidRDefault="00F42214">
            <w:r>
              <w:t xml:space="preserve">N/A </w:t>
            </w:r>
          </w:p>
          <w:p w14:paraId="57D20D2B"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30501DB7" w14:textId="77777777" w:rsidR="00F42214" w:rsidRDefault="00F42214">
            <w:r>
              <w:t xml:space="preserve">5-8 </w:t>
            </w:r>
          </w:p>
          <w:p w14:paraId="0C90BFF6"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282108F9" w14:textId="77777777" w:rsidR="00F42214" w:rsidRDefault="00F42214"/>
          <w:p w14:paraId="166212AC"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4B731EA2" w14:textId="77777777" w:rsidR="00F42214" w:rsidRDefault="00F42214">
            <w:r>
              <w:t xml:space="preserve">2 </w:t>
            </w:r>
          </w:p>
          <w:p w14:paraId="1A6B1800" w14:textId="77777777" w:rsidR="00F42214" w:rsidRDefault="00F42214">
            <w:pPr>
              <w:spacing w:line="200" w:lineRule="atLeast"/>
              <w:rPr>
                <w:color w:val="000000"/>
                <w:sz w:val="22"/>
                <w:szCs w:val="22"/>
              </w:rPr>
            </w:pPr>
          </w:p>
        </w:tc>
      </w:tr>
      <w:tr w:rsidR="00F42214" w14:paraId="786D792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C660798"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413E03E5"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3285272"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3CEF8242"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4B64E336" w14:textId="77777777" w:rsidR="00F42214" w:rsidRDefault="00F42214">
            <w:pPr>
              <w:spacing w:line="200" w:lineRule="atLeast"/>
              <w:rPr>
                <w:color w:val="000000"/>
                <w:sz w:val="22"/>
                <w:szCs w:val="22"/>
              </w:rPr>
            </w:pPr>
            <w:r>
              <w:rPr>
                <w:color w:val="000000"/>
                <w:sz w:val="22"/>
                <w:szCs w:val="22"/>
              </w:rPr>
              <w:t>06/30/2016</w:t>
            </w:r>
          </w:p>
        </w:tc>
      </w:tr>
      <w:tr w:rsidR="00F42214" w14:paraId="11DE85A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ACE2557" w14:textId="77777777" w:rsidR="00F42214" w:rsidRDefault="00F42214">
            <w:pPr>
              <w:spacing w:line="200" w:lineRule="atLeast"/>
              <w:rPr>
                <w:color w:val="000000"/>
                <w:sz w:val="22"/>
                <w:szCs w:val="22"/>
              </w:rPr>
            </w:pPr>
            <w:r>
              <w:rPr>
                <w:color w:val="000000"/>
                <w:sz w:val="22"/>
                <w:szCs w:val="22"/>
              </w:rPr>
              <w:t xml:space="preserve">Comments </w:t>
            </w:r>
          </w:p>
          <w:p w14:paraId="717B2F6D" w14:textId="77777777" w:rsidR="00F42214" w:rsidRDefault="00F42214">
            <w:pPr>
              <w:spacing w:line="200" w:lineRule="atLeast"/>
              <w:rPr>
                <w:color w:val="000000"/>
                <w:sz w:val="22"/>
                <w:szCs w:val="22"/>
              </w:rPr>
            </w:pPr>
            <w:r>
              <w:rPr>
                <w:color w:val="000000"/>
                <w:sz w:val="22"/>
                <w:szCs w:val="22"/>
              </w:rPr>
              <w:t xml:space="preserve">(incl. % </w:t>
            </w:r>
          </w:p>
          <w:p w14:paraId="1DD76AFA"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C2FAE64" w14:textId="77777777" w:rsidR="00F42214" w:rsidRDefault="00F42214">
            <w:r>
              <w:t xml:space="preserve">NOT ACHIEVED: Dropped during the first restructuring, but in the course of the project 2 spot surveys have been conducted. </w:t>
            </w:r>
          </w:p>
          <w:p w14:paraId="7C422DA8" w14:textId="77777777" w:rsidR="00F42214" w:rsidRDefault="00F42214">
            <w:pPr>
              <w:spacing w:line="200" w:lineRule="atLeast"/>
              <w:rPr>
                <w:color w:val="000000"/>
                <w:sz w:val="22"/>
                <w:szCs w:val="22"/>
              </w:rPr>
            </w:pPr>
          </w:p>
        </w:tc>
      </w:tr>
      <w:tr w:rsidR="00F42214" w14:paraId="12C79EF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0B97E95" w14:textId="77777777" w:rsidR="00F42214" w:rsidRDefault="00F42214">
            <w:pPr>
              <w:spacing w:line="200" w:lineRule="atLeast"/>
              <w:rPr>
                <w:color w:val="000000"/>
                <w:sz w:val="22"/>
                <w:szCs w:val="22"/>
              </w:rPr>
            </w:pPr>
            <w:r>
              <w:rPr>
                <w:rStyle w:val="Strong"/>
                <w:color w:val="000000"/>
                <w:sz w:val="22"/>
                <w:szCs w:val="22"/>
              </w:rPr>
              <w:t xml:space="preserve">Indicator 5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0739CEBB" w14:textId="77777777" w:rsidR="00F42214" w:rsidRDefault="00F42214">
            <w:r>
              <w:t xml:space="preserve">JPUF capable of delivering disability services nationwide-original </w:t>
            </w:r>
          </w:p>
          <w:p w14:paraId="4FBCA30A" w14:textId="77777777" w:rsidR="00F42214" w:rsidRDefault="00F42214">
            <w:pPr>
              <w:spacing w:line="200" w:lineRule="atLeast"/>
              <w:rPr>
                <w:color w:val="000000"/>
                <w:sz w:val="22"/>
                <w:szCs w:val="22"/>
              </w:rPr>
            </w:pPr>
          </w:p>
        </w:tc>
      </w:tr>
      <w:tr w:rsidR="00F42214" w14:paraId="7F33A7E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F290AAC" w14:textId="77777777" w:rsidR="00F42214" w:rsidRDefault="00F42214">
            <w:pPr>
              <w:spacing w:line="200" w:lineRule="atLeast"/>
              <w:rPr>
                <w:color w:val="000000"/>
                <w:sz w:val="22"/>
                <w:szCs w:val="22"/>
              </w:rPr>
            </w:pPr>
            <w:r>
              <w:rPr>
                <w:color w:val="000000"/>
                <w:sz w:val="22"/>
                <w:szCs w:val="22"/>
              </w:rPr>
              <w:t xml:space="preserve">Value </w:t>
            </w:r>
          </w:p>
          <w:p w14:paraId="348B25C7" w14:textId="77777777" w:rsidR="00F42214" w:rsidRDefault="00F42214">
            <w:pPr>
              <w:spacing w:line="200" w:lineRule="atLeast"/>
              <w:rPr>
                <w:color w:val="000000"/>
                <w:sz w:val="22"/>
                <w:szCs w:val="22"/>
              </w:rPr>
            </w:pPr>
            <w:r>
              <w:rPr>
                <w:color w:val="000000"/>
                <w:sz w:val="22"/>
                <w:szCs w:val="22"/>
              </w:rPr>
              <w:t xml:space="preserve">(quantitative </w:t>
            </w:r>
          </w:p>
          <w:p w14:paraId="59350D19"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63444EB3" w14:textId="77777777" w:rsidR="00F42214" w:rsidRDefault="00F42214">
            <w:r>
              <w:t xml:space="preserve">N/A </w:t>
            </w:r>
          </w:p>
          <w:p w14:paraId="4E8C01F7"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6C3451DF" w14:textId="77777777" w:rsidR="00F42214" w:rsidRDefault="00F42214">
            <w:r>
              <w:t xml:space="preserve">YES </w:t>
            </w:r>
          </w:p>
          <w:p w14:paraId="2E35BC7E"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5E8CF794" w14:textId="77777777" w:rsidR="00F42214" w:rsidRDefault="00F42214"/>
          <w:p w14:paraId="6102BF62"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4174EB8B" w14:textId="77777777" w:rsidR="00F42214" w:rsidRDefault="00F42214">
            <w:r>
              <w:t xml:space="preserve">YES </w:t>
            </w:r>
          </w:p>
          <w:p w14:paraId="3D7CFE46" w14:textId="77777777" w:rsidR="00F42214" w:rsidRDefault="00F42214">
            <w:pPr>
              <w:spacing w:line="200" w:lineRule="atLeast"/>
              <w:rPr>
                <w:color w:val="000000"/>
                <w:sz w:val="22"/>
                <w:szCs w:val="22"/>
              </w:rPr>
            </w:pPr>
          </w:p>
        </w:tc>
      </w:tr>
      <w:tr w:rsidR="00F42214" w14:paraId="014D5A2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BBD5F5F"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B00B586"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5540B2D1"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2E18CD4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0888C07E" w14:textId="77777777" w:rsidR="00F42214" w:rsidRDefault="00F42214">
            <w:pPr>
              <w:spacing w:line="200" w:lineRule="atLeast"/>
              <w:rPr>
                <w:color w:val="000000"/>
                <w:sz w:val="22"/>
                <w:szCs w:val="22"/>
              </w:rPr>
            </w:pPr>
            <w:r>
              <w:rPr>
                <w:color w:val="000000"/>
                <w:sz w:val="22"/>
                <w:szCs w:val="22"/>
              </w:rPr>
              <w:t>06/30/2016</w:t>
            </w:r>
          </w:p>
        </w:tc>
      </w:tr>
      <w:tr w:rsidR="00F42214" w14:paraId="1D8E719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F872185" w14:textId="77777777" w:rsidR="00F42214" w:rsidRDefault="00F42214">
            <w:pPr>
              <w:spacing w:line="200" w:lineRule="atLeast"/>
              <w:rPr>
                <w:color w:val="000000"/>
                <w:sz w:val="22"/>
                <w:szCs w:val="22"/>
              </w:rPr>
            </w:pPr>
            <w:r>
              <w:rPr>
                <w:color w:val="000000"/>
                <w:sz w:val="22"/>
                <w:szCs w:val="22"/>
              </w:rPr>
              <w:t xml:space="preserve">Comments </w:t>
            </w:r>
          </w:p>
          <w:p w14:paraId="4E1D9F04" w14:textId="77777777" w:rsidR="00F42214" w:rsidRDefault="00F42214">
            <w:pPr>
              <w:spacing w:line="200" w:lineRule="atLeast"/>
              <w:rPr>
                <w:color w:val="000000"/>
                <w:sz w:val="22"/>
                <w:szCs w:val="22"/>
              </w:rPr>
            </w:pPr>
            <w:r>
              <w:rPr>
                <w:color w:val="000000"/>
                <w:sz w:val="22"/>
                <w:szCs w:val="22"/>
              </w:rPr>
              <w:t xml:space="preserve">(incl. % </w:t>
            </w:r>
          </w:p>
          <w:p w14:paraId="616A4E88"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4653931E" w14:textId="77777777" w:rsidR="00F42214" w:rsidRDefault="00F42214">
            <w:r>
              <w:t xml:space="preserve">ACHIEVED: Dropped during the first restructuring. However, by close of the project JPUF had services centers in all 64 districts of the country. </w:t>
            </w:r>
          </w:p>
          <w:p w14:paraId="0F3FCC54" w14:textId="77777777" w:rsidR="00F42214" w:rsidRDefault="00F42214">
            <w:pPr>
              <w:spacing w:line="200" w:lineRule="atLeast"/>
              <w:rPr>
                <w:color w:val="000000"/>
                <w:sz w:val="22"/>
                <w:szCs w:val="22"/>
              </w:rPr>
            </w:pPr>
          </w:p>
        </w:tc>
      </w:tr>
      <w:tr w:rsidR="00F42214" w14:paraId="1EC12B5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CA91EE5" w14:textId="77777777" w:rsidR="00F42214" w:rsidRDefault="00F42214">
            <w:pPr>
              <w:spacing w:line="200" w:lineRule="atLeast"/>
              <w:rPr>
                <w:color w:val="000000"/>
                <w:sz w:val="22"/>
                <w:szCs w:val="22"/>
              </w:rPr>
            </w:pPr>
            <w:r>
              <w:rPr>
                <w:rStyle w:val="Strong"/>
                <w:color w:val="000000"/>
                <w:sz w:val="22"/>
                <w:szCs w:val="22"/>
              </w:rPr>
              <w:t xml:space="preserve">Indicator 6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F13445A" w14:textId="77777777" w:rsidR="00F42214" w:rsidRDefault="00F42214">
            <w:r>
              <w:t xml:space="preserve">Minimum standards of care for working with street children are developed and applied across implementing NGOs-original </w:t>
            </w:r>
          </w:p>
          <w:p w14:paraId="213238FE" w14:textId="77777777" w:rsidR="00F42214" w:rsidRDefault="00F42214">
            <w:pPr>
              <w:spacing w:line="200" w:lineRule="atLeast"/>
              <w:rPr>
                <w:color w:val="000000"/>
                <w:sz w:val="22"/>
                <w:szCs w:val="22"/>
              </w:rPr>
            </w:pPr>
          </w:p>
        </w:tc>
      </w:tr>
      <w:tr w:rsidR="00F42214" w14:paraId="0197E90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3A84B85" w14:textId="77777777" w:rsidR="00F42214" w:rsidRDefault="00F42214">
            <w:pPr>
              <w:spacing w:line="200" w:lineRule="atLeast"/>
              <w:rPr>
                <w:color w:val="000000"/>
                <w:sz w:val="22"/>
                <w:szCs w:val="22"/>
              </w:rPr>
            </w:pPr>
            <w:r>
              <w:rPr>
                <w:color w:val="000000"/>
                <w:sz w:val="22"/>
                <w:szCs w:val="22"/>
              </w:rPr>
              <w:t xml:space="preserve">Value </w:t>
            </w:r>
          </w:p>
          <w:p w14:paraId="1A661FE2" w14:textId="77777777" w:rsidR="00F42214" w:rsidRDefault="00F42214">
            <w:pPr>
              <w:spacing w:line="200" w:lineRule="atLeast"/>
              <w:rPr>
                <w:color w:val="000000"/>
                <w:sz w:val="22"/>
                <w:szCs w:val="22"/>
              </w:rPr>
            </w:pPr>
            <w:r>
              <w:rPr>
                <w:color w:val="000000"/>
                <w:sz w:val="22"/>
                <w:szCs w:val="22"/>
              </w:rPr>
              <w:t xml:space="preserve">(quantitative </w:t>
            </w:r>
          </w:p>
          <w:p w14:paraId="5AE1F099"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8D81312" w14:textId="77777777" w:rsidR="00F42214" w:rsidRDefault="00F42214">
            <w:r>
              <w:t xml:space="preserve">N/A </w:t>
            </w:r>
          </w:p>
          <w:p w14:paraId="04606C30"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02232E54" w14:textId="77777777" w:rsidR="00F42214" w:rsidRDefault="00F42214">
            <w:r>
              <w:t xml:space="preserve">At least 50% participating NGOs apply common standards properly </w:t>
            </w:r>
          </w:p>
          <w:p w14:paraId="1AB50B88"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2E883108" w14:textId="77777777" w:rsidR="00F42214" w:rsidRDefault="00F42214"/>
          <w:p w14:paraId="39CDDB78"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29696316" w14:textId="77777777" w:rsidR="00F42214" w:rsidRDefault="00F42214">
            <w:r>
              <w:t xml:space="preserve">Standards of care for working with street children are developed and shared with ICPSC staff </w:t>
            </w:r>
          </w:p>
          <w:p w14:paraId="4B0B0A53" w14:textId="77777777" w:rsidR="00F42214" w:rsidRDefault="00F42214">
            <w:pPr>
              <w:spacing w:line="200" w:lineRule="atLeast"/>
              <w:rPr>
                <w:color w:val="000000"/>
                <w:sz w:val="22"/>
                <w:szCs w:val="22"/>
              </w:rPr>
            </w:pPr>
          </w:p>
        </w:tc>
      </w:tr>
      <w:tr w:rsidR="00F42214" w14:paraId="03BB5CE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BD2461E"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CD8D1AE"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74F0CAE9"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54A55084"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650ECC2A" w14:textId="77777777" w:rsidR="00F42214" w:rsidRDefault="00F42214">
            <w:pPr>
              <w:spacing w:line="200" w:lineRule="atLeast"/>
              <w:rPr>
                <w:color w:val="000000"/>
                <w:sz w:val="22"/>
                <w:szCs w:val="22"/>
              </w:rPr>
            </w:pPr>
            <w:r>
              <w:rPr>
                <w:color w:val="000000"/>
                <w:sz w:val="22"/>
                <w:szCs w:val="22"/>
              </w:rPr>
              <w:t>06/30/2016</w:t>
            </w:r>
          </w:p>
        </w:tc>
      </w:tr>
      <w:tr w:rsidR="00F42214" w14:paraId="4B102CF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5E79DC6" w14:textId="77777777" w:rsidR="00F42214" w:rsidRDefault="00F42214">
            <w:pPr>
              <w:spacing w:line="200" w:lineRule="atLeast"/>
              <w:rPr>
                <w:color w:val="000000"/>
                <w:sz w:val="22"/>
                <w:szCs w:val="22"/>
              </w:rPr>
            </w:pPr>
            <w:r>
              <w:rPr>
                <w:color w:val="000000"/>
                <w:sz w:val="22"/>
                <w:szCs w:val="22"/>
              </w:rPr>
              <w:t xml:space="preserve">Comments </w:t>
            </w:r>
          </w:p>
          <w:p w14:paraId="619C93F0" w14:textId="77777777" w:rsidR="00F42214" w:rsidRDefault="00F42214">
            <w:pPr>
              <w:spacing w:line="200" w:lineRule="atLeast"/>
              <w:rPr>
                <w:color w:val="000000"/>
                <w:sz w:val="22"/>
                <w:szCs w:val="22"/>
              </w:rPr>
            </w:pPr>
            <w:r>
              <w:rPr>
                <w:color w:val="000000"/>
                <w:sz w:val="22"/>
                <w:szCs w:val="22"/>
              </w:rPr>
              <w:t xml:space="preserve">(incl. % </w:t>
            </w:r>
          </w:p>
          <w:p w14:paraId="4EE44450"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261DA102" w14:textId="77777777" w:rsidR="00F42214" w:rsidRDefault="00F42214">
            <w:r>
              <w:t xml:space="preserve">PARTIALLY ACHIEVED: The indicator was dropped during the first restructuring but a similar indicator was introduced in 2013 (see Indicator 15). As a result the minimum standards for working with street children were developed and shared with ICPSC staff </w:t>
            </w:r>
          </w:p>
          <w:p w14:paraId="59B68B70" w14:textId="77777777" w:rsidR="00F42214" w:rsidRDefault="00F42214">
            <w:pPr>
              <w:spacing w:line="200" w:lineRule="atLeast"/>
              <w:rPr>
                <w:color w:val="000000"/>
                <w:sz w:val="22"/>
                <w:szCs w:val="22"/>
              </w:rPr>
            </w:pPr>
          </w:p>
        </w:tc>
      </w:tr>
      <w:tr w:rsidR="00F42214" w14:paraId="787DB65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69AD5EE" w14:textId="77777777" w:rsidR="00F42214" w:rsidRDefault="00F42214">
            <w:pPr>
              <w:spacing w:line="200" w:lineRule="atLeast"/>
              <w:rPr>
                <w:color w:val="000000"/>
                <w:sz w:val="22"/>
                <w:szCs w:val="22"/>
              </w:rPr>
            </w:pPr>
            <w:r>
              <w:rPr>
                <w:rStyle w:val="Strong"/>
                <w:color w:val="000000"/>
                <w:sz w:val="22"/>
                <w:szCs w:val="22"/>
              </w:rPr>
              <w:t xml:space="preserve">Indicator 7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D0DD424" w14:textId="77777777" w:rsidR="00F42214" w:rsidRDefault="00F42214">
            <w:r>
              <w:t xml:space="preserve">Alternative care model for orphans developed and piloted - original </w:t>
            </w:r>
          </w:p>
          <w:p w14:paraId="56904A42" w14:textId="77777777" w:rsidR="00F42214" w:rsidRDefault="00F42214">
            <w:pPr>
              <w:spacing w:line="200" w:lineRule="atLeast"/>
              <w:rPr>
                <w:color w:val="000000"/>
                <w:sz w:val="22"/>
                <w:szCs w:val="22"/>
              </w:rPr>
            </w:pPr>
          </w:p>
        </w:tc>
      </w:tr>
      <w:tr w:rsidR="00F42214" w14:paraId="6237031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9CA1FAD" w14:textId="77777777" w:rsidR="00F42214" w:rsidRDefault="00F42214">
            <w:pPr>
              <w:spacing w:line="200" w:lineRule="atLeast"/>
              <w:rPr>
                <w:color w:val="000000"/>
                <w:sz w:val="22"/>
                <w:szCs w:val="22"/>
              </w:rPr>
            </w:pPr>
            <w:r>
              <w:rPr>
                <w:color w:val="000000"/>
                <w:sz w:val="22"/>
                <w:szCs w:val="22"/>
              </w:rPr>
              <w:t xml:space="preserve">Value </w:t>
            </w:r>
          </w:p>
          <w:p w14:paraId="2A2DD623" w14:textId="77777777" w:rsidR="00F42214" w:rsidRDefault="00F42214">
            <w:pPr>
              <w:spacing w:line="200" w:lineRule="atLeast"/>
              <w:rPr>
                <w:color w:val="000000"/>
                <w:sz w:val="22"/>
                <w:szCs w:val="22"/>
              </w:rPr>
            </w:pPr>
            <w:r>
              <w:rPr>
                <w:color w:val="000000"/>
                <w:sz w:val="22"/>
                <w:szCs w:val="22"/>
              </w:rPr>
              <w:t xml:space="preserve">(quantitative </w:t>
            </w:r>
          </w:p>
          <w:p w14:paraId="3B7CCF96"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3E348349" w14:textId="77777777" w:rsidR="00F42214" w:rsidRDefault="00F42214">
            <w:r>
              <w:t xml:space="preserve">N/A </w:t>
            </w:r>
          </w:p>
          <w:p w14:paraId="7F9D6088"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538D3984" w14:textId="77777777" w:rsidR="00F42214" w:rsidRDefault="00F42214">
            <w:r>
              <w:t xml:space="preserve">Decision taken by MOSW/DSS whether to continue alternative care model </w:t>
            </w:r>
          </w:p>
          <w:p w14:paraId="6BE45D62"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32DF700A" w14:textId="77777777" w:rsidR="00F42214" w:rsidRDefault="00F42214"/>
          <w:p w14:paraId="40D9F7CA"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503D727" w14:textId="77777777" w:rsidR="00F42214" w:rsidRDefault="00F42214"/>
          <w:p w14:paraId="7F61B3AD" w14:textId="77777777" w:rsidR="00F42214" w:rsidRDefault="00F42214">
            <w:pPr>
              <w:spacing w:line="200" w:lineRule="atLeast"/>
              <w:rPr>
                <w:color w:val="000000"/>
                <w:sz w:val="22"/>
                <w:szCs w:val="22"/>
              </w:rPr>
            </w:pPr>
          </w:p>
        </w:tc>
      </w:tr>
      <w:tr w:rsidR="00F42214" w14:paraId="286656D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37F2E66"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123E81A"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98C20C3"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5FD1A14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825ACE4" w14:textId="77777777" w:rsidR="00F42214" w:rsidRDefault="00F42214">
            <w:pPr>
              <w:spacing w:line="200" w:lineRule="atLeast"/>
              <w:rPr>
                <w:color w:val="000000"/>
                <w:sz w:val="22"/>
                <w:szCs w:val="22"/>
              </w:rPr>
            </w:pPr>
          </w:p>
        </w:tc>
      </w:tr>
      <w:tr w:rsidR="00F42214" w14:paraId="3F4902F6"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91EF9F4" w14:textId="77777777" w:rsidR="00F42214" w:rsidRDefault="00F42214">
            <w:pPr>
              <w:spacing w:line="200" w:lineRule="atLeast"/>
              <w:rPr>
                <w:color w:val="000000"/>
                <w:sz w:val="22"/>
                <w:szCs w:val="22"/>
              </w:rPr>
            </w:pPr>
            <w:r>
              <w:rPr>
                <w:color w:val="000000"/>
                <w:sz w:val="22"/>
                <w:szCs w:val="22"/>
              </w:rPr>
              <w:t xml:space="preserve">Comments </w:t>
            </w:r>
          </w:p>
          <w:p w14:paraId="34680326" w14:textId="77777777" w:rsidR="00F42214" w:rsidRDefault="00F42214">
            <w:pPr>
              <w:spacing w:line="200" w:lineRule="atLeast"/>
              <w:rPr>
                <w:color w:val="000000"/>
                <w:sz w:val="22"/>
                <w:szCs w:val="22"/>
              </w:rPr>
            </w:pPr>
            <w:r>
              <w:rPr>
                <w:color w:val="000000"/>
                <w:sz w:val="22"/>
                <w:szCs w:val="22"/>
              </w:rPr>
              <w:t xml:space="preserve">(incl. % </w:t>
            </w:r>
          </w:p>
          <w:p w14:paraId="154D85E0"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A159746" w14:textId="77777777" w:rsidR="00F42214" w:rsidRDefault="00F42214">
            <w:r>
              <w:t xml:space="preserve">Dropped during the first restructuring. Became irrelevant due to the change in scope of the project. </w:t>
            </w:r>
          </w:p>
          <w:p w14:paraId="09593B6A" w14:textId="77777777" w:rsidR="00F42214" w:rsidRDefault="00F42214">
            <w:pPr>
              <w:spacing w:line="200" w:lineRule="atLeast"/>
              <w:rPr>
                <w:color w:val="000000"/>
                <w:sz w:val="22"/>
                <w:szCs w:val="22"/>
              </w:rPr>
            </w:pPr>
          </w:p>
        </w:tc>
      </w:tr>
      <w:tr w:rsidR="00F42214" w14:paraId="3681CD4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F036CB5" w14:textId="77777777" w:rsidR="00F42214" w:rsidRDefault="00F42214">
            <w:pPr>
              <w:spacing w:line="200" w:lineRule="atLeast"/>
              <w:rPr>
                <w:color w:val="000000"/>
                <w:sz w:val="22"/>
                <w:szCs w:val="22"/>
              </w:rPr>
            </w:pPr>
            <w:r>
              <w:rPr>
                <w:rStyle w:val="Strong"/>
                <w:color w:val="000000"/>
                <w:sz w:val="22"/>
                <w:szCs w:val="22"/>
              </w:rPr>
              <w:t xml:space="preserve">Indicator 8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16E57AF" w14:textId="77777777" w:rsidR="00F42214" w:rsidRDefault="00F42214">
            <w:r>
              <w:t xml:space="preserve">MIS established and used to monitor service delivery to street children-original </w:t>
            </w:r>
          </w:p>
          <w:p w14:paraId="3126BF33" w14:textId="77777777" w:rsidR="00F42214" w:rsidRDefault="00F42214">
            <w:pPr>
              <w:spacing w:line="200" w:lineRule="atLeast"/>
              <w:rPr>
                <w:color w:val="000000"/>
                <w:sz w:val="22"/>
                <w:szCs w:val="22"/>
              </w:rPr>
            </w:pPr>
          </w:p>
        </w:tc>
      </w:tr>
      <w:tr w:rsidR="00F42214" w14:paraId="364DDED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CAD477B" w14:textId="77777777" w:rsidR="00F42214" w:rsidRDefault="00F42214">
            <w:pPr>
              <w:spacing w:line="200" w:lineRule="atLeast"/>
              <w:rPr>
                <w:color w:val="000000"/>
                <w:sz w:val="22"/>
                <w:szCs w:val="22"/>
              </w:rPr>
            </w:pPr>
            <w:r>
              <w:rPr>
                <w:color w:val="000000"/>
                <w:sz w:val="22"/>
                <w:szCs w:val="22"/>
              </w:rPr>
              <w:t xml:space="preserve">Value </w:t>
            </w:r>
          </w:p>
          <w:p w14:paraId="0E9C0AFC" w14:textId="77777777" w:rsidR="00F42214" w:rsidRDefault="00F42214">
            <w:pPr>
              <w:spacing w:line="200" w:lineRule="atLeast"/>
              <w:rPr>
                <w:color w:val="000000"/>
                <w:sz w:val="22"/>
                <w:szCs w:val="22"/>
              </w:rPr>
            </w:pPr>
            <w:r>
              <w:rPr>
                <w:color w:val="000000"/>
                <w:sz w:val="22"/>
                <w:szCs w:val="22"/>
              </w:rPr>
              <w:t xml:space="preserve">(quantitative </w:t>
            </w:r>
          </w:p>
          <w:p w14:paraId="135E1C19"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1C68A78D" w14:textId="77777777" w:rsidR="00F42214" w:rsidRDefault="00F42214">
            <w:r>
              <w:t xml:space="preserve">N/A </w:t>
            </w:r>
          </w:p>
          <w:p w14:paraId="75F09619"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29BB4108" w14:textId="77777777" w:rsidR="00F42214" w:rsidRDefault="00F42214">
            <w:r>
              <w:t xml:space="preserve">Fully operational </w:t>
            </w:r>
          </w:p>
          <w:p w14:paraId="0FBAA4CE"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06511E99" w14:textId="77777777" w:rsidR="00F42214" w:rsidRDefault="00F42214"/>
          <w:p w14:paraId="710F8A0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7C3016F2" w14:textId="77777777" w:rsidR="00F42214" w:rsidRDefault="00F42214">
            <w:r>
              <w:t xml:space="preserve">Fully operation </w:t>
            </w:r>
          </w:p>
          <w:p w14:paraId="5BED366D" w14:textId="77777777" w:rsidR="00F42214" w:rsidRDefault="00F42214">
            <w:pPr>
              <w:spacing w:line="200" w:lineRule="atLeast"/>
              <w:rPr>
                <w:color w:val="000000"/>
                <w:sz w:val="22"/>
                <w:szCs w:val="22"/>
              </w:rPr>
            </w:pPr>
          </w:p>
        </w:tc>
      </w:tr>
      <w:tr w:rsidR="00F42214" w14:paraId="36553C0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469F55B"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4FF68072"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3EAA6DD4"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2B4444BE"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750E07FC" w14:textId="77777777" w:rsidR="00F42214" w:rsidRDefault="00F42214">
            <w:pPr>
              <w:spacing w:line="200" w:lineRule="atLeast"/>
              <w:rPr>
                <w:color w:val="000000"/>
                <w:sz w:val="22"/>
                <w:szCs w:val="22"/>
              </w:rPr>
            </w:pPr>
            <w:r>
              <w:rPr>
                <w:color w:val="000000"/>
                <w:sz w:val="22"/>
                <w:szCs w:val="22"/>
              </w:rPr>
              <w:t>06/30/2016</w:t>
            </w:r>
          </w:p>
        </w:tc>
      </w:tr>
      <w:tr w:rsidR="00F42214" w14:paraId="4A06554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EEC4DD3" w14:textId="77777777" w:rsidR="00F42214" w:rsidRDefault="00F42214">
            <w:pPr>
              <w:spacing w:line="200" w:lineRule="atLeast"/>
              <w:rPr>
                <w:color w:val="000000"/>
                <w:sz w:val="22"/>
                <w:szCs w:val="22"/>
              </w:rPr>
            </w:pPr>
            <w:r>
              <w:rPr>
                <w:color w:val="000000"/>
                <w:sz w:val="22"/>
                <w:szCs w:val="22"/>
              </w:rPr>
              <w:t xml:space="preserve">Comments </w:t>
            </w:r>
          </w:p>
          <w:p w14:paraId="4A7298D4" w14:textId="77777777" w:rsidR="00F42214" w:rsidRDefault="00F42214">
            <w:pPr>
              <w:spacing w:line="200" w:lineRule="atLeast"/>
              <w:rPr>
                <w:color w:val="000000"/>
                <w:sz w:val="22"/>
                <w:szCs w:val="22"/>
              </w:rPr>
            </w:pPr>
            <w:r>
              <w:rPr>
                <w:color w:val="000000"/>
                <w:sz w:val="22"/>
                <w:szCs w:val="22"/>
              </w:rPr>
              <w:t xml:space="preserve">(incl. % </w:t>
            </w:r>
          </w:p>
          <w:p w14:paraId="295DDC8D"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0E2D768" w14:textId="77777777" w:rsidR="00F42214" w:rsidRDefault="00F42214">
            <w:r>
              <w:t xml:space="preserve">ACHIEVED: Dropped during the first restructuring, but a similar indicator was introduced during restructuring in 2013 and the JPUF owned MIS to monitor service delivery to street children was build and made fully operational. </w:t>
            </w:r>
          </w:p>
          <w:p w14:paraId="696E5D83" w14:textId="77777777" w:rsidR="00F42214" w:rsidRDefault="00F42214">
            <w:pPr>
              <w:spacing w:line="200" w:lineRule="atLeast"/>
              <w:rPr>
                <w:color w:val="000000"/>
                <w:sz w:val="22"/>
                <w:szCs w:val="22"/>
              </w:rPr>
            </w:pPr>
          </w:p>
        </w:tc>
      </w:tr>
      <w:tr w:rsidR="00F42214" w14:paraId="7D1D784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002C488" w14:textId="77777777" w:rsidR="00F42214" w:rsidRDefault="00F42214">
            <w:pPr>
              <w:spacing w:line="200" w:lineRule="atLeast"/>
              <w:rPr>
                <w:color w:val="000000"/>
                <w:sz w:val="22"/>
                <w:szCs w:val="22"/>
              </w:rPr>
            </w:pPr>
            <w:r>
              <w:rPr>
                <w:rStyle w:val="Strong"/>
                <w:color w:val="000000"/>
                <w:sz w:val="22"/>
                <w:szCs w:val="22"/>
              </w:rPr>
              <w:t xml:space="preserve">Indicator 9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53A8EA4" w14:textId="77777777" w:rsidR="00F42214" w:rsidRDefault="00F42214">
            <w:r>
              <w:t xml:space="preserve">Evidence of MOSW-DSS taking lead in planning and formulating policies and programs consistent with its institutional mandate-original </w:t>
            </w:r>
          </w:p>
          <w:p w14:paraId="227EFF86" w14:textId="77777777" w:rsidR="00F42214" w:rsidRDefault="00F42214">
            <w:pPr>
              <w:spacing w:line="200" w:lineRule="atLeast"/>
              <w:rPr>
                <w:color w:val="000000"/>
                <w:sz w:val="22"/>
                <w:szCs w:val="22"/>
              </w:rPr>
            </w:pPr>
          </w:p>
        </w:tc>
      </w:tr>
      <w:tr w:rsidR="00F42214" w14:paraId="1551651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E9BB892" w14:textId="77777777" w:rsidR="00F42214" w:rsidRDefault="00F42214">
            <w:pPr>
              <w:spacing w:line="200" w:lineRule="atLeast"/>
              <w:rPr>
                <w:color w:val="000000"/>
                <w:sz w:val="22"/>
                <w:szCs w:val="22"/>
              </w:rPr>
            </w:pPr>
            <w:r>
              <w:rPr>
                <w:color w:val="000000"/>
                <w:sz w:val="22"/>
                <w:szCs w:val="22"/>
              </w:rPr>
              <w:t xml:space="preserve">Value </w:t>
            </w:r>
          </w:p>
          <w:p w14:paraId="67049A38" w14:textId="77777777" w:rsidR="00F42214" w:rsidRDefault="00F42214">
            <w:pPr>
              <w:spacing w:line="200" w:lineRule="atLeast"/>
              <w:rPr>
                <w:color w:val="000000"/>
                <w:sz w:val="22"/>
                <w:szCs w:val="22"/>
              </w:rPr>
            </w:pPr>
            <w:r>
              <w:rPr>
                <w:color w:val="000000"/>
                <w:sz w:val="22"/>
                <w:szCs w:val="22"/>
              </w:rPr>
              <w:t xml:space="preserve">(quantitative </w:t>
            </w:r>
          </w:p>
          <w:p w14:paraId="369D46D0"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AB265B0" w14:textId="77777777" w:rsidR="00F42214" w:rsidRDefault="00F42214">
            <w:r>
              <w:t xml:space="preserve">N/A </w:t>
            </w:r>
          </w:p>
          <w:p w14:paraId="38F3FFC2"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03A781C2" w14:textId="77777777" w:rsidR="00F42214" w:rsidRDefault="00F42214">
            <w:r>
              <w:t xml:space="preserve">Feasibility and performance assessment </w:t>
            </w:r>
          </w:p>
          <w:p w14:paraId="4C299F81"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73D90242" w14:textId="77777777" w:rsidR="00F42214" w:rsidRDefault="00F42214"/>
          <w:p w14:paraId="67389B7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1B1A11E" w14:textId="77777777" w:rsidR="00F42214" w:rsidRDefault="00F42214">
            <w:r>
              <w:t xml:space="preserve">MoSW-DSS leading agencies on social security and disability in NSSS 2015 </w:t>
            </w:r>
          </w:p>
          <w:p w14:paraId="167EB0CD" w14:textId="77777777" w:rsidR="00F42214" w:rsidRDefault="00F42214">
            <w:pPr>
              <w:spacing w:line="200" w:lineRule="atLeast"/>
              <w:rPr>
                <w:color w:val="000000"/>
                <w:sz w:val="22"/>
                <w:szCs w:val="22"/>
              </w:rPr>
            </w:pPr>
          </w:p>
        </w:tc>
      </w:tr>
      <w:tr w:rsidR="00F42214" w14:paraId="45D7E28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EA0122C"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DE614A1"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4EB214AB"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20CFB618"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5B89859E" w14:textId="77777777" w:rsidR="00F42214" w:rsidRDefault="00F42214">
            <w:pPr>
              <w:spacing w:line="200" w:lineRule="atLeast"/>
              <w:rPr>
                <w:color w:val="000000"/>
                <w:sz w:val="22"/>
                <w:szCs w:val="22"/>
              </w:rPr>
            </w:pPr>
            <w:r>
              <w:rPr>
                <w:color w:val="000000"/>
                <w:sz w:val="22"/>
                <w:szCs w:val="22"/>
              </w:rPr>
              <w:t>06/30/2016</w:t>
            </w:r>
          </w:p>
        </w:tc>
      </w:tr>
      <w:tr w:rsidR="00F42214" w14:paraId="2F648B5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6193C1E" w14:textId="77777777" w:rsidR="00F42214" w:rsidRDefault="00F42214">
            <w:pPr>
              <w:spacing w:line="200" w:lineRule="atLeast"/>
              <w:rPr>
                <w:color w:val="000000"/>
                <w:sz w:val="22"/>
                <w:szCs w:val="22"/>
              </w:rPr>
            </w:pPr>
            <w:r>
              <w:rPr>
                <w:color w:val="000000"/>
                <w:sz w:val="22"/>
                <w:szCs w:val="22"/>
              </w:rPr>
              <w:t xml:space="preserve">Comments </w:t>
            </w:r>
          </w:p>
          <w:p w14:paraId="112408CB" w14:textId="77777777" w:rsidR="00F42214" w:rsidRDefault="00F42214">
            <w:pPr>
              <w:spacing w:line="200" w:lineRule="atLeast"/>
              <w:rPr>
                <w:color w:val="000000"/>
                <w:sz w:val="22"/>
                <w:szCs w:val="22"/>
              </w:rPr>
            </w:pPr>
            <w:r>
              <w:rPr>
                <w:color w:val="000000"/>
                <w:sz w:val="22"/>
                <w:szCs w:val="22"/>
              </w:rPr>
              <w:t xml:space="preserve">(incl. % </w:t>
            </w:r>
          </w:p>
          <w:p w14:paraId="2E720892"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7BFA50D" w14:textId="77777777" w:rsidR="00F42214" w:rsidRDefault="00F42214">
            <w:r>
              <w:t xml:space="preserve">PARTIALLY ACHIEVED: Dropped during the first restructuring. However, National Social Security Strategy (NSSS) 2015 presents MOSW leading and formulating policies and programs consistent with its institutional mandate. </w:t>
            </w:r>
          </w:p>
          <w:p w14:paraId="3E2BBFA9" w14:textId="77777777" w:rsidR="00F42214" w:rsidRDefault="00F42214">
            <w:pPr>
              <w:spacing w:line="200" w:lineRule="atLeast"/>
              <w:rPr>
                <w:color w:val="000000"/>
                <w:sz w:val="22"/>
                <w:szCs w:val="22"/>
              </w:rPr>
            </w:pPr>
          </w:p>
        </w:tc>
      </w:tr>
      <w:tr w:rsidR="00F42214" w14:paraId="5E1F84B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F4347E0" w14:textId="77777777" w:rsidR="00F42214" w:rsidRDefault="00F42214">
            <w:pPr>
              <w:spacing w:line="200" w:lineRule="atLeast"/>
              <w:rPr>
                <w:color w:val="000000"/>
                <w:sz w:val="22"/>
                <w:szCs w:val="22"/>
              </w:rPr>
            </w:pPr>
            <w:r>
              <w:rPr>
                <w:rStyle w:val="Strong"/>
                <w:color w:val="000000"/>
                <w:sz w:val="22"/>
                <w:szCs w:val="22"/>
              </w:rPr>
              <w:t xml:space="preserve">Indicator 10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3293518" w14:textId="77777777" w:rsidR="00F42214" w:rsidRDefault="00F42214">
            <w:r>
              <w:t xml:space="preserve">MIS developed and able to produce relevant reports to assess the performance of programs-original </w:t>
            </w:r>
          </w:p>
          <w:p w14:paraId="2EE68F98" w14:textId="77777777" w:rsidR="00F42214" w:rsidRDefault="00F42214">
            <w:pPr>
              <w:spacing w:line="200" w:lineRule="atLeast"/>
              <w:rPr>
                <w:color w:val="000000"/>
                <w:sz w:val="22"/>
                <w:szCs w:val="22"/>
              </w:rPr>
            </w:pPr>
          </w:p>
        </w:tc>
      </w:tr>
      <w:tr w:rsidR="00F42214" w14:paraId="4768249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A328FA1" w14:textId="77777777" w:rsidR="00F42214" w:rsidRDefault="00F42214">
            <w:pPr>
              <w:spacing w:line="200" w:lineRule="atLeast"/>
              <w:rPr>
                <w:color w:val="000000"/>
                <w:sz w:val="22"/>
                <w:szCs w:val="22"/>
              </w:rPr>
            </w:pPr>
            <w:r>
              <w:rPr>
                <w:color w:val="000000"/>
                <w:sz w:val="22"/>
                <w:szCs w:val="22"/>
              </w:rPr>
              <w:t xml:space="preserve">Value </w:t>
            </w:r>
          </w:p>
          <w:p w14:paraId="00BD1412" w14:textId="77777777" w:rsidR="00F42214" w:rsidRDefault="00F42214">
            <w:pPr>
              <w:spacing w:line="200" w:lineRule="atLeast"/>
              <w:rPr>
                <w:color w:val="000000"/>
                <w:sz w:val="22"/>
                <w:szCs w:val="22"/>
              </w:rPr>
            </w:pPr>
            <w:r>
              <w:rPr>
                <w:color w:val="000000"/>
                <w:sz w:val="22"/>
                <w:szCs w:val="22"/>
              </w:rPr>
              <w:t xml:space="preserve">(quantitative </w:t>
            </w:r>
          </w:p>
          <w:p w14:paraId="70B79E53"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F41C14D" w14:textId="77777777" w:rsidR="00F42214" w:rsidRDefault="00F42214">
            <w:r>
              <w:t xml:space="preserve">None </w:t>
            </w:r>
          </w:p>
          <w:p w14:paraId="28A1829D"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571C7A21" w14:textId="77777777" w:rsidR="00F42214" w:rsidRDefault="00F42214">
            <w:r>
              <w:t xml:space="preserve">100% ready and operational </w:t>
            </w:r>
          </w:p>
          <w:p w14:paraId="7A862D8F"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088EC488" w14:textId="77777777" w:rsidR="00F42214" w:rsidRDefault="00F42214"/>
          <w:p w14:paraId="6816595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C6F3B52" w14:textId="77777777" w:rsidR="00F42214" w:rsidRDefault="00F42214">
            <w:r>
              <w:t xml:space="preserve">100% ready and operational </w:t>
            </w:r>
          </w:p>
          <w:p w14:paraId="1243A045" w14:textId="77777777" w:rsidR="00F42214" w:rsidRDefault="00F42214">
            <w:pPr>
              <w:spacing w:line="200" w:lineRule="atLeast"/>
              <w:rPr>
                <w:color w:val="000000"/>
                <w:sz w:val="22"/>
                <w:szCs w:val="22"/>
              </w:rPr>
            </w:pPr>
          </w:p>
        </w:tc>
      </w:tr>
      <w:tr w:rsidR="00F42214" w14:paraId="12751CE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151D264"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B00E5A6" w14:textId="77777777" w:rsidR="00F42214" w:rsidRDefault="00F42214">
            <w:pPr>
              <w:spacing w:line="200" w:lineRule="atLeast"/>
              <w:rPr>
                <w:color w:val="000000"/>
                <w:sz w:val="22"/>
                <w:szCs w:val="22"/>
              </w:rPr>
            </w:pPr>
            <w:r>
              <w:rPr>
                <w:color w:val="000000"/>
                <w:sz w:val="22"/>
                <w:szCs w:val="22"/>
              </w:rPr>
              <w:t>06/03/2008</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2C76E84D"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68BA8C7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57AC924B" w14:textId="77777777" w:rsidR="00F42214" w:rsidRDefault="00F42214">
            <w:pPr>
              <w:spacing w:line="200" w:lineRule="atLeast"/>
              <w:rPr>
                <w:color w:val="000000"/>
                <w:sz w:val="22"/>
                <w:szCs w:val="22"/>
              </w:rPr>
            </w:pPr>
            <w:r>
              <w:rPr>
                <w:color w:val="000000"/>
                <w:sz w:val="22"/>
                <w:szCs w:val="22"/>
              </w:rPr>
              <w:t>06/30/2016</w:t>
            </w:r>
          </w:p>
        </w:tc>
      </w:tr>
      <w:tr w:rsidR="00F42214" w14:paraId="70091AB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1E221E8" w14:textId="77777777" w:rsidR="00F42214" w:rsidRDefault="00F42214">
            <w:pPr>
              <w:spacing w:line="200" w:lineRule="atLeast"/>
              <w:rPr>
                <w:color w:val="000000"/>
                <w:sz w:val="22"/>
                <w:szCs w:val="22"/>
              </w:rPr>
            </w:pPr>
            <w:r>
              <w:rPr>
                <w:color w:val="000000"/>
                <w:sz w:val="22"/>
                <w:szCs w:val="22"/>
              </w:rPr>
              <w:t xml:space="preserve">Comments </w:t>
            </w:r>
          </w:p>
          <w:p w14:paraId="4B3B9B45" w14:textId="77777777" w:rsidR="00F42214" w:rsidRDefault="00F42214">
            <w:pPr>
              <w:spacing w:line="200" w:lineRule="atLeast"/>
              <w:rPr>
                <w:color w:val="000000"/>
                <w:sz w:val="22"/>
                <w:szCs w:val="22"/>
              </w:rPr>
            </w:pPr>
            <w:r>
              <w:rPr>
                <w:color w:val="000000"/>
                <w:sz w:val="22"/>
                <w:szCs w:val="22"/>
              </w:rPr>
              <w:t xml:space="preserve">(incl. % </w:t>
            </w:r>
          </w:p>
          <w:p w14:paraId="48C085AD"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CD50EFF" w14:textId="77777777" w:rsidR="00F42214" w:rsidRDefault="00F42214">
            <w:r>
              <w:t xml:space="preserve">ACHIEVED: The indicator was dropped during the first restructuring but a similar one was reintroduced during the restructuring in 2013. Hence by the end of the project DSS had a fully operational MIS. </w:t>
            </w:r>
          </w:p>
          <w:p w14:paraId="34AD1B9D" w14:textId="77777777" w:rsidR="00F42214" w:rsidRDefault="00F42214">
            <w:pPr>
              <w:spacing w:line="200" w:lineRule="atLeast"/>
              <w:rPr>
                <w:color w:val="000000"/>
                <w:sz w:val="22"/>
                <w:szCs w:val="22"/>
              </w:rPr>
            </w:pPr>
          </w:p>
        </w:tc>
      </w:tr>
      <w:tr w:rsidR="00F42214" w14:paraId="68EA468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853DA85" w14:textId="77777777" w:rsidR="00F42214" w:rsidRDefault="00F42214">
            <w:pPr>
              <w:spacing w:line="200" w:lineRule="atLeast"/>
              <w:rPr>
                <w:color w:val="000000"/>
                <w:sz w:val="22"/>
                <w:szCs w:val="22"/>
              </w:rPr>
            </w:pPr>
            <w:r>
              <w:rPr>
                <w:rStyle w:val="Strong"/>
                <w:color w:val="000000"/>
                <w:sz w:val="22"/>
                <w:szCs w:val="22"/>
              </w:rPr>
              <w:t xml:space="preserve">Indicator 11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3F2DE95" w14:textId="77777777" w:rsidR="00F42214" w:rsidRDefault="00F42214">
            <w:r>
              <w:t xml:space="preserve">20 additional Disability Service Centers established and functional-new </w:t>
            </w:r>
          </w:p>
          <w:p w14:paraId="0751D1CC" w14:textId="77777777" w:rsidR="00F42214" w:rsidRDefault="00F42214">
            <w:pPr>
              <w:spacing w:line="200" w:lineRule="atLeast"/>
              <w:rPr>
                <w:color w:val="000000"/>
                <w:sz w:val="22"/>
                <w:szCs w:val="22"/>
              </w:rPr>
            </w:pPr>
          </w:p>
        </w:tc>
      </w:tr>
      <w:tr w:rsidR="00F42214" w14:paraId="26384C2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EA013C3" w14:textId="77777777" w:rsidR="00F42214" w:rsidRDefault="00F42214">
            <w:pPr>
              <w:spacing w:line="200" w:lineRule="atLeast"/>
              <w:rPr>
                <w:color w:val="000000"/>
                <w:sz w:val="22"/>
                <w:szCs w:val="22"/>
              </w:rPr>
            </w:pPr>
            <w:r>
              <w:rPr>
                <w:color w:val="000000"/>
                <w:sz w:val="22"/>
                <w:szCs w:val="22"/>
              </w:rPr>
              <w:t xml:space="preserve">Value </w:t>
            </w:r>
          </w:p>
          <w:p w14:paraId="5E230990" w14:textId="77777777" w:rsidR="00F42214" w:rsidRDefault="00F42214">
            <w:pPr>
              <w:spacing w:line="200" w:lineRule="atLeast"/>
              <w:rPr>
                <w:color w:val="000000"/>
                <w:sz w:val="22"/>
                <w:szCs w:val="22"/>
              </w:rPr>
            </w:pPr>
            <w:r>
              <w:rPr>
                <w:color w:val="000000"/>
                <w:sz w:val="22"/>
                <w:szCs w:val="22"/>
              </w:rPr>
              <w:t xml:space="preserve">(quantitative </w:t>
            </w:r>
          </w:p>
          <w:p w14:paraId="0132BE8B"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12C49D2F" w14:textId="77777777" w:rsidR="00F42214" w:rsidRDefault="00F42214">
            <w:r>
              <w:t xml:space="preserve">0 </w:t>
            </w:r>
          </w:p>
          <w:p w14:paraId="1BCEE0E1"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6A95DDAE" w14:textId="77777777" w:rsidR="00F42214" w:rsidRDefault="00F42214">
            <w:r>
              <w:t xml:space="preserve">20 </w:t>
            </w:r>
          </w:p>
          <w:p w14:paraId="12665EC7"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7C4EAC24" w14:textId="77777777" w:rsidR="00F42214" w:rsidRDefault="00F42214">
            <w:r>
              <w:t xml:space="preserve">50 </w:t>
            </w:r>
          </w:p>
          <w:p w14:paraId="712ED597"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2CC4ED14" w14:textId="77777777" w:rsidR="00F42214" w:rsidRDefault="00F42214">
            <w:r>
              <w:t xml:space="preserve">50 </w:t>
            </w:r>
          </w:p>
          <w:p w14:paraId="19C7EF69" w14:textId="77777777" w:rsidR="00F42214" w:rsidRDefault="00F42214">
            <w:pPr>
              <w:spacing w:line="200" w:lineRule="atLeast"/>
              <w:rPr>
                <w:color w:val="000000"/>
                <w:sz w:val="22"/>
                <w:szCs w:val="22"/>
              </w:rPr>
            </w:pPr>
          </w:p>
        </w:tc>
      </w:tr>
      <w:tr w:rsidR="00F42214" w14:paraId="7D590D6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8CDAF02"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5BFC6D3"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93B8A76"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hideMark/>
          </w:tcPr>
          <w:p w14:paraId="4C3B835E" w14:textId="77777777" w:rsidR="00F42214" w:rsidRDefault="00F42214">
            <w:pPr>
              <w:spacing w:line="200" w:lineRule="atLeast"/>
              <w:rPr>
                <w:color w:val="000000"/>
                <w:sz w:val="22"/>
                <w:szCs w:val="22"/>
              </w:rPr>
            </w:pPr>
            <w:r>
              <w:rPr>
                <w:color w:val="000000"/>
                <w:sz w:val="22"/>
                <w:szCs w:val="22"/>
              </w:rPr>
              <w:t>06/30/2016</w:t>
            </w: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222B9753" w14:textId="77777777" w:rsidR="00F42214" w:rsidRDefault="00F42214">
            <w:pPr>
              <w:spacing w:line="200" w:lineRule="atLeast"/>
              <w:rPr>
                <w:color w:val="000000"/>
                <w:sz w:val="22"/>
                <w:szCs w:val="22"/>
              </w:rPr>
            </w:pPr>
            <w:r>
              <w:rPr>
                <w:color w:val="000000"/>
                <w:sz w:val="22"/>
                <w:szCs w:val="22"/>
              </w:rPr>
              <w:t>06/30/2016</w:t>
            </w:r>
          </w:p>
        </w:tc>
      </w:tr>
      <w:tr w:rsidR="00F42214" w14:paraId="68313F8B"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C637EAE" w14:textId="77777777" w:rsidR="00F42214" w:rsidRDefault="00F42214">
            <w:pPr>
              <w:spacing w:line="200" w:lineRule="atLeast"/>
              <w:rPr>
                <w:color w:val="000000"/>
                <w:sz w:val="22"/>
                <w:szCs w:val="22"/>
              </w:rPr>
            </w:pPr>
            <w:r>
              <w:rPr>
                <w:color w:val="000000"/>
                <w:sz w:val="22"/>
                <w:szCs w:val="22"/>
              </w:rPr>
              <w:t xml:space="preserve">Comments </w:t>
            </w:r>
          </w:p>
          <w:p w14:paraId="6FFFD2D1" w14:textId="77777777" w:rsidR="00F42214" w:rsidRDefault="00F42214">
            <w:pPr>
              <w:spacing w:line="200" w:lineRule="atLeast"/>
              <w:rPr>
                <w:color w:val="000000"/>
                <w:sz w:val="22"/>
                <w:szCs w:val="22"/>
              </w:rPr>
            </w:pPr>
            <w:r>
              <w:rPr>
                <w:color w:val="000000"/>
                <w:sz w:val="22"/>
                <w:szCs w:val="22"/>
              </w:rPr>
              <w:t xml:space="preserve">(incl. % </w:t>
            </w:r>
          </w:p>
          <w:p w14:paraId="4447948F"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091B1CE0" w14:textId="77777777" w:rsidR="00F42214" w:rsidRDefault="00F42214">
            <w:r>
              <w:t xml:space="preserve">ACHIEVED: Indicator revised during December 2013 restructuring to "Disability Service Centers established and functional." </w:t>
            </w:r>
          </w:p>
          <w:p w14:paraId="702F7891" w14:textId="77777777" w:rsidR="00F42214" w:rsidRDefault="00F42214">
            <w:pPr>
              <w:spacing w:line="200" w:lineRule="atLeast"/>
              <w:rPr>
                <w:color w:val="000000"/>
                <w:sz w:val="22"/>
                <w:szCs w:val="22"/>
              </w:rPr>
            </w:pPr>
          </w:p>
        </w:tc>
      </w:tr>
      <w:tr w:rsidR="00F42214" w14:paraId="42C4C26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45FB4DA" w14:textId="77777777" w:rsidR="00F42214" w:rsidRDefault="00F42214">
            <w:pPr>
              <w:spacing w:line="200" w:lineRule="atLeast"/>
              <w:rPr>
                <w:color w:val="000000"/>
                <w:sz w:val="22"/>
                <w:szCs w:val="22"/>
              </w:rPr>
            </w:pPr>
            <w:r>
              <w:rPr>
                <w:rStyle w:val="Strong"/>
                <w:color w:val="000000"/>
                <w:sz w:val="22"/>
                <w:szCs w:val="22"/>
              </w:rPr>
              <w:t xml:space="preserve">Indicator 12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26A9E49E" w14:textId="77777777" w:rsidR="00F42214" w:rsidRDefault="00F42214">
            <w:r>
              <w:t xml:space="preserve">Guidelines and tools for disability certification developed-new </w:t>
            </w:r>
          </w:p>
          <w:p w14:paraId="5EB43792" w14:textId="77777777" w:rsidR="00F42214" w:rsidRDefault="00F42214">
            <w:pPr>
              <w:spacing w:line="200" w:lineRule="atLeast"/>
              <w:rPr>
                <w:color w:val="000000"/>
                <w:sz w:val="22"/>
                <w:szCs w:val="22"/>
              </w:rPr>
            </w:pPr>
          </w:p>
        </w:tc>
      </w:tr>
      <w:tr w:rsidR="00F42214" w14:paraId="1D4F762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16254D1" w14:textId="77777777" w:rsidR="00F42214" w:rsidRDefault="00F42214">
            <w:pPr>
              <w:spacing w:line="200" w:lineRule="atLeast"/>
              <w:rPr>
                <w:color w:val="000000"/>
                <w:sz w:val="22"/>
                <w:szCs w:val="22"/>
              </w:rPr>
            </w:pPr>
            <w:r>
              <w:rPr>
                <w:color w:val="000000"/>
                <w:sz w:val="22"/>
                <w:szCs w:val="22"/>
              </w:rPr>
              <w:t xml:space="preserve">Value </w:t>
            </w:r>
          </w:p>
          <w:p w14:paraId="045C8B47" w14:textId="77777777" w:rsidR="00F42214" w:rsidRDefault="00F42214">
            <w:pPr>
              <w:spacing w:line="200" w:lineRule="atLeast"/>
              <w:rPr>
                <w:color w:val="000000"/>
                <w:sz w:val="22"/>
                <w:szCs w:val="22"/>
              </w:rPr>
            </w:pPr>
            <w:r>
              <w:rPr>
                <w:color w:val="000000"/>
                <w:sz w:val="22"/>
                <w:szCs w:val="22"/>
              </w:rPr>
              <w:t xml:space="preserve">(quantitative </w:t>
            </w:r>
          </w:p>
          <w:p w14:paraId="6D57E2DB"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5FA6D103" w14:textId="77777777" w:rsidR="00F42214" w:rsidRDefault="00F42214">
            <w:r>
              <w:t xml:space="preserve">N/A </w:t>
            </w:r>
          </w:p>
          <w:p w14:paraId="1DAD37D5"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1943B4C2" w14:textId="77777777" w:rsidR="00F42214" w:rsidRDefault="00F42214">
            <w:r>
              <w:t xml:space="preserve">Complete </w:t>
            </w:r>
          </w:p>
          <w:p w14:paraId="557A29CD"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4AA28792" w14:textId="77777777" w:rsidR="00F42214" w:rsidRDefault="00F42214">
            <w:r>
              <w:t xml:space="preserve">Partially Complete </w:t>
            </w:r>
          </w:p>
          <w:p w14:paraId="5837CDA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6FDA0CF5" w14:textId="77777777" w:rsidR="00F42214" w:rsidRDefault="00F42214">
            <w:r>
              <w:t xml:space="preserve">Partially Complete </w:t>
            </w:r>
          </w:p>
          <w:p w14:paraId="1B300C2A" w14:textId="77777777" w:rsidR="00F42214" w:rsidRDefault="00F42214">
            <w:pPr>
              <w:spacing w:line="200" w:lineRule="atLeast"/>
              <w:rPr>
                <w:color w:val="000000"/>
                <w:sz w:val="22"/>
                <w:szCs w:val="22"/>
              </w:rPr>
            </w:pPr>
          </w:p>
        </w:tc>
      </w:tr>
      <w:tr w:rsidR="00F42214" w14:paraId="4A2F30EB"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C74C0A4"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60EFA77"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37AB8B7C"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hideMark/>
          </w:tcPr>
          <w:p w14:paraId="4B12EF62" w14:textId="77777777" w:rsidR="00F42214" w:rsidRDefault="00F42214">
            <w:pPr>
              <w:spacing w:line="200" w:lineRule="atLeast"/>
              <w:rPr>
                <w:color w:val="000000"/>
                <w:sz w:val="22"/>
                <w:szCs w:val="22"/>
              </w:rPr>
            </w:pPr>
            <w:r>
              <w:rPr>
                <w:color w:val="000000"/>
                <w:sz w:val="22"/>
                <w:szCs w:val="22"/>
              </w:rPr>
              <w:t>12/31/2014</w:t>
            </w: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30766C8D" w14:textId="77777777" w:rsidR="00F42214" w:rsidRDefault="00F42214">
            <w:pPr>
              <w:spacing w:line="200" w:lineRule="atLeast"/>
              <w:rPr>
                <w:color w:val="000000"/>
                <w:sz w:val="22"/>
                <w:szCs w:val="22"/>
              </w:rPr>
            </w:pPr>
            <w:r>
              <w:rPr>
                <w:color w:val="000000"/>
                <w:sz w:val="22"/>
                <w:szCs w:val="22"/>
              </w:rPr>
              <w:t>06/30/2016</w:t>
            </w:r>
          </w:p>
        </w:tc>
      </w:tr>
      <w:tr w:rsidR="00F42214" w14:paraId="3949548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F747D18" w14:textId="77777777" w:rsidR="00F42214" w:rsidRDefault="00F42214">
            <w:pPr>
              <w:spacing w:line="200" w:lineRule="atLeast"/>
              <w:rPr>
                <w:color w:val="000000"/>
                <w:sz w:val="22"/>
                <w:szCs w:val="22"/>
              </w:rPr>
            </w:pPr>
            <w:r>
              <w:rPr>
                <w:color w:val="000000"/>
                <w:sz w:val="22"/>
                <w:szCs w:val="22"/>
              </w:rPr>
              <w:t xml:space="preserve">Comments </w:t>
            </w:r>
          </w:p>
          <w:p w14:paraId="02EFAD68" w14:textId="77777777" w:rsidR="00F42214" w:rsidRDefault="00F42214">
            <w:pPr>
              <w:spacing w:line="200" w:lineRule="atLeast"/>
              <w:rPr>
                <w:color w:val="000000"/>
                <w:sz w:val="22"/>
                <w:szCs w:val="22"/>
              </w:rPr>
            </w:pPr>
            <w:r>
              <w:rPr>
                <w:color w:val="000000"/>
                <w:sz w:val="22"/>
                <w:szCs w:val="22"/>
              </w:rPr>
              <w:t xml:space="preserve">(incl. % </w:t>
            </w:r>
          </w:p>
          <w:p w14:paraId="3FDC1E49"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A82B680" w14:textId="77777777" w:rsidR="00F42214" w:rsidRDefault="00F42214">
            <w:r>
              <w:t xml:space="preserve">PARTIALLY ACHIEVED: Introduced during June 2011 restructuring and dropped during December 2013 restructuring as the Government was able to finance certification work with its own funding. The work is expected to be complete be end of calendar year 2016. </w:t>
            </w:r>
          </w:p>
          <w:p w14:paraId="03A0577F" w14:textId="77777777" w:rsidR="00F42214" w:rsidRDefault="00F42214">
            <w:pPr>
              <w:spacing w:line="200" w:lineRule="atLeast"/>
              <w:rPr>
                <w:color w:val="000000"/>
                <w:sz w:val="22"/>
                <w:szCs w:val="22"/>
              </w:rPr>
            </w:pPr>
          </w:p>
        </w:tc>
      </w:tr>
      <w:tr w:rsidR="00F42214" w14:paraId="0795A18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D3C1A54" w14:textId="77777777" w:rsidR="00F42214" w:rsidRDefault="00F42214">
            <w:pPr>
              <w:spacing w:line="200" w:lineRule="atLeast"/>
              <w:rPr>
                <w:color w:val="000000"/>
                <w:sz w:val="22"/>
                <w:szCs w:val="22"/>
              </w:rPr>
            </w:pPr>
            <w:r>
              <w:rPr>
                <w:rStyle w:val="Strong"/>
                <w:color w:val="000000"/>
                <w:sz w:val="22"/>
                <w:szCs w:val="22"/>
              </w:rPr>
              <w:t xml:space="preserve">Indicator 13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5CAE235" w14:textId="77777777" w:rsidR="00F42214" w:rsidRDefault="00F42214">
            <w:r>
              <w:t xml:space="preserve">Concerned government officials and service providers at union, upazilla and district levels trained on rights of persons with disabilities and available services-new </w:t>
            </w:r>
          </w:p>
          <w:p w14:paraId="2354CEFE" w14:textId="77777777" w:rsidR="00F42214" w:rsidRDefault="00F42214">
            <w:pPr>
              <w:spacing w:line="200" w:lineRule="atLeast"/>
              <w:rPr>
                <w:color w:val="000000"/>
                <w:sz w:val="22"/>
                <w:szCs w:val="22"/>
              </w:rPr>
            </w:pPr>
          </w:p>
        </w:tc>
      </w:tr>
      <w:tr w:rsidR="00F42214" w14:paraId="2764DC1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2631EFA" w14:textId="77777777" w:rsidR="00F42214" w:rsidRDefault="00F42214">
            <w:pPr>
              <w:spacing w:line="200" w:lineRule="atLeast"/>
              <w:rPr>
                <w:color w:val="000000"/>
                <w:sz w:val="22"/>
                <w:szCs w:val="22"/>
              </w:rPr>
            </w:pPr>
            <w:r>
              <w:rPr>
                <w:color w:val="000000"/>
                <w:sz w:val="22"/>
                <w:szCs w:val="22"/>
              </w:rPr>
              <w:t xml:space="preserve">Value </w:t>
            </w:r>
          </w:p>
          <w:p w14:paraId="7FA80940" w14:textId="77777777" w:rsidR="00F42214" w:rsidRDefault="00F42214">
            <w:pPr>
              <w:spacing w:line="200" w:lineRule="atLeast"/>
              <w:rPr>
                <w:color w:val="000000"/>
                <w:sz w:val="22"/>
                <w:szCs w:val="22"/>
              </w:rPr>
            </w:pPr>
            <w:r>
              <w:rPr>
                <w:color w:val="000000"/>
                <w:sz w:val="22"/>
                <w:szCs w:val="22"/>
              </w:rPr>
              <w:t xml:space="preserve">(quantitative </w:t>
            </w:r>
          </w:p>
          <w:p w14:paraId="6C77D16F"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BAA92D3" w14:textId="77777777" w:rsidR="00F42214" w:rsidRDefault="00F42214">
            <w:r>
              <w:t xml:space="preserve">N/A </w:t>
            </w:r>
          </w:p>
          <w:p w14:paraId="69CF7A19"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578BFBEE" w14:textId="77777777" w:rsidR="00F42214" w:rsidRDefault="00F42214">
            <w:r>
              <w:t xml:space="preserve">50% of government officials and service providers trained </w:t>
            </w:r>
          </w:p>
          <w:p w14:paraId="304CB40D"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09A4215B" w14:textId="77777777" w:rsidR="00F42214" w:rsidRDefault="00F42214">
            <w:r>
              <w:t xml:space="preserve">2000 </w:t>
            </w:r>
          </w:p>
          <w:p w14:paraId="78A0503C"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9330622" w14:textId="77777777" w:rsidR="00F42214" w:rsidRDefault="00F42214">
            <w:r>
              <w:t xml:space="preserve">3,045 </w:t>
            </w:r>
          </w:p>
          <w:p w14:paraId="757F1566" w14:textId="77777777" w:rsidR="00F42214" w:rsidRDefault="00F42214">
            <w:pPr>
              <w:spacing w:line="200" w:lineRule="atLeast"/>
              <w:rPr>
                <w:color w:val="000000"/>
                <w:sz w:val="22"/>
                <w:szCs w:val="22"/>
              </w:rPr>
            </w:pPr>
          </w:p>
        </w:tc>
      </w:tr>
      <w:tr w:rsidR="00F42214" w14:paraId="700E9B3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35C703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C4AC719"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BC4FC5A"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hideMark/>
          </w:tcPr>
          <w:p w14:paraId="1F11BC53" w14:textId="77777777" w:rsidR="00F42214" w:rsidRDefault="00F42214">
            <w:pPr>
              <w:spacing w:line="200" w:lineRule="atLeast"/>
              <w:rPr>
                <w:color w:val="000000"/>
                <w:sz w:val="22"/>
                <w:szCs w:val="22"/>
              </w:rPr>
            </w:pPr>
            <w:r>
              <w:rPr>
                <w:color w:val="000000"/>
                <w:sz w:val="22"/>
                <w:szCs w:val="22"/>
              </w:rPr>
              <w:t>06/30/2016</w:t>
            </w: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06727567" w14:textId="77777777" w:rsidR="00F42214" w:rsidRDefault="00F42214">
            <w:pPr>
              <w:spacing w:line="200" w:lineRule="atLeast"/>
              <w:rPr>
                <w:color w:val="000000"/>
                <w:sz w:val="22"/>
                <w:szCs w:val="22"/>
              </w:rPr>
            </w:pPr>
            <w:r>
              <w:rPr>
                <w:color w:val="000000"/>
                <w:sz w:val="22"/>
                <w:szCs w:val="22"/>
              </w:rPr>
              <w:t>06/30/2016</w:t>
            </w:r>
          </w:p>
        </w:tc>
      </w:tr>
      <w:tr w:rsidR="00F42214" w14:paraId="6F8B06A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B64E8DD" w14:textId="77777777" w:rsidR="00F42214" w:rsidRDefault="00F42214">
            <w:pPr>
              <w:spacing w:line="200" w:lineRule="atLeast"/>
              <w:rPr>
                <w:color w:val="000000"/>
                <w:sz w:val="22"/>
                <w:szCs w:val="22"/>
              </w:rPr>
            </w:pPr>
            <w:r>
              <w:rPr>
                <w:color w:val="000000"/>
                <w:sz w:val="22"/>
                <w:szCs w:val="22"/>
              </w:rPr>
              <w:t xml:space="preserve">Comments </w:t>
            </w:r>
          </w:p>
          <w:p w14:paraId="69465181" w14:textId="77777777" w:rsidR="00F42214" w:rsidRDefault="00F42214">
            <w:pPr>
              <w:spacing w:line="200" w:lineRule="atLeast"/>
              <w:rPr>
                <w:color w:val="000000"/>
                <w:sz w:val="22"/>
                <w:szCs w:val="22"/>
              </w:rPr>
            </w:pPr>
            <w:r>
              <w:rPr>
                <w:color w:val="000000"/>
                <w:sz w:val="22"/>
                <w:szCs w:val="22"/>
              </w:rPr>
              <w:t xml:space="preserve">(incl. % </w:t>
            </w:r>
          </w:p>
          <w:p w14:paraId="49B1BF5E"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43075C81" w14:textId="77777777" w:rsidR="00F42214" w:rsidRDefault="00F42214">
            <w:r>
              <w:t xml:space="preserve">SURPASSED: During December 2013 restructuring the indicator is revised to "Concerned government officials, DSC staff and other service providers trained on disability issues." The target was revised to be an absolute value. </w:t>
            </w:r>
          </w:p>
          <w:p w14:paraId="0C749529" w14:textId="77777777" w:rsidR="00F42214" w:rsidRDefault="00F42214">
            <w:pPr>
              <w:spacing w:line="200" w:lineRule="atLeast"/>
              <w:rPr>
                <w:color w:val="000000"/>
                <w:sz w:val="22"/>
                <w:szCs w:val="22"/>
              </w:rPr>
            </w:pPr>
          </w:p>
        </w:tc>
      </w:tr>
      <w:tr w:rsidR="00F42214" w14:paraId="61FA707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38A4C4B" w14:textId="77777777" w:rsidR="00F42214" w:rsidRDefault="00F42214">
            <w:pPr>
              <w:spacing w:line="200" w:lineRule="atLeast"/>
              <w:rPr>
                <w:color w:val="000000"/>
                <w:sz w:val="22"/>
                <w:szCs w:val="22"/>
              </w:rPr>
            </w:pPr>
            <w:r>
              <w:rPr>
                <w:rStyle w:val="Strong"/>
                <w:color w:val="000000"/>
                <w:sz w:val="22"/>
                <w:szCs w:val="22"/>
              </w:rPr>
              <w:t xml:space="preserve">Indicator 14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2B9DB230" w14:textId="77777777" w:rsidR="00F42214" w:rsidRDefault="00F42214">
            <w:r>
              <w:t xml:space="preserve">ICPS centers established and functional in 7 divisional cities-new </w:t>
            </w:r>
          </w:p>
          <w:p w14:paraId="5BC9A637" w14:textId="77777777" w:rsidR="00F42214" w:rsidRDefault="00F42214">
            <w:pPr>
              <w:spacing w:line="200" w:lineRule="atLeast"/>
              <w:rPr>
                <w:color w:val="000000"/>
                <w:sz w:val="22"/>
                <w:szCs w:val="22"/>
              </w:rPr>
            </w:pPr>
          </w:p>
        </w:tc>
      </w:tr>
      <w:tr w:rsidR="00F42214" w14:paraId="59BEC638"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FB92898" w14:textId="77777777" w:rsidR="00F42214" w:rsidRDefault="00F42214">
            <w:pPr>
              <w:spacing w:line="200" w:lineRule="atLeast"/>
              <w:rPr>
                <w:color w:val="000000"/>
                <w:sz w:val="22"/>
                <w:szCs w:val="22"/>
              </w:rPr>
            </w:pPr>
            <w:r>
              <w:rPr>
                <w:color w:val="000000"/>
                <w:sz w:val="22"/>
                <w:szCs w:val="22"/>
              </w:rPr>
              <w:t xml:space="preserve">Value </w:t>
            </w:r>
          </w:p>
          <w:p w14:paraId="5D57453B" w14:textId="77777777" w:rsidR="00F42214" w:rsidRDefault="00F42214">
            <w:pPr>
              <w:spacing w:line="200" w:lineRule="atLeast"/>
              <w:rPr>
                <w:color w:val="000000"/>
                <w:sz w:val="22"/>
                <w:szCs w:val="22"/>
              </w:rPr>
            </w:pPr>
            <w:r>
              <w:rPr>
                <w:color w:val="000000"/>
                <w:sz w:val="22"/>
                <w:szCs w:val="22"/>
              </w:rPr>
              <w:t xml:space="preserve">(quantitative </w:t>
            </w:r>
          </w:p>
          <w:p w14:paraId="7807C57E"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5D30638A" w14:textId="77777777" w:rsidR="00F42214" w:rsidRDefault="00F42214">
            <w:r>
              <w:t xml:space="preserve">0 </w:t>
            </w:r>
          </w:p>
          <w:p w14:paraId="24678D36"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33A10F8F" w14:textId="77777777" w:rsidR="00F42214" w:rsidRDefault="00F42214">
            <w:r>
              <w:t xml:space="preserve">7 </w:t>
            </w:r>
          </w:p>
          <w:p w14:paraId="44DEAA9B"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2D43C4FE" w14:textId="77777777" w:rsidR="00F42214" w:rsidRDefault="00F42214">
            <w:r>
              <w:t xml:space="preserve">11 </w:t>
            </w:r>
          </w:p>
          <w:p w14:paraId="1BE8FF18"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548F05BF" w14:textId="77777777" w:rsidR="00F42214" w:rsidRDefault="00F42214">
            <w:r>
              <w:t xml:space="preserve">11 </w:t>
            </w:r>
          </w:p>
          <w:p w14:paraId="0DDC5BEA" w14:textId="77777777" w:rsidR="00F42214" w:rsidRDefault="00F42214">
            <w:pPr>
              <w:spacing w:line="200" w:lineRule="atLeast"/>
              <w:rPr>
                <w:color w:val="000000"/>
                <w:sz w:val="22"/>
                <w:szCs w:val="22"/>
              </w:rPr>
            </w:pPr>
          </w:p>
        </w:tc>
      </w:tr>
      <w:tr w:rsidR="00F42214" w14:paraId="115D9405"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6C7449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59FEE96"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390C923"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hideMark/>
          </w:tcPr>
          <w:p w14:paraId="6480F29E" w14:textId="77777777" w:rsidR="00F42214" w:rsidRDefault="00F42214">
            <w:pPr>
              <w:spacing w:line="200" w:lineRule="atLeast"/>
              <w:rPr>
                <w:color w:val="000000"/>
                <w:sz w:val="22"/>
                <w:szCs w:val="22"/>
              </w:rPr>
            </w:pPr>
            <w:r>
              <w:rPr>
                <w:color w:val="000000"/>
                <w:sz w:val="22"/>
                <w:szCs w:val="22"/>
              </w:rPr>
              <w:t>06/30/2016</w:t>
            </w: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41E88C5D" w14:textId="77777777" w:rsidR="00F42214" w:rsidRDefault="00F42214">
            <w:pPr>
              <w:spacing w:line="200" w:lineRule="atLeast"/>
              <w:rPr>
                <w:color w:val="000000"/>
                <w:sz w:val="22"/>
                <w:szCs w:val="22"/>
              </w:rPr>
            </w:pPr>
            <w:r>
              <w:rPr>
                <w:color w:val="000000"/>
                <w:sz w:val="22"/>
                <w:szCs w:val="22"/>
              </w:rPr>
              <w:t>06/30/2016</w:t>
            </w:r>
          </w:p>
        </w:tc>
      </w:tr>
      <w:tr w:rsidR="00F42214" w14:paraId="049DD09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E043B30" w14:textId="77777777" w:rsidR="00F42214" w:rsidRDefault="00F42214">
            <w:pPr>
              <w:spacing w:line="200" w:lineRule="atLeast"/>
              <w:rPr>
                <w:color w:val="000000"/>
                <w:sz w:val="22"/>
                <w:szCs w:val="22"/>
              </w:rPr>
            </w:pPr>
            <w:r>
              <w:rPr>
                <w:color w:val="000000"/>
                <w:sz w:val="22"/>
                <w:szCs w:val="22"/>
              </w:rPr>
              <w:t xml:space="preserve">Comments </w:t>
            </w:r>
          </w:p>
          <w:p w14:paraId="135F8332" w14:textId="77777777" w:rsidR="00F42214" w:rsidRDefault="00F42214">
            <w:pPr>
              <w:spacing w:line="200" w:lineRule="atLeast"/>
              <w:rPr>
                <w:color w:val="000000"/>
                <w:sz w:val="22"/>
                <w:szCs w:val="22"/>
              </w:rPr>
            </w:pPr>
            <w:r>
              <w:rPr>
                <w:color w:val="000000"/>
                <w:sz w:val="22"/>
                <w:szCs w:val="22"/>
              </w:rPr>
              <w:t xml:space="preserve">(incl. % </w:t>
            </w:r>
          </w:p>
          <w:p w14:paraId="5238D813"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9C6329B" w14:textId="77777777" w:rsidR="00F42214" w:rsidRDefault="00F42214">
            <w:r>
              <w:t xml:space="preserve">ACHIEVED: Indicator is revised during December 2013 restructuring to "ICPSCs established and functional </w:t>
            </w:r>
          </w:p>
          <w:p w14:paraId="73905F1D" w14:textId="77777777" w:rsidR="00F42214" w:rsidRDefault="00F42214">
            <w:pPr>
              <w:spacing w:line="200" w:lineRule="atLeast"/>
              <w:rPr>
                <w:color w:val="000000"/>
                <w:sz w:val="22"/>
                <w:szCs w:val="22"/>
              </w:rPr>
            </w:pPr>
          </w:p>
        </w:tc>
      </w:tr>
      <w:tr w:rsidR="00F42214" w14:paraId="21B9058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55766C1" w14:textId="77777777" w:rsidR="00F42214" w:rsidRDefault="00F42214">
            <w:pPr>
              <w:spacing w:line="200" w:lineRule="atLeast"/>
              <w:rPr>
                <w:color w:val="000000"/>
                <w:sz w:val="22"/>
                <w:szCs w:val="22"/>
              </w:rPr>
            </w:pPr>
            <w:r>
              <w:rPr>
                <w:rStyle w:val="Strong"/>
                <w:color w:val="000000"/>
                <w:sz w:val="22"/>
                <w:szCs w:val="22"/>
              </w:rPr>
              <w:t xml:space="preserve">Indicator 15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50DBB4C" w14:textId="77777777" w:rsidR="00F42214" w:rsidRDefault="00F42214">
            <w:r>
              <w:t xml:space="preserve">Standards for care for children at risk developed-new </w:t>
            </w:r>
          </w:p>
          <w:p w14:paraId="2AD753DD" w14:textId="77777777" w:rsidR="00F42214" w:rsidRDefault="00F42214">
            <w:pPr>
              <w:spacing w:line="200" w:lineRule="atLeast"/>
              <w:rPr>
                <w:color w:val="000000"/>
                <w:sz w:val="22"/>
                <w:szCs w:val="22"/>
              </w:rPr>
            </w:pPr>
          </w:p>
        </w:tc>
      </w:tr>
      <w:tr w:rsidR="00F42214" w14:paraId="4D9AF9F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214CC87" w14:textId="77777777" w:rsidR="00F42214" w:rsidRDefault="00F42214">
            <w:pPr>
              <w:spacing w:line="200" w:lineRule="atLeast"/>
              <w:rPr>
                <w:color w:val="000000"/>
                <w:sz w:val="22"/>
                <w:szCs w:val="22"/>
              </w:rPr>
            </w:pPr>
            <w:r>
              <w:rPr>
                <w:color w:val="000000"/>
                <w:sz w:val="22"/>
                <w:szCs w:val="22"/>
              </w:rPr>
              <w:t xml:space="preserve">Value </w:t>
            </w:r>
          </w:p>
          <w:p w14:paraId="02F72665" w14:textId="77777777" w:rsidR="00F42214" w:rsidRDefault="00F42214">
            <w:pPr>
              <w:spacing w:line="200" w:lineRule="atLeast"/>
              <w:rPr>
                <w:color w:val="000000"/>
                <w:sz w:val="22"/>
                <w:szCs w:val="22"/>
              </w:rPr>
            </w:pPr>
            <w:r>
              <w:rPr>
                <w:color w:val="000000"/>
                <w:sz w:val="22"/>
                <w:szCs w:val="22"/>
              </w:rPr>
              <w:t xml:space="preserve">(quantitative </w:t>
            </w:r>
          </w:p>
          <w:p w14:paraId="5E88B1E1"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3D1CDFA1" w14:textId="77777777" w:rsidR="00F42214" w:rsidRDefault="00F42214">
            <w:r>
              <w:t xml:space="preserve">N/A </w:t>
            </w:r>
          </w:p>
          <w:p w14:paraId="17BBFAA2"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218AD5D8" w14:textId="77777777" w:rsidR="00F42214" w:rsidRDefault="00F42214">
            <w:r>
              <w:t xml:space="preserve">Complete </w:t>
            </w:r>
          </w:p>
          <w:p w14:paraId="663A93C3"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704386F0" w14:textId="77777777" w:rsidR="00F42214" w:rsidRDefault="00F42214"/>
          <w:p w14:paraId="699CA2FD"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925C337" w14:textId="77777777" w:rsidR="00F42214" w:rsidRDefault="00F42214">
            <w:r>
              <w:t xml:space="preserve">Complete </w:t>
            </w:r>
          </w:p>
          <w:p w14:paraId="78BEDFC1" w14:textId="77777777" w:rsidR="00F42214" w:rsidRDefault="00F42214">
            <w:pPr>
              <w:spacing w:line="200" w:lineRule="atLeast"/>
              <w:rPr>
                <w:color w:val="000000"/>
                <w:sz w:val="22"/>
                <w:szCs w:val="22"/>
              </w:rPr>
            </w:pPr>
          </w:p>
        </w:tc>
      </w:tr>
      <w:tr w:rsidR="00F42214" w14:paraId="7FAA79E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D73F5CF"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4A9DCD0"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338916DE"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2D3F0D81"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66F5D2F2" w14:textId="77777777" w:rsidR="00F42214" w:rsidRDefault="00F42214">
            <w:pPr>
              <w:spacing w:line="200" w:lineRule="atLeast"/>
              <w:rPr>
                <w:color w:val="000000"/>
                <w:sz w:val="22"/>
                <w:szCs w:val="22"/>
              </w:rPr>
            </w:pPr>
            <w:r>
              <w:rPr>
                <w:color w:val="000000"/>
                <w:sz w:val="22"/>
                <w:szCs w:val="22"/>
              </w:rPr>
              <w:t>06/30/2016</w:t>
            </w:r>
          </w:p>
        </w:tc>
      </w:tr>
      <w:tr w:rsidR="00F42214" w14:paraId="24A69F7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A12C97D" w14:textId="77777777" w:rsidR="00F42214" w:rsidRDefault="00F42214">
            <w:pPr>
              <w:spacing w:line="200" w:lineRule="atLeast"/>
              <w:rPr>
                <w:color w:val="000000"/>
                <w:sz w:val="22"/>
                <w:szCs w:val="22"/>
              </w:rPr>
            </w:pPr>
            <w:r>
              <w:rPr>
                <w:color w:val="000000"/>
                <w:sz w:val="22"/>
                <w:szCs w:val="22"/>
              </w:rPr>
              <w:t xml:space="preserve">Comments </w:t>
            </w:r>
          </w:p>
          <w:p w14:paraId="4DC899F3" w14:textId="77777777" w:rsidR="00F42214" w:rsidRDefault="00F42214">
            <w:pPr>
              <w:spacing w:line="200" w:lineRule="atLeast"/>
              <w:rPr>
                <w:color w:val="000000"/>
                <w:sz w:val="22"/>
                <w:szCs w:val="22"/>
              </w:rPr>
            </w:pPr>
            <w:r>
              <w:rPr>
                <w:color w:val="000000"/>
                <w:sz w:val="22"/>
                <w:szCs w:val="22"/>
              </w:rPr>
              <w:t xml:space="preserve">(incl. % </w:t>
            </w:r>
          </w:p>
          <w:p w14:paraId="23C6DB71"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EDD4190" w14:textId="77777777" w:rsidR="00F42214" w:rsidRDefault="00F42214">
            <w:r>
              <w:t xml:space="preserve">ACHIEVED </w:t>
            </w:r>
          </w:p>
          <w:p w14:paraId="2928FE0A" w14:textId="77777777" w:rsidR="00F42214" w:rsidRDefault="00F42214">
            <w:pPr>
              <w:spacing w:line="200" w:lineRule="atLeast"/>
              <w:rPr>
                <w:color w:val="000000"/>
                <w:sz w:val="22"/>
                <w:szCs w:val="22"/>
              </w:rPr>
            </w:pPr>
          </w:p>
        </w:tc>
      </w:tr>
      <w:tr w:rsidR="00F42214" w14:paraId="1A262F7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740B6A1" w14:textId="77777777" w:rsidR="00F42214" w:rsidRDefault="00F42214">
            <w:pPr>
              <w:spacing w:line="200" w:lineRule="atLeast"/>
              <w:rPr>
                <w:color w:val="000000"/>
                <w:sz w:val="22"/>
                <w:szCs w:val="22"/>
              </w:rPr>
            </w:pPr>
            <w:r>
              <w:rPr>
                <w:rStyle w:val="Strong"/>
                <w:color w:val="000000"/>
                <w:sz w:val="22"/>
                <w:szCs w:val="22"/>
              </w:rPr>
              <w:t xml:space="preserve">Indicator 16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78AB17E0" w14:textId="77777777" w:rsidR="00F42214" w:rsidRDefault="00F42214">
            <w:r>
              <w:t xml:space="preserve">Concerned government officials and service providers at union, upazilla and district levels trained on child protection issues and available services-new </w:t>
            </w:r>
          </w:p>
          <w:p w14:paraId="56BFE0F6" w14:textId="77777777" w:rsidR="00F42214" w:rsidRDefault="00F42214">
            <w:pPr>
              <w:spacing w:line="200" w:lineRule="atLeast"/>
              <w:rPr>
                <w:color w:val="000000"/>
                <w:sz w:val="22"/>
                <w:szCs w:val="22"/>
              </w:rPr>
            </w:pPr>
          </w:p>
        </w:tc>
      </w:tr>
      <w:tr w:rsidR="00F42214" w14:paraId="2BA33E77"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5F87406" w14:textId="77777777" w:rsidR="00F42214" w:rsidRDefault="00F42214">
            <w:pPr>
              <w:spacing w:line="200" w:lineRule="atLeast"/>
              <w:rPr>
                <w:color w:val="000000"/>
                <w:sz w:val="22"/>
                <w:szCs w:val="22"/>
              </w:rPr>
            </w:pPr>
            <w:r>
              <w:rPr>
                <w:color w:val="000000"/>
                <w:sz w:val="22"/>
                <w:szCs w:val="22"/>
              </w:rPr>
              <w:t xml:space="preserve">Value </w:t>
            </w:r>
          </w:p>
          <w:p w14:paraId="6787EB0F" w14:textId="77777777" w:rsidR="00F42214" w:rsidRDefault="00F42214">
            <w:pPr>
              <w:spacing w:line="200" w:lineRule="atLeast"/>
              <w:rPr>
                <w:color w:val="000000"/>
                <w:sz w:val="22"/>
                <w:szCs w:val="22"/>
              </w:rPr>
            </w:pPr>
            <w:r>
              <w:rPr>
                <w:color w:val="000000"/>
                <w:sz w:val="22"/>
                <w:szCs w:val="22"/>
              </w:rPr>
              <w:t xml:space="preserve">(quantitative </w:t>
            </w:r>
          </w:p>
          <w:p w14:paraId="64519954"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9742786" w14:textId="77777777" w:rsidR="00F42214" w:rsidRDefault="00F42214">
            <w:r>
              <w:t xml:space="preserve">N/A </w:t>
            </w:r>
          </w:p>
          <w:p w14:paraId="681D0AC1"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3D328E77" w14:textId="77777777" w:rsidR="00F42214" w:rsidRDefault="00F42214">
            <w:r>
              <w:t xml:space="preserve">50% of concerned government officials and service providers trained </w:t>
            </w:r>
          </w:p>
          <w:p w14:paraId="57904AD6"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5593EB40" w14:textId="77777777" w:rsidR="00F42214" w:rsidRDefault="00F42214">
            <w:r>
              <w:t xml:space="preserve">2500 </w:t>
            </w:r>
          </w:p>
          <w:p w14:paraId="26B4EB97"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5BEC492" w14:textId="77777777" w:rsidR="00F42214" w:rsidRDefault="00F42214">
            <w:r>
              <w:t xml:space="preserve">546 </w:t>
            </w:r>
          </w:p>
          <w:p w14:paraId="0287B7CF" w14:textId="77777777" w:rsidR="00F42214" w:rsidRDefault="00F42214">
            <w:pPr>
              <w:spacing w:line="200" w:lineRule="atLeast"/>
              <w:rPr>
                <w:color w:val="000000"/>
                <w:sz w:val="22"/>
                <w:szCs w:val="22"/>
              </w:rPr>
            </w:pPr>
          </w:p>
        </w:tc>
      </w:tr>
      <w:tr w:rsidR="00F42214" w14:paraId="6C2F00A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0A032E6"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CCD7FF8"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42B2FB79"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hideMark/>
          </w:tcPr>
          <w:p w14:paraId="67663B81" w14:textId="77777777" w:rsidR="00F42214" w:rsidRDefault="00F42214">
            <w:pPr>
              <w:spacing w:line="200" w:lineRule="atLeast"/>
              <w:rPr>
                <w:color w:val="000000"/>
                <w:sz w:val="22"/>
                <w:szCs w:val="22"/>
              </w:rPr>
            </w:pPr>
            <w:r>
              <w:rPr>
                <w:color w:val="000000"/>
                <w:sz w:val="22"/>
                <w:szCs w:val="22"/>
              </w:rPr>
              <w:t>06/30/2016</w:t>
            </w: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5805A8F1" w14:textId="77777777" w:rsidR="00F42214" w:rsidRDefault="00F42214">
            <w:pPr>
              <w:spacing w:line="200" w:lineRule="atLeast"/>
              <w:rPr>
                <w:color w:val="000000"/>
                <w:sz w:val="22"/>
                <w:szCs w:val="22"/>
              </w:rPr>
            </w:pPr>
            <w:r>
              <w:rPr>
                <w:color w:val="000000"/>
                <w:sz w:val="22"/>
                <w:szCs w:val="22"/>
              </w:rPr>
              <w:t>06/30/2016</w:t>
            </w:r>
          </w:p>
        </w:tc>
      </w:tr>
      <w:tr w:rsidR="00F42214" w14:paraId="7DE0D30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2394ECD" w14:textId="77777777" w:rsidR="00F42214" w:rsidRDefault="00F42214">
            <w:pPr>
              <w:spacing w:line="200" w:lineRule="atLeast"/>
              <w:rPr>
                <w:color w:val="000000"/>
                <w:sz w:val="22"/>
                <w:szCs w:val="22"/>
              </w:rPr>
            </w:pPr>
            <w:r>
              <w:rPr>
                <w:color w:val="000000"/>
                <w:sz w:val="22"/>
                <w:szCs w:val="22"/>
              </w:rPr>
              <w:t xml:space="preserve">Comments </w:t>
            </w:r>
          </w:p>
          <w:p w14:paraId="4B90EE9B" w14:textId="77777777" w:rsidR="00F42214" w:rsidRDefault="00F42214">
            <w:pPr>
              <w:spacing w:line="200" w:lineRule="atLeast"/>
              <w:rPr>
                <w:color w:val="000000"/>
                <w:sz w:val="22"/>
                <w:szCs w:val="22"/>
              </w:rPr>
            </w:pPr>
            <w:r>
              <w:rPr>
                <w:color w:val="000000"/>
                <w:sz w:val="22"/>
                <w:szCs w:val="22"/>
              </w:rPr>
              <w:t xml:space="preserve">(incl. % </w:t>
            </w:r>
          </w:p>
          <w:p w14:paraId="121E8BE0"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8E8C281" w14:textId="77777777" w:rsidR="00F42214" w:rsidRDefault="00F42214">
            <w:r>
              <w:t xml:space="preserve">NOT ACHIEVED: Added in 2011. Revised in Dec 2013 to "Concerned government officials, NGOs, ICPSCs staff and service providers trained on disability issues." The target was overestimated due inclusion of staff not directly involved in service provision </w:t>
            </w:r>
          </w:p>
          <w:p w14:paraId="547A9632" w14:textId="77777777" w:rsidR="00F42214" w:rsidRDefault="00F42214">
            <w:pPr>
              <w:spacing w:line="200" w:lineRule="atLeast"/>
              <w:rPr>
                <w:color w:val="000000"/>
                <w:sz w:val="22"/>
                <w:szCs w:val="22"/>
              </w:rPr>
            </w:pPr>
          </w:p>
        </w:tc>
      </w:tr>
      <w:tr w:rsidR="00F42214" w14:paraId="0708998A"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50BBB36" w14:textId="77777777" w:rsidR="00F42214" w:rsidRDefault="00F42214">
            <w:pPr>
              <w:spacing w:line="200" w:lineRule="atLeast"/>
              <w:rPr>
                <w:color w:val="000000"/>
                <w:sz w:val="22"/>
                <w:szCs w:val="22"/>
              </w:rPr>
            </w:pPr>
            <w:r>
              <w:rPr>
                <w:rStyle w:val="Strong"/>
                <w:color w:val="000000"/>
                <w:sz w:val="22"/>
                <w:szCs w:val="22"/>
              </w:rPr>
              <w:t xml:space="preserve">Indicator 17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1E19C52F" w14:textId="77777777" w:rsidR="00F42214" w:rsidRDefault="00F42214">
            <w:r>
              <w:t xml:space="preserve">NSSA staff trained to provide training on disability and child protection issues and available services- </w:t>
            </w:r>
          </w:p>
          <w:p w14:paraId="5DAE6940" w14:textId="77777777" w:rsidR="00F42214" w:rsidRDefault="00F42214">
            <w:pPr>
              <w:spacing w:line="200" w:lineRule="atLeast"/>
              <w:rPr>
                <w:color w:val="000000"/>
                <w:sz w:val="22"/>
                <w:szCs w:val="22"/>
              </w:rPr>
            </w:pPr>
          </w:p>
        </w:tc>
      </w:tr>
      <w:tr w:rsidR="00F42214" w14:paraId="297F318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FF6FC13" w14:textId="77777777" w:rsidR="00F42214" w:rsidRDefault="00F42214">
            <w:pPr>
              <w:spacing w:line="200" w:lineRule="atLeast"/>
              <w:rPr>
                <w:color w:val="000000"/>
                <w:sz w:val="22"/>
                <w:szCs w:val="22"/>
              </w:rPr>
            </w:pPr>
            <w:r>
              <w:rPr>
                <w:color w:val="000000"/>
                <w:sz w:val="22"/>
                <w:szCs w:val="22"/>
              </w:rPr>
              <w:t xml:space="preserve">Value </w:t>
            </w:r>
          </w:p>
          <w:p w14:paraId="713166E6" w14:textId="77777777" w:rsidR="00F42214" w:rsidRDefault="00F42214">
            <w:pPr>
              <w:spacing w:line="200" w:lineRule="atLeast"/>
              <w:rPr>
                <w:color w:val="000000"/>
                <w:sz w:val="22"/>
                <w:szCs w:val="22"/>
              </w:rPr>
            </w:pPr>
            <w:r>
              <w:rPr>
                <w:color w:val="000000"/>
                <w:sz w:val="22"/>
                <w:szCs w:val="22"/>
              </w:rPr>
              <w:t xml:space="preserve">(quantitative </w:t>
            </w:r>
          </w:p>
          <w:p w14:paraId="0F458B74"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7A03AB64" w14:textId="77777777" w:rsidR="00F42214" w:rsidRDefault="00F42214">
            <w:r>
              <w:t xml:space="preserve">N/A </w:t>
            </w:r>
          </w:p>
          <w:p w14:paraId="79D31BC1"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32DCA1D7" w14:textId="77777777" w:rsidR="00F42214" w:rsidRDefault="00F42214">
            <w:r>
              <w:t xml:space="preserve">50% of NSSA staff </w:t>
            </w:r>
          </w:p>
          <w:p w14:paraId="55399024"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1C5BA985" w14:textId="77777777" w:rsidR="00F42214" w:rsidRDefault="00F42214"/>
          <w:p w14:paraId="03831123"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56351992" w14:textId="77777777" w:rsidR="00F42214" w:rsidRDefault="00F42214"/>
          <w:p w14:paraId="4E22D62C" w14:textId="77777777" w:rsidR="00F42214" w:rsidRDefault="00F42214">
            <w:pPr>
              <w:spacing w:line="200" w:lineRule="atLeast"/>
              <w:rPr>
                <w:color w:val="000000"/>
                <w:sz w:val="22"/>
                <w:szCs w:val="22"/>
              </w:rPr>
            </w:pPr>
          </w:p>
        </w:tc>
      </w:tr>
      <w:tr w:rsidR="00F42214" w14:paraId="1B96677B"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F9CA05A"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6C06408"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1DCA3763"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71BB9872"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44D43231" w14:textId="77777777" w:rsidR="00F42214" w:rsidRDefault="00F42214">
            <w:pPr>
              <w:spacing w:line="200" w:lineRule="atLeast"/>
              <w:rPr>
                <w:color w:val="000000"/>
                <w:sz w:val="22"/>
                <w:szCs w:val="22"/>
              </w:rPr>
            </w:pPr>
          </w:p>
        </w:tc>
      </w:tr>
      <w:tr w:rsidR="00F42214" w14:paraId="4E4623D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40C9FD0" w14:textId="77777777" w:rsidR="00F42214" w:rsidRDefault="00F42214">
            <w:pPr>
              <w:spacing w:line="200" w:lineRule="atLeast"/>
              <w:rPr>
                <w:color w:val="000000"/>
                <w:sz w:val="22"/>
                <w:szCs w:val="22"/>
              </w:rPr>
            </w:pPr>
            <w:r>
              <w:rPr>
                <w:color w:val="000000"/>
                <w:sz w:val="22"/>
                <w:szCs w:val="22"/>
              </w:rPr>
              <w:t xml:space="preserve">Comments </w:t>
            </w:r>
          </w:p>
          <w:p w14:paraId="235BEF5E" w14:textId="77777777" w:rsidR="00F42214" w:rsidRDefault="00F42214">
            <w:pPr>
              <w:spacing w:line="200" w:lineRule="atLeast"/>
              <w:rPr>
                <w:color w:val="000000"/>
                <w:sz w:val="22"/>
                <w:szCs w:val="22"/>
              </w:rPr>
            </w:pPr>
            <w:r>
              <w:rPr>
                <w:color w:val="000000"/>
                <w:sz w:val="22"/>
                <w:szCs w:val="22"/>
              </w:rPr>
              <w:t xml:space="preserve">(incl. % </w:t>
            </w:r>
          </w:p>
          <w:p w14:paraId="18FAA5EB"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2BBE7C2" w14:textId="77777777" w:rsidR="00F42214" w:rsidRDefault="00F42214">
            <w:r>
              <w:t xml:space="preserve">Dropped during December 2013 restructuring, but the envisioned results in terms of training of relevant staff engaged in disability and children at risk service delivery are accounted for under indicators 13 and 16. </w:t>
            </w:r>
          </w:p>
          <w:p w14:paraId="5DB6F0F1" w14:textId="77777777" w:rsidR="00F42214" w:rsidRDefault="00F42214">
            <w:pPr>
              <w:spacing w:line="200" w:lineRule="atLeast"/>
              <w:rPr>
                <w:color w:val="000000"/>
                <w:sz w:val="22"/>
                <w:szCs w:val="22"/>
              </w:rPr>
            </w:pPr>
          </w:p>
        </w:tc>
      </w:tr>
      <w:tr w:rsidR="00F42214" w14:paraId="0871E8B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3DADF13" w14:textId="77777777" w:rsidR="00F42214" w:rsidRDefault="00F42214">
            <w:pPr>
              <w:spacing w:line="200" w:lineRule="atLeast"/>
              <w:rPr>
                <w:color w:val="000000"/>
                <w:sz w:val="22"/>
                <w:szCs w:val="22"/>
              </w:rPr>
            </w:pPr>
            <w:r>
              <w:rPr>
                <w:rStyle w:val="Strong"/>
                <w:color w:val="000000"/>
                <w:sz w:val="22"/>
                <w:szCs w:val="22"/>
              </w:rPr>
              <w:t xml:space="preserve">Indicator 18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2EACDD88" w14:textId="77777777" w:rsidR="00F42214" w:rsidRDefault="00F42214">
            <w:r>
              <w:t xml:space="preserve">Concerned policymakers and government officials at MOSW central level trained on disability and child protection related issues and available services-new </w:t>
            </w:r>
          </w:p>
          <w:p w14:paraId="38BB672D" w14:textId="77777777" w:rsidR="00F42214" w:rsidRDefault="00F42214">
            <w:pPr>
              <w:spacing w:line="200" w:lineRule="atLeast"/>
              <w:rPr>
                <w:color w:val="000000"/>
                <w:sz w:val="22"/>
                <w:szCs w:val="22"/>
              </w:rPr>
            </w:pPr>
          </w:p>
        </w:tc>
      </w:tr>
      <w:tr w:rsidR="00F42214" w14:paraId="34FDF330"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4FA67C4" w14:textId="77777777" w:rsidR="00F42214" w:rsidRDefault="00F42214">
            <w:pPr>
              <w:spacing w:line="200" w:lineRule="atLeast"/>
              <w:rPr>
                <w:color w:val="000000"/>
                <w:sz w:val="22"/>
                <w:szCs w:val="22"/>
              </w:rPr>
            </w:pPr>
            <w:r>
              <w:rPr>
                <w:color w:val="000000"/>
                <w:sz w:val="22"/>
                <w:szCs w:val="22"/>
              </w:rPr>
              <w:t xml:space="preserve">Value </w:t>
            </w:r>
          </w:p>
          <w:p w14:paraId="656B7A28" w14:textId="77777777" w:rsidR="00F42214" w:rsidRDefault="00F42214">
            <w:pPr>
              <w:spacing w:line="200" w:lineRule="atLeast"/>
              <w:rPr>
                <w:color w:val="000000"/>
                <w:sz w:val="22"/>
                <w:szCs w:val="22"/>
              </w:rPr>
            </w:pPr>
            <w:r>
              <w:rPr>
                <w:color w:val="000000"/>
                <w:sz w:val="22"/>
                <w:szCs w:val="22"/>
              </w:rPr>
              <w:t xml:space="preserve">(quantitative </w:t>
            </w:r>
          </w:p>
          <w:p w14:paraId="673A33F6"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3EE83FA1" w14:textId="77777777" w:rsidR="00F42214" w:rsidRDefault="00F42214">
            <w:r>
              <w:t xml:space="preserve">N/A </w:t>
            </w:r>
          </w:p>
          <w:p w14:paraId="6EDDE677"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51DF6169" w14:textId="77777777" w:rsidR="00F42214" w:rsidRDefault="00F42214">
            <w:r>
              <w:t xml:space="preserve">50% of concerned government officials </w:t>
            </w:r>
          </w:p>
          <w:p w14:paraId="01A8CE7E"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440666FA" w14:textId="77777777" w:rsidR="00F42214" w:rsidRDefault="00F42214"/>
          <w:p w14:paraId="44A96F4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31F79D2" w14:textId="77777777" w:rsidR="00F42214" w:rsidRDefault="00F42214"/>
          <w:p w14:paraId="59914481" w14:textId="77777777" w:rsidR="00F42214" w:rsidRDefault="00F42214">
            <w:pPr>
              <w:spacing w:line="200" w:lineRule="atLeast"/>
              <w:rPr>
                <w:color w:val="000000"/>
                <w:sz w:val="22"/>
                <w:szCs w:val="22"/>
              </w:rPr>
            </w:pPr>
          </w:p>
        </w:tc>
      </w:tr>
      <w:tr w:rsidR="00F42214" w14:paraId="1E298DC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D67489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4E597026" w14:textId="77777777" w:rsidR="00F42214" w:rsidRDefault="00F42214">
            <w:pPr>
              <w:spacing w:line="200" w:lineRule="atLeast"/>
              <w:rPr>
                <w:color w:val="000000"/>
                <w:sz w:val="22"/>
                <w:szCs w:val="22"/>
              </w:rPr>
            </w:pPr>
            <w:r>
              <w:rPr>
                <w:color w:val="000000"/>
                <w:sz w:val="22"/>
                <w:szCs w:val="22"/>
              </w:rPr>
              <w:t>05/26/2011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583035B9" w14:textId="77777777" w:rsidR="00F42214" w:rsidRDefault="00F42214">
            <w:pPr>
              <w:spacing w:line="200" w:lineRule="atLeast"/>
              <w:rPr>
                <w:color w:val="000000"/>
                <w:sz w:val="22"/>
                <w:szCs w:val="22"/>
              </w:rPr>
            </w:pPr>
            <w:r>
              <w:rPr>
                <w:color w:val="000000"/>
                <w:sz w:val="22"/>
                <w:szCs w:val="22"/>
              </w:rPr>
              <w:t>12/31/2014</w:t>
            </w:r>
          </w:p>
        </w:tc>
        <w:tc>
          <w:tcPr>
            <w:tcW w:w="1352" w:type="dxa"/>
            <w:tcBorders>
              <w:top w:val="single" w:sz="4" w:space="0" w:color="B1B1B1"/>
              <w:left w:val="single" w:sz="4" w:space="0" w:color="B1B1B1"/>
              <w:bottom w:val="single" w:sz="4" w:space="0" w:color="B1B1B1"/>
              <w:right w:val="single" w:sz="4" w:space="0" w:color="B1B1B1"/>
            </w:tcBorders>
            <w:vAlign w:val="center"/>
          </w:tcPr>
          <w:p w14:paraId="4C89E4D4"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611C850F" w14:textId="77777777" w:rsidR="00F42214" w:rsidRDefault="00F42214">
            <w:pPr>
              <w:spacing w:line="200" w:lineRule="atLeast"/>
              <w:rPr>
                <w:color w:val="000000"/>
                <w:sz w:val="22"/>
                <w:szCs w:val="22"/>
              </w:rPr>
            </w:pPr>
          </w:p>
        </w:tc>
      </w:tr>
      <w:tr w:rsidR="00F42214" w14:paraId="591B328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B31ED41" w14:textId="77777777" w:rsidR="00F42214" w:rsidRDefault="00F42214">
            <w:pPr>
              <w:spacing w:line="200" w:lineRule="atLeast"/>
              <w:rPr>
                <w:color w:val="000000"/>
                <w:sz w:val="22"/>
                <w:szCs w:val="22"/>
              </w:rPr>
            </w:pPr>
            <w:r>
              <w:rPr>
                <w:color w:val="000000"/>
                <w:sz w:val="22"/>
                <w:szCs w:val="22"/>
              </w:rPr>
              <w:t xml:space="preserve">Comments </w:t>
            </w:r>
          </w:p>
          <w:p w14:paraId="0567B327" w14:textId="77777777" w:rsidR="00F42214" w:rsidRDefault="00F42214">
            <w:pPr>
              <w:spacing w:line="200" w:lineRule="atLeast"/>
              <w:rPr>
                <w:color w:val="000000"/>
                <w:sz w:val="22"/>
                <w:szCs w:val="22"/>
              </w:rPr>
            </w:pPr>
            <w:r>
              <w:rPr>
                <w:color w:val="000000"/>
                <w:sz w:val="22"/>
                <w:szCs w:val="22"/>
              </w:rPr>
              <w:t xml:space="preserve">(incl. % </w:t>
            </w:r>
          </w:p>
          <w:p w14:paraId="76509F27"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0DF6A005" w14:textId="77777777" w:rsidR="00F42214" w:rsidRDefault="00F42214">
            <w:r>
              <w:t xml:space="preserve">Dropped during December 2013 restructuring as project decided to focus on training of staff directly involved in service provision to PWDs and children-at-risk. </w:t>
            </w:r>
          </w:p>
          <w:p w14:paraId="4965953D" w14:textId="77777777" w:rsidR="00F42214" w:rsidRDefault="00F42214">
            <w:pPr>
              <w:spacing w:line="200" w:lineRule="atLeast"/>
              <w:rPr>
                <w:color w:val="000000"/>
                <w:sz w:val="22"/>
                <w:szCs w:val="22"/>
              </w:rPr>
            </w:pPr>
          </w:p>
        </w:tc>
      </w:tr>
      <w:tr w:rsidR="00F42214" w14:paraId="6AED310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36F52EC" w14:textId="77777777" w:rsidR="00F42214" w:rsidRDefault="00F42214">
            <w:pPr>
              <w:spacing w:line="200" w:lineRule="atLeast"/>
              <w:rPr>
                <w:color w:val="000000"/>
                <w:sz w:val="22"/>
                <w:szCs w:val="22"/>
              </w:rPr>
            </w:pPr>
            <w:r>
              <w:rPr>
                <w:rStyle w:val="Strong"/>
                <w:color w:val="000000"/>
                <w:sz w:val="22"/>
                <w:szCs w:val="22"/>
              </w:rPr>
              <w:t xml:space="preserve">Indicator 19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0CCD956" w14:textId="77777777" w:rsidR="00F42214" w:rsidRDefault="00F42214">
            <w:r>
              <w:t xml:space="preserve">Assistive devices distributed-new </w:t>
            </w:r>
          </w:p>
          <w:p w14:paraId="2DBA9B86" w14:textId="77777777" w:rsidR="00F42214" w:rsidRDefault="00F42214">
            <w:pPr>
              <w:spacing w:line="200" w:lineRule="atLeast"/>
              <w:rPr>
                <w:color w:val="000000"/>
                <w:sz w:val="22"/>
                <w:szCs w:val="22"/>
              </w:rPr>
            </w:pPr>
          </w:p>
        </w:tc>
      </w:tr>
      <w:tr w:rsidR="00F42214" w14:paraId="709E9ADF"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287DDE96" w14:textId="77777777" w:rsidR="00F42214" w:rsidRDefault="00F42214">
            <w:pPr>
              <w:spacing w:line="200" w:lineRule="atLeast"/>
              <w:rPr>
                <w:color w:val="000000"/>
                <w:sz w:val="22"/>
                <w:szCs w:val="22"/>
              </w:rPr>
            </w:pPr>
            <w:r>
              <w:rPr>
                <w:color w:val="000000"/>
                <w:sz w:val="22"/>
                <w:szCs w:val="22"/>
              </w:rPr>
              <w:t xml:space="preserve">Value </w:t>
            </w:r>
          </w:p>
          <w:p w14:paraId="7FD0F7A1" w14:textId="77777777" w:rsidR="00F42214" w:rsidRDefault="00F42214">
            <w:pPr>
              <w:spacing w:line="200" w:lineRule="atLeast"/>
              <w:rPr>
                <w:color w:val="000000"/>
                <w:sz w:val="22"/>
                <w:szCs w:val="22"/>
              </w:rPr>
            </w:pPr>
            <w:r>
              <w:rPr>
                <w:color w:val="000000"/>
                <w:sz w:val="22"/>
                <w:szCs w:val="22"/>
              </w:rPr>
              <w:t xml:space="preserve">(quantitative </w:t>
            </w:r>
          </w:p>
          <w:p w14:paraId="0EB8E536"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663DF6B2" w14:textId="77777777" w:rsidR="00F42214" w:rsidRDefault="00F42214">
            <w:r>
              <w:t xml:space="preserve">0 </w:t>
            </w:r>
          </w:p>
          <w:p w14:paraId="722DFFB3"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69B76B96" w14:textId="77777777" w:rsidR="00F42214" w:rsidRDefault="00F42214">
            <w:r>
              <w:t xml:space="preserve">10% </w:t>
            </w:r>
          </w:p>
          <w:p w14:paraId="3CA7598C"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7B231397" w14:textId="77777777" w:rsidR="00F42214" w:rsidRDefault="00F42214"/>
          <w:p w14:paraId="0BB38FDB"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2A26BC0" w14:textId="77777777" w:rsidR="00F42214" w:rsidRDefault="00F42214">
            <w:r>
              <w:t xml:space="preserve">3.48% </w:t>
            </w:r>
          </w:p>
          <w:p w14:paraId="2C0C5827" w14:textId="77777777" w:rsidR="00F42214" w:rsidRDefault="00F42214">
            <w:pPr>
              <w:spacing w:line="200" w:lineRule="atLeast"/>
              <w:rPr>
                <w:color w:val="000000"/>
                <w:sz w:val="22"/>
                <w:szCs w:val="22"/>
              </w:rPr>
            </w:pPr>
          </w:p>
        </w:tc>
      </w:tr>
      <w:tr w:rsidR="00F42214" w14:paraId="3B60B6E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FA85187"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474C6CE7" w14:textId="77777777" w:rsidR="00F42214" w:rsidRDefault="00F42214">
            <w:pPr>
              <w:spacing w:line="200" w:lineRule="atLeast"/>
              <w:rPr>
                <w:color w:val="000000"/>
                <w:sz w:val="22"/>
                <w:szCs w:val="22"/>
              </w:rPr>
            </w:pPr>
            <w:r>
              <w:rPr>
                <w:color w:val="000000"/>
                <w:sz w:val="22"/>
                <w:szCs w:val="22"/>
              </w:rPr>
              <w:t>06/30/2011</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59FAB0FC" w14:textId="77777777" w:rsidR="00F42214" w:rsidRDefault="00F42214">
            <w:pPr>
              <w:spacing w:line="200" w:lineRule="atLeast"/>
              <w:rPr>
                <w:color w:val="000000"/>
                <w:sz w:val="22"/>
                <w:szCs w:val="22"/>
              </w:rPr>
            </w:pPr>
            <w:r>
              <w:rPr>
                <w:color w:val="000000"/>
                <w:sz w:val="22"/>
                <w:szCs w:val="22"/>
              </w:rPr>
              <w:t>06/30/2016</w:t>
            </w:r>
          </w:p>
        </w:tc>
        <w:tc>
          <w:tcPr>
            <w:tcW w:w="1352" w:type="dxa"/>
            <w:tcBorders>
              <w:top w:val="single" w:sz="4" w:space="0" w:color="B1B1B1"/>
              <w:left w:val="single" w:sz="4" w:space="0" w:color="B1B1B1"/>
              <w:bottom w:val="single" w:sz="4" w:space="0" w:color="B1B1B1"/>
              <w:right w:val="single" w:sz="4" w:space="0" w:color="B1B1B1"/>
            </w:tcBorders>
            <w:vAlign w:val="center"/>
          </w:tcPr>
          <w:p w14:paraId="01648FF0"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09F29C3E" w14:textId="77777777" w:rsidR="00F42214" w:rsidRDefault="00F42214">
            <w:pPr>
              <w:spacing w:line="200" w:lineRule="atLeast"/>
              <w:rPr>
                <w:color w:val="000000"/>
                <w:sz w:val="22"/>
                <w:szCs w:val="22"/>
              </w:rPr>
            </w:pPr>
            <w:r>
              <w:rPr>
                <w:color w:val="000000"/>
                <w:sz w:val="22"/>
                <w:szCs w:val="22"/>
              </w:rPr>
              <w:t>06/30/2016</w:t>
            </w:r>
          </w:p>
        </w:tc>
      </w:tr>
      <w:tr w:rsidR="00F42214" w14:paraId="6C5B2F0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85508EF" w14:textId="77777777" w:rsidR="00F42214" w:rsidRDefault="00F42214">
            <w:pPr>
              <w:spacing w:line="200" w:lineRule="atLeast"/>
              <w:rPr>
                <w:color w:val="000000"/>
                <w:sz w:val="22"/>
                <w:szCs w:val="22"/>
              </w:rPr>
            </w:pPr>
            <w:r>
              <w:rPr>
                <w:color w:val="000000"/>
                <w:sz w:val="22"/>
                <w:szCs w:val="22"/>
              </w:rPr>
              <w:t xml:space="preserve">Comments </w:t>
            </w:r>
          </w:p>
          <w:p w14:paraId="4144682E" w14:textId="77777777" w:rsidR="00F42214" w:rsidRDefault="00F42214">
            <w:pPr>
              <w:spacing w:line="200" w:lineRule="atLeast"/>
              <w:rPr>
                <w:color w:val="000000"/>
                <w:sz w:val="22"/>
                <w:szCs w:val="22"/>
              </w:rPr>
            </w:pPr>
            <w:r>
              <w:rPr>
                <w:color w:val="000000"/>
                <w:sz w:val="22"/>
                <w:szCs w:val="22"/>
              </w:rPr>
              <w:t xml:space="preserve">(incl. % </w:t>
            </w:r>
          </w:p>
          <w:p w14:paraId="785D7EC1"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5D4AE58" w14:textId="77777777" w:rsidR="00F42214" w:rsidRDefault="00F42214">
            <w:r>
              <w:t xml:space="preserve">PARTIALLY ACHIEVED: Added in Dec 2013. Measured as % of the total number of registered clients. Due to data constraints the latest estimate based on spotchecks. The latest data based on device procurement &amp; distribution from FY14 corresponds to 11.4% </w:t>
            </w:r>
          </w:p>
          <w:p w14:paraId="3B31461A" w14:textId="77777777" w:rsidR="00F42214" w:rsidRDefault="00F42214">
            <w:pPr>
              <w:spacing w:line="200" w:lineRule="atLeast"/>
              <w:rPr>
                <w:color w:val="000000"/>
                <w:sz w:val="22"/>
                <w:szCs w:val="22"/>
              </w:rPr>
            </w:pPr>
          </w:p>
        </w:tc>
      </w:tr>
      <w:tr w:rsidR="00F42214" w14:paraId="7256752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01273839" w14:textId="77777777" w:rsidR="00F42214" w:rsidRDefault="00F42214">
            <w:pPr>
              <w:spacing w:line="200" w:lineRule="atLeast"/>
              <w:rPr>
                <w:color w:val="000000"/>
                <w:sz w:val="22"/>
                <w:szCs w:val="22"/>
              </w:rPr>
            </w:pPr>
            <w:r>
              <w:rPr>
                <w:rStyle w:val="Strong"/>
                <w:color w:val="000000"/>
                <w:sz w:val="22"/>
                <w:szCs w:val="22"/>
              </w:rPr>
              <w:t xml:space="preserve">Indicator 20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8A483C0" w14:textId="77777777" w:rsidR="00F42214" w:rsidRDefault="00F42214">
            <w:r>
              <w:t xml:space="preserve">Persons with disabilities receiving services via mobile outreach-new </w:t>
            </w:r>
          </w:p>
          <w:p w14:paraId="3A5F3A90" w14:textId="77777777" w:rsidR="00F42214" w:rsidRDefault="00F42214">
            <w:pPr>
              <w:spacing w:line="200" w:lineRule="atLeast"/>
              <w:rPr>
                <w:color w:val="000000"/>
                <w:sz w:val="22"/>
                <w:szCs w:val="22"/>
              </w:rPr>
            </w:pPr>
          </w:p>
        </w:tc>
      </w:tr>
      <w:tr w:rsidR="00F42214" w14:paraId="460E6EB9"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9D89CD9" w14:textId="77777777" w:rsidR="00F42214" w:rsidRDefault="00F42214">
            <w:pPr>
              <w:spacing w:line="200" w:lineRule="atLeast"/>
              <w:rPr>
                <w:color w:val="000000"/>
                <w:sz w:val="22"/>
                <w:szCs w:val="22"/>
              </w:rPr>
            </w:pPr>
            <w:r>
              <w:rPr>
                <w:color w:val="000000"/>
                <w:sz w:val="22"/>
                <w:szCs w:val="22"/>
              </w:rPr>
              <w:t xml:space="preserve">Value </w:t>
            </w:r>
          </w:p>
          <w:p w14:paraId="060628A5" w14:textId="77777777" w:rsidR="00F42214" w:rsidRDefault="00F42214">
            <w:pPr>
              <w:spacing w:line="200" w:lineRule="atLeast"/>
              <w:rPr>
                <w:color w:val="000000"/>
                <w:sz w:val="22"/>
                <w:szCs w:val="22"/>
              </w:rPr>
            </w:pPr>
            <w:r>
              <w:rPr>
                <w:color w:val="000000"/>
                <w:sz w:val="22"/>
                <w:szCs w:val="22"/>
              </w:rPr>
              <w:t xml:space="preserve">(quantitative </w:t>
            </w:r>
          </w:p>
          <w:p w14:paraId="35520680"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26D03E0F" w14:textId="77777777" w:rsidR="00F42214" w:rsidRDefault="00F42214">
            <w:r>
              <w:t xml:space="preserve">0 </w:t>
            </w:r>
          </w:p>
          <w:p w14:paraId="1DE98BF6"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23AB0CEC" w14:textId="77777777" w:rsidR="00F42214" w:rsidRDefault="00F42214">
            <w:r>
              <w:t xml:space="preserve">10% </w:t>
            </w:r>
          </w:p>
          <w:p w14:paraId="741B882E"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5F4453BB" w14:textId="77777777" w:rsidR="00F42214" w:rsidRDefault="00F42214"/>
          <w:p w14:paraId="5B4D130F"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6E11665" w14:textId="77777777" w:rsidR="00F42214" w:rsidRDefault="00F42214">
            <w:r>
              <w:t xml:space="preserve">23.1% </w:t>
            </w:r>
          </w:p>
          <w:p w14:paraId="7424E267" w14:textId="77777777" w:rsidR="00F42214" w:rsidRDefault="00F42214">
            <w:pPr>
              <w:spacing w:line="200" w:lineRule="atLeast"/>
              <w:rPr>
                <w:color w:val="000000"/>
                <w:sz w:val="22"/>
                <w:szCs w:val="22"/>
              </w:rPr>
            </w:pPr>
          </w:p>
        </w:tc>
      </w:tr>
      <w:tr w:rsidR="00F42214" w14:paraId="6C913152"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2BA78D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6BB7EF7" w14:textId="77777777" w:rsidR="00F42214" w:rsidRDefault="00F42214">
            <w:pPr>
              <w:spacing w:line="200" w:lineRule="atLeast"/>
              <w:rPr>
                <w:color w:val="000000"/>
                <w:sz w:val="22"/>
                <w:szCs w:val="22"/>
              </w:rPr>
            </w:pPr>
            <w:r>
              <w:rPr>
                <w:color w:val="000000"/>
                <w:sz w:val="22"/>
                <w:szCs w:val="22"/>
              </w:rPr>
              <w:t>12/30/2013</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5202AAE9" w14:textId="77777777" w:rsidR="00F42214" w:rsidRDefault="00F42214">
            <w:pPr>
              <w:spacing w:line="200" w:lineRule="atLeast"/>
              <w:rPr>
                <w:color w:val="000000"/>
                <w:sz w:val="22"/>
                <w:szCs w:val="22"/>
              </w:rPr>
            </w:pPr>
            <w:r>
              <w:rPr>
                <w:color w:val="000000"/>
                <w:sz w:val="22"/>
                <w:szCs w:val="22"/>
              </w:rPr>
              <w:t>06/30/2016</w:t>
            </w:r>
          </w:p>
        </w:tc>
        <w:tc>
          <w:tcPr>
            <w:tcW w:w="1352" w:type="dxa"/>
            <w:tcBorders>
              <w:top w:val="single" w:sz="4" w:space="0" w:color="B1B1B1"/>
              <w:left w:val="single" w:sz="4" w:space="0" w:color="B1B1B1"/>
              <w:bottom w:val="single" w:sz="4" w:space="0" w:color="B1B1B1"/>
              <w:right w:val="single" w:sz="4" w:space="0" w:color="B1B1B1"/>
            </w:tcBorders>
            <w:vAlign w:val="center"/>
          </w:tcPr>
          <w:p w14:paraId="4B639D09"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478C4DCB" w14:textId="77777777" w:rsidR="00F42214" w:rsidRDefault="00F42214">
            <w:pPr>
              <w:spacing w:line="200" w:lineRule="atLeast"/>
              <w:rPr>
                <w:color w:val="000000"/>
                <w:sz w:val="22"/>
                <w:szCs w:val="22"/>
              </w:rPr>
            </w:pPr>
            <w:r>
              <w:rPr>
                <w:color w:val="000000"/>
                <w:sz w:val="22"/>
                <w:szCs w:val="22"/>
              </w:rPr>
              <w:t>06/30/2016</w:t>
            </w:r>
          </w:p>
        </w:tc>
      </w:tr>
      <w:tr w:rsidR="00F42214" w14:paraId="421200ED"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91E090F" w14:textId="77777777" w:rsidR="00F42214" w:rsidRDefault="00F42214">
            <w:pPr>
              <w:spacing w:line="200" w:lineRule="atLeast"/>
              <w:rPr>
                <w:color w:val="000000"/>
                <w:sz w:val="22"/>
                <w:szCs w:val="22"/>
              </w:rPr>
            </w:pPr>
            <w:r>
              <w:rPr>
                <w:color w:val="000000"/>
                <w:sz w:val="22"/>
                <w:szCs w:val="22"/>
              </w:rPr>
              <w:t xml:space="preserve">Comments </w:t>
            </w:r>
          </w:p>
          <w:p w14:paraId="304E3813" w14:textId="77777777" w:rsidR="00F42214" w:rsidRDefault="00F42214">
            <w:pPr>
              <w:spacing w:line="200" w:lineRule="atLeast"/>
              <w:rPr>
                <w:color w:val="000000"/>
                <w:sz w:val="22"/>
                <w:szCs w:val="22"/>
              </w:rPr>
            </w:pPr>
            <w:r>
              <w:rPr>
                <w:color w:val="000000"/>
                <w:sz w:val="22"/>
                <w:szCs w:val="22"/>
              </w:rPr>
              <w:t xml:space="preserve">(incl. % </w:t>
            </w:r>
          </w:p>
          <w:p w14:paraId="43CA1083"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39E842BD" w14:textId="77777777" w:rsidR="00F42214" w:rsidRDefault="00F42214">
            <w:r>
              <w:t xml:space="preserve">SURPASSED: Indicator added during December 2013 restructuring. </w:t>
            </w:r>
          </w:p>
          <w:p w14:paraId="1E551BA3" w14:textId="77777777" w:rsidR="00F42214" w:rsidRDefault="00F42214">
            <w:pPr>
              <w:spacing w:line="200" w:lineRule="atLeast"/>
              <w:rPr>
                <w:color w:val="000000"/>
                <w:sz w:val="22"/>
                <w:szCs w:val="22"/>
              </w:rPr>
            </w:pPr>
          </w:p>
        </w:tc>
      </w:tr>
      <w:tr w:rsidR="00F42214" w14:paraId="238AB41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47BA4D3A" w14:textId="77777777" w:rsidR="00F42214" w:rsidRDefault="00F42214">
            <w:pPr>
              <w:spacing w:line="200" w:lineRule="atLeast"/>
              <w:rPr>
                <w:color w:val="000000"/>
                <w:sz w:val="22"/>
                <w:szCs w:val="22"/>
              </w:rPr>
            </w:pPr>
            <w:r>
              <w:rPr>
                <w:rStyle w:val="Strong"/>
                <w:color w:val="000000"/>
                <w:sz w:val="22"/>
                <w:szCs w:val="22"/>
              </w:rPr>
              <w:t xml:space="preserve">Indicator 21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1318EB3" w14:textId="77777777" w:rsidR="00F42214" w:rsidRDefault="00F42214">
            <w:r>
              <w:t xml:space="preserve">MIS development and implementation-new </w:t>
            </w:r>
          </w:p>
          <w:p w14:paraId="753C40B1" w14:textId="77777777" w:rsidR="00F42214" w:rsidRDefault="00F42214">
            <w:pPr>
              <w:spacing w:line="200" w:lineRule="atLeast"/>
              <w:rPr>
                <w:color w:val="000000"/>
                <w:sz w:val="22"/>
                <w:szCs w:val="22"/>
              </w:rPr>
            </w:pPr>
          </w:p>
        </w:tc>
      </w:tr>
      <w:tr w:rsidR="00F42214" w14:paraId="4DAF5B81"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1B2AF46D" w14:textId="77777777" w:rsidR="00F42214" w:rsidRDefault="00F42214">
            <w:pPr>
              <w:spacing w:line="200" w:lineRule="atLeast"/>
              <w:rPr>
                <w:color w:val="000000"/>
                <w:sz w:val="22"/>
                <w:szCs w:val="22"/>
              </w:rPr>
            </w:pPr>
            <w:r>
              <w:rPr>
                <w:color w:val="000000"/>
                <w:sz w:val="22"/>
                <w:szCs w:val="22"/>
              </w:rPr>
              <w:t xml:space="preserve">Value </w:t>
            </w:r>
          </w:p>
          <w:p w14:paraId="59EFC3ED" w14:textId="77777777" w:rsidR="00F42214" w:rsidRDefault="00F42214">
            <w:pPr>
              <w:spacing w:line="200" w:lineRule="atLeast"/>
              <w:rPr>
                <w:color w:val="000000"/>
                <w:sz w:val="22"/>
                <w:szCs w:val="22"/>
              </w:rPr>
            </w:pPr>
            <w:r>
              <w:rPr>
                <w:color w:val="000000"/>
                <w:sz w:val="22"/>
                <w:szCs w:val="22"/>
              </w:rPr>
              <w:t xml:space="preserve">(quantitative </w:t>
            </w:r>
          </w:p>
          <w:p w14:paraId="5E3C3C21"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47DBA072" w14:textId="77777777" w:rsidR="00F42214" w:rsidRDefault="00F42214">
            <w:r>
              <w:t xml:space="preserve">MIS not developed </w:t>
            </w:r>
          </w:p>
          <w:p w14:paraId="4FA702D0"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5523D7C1" w14:textId="77777777" w:rsidR="00F42214" w:rsidRDefault="00F42214">
            <w:r>
              <w:t xml:space="preserve">MIS operational for DSCs and ICPSCs </w:t>
            </w:r>
          </w:p>
          <w:p w14:paraId="5B18DA0F"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63724E35" w14:textId="77777777" w:rsidR="00F42214" w:rsidRDefault="00F42214"/>
          <w:p w14:paraId="332F4283"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37176DB6" w14:textId="77777777" w:rsidR="00F42214" w:rsidRDefault="00F42214">
            <w:r>
              <w:t xml:space="preserve">MIS operational for DSCs and ICPSCs </w:t>
            </w:r>
          </w:p>
          <w:p w14:paraId="18D8BBF5" w14:textId="77777777" w:rsidR="00F42214" w:rsidRDefault="00F42214">
            <w:pPr>
              <w:spacing w:line="200" w:lineRule="atLeast"/>
              <w:rPr>
                <w:color w:val="000000"/>
                <w:sz w:val="22"/>
                <w:szCs w:val="22"/>
              </w:rPr>
            </w:pPr>
          </w:p>
        </w:tc>
      </w:tr>
      <w:tr w:rsidR="00F42214" w14:paraId="36BDF96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5B5631DD"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14C3C880" w14:textId="77777777" w:rsidR="00F42214" w:rsidRDefault="00F42214">
            <w:pPr>
              <w:spacing w:line="200" w:lineRule="atLeast"/>
              <w:rPr>
                <w:color w:val="000000"/>
                <w:sz w:val="22"/>
                <w:szCs w:val="22"/>
              </w:rPr>
            </w:pPr>
            <w:r>
              <w:rPr>
                <w:color w:val="000000"/>
                <w:sz w:val="22"/>
                <w:szCs w:val="22"/>
              </w:rPr>
              <w:t>12/31/2013</w:t>
            </w:r>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35EF887A" w14:textId="77777777" w:rsidR="00F42214" w:rsidRDefault="00F42214">
            <w:pPr>
              <w:spacing w:line="200" w:lineRule="atLeast"/>
              <w:rPr>
                <w:color w:val="000000"/>
                <w:sz w:val="22"/>
                <w:szCs w:val="22"/>
              </w:rPr>
            </w:pPr>
            <w:r>
              <w:rPr>
                <w:color w:val="000000"/>
                <w:sz w:val="22"/>
                <w:szCs w:val="22"/>
              </w:rPr>
              <w:t>06/30/2016</w:t>
            </w:r>
          </w:p>
        </w:tc>
        <w:tc>
          <w:tcPr>
            <w:tcW w:w="1352" w:type="dxa"/>
            <w:tcBorders>
              <w:top w:val="single" w:sz="4" w:space="0" w:color="B1B1B1"/>
              <w:left w:val="single" w:sz="4" w:space="0" w:color="B1B1B1"/>
              <w:bottom w:val="single" w:sz="4" w:space="0" w:color="B1B1B1"/>
              <w:right w:val="single" w:sz="4" w:space="0" w:color="B1B1B1"/>
            </w:tcBorders>
            <w:vAlign w:val="center"/>
          </w:tcPr>
          <w:p w14:paraId="41539014"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3DCB2E5A" w14:textId="77777777" w:rsidR="00F42214" w:rsidRDefault="00F42214">
            <w:pPr>
              <w:spacing w:line="200" w:lineRule="atLeast"/>
              <w:rPr>
                <w:color w:val="000000"/>
                <w:sz w:val="22"/>
                <w:szCs w:val="22"/>
              </w:rPr>
            </w:pPr>
            <w:r>
              <w:rPr>
                <w:color w:val="000000"/>
                <w:sz w:val="22"/>
                <w:szCs w:val="22"/>
              </w:rPr>
              <w:t>06/30/2016</w:t>
            </w:r>
          </w:p>
        </w:tc>
      </w:tr>
      <w:tr w:rsidR="00F42214" w14:paraId="04132A3E"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3116B66C" w14:textId="77777777" w:rsidR="00F42214" w:rsidRDefault="00F42214">
            <w:pPr>
              <w:spacing w:line="200" w:lineRule="atLeast"/>
              <w:rPr>
                <w:color w:val="000000"/>
                <w:sz w:val="22"/>
                <w:szCs w:val="22"/>
              </w:rPr>
            </w:pPr>
            <w:r>
              <w:rPr>
                <w:color w:val="000000"/>
                <w:sz w:val="22"/>
                <w:szCs w:val="22"/>
              </w:rPr>
              <w:t xml:space="preserve">Comments </w:t>
            </w:r>
          </w:p>
          <w:p w14:paraId="4F610F52" w14:textId="77777777" w:rsidR="00F42214" w:rsidRDefault="00F42214">
            <w:pPr>
              <w:spacing w:line="200" w:lineRule="atLeast"/>
              <w:rPr>
                <w:color w:val="000000"/>
                <w:sz w:val="22"/>
                <w:szCs w:val="22"/>
              </w:rPr>
            </w:pPr>
            <w:r>
              <w:rPr>
                <w:color w:val="000000"/>
                <w:sz w:val="22"/>
                <w:szCs w:val="22"/>
              </w:rPr>
              <w:t xml:space="preserve">(incl. % </w:t>
            </w:r>
          </w:p>
          <w:p w14:paraId="59959E92"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BF12273" w14:textId="77777777" w:rsidR="00F42214" w:rsidRDefault="00F42214">
            <w:r>
              <w:t xml:space="preserve">ACHIEVED: Indicator added during December 2013 restructuring. </w:t>
            </w:r>
          </w:p>
          <w:p w14:paraId="4CC386B2" w14:textId="77777777" w:rsidR="00F42214" w:rsidRDefault="00F42214">
            <w:pPr>
              <w:spacing w:line="200" w:lineRule="atLeast"/>
              <w:rPr>
                <w:color w:val="000000"/>
                <w:sz w:val="22"/>
                <w:szCs w:val="22"/>
              </w:rPr>
            </w:pPr>
          </w:p>
        </w:tc>
      </w:tr>
      <w:tr w:rsidR="00F42214" w14:paraId="0AAED177"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E483C40" w14:textId="77777777" w:rsidR="00F42214" w:rsidRDefault="00F42214">
            <w:pPr>
              <w:spacing w:line="200" w:lineRule="atLeast"/>
              <w:rPr>
                <w:color w:val="000000"/>
                <w:sz w:val="22"/>
                <w:szCs w:val="22"/>
              </w:rPr>
            </w:pPr>
            <w:r>
              <w:rPr>
                <w:rStyle w:val="Strong"/>
                <w:color w:val="000000"/>
                <w:sz w:val="22"/>
                <w:szCs w:val="22"/>
              </w:rPr>
              <w:t xml:space="preserve">Indicator </w:t>
            </w:r>
            <w:bookmarkStart w:id="80" w:name="IO_INDICATORS_COL_1"/>
            <w:r>
              <w:rPr>
                <w:rStyle w:val="Strong"/>
                <w:color w:val="000000"/>
                <w:sz w:val="22"/>
                <w:szCs w:val="22"/>
              </w:rPr>
              <w:t>22</w:t>
            </w:r>
            <w:bookmarkEnd w:id="80"/>
            <w:r>
              <w:rPr>
                <w:rStyle w:val="Strong"/>
                <w:color w:val="000000"/>
                <w:sz w:val="22"/>
                <w:szCs w:val="22"/>
              </w:rPr>
              <w:t xml:space="preserve"> :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643C5823" w14:textId="77777777" w:rsidR="00F42214" w:rsidRDefault="00F42214">
            <w:bookmarkStart w:id="81" w:name="IO_INDICATORS_COL_2"/>
            <w:bookmarkEnd w:id="81"/>
            <w:r>
              <w:t xml:space="preserve">Service transactions at the DSCs-new </w:t>
            </w:r>
          </w:p>
          <w:p w14:paraId="7A0E1E56" w14:textId="77777777" w:rsidR="00F42214" w:rsidRDefault="00F42214">
            <w:pPr>
              <w:spacing w:line="200" w:lineRule="atLeast"/>
              <w:rPr>
                <w:color w:val="000000"/>
                <w:sz w:val="22"/>
                <w:szCs w:val="22"/>
              </w:rPr>
            </w:pPr>
          </w:p>
        </w:tc>
      </w:tr>
      <w:tr w:rsidR="00F42214" w14:paraId="67E26744"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FA67E65" w14:textId="77777777" w:rsidR="00F42214" w:rsidRDefault="00F42214">
            <w:pPr>
              <w:spacing w:line="200" w:lineRule="atLeast"/>
              <w:rPr>
                <w:color w:val="000000"/>
                <w:sz w:val="22"/>
                <w:szCs w:val="22"/>
              </w:rPr>
            </w:pPr>
            <w:r>
              <w:rPr>
                <w:color w:val="000000"/>
                <w:sz w:val="22"/>
                <w:szCs w:val="22"/>
              </w:rPr>
              <w:t xml:space="preserve">Value </w:t>
            </w:r>
          </w:p>
          <w:p w14:paraId="614BE36C" w14:textId="77777777" w:rsidR="00F42214" w:rsidRDefault="00F42214">
            <w:pPr>
              <w:spacing w:line="200" w:lineRule="atLeast"/>
              <w:rPr>
                <w:color w:val="000000"/>
                <w:sz w:val="22"/>
                <w:szCs w:val="22"/>
              </w:rPr>
            </w:pPr>
            <w:r>
              <w:rPr>
                <w:color w:val="000000"/>
                <w:sz w:val="22"/>
                <w:szCs w:val="22"/>
              </w:rPr>
              <w:t xml:space="preserve">(quantitative </w:t>
            </w:r>
          </w:p>
          <w:p w14:paraId="37609474" w14:textId="77777777" w:rsidR="00F42214" w:rsidRDefault="00F42214">
            <w:pPr>
              <w:spacing w:line="200" w:lineRule="atLeast"/>
              <w:rPr>
                <w:color w:val="000000"/>
                <w:sz w:val="22"/>
                <w:szCs w:val="22"/>
              </w:rPr>
            </w:pPr>
            <w:r>
              <w:rPr>
                <w:color w:val="000000"/>
                <w:sz w:val="22"/>
                <w:szCs w:val="22"/>
              </w:rPr>
              <w:t xml:space="preserve">or Qualitative) </w:t>
            </w:r>
          </w:p>
        </w:tc>
        <w:tc>
          <w:tcPr>
            <w:tcW w:w="2340" w:type="dxa"/>
            <w:tcBorders>
              <w:top w:val="single" w:sz="4" w:space="0" w:color="B1B1B1"/>
              <w:left w:val="single" w:sz="4" w:space="0" w:color="B1B1B1"/>
              <w:bottom w:val="single" w:sz="4" w:space="0" w:color="B1B1B1"/>
              <w:right w:val="single" w:sz="4" w:space="0" w:color="B1B1B1"/>
            </w:tcBorders>
            <w:vAlign w:val="center"/>
          </w:tcPr>
          <w:p w14:paraId="0F2C0767" w14:textId="77777777" w:rsidR="00F42214" w:rsidRDefault="00F42214">
            <w:bookmarkStart w:id="82" w:name="IO_INDICATORS_COL_3"/>
            <w:bookmarkEnd w:id="82"/>
            <w:r>
              <w:t xml:space="preserve">15,000 </w:t>
            </w:r>
          </w:p>
          <w:p w14:paraId="2724A50E" w14:textId="77777777" w:rsidR="00F42214" w:rsidRDefault="00F42214">
            <w:pPr>
              <w:spacing w:line="200" w:lineRule="atLeast"/>
              <w:rPr>
                <w:color w:val="000000"/>
                <w:sz w:val="22"/>
                <w:szCs w:val="22"/>
              </w:rPr>
            </w:pPr>
          </w:p>
        </w:tc>
        <w:tc>
          <w:tcPr>
            <w:tcW w:w="1713" w:type="dxa"/>
            <w:tcBorders>
              <w:top w:val="single" w:sz="4" w:space="0" w:color="B1B1B1"/>
              <w:left w:val="single" w:sz="4" w:space="0" w:color="B1B1B1"/>
              <w:bottom w:val="single" w:sz="4" w:space="0" w:color="B1B1B1"/>
              <w:right w:val="single" w:sz="4" w:space="0" w:color="B1B1B1"/>
            </w:tcBorders>
            <w:vAlign w:val="center"/>
          </w:tcPr>
          <w:p w14:paraId="43DCCB20" w14:textId="77777777" w:rsidR="00F42214" w:rsidRDefault="00F42214">
            <w:bookmarkStart w:id="83" w:name="IO_INDICATORS_COL_4"/>
            <w:bookmarkEnd w:id="83"/>
            <w:r>
              <w:t xml:space="preserve">500,000 </w:t>
            </w:r>
          </w:p>
          <w:p w14:paraId="08695794" w14:textId="77777777" w:rsidR="00F42214" w:rsidRDefault="00F42214">
            <w:pPr>
              <w:spacing w:line="200" w:lineRule="atLeast"/>
              <w:rPr>
                <w:color w:val="000000"/>
                <w:sz w:val="22"/>
                <w:szCs w:val="22"/>
              </w:rPr>
            </w:pPr>
          </w:p>
        </w:tc>
        <w:tc>
          <w:tcPr>
            <w:tcW w:w="1352" w:type="dxa"/>
            <w:tcBorders>
              <w:top w:val="single" w:sz="4" w:space="0" w:color="B1B1B1"/>
              <w:left w:val="single" w:sz="4" w:space="0" w:color="B1B1B1"/>
              <w:bottom w:val="single" w:sz="4" w:space="0" w:color="B1B1B1"/>
              <w:right w:val="single" w:sz="4" w:space="0" w:color="B1B1B1"/>
            </w:tcBorders>
            <w:vAlign w:val="center"/>
          </w:tcPr>
          <w:p w14:paraId="4C519125" w14:textId="77777777" w:rsidR="00F42214" w:rsidRDefault="00F42214">
            <w:bookmarkStart w:id="84" w:name="IO_INDICATORS_COL_5"/>
            <w:bookmarkEnd w:id="84"/>
          </w:p>
          <w:p w14:paraId="703A241C" w14:textId="77777777" w:rsidR="00F42214" w:rsidRDefault="00F42214">
            <w:pPr>
              <w:spacing w:line="200" w:lineRule="atLeast"/>
              <w:rPr>
                <w:color w:val="000000"/>
                <w:sz w:val="22"/>
                <w:szCs w:val="22"/>
              </w:rPr>
            </w:pPr>
          </w:p>
        </w:tc>
        <w:tc>
          <w:tcPr>
            <w:tcW w:w="1805" w:type="dxa"/>
            <w:tcBorders>
              <w:top w:val="single" w:sz="4" w:space="0" w:color="B1B1B1"/>
              <w:left w:val="single" w:sz="4" w:space="0" w:color="B1B1B1"/>
              <w:bottom w:val="single" w:sz="4" w:space="0" w:color="B1B1B1"/>
              <w:right w:val="single" w:sz="4" w:space="0" w:color="B1B1B1"/>
            </w:tcBorders>
            <w:vAlign w:val="center"/>
          </w:tcPr>
          <w:p w14:paraId="0188470D" w14:textId="77777777" w:rsidR="00F42214" w:rsidRDefault="00F42214">
            <w:bookmarkStart w:id="85" w:name="IO_INDICATORS_COL_6"/>
            <w:bookmarkEnd w:id="85"/>
            <w:r>
              <w:t xml:space="preserve">2,409,920 </w:t>
            </w:r>
          </w:p>
          <w:p w14:paraId="641A8162" w14:textId="77777777" w:rsidR="00F42214" w:rsidRDefault="00F42214">
            <w:pPr>
              <w:spacing w:line="200" w:lineRule="atLeast"/>
              <w:rPr>
                <w:color w:val="000000"/>
                <w:sz w:val="22"/>
                <w:szCs w:val="22"/>
              </w:rPr>
            </w:pPr>
          </w:p>
        </w:tc>
      </w:tr>
      <w:tr w:rsidR="00F42214" w14:paraId="0974D1C3"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73A078C3" w14:textId="77777777" w:rsidR="00F42214" w:rsidRDefault="00F42214">
            <w:pPr>
              <w:spacing w:line="200" w:lineRule="atLeast"/>
              <w:rPr>
                <w:color w:val="000000"/>
                <w:sz w:val="22"/>
                <w:szCs w:val="22"/>
              </w:rPr>
            </w:pPr>
            <w:r>
              <w:rPr>
                <w:color w:val="000000"/>
                <w:sz w:val="22"/>
                <w:szCs w:val="22"/>
              </w:rPr>
              <w:t>Date achieved</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E45C19B" w14:textId="77777777" w:rsidR="00F42214" w:rsidRDefault="00F42214">
            <w:pPr>
              <w:spacing w:line="200" w:lineRule="atLeast"/>
              <w:rPr>
                <w:color w:val="000000"/>
                <w:sz w:val="22"/>
                <w:szCs w:val="22"/>
              </w:rPr>
            </w:pPr>
            <w:bookmarkStart w:id="86" w:name="IO_INDICATORS_COL_7"/>
            <w:r>
              <w:rPr>
                <w:color w:val="000000"/>
                <w:sz w:val="22"/>
                <w:szCs w:val="22"/>
              </w:rPr>
              <w:t>06/30/2011</w:t>
            </w:r>
            <w:bookmarkEnd w:id="86"/>
          </w:p>
        </w:tc>
        <w:tc>
          <w:tcPr>
            <w:tcW w:w="1713" w:type="dxa"/>
            <w:tcBorders>
              <w:top w:val="single" w:sz="4" w:space="0" w:color="B1B1B1"/>
              <w:left w:val="single" w:sz="4" w:space="0" w:color="B1B1B1"/>
              <w:bottom w:val="single" w:sz="4" w:space="0" w:color="B1B1B1"/>
              <w:right w:val="single" w:sz="4" w:space="0" w:color="B1B1B1"/>
            </w:tcBorders>
            <w:vAlign w:val="center"/>
            <w:hideMark/>
          </w:tcPr>
          <w:p w14:paraId="05213F63" w14:textId="77777777" w:rsidR="00F42214" w:rsidRDefault="00F42214">
            <w:pPr>
              <w:spacing w:line="200" w:lineRule="atLeast"/>
              <w:rPr>
                <w:color w:val="000000"/>
                <w:sz w:val="22"/>
                <w:szCs w:val="22"/>
              </w:rPr>
            </w:pPr>
            <w:bookmarkStart w:id="87" w:name="IO_INDICATORS_COL_8"/>
            <w:r>
              <w:rPr>
                <w:color w:val="000000"/>
                <w:sz w:val="22"/>
                <w:szCs w:val="22"/>
              </w:rPr>
              <w:t>06/30/2016</w:t>
            </w:r>
            <w:bookmarkEnd w:id="87"/>
          </w:p>
        </w:tc>
        <w:tc>
          <w:tcPr>
            <w:tcW w:w="1352" w:type="dxa"/>
            <w:tcBorders>
              <w:top w:val="single" w:sz="4" w:space="0" w:color="B1B1B1"/>
              <w:left w:val="single" w:sz="4" w:space="0" w:color="B1B1B1"/>
              <w:bottom w:val="single" w:sz="4" w:space="0" w:color="B1B1B1"/>
              <w:right w:val="single" w:sz="4" w:space="0" w:color="B1B1B1"/>
            </w:tcBorders>
            <w:vAlign w:val="center"/>
          </w:tcPr>
          <w:p w14:paraId="678977FA" w14:textId="77777777" w:rsidR="00F42214" w:rsidRDefault="00F42214">
            <w:pPr>
              <w:spacing w:line="200" w:lineRule="atLeast"/>
              <w:rPr>
                <w:color w:val="000000"/>
                <w:sz w:val="22"/>
                <w:szCs w:val="22"/>
              </w:rPr>
            </w:pPr>
            <w:bookmarkStart w:id="88" w:name="IO_INDICATORS_COL_9"/>
            <w:bookmarkEnd w:id="88"/>
          </w:p>
        </w:tc>
        <w:tc>
          <w:tcPr>
            <w:tcW w:w="1805" w:type="dxa"/>
            <w:tcBorders>
              <w:top w:val="single" w:sz="4" w:space="0" w:color="B1B1B1"/>
              <w:left w:val="single" w:sz="4" w:space="0" w:color="B1B1B1"/>
              <w:bottom w:val="single" w:sz="4" w:space="0" w:color="B1B1B1"/>
              <w:right w:val="single" w:sz="4" w:space="0" w:color="B1B1B1"/>
            </w:tcBorders>
            <w:vAlign w:val="center"/>
            <w:hideMark/>
          </w:tcPr>
          <w:p w14:paraId="1FCCA8CF" w14:textId="77777777" w:rsidR="00F42214" w:rsidRDefault="00F42214">
            <w:pPr>
              <w:spacing w:line="200" w:lineRule="atLeast"/>
              <w:rPr>
                <w:color w:val="000000"/>
                <w:sz w:val="22"/>
                <w:szCs w:val="22"/>
              </w:rPr>
            </w:pPr>
            <w:bookmarkStart w:id="89" w:name="IO_INDICATORS_COL_10"/>
            <w:r>
              <w:rPr>
                <w:color w:val="000000"/>
                <w:sz w:val="22"/>
                <w:szCs w:val="22"/>
              </w:rPr>
              <w:t>06/30/2016</w:t>
            </w:r>
            <w:bookmarkEnd w:id="89"/>
          </w:p>
        </w:tc>
      </w:tr>
      <w:tr w:rsidR="00F42214" w14:paraId="09228C5C" w14:textId="77777777" w:rsidTr="00F42214">
        <w:tc>
          <w:tcPr>
            <w:tcW w:w="1450" w:type="dxa"/>
            <w:tcBorders>
              <w:top w:val="single" w:sz="4" w:space="0" w:color="B1B1B1"/>
              <w:left w:val="single" w:sz="4" w:space="0" w:color="B1B1B1"/>
              <w:bottom w:val="single" w:sz="4" w:space="0" w:color="B1B1B1"/>
              <w:right w:val="single" w:sz="4" w:space="0" w:color="B1B1B1"/>
            </w:tcBorders>
            <w:vAlign w:val="center"/>
            <w:hideMark/>
          </w:tcPr>
          <w:p w14:paraId="619FE108" w14:textId="77777777" w:rsidR="00F42214" w:rsidRDefault="00F42214">
            <w:pPr>
              <w:spacing w:line="200" w:lineRule="atLeast"/>
              <w:rPr>
                <w:color w:val="000000"/>
                <w:sz w:val="22"/>
                <w:szCs w:val="22"/>
              </w:rPr>
            </w:pPr>
            <w:r>
              <w:rPr>
                <w:color w:val="000000"/>
                <w:sz w:val="22"/>
                <w:szCs w:val="22"/>
              </w:rPr>
              <w:t xml:space="preserve">Comments </w:t>
            </w:r>
          </w:p>
          <w:p w14:paraId="4D88DCC7" w14:textId="77777777" w:rsidR="00F42214" w:rsidRDefault="00F42214">
            <w:pPr>
              <w:spacing w:line="200" w:lineRule="atLeast"/>
              <w:rPr>
                <w:color w:val="000000"/>
                <w:sz w:val="22"/>
                <w:szCs w:val="22"/>
              </w:rPr>
            </w:pPr>
            <w:r>
              <w:rPr>
                <w:color w:val="000000"/>
                <w:sz w:val="22"/>
                <w:szCs w:val="22"/>
              </w:rPr>
              <w:t xml:space="preserve">(incl. % </w:t>
            </w:r>
          </w:p>
          <w:p w14:paraId="168A9536" w14:textId="77777777" w:rsidR="00F42214" w:rsidRDefault="00F42214">
            <w:pPr>
              <w:spacing w:line="200" w:lineRule="atLeast"/>
              <w:rPr>
                <w:color w:val="000000"/>
                <w:sz w:val="22"/>
                <w:szCs w:val="22"/>
              </w:rPr>
            </w:pPr>
            <w:r>
              <w:rPr>
                <w:color w:val="000000"/>
                <w:sz w:val="22"/>
                <w:szCs w:val="22"/>
              </w:rPr>
              <w:t xml:space="preserve">achievement) </w:t>
            </w:r>
          </w:p>
        </w:tc>
        <w:tc>
          <w:tcPr>
            <w:tcW w:w="7210" w:type="dxa"/>
            <w:gridSpan w:val="4"/>
            <w:tcBorders>
              <w:top w:val="single" w:sz="4" w:space="0" w:color="B1B1B1"/>
              <w:left w:val="single" w:sz="4" w:space="0" w:color="B1B1B1"/>
              <w:bottom w:val="single" w:sz="4" w:space="0" w:color="B1B1B1"/>
              <w:right w:val="single" w:sz="4" w:space="0" w:color="B1B1B1"/>
            </w:tcBorders>
            <w:vAlign w:val="center"/>
          </w:tcPr>
          <w:p w14:paraId="5D8B0711" w14:textId="77777777" w:rsidR="00F42214" w:rsidRDefault="00F42214">
            <w:bookmarkStart w:id="90" w:name="IO_INDICATORS_COL_11"/>
            <w:bookmarkEnd w:id="90"/>
            <w:r>
              <w:t xml:space="preserve">SURPASSED: The final achievement exceeded the end-Project target by over 380%. </w:t>
            </w:r>
          </w:p>
          <w:p w14:paraId="399AF7D6" w14:textId="77777777" w:rsidR="00F42214" w:rsidRDefault="00F42214">
            <w:pPr>
              <w:spacing w:line="200" w:lineRule="atLeast"/>
              <w:rPr>
                <w:color w:val="000000"/>
                <w:sz w:val="22"/>
                <w:szCs w:val="22"/>
              </w:rPr>
            </w:pPr>
          </w:p>
        </w:tc>
      </w:tr>
    </w:tbl>
    <w:p w14:paraId="0D6F6111" w14:textId="77777777" w:rsidR="00F42214" w:rsidRDefault="00F42214" w:rsidP="00F42214">
      <w:bookmarkStart w:id="91" w:name="IO_INDICATORS"/>
      <w:bookmarkEnd w:id="91"/>
    </w:p>
    <w:p w14:paraId="04EB9322" w14:textId="77777777" w:rsidR="00F42214" w:rsidRDefault="00F42214" w:rsidP="00F42214">
      <w:pPr>
        <w:rPr>
          <w:sz w:val="2"/>
          <w:szCs w:val="2"/>
        </w:rPr>
      </w:pPr>
    </w:p>
    <w:tbl>
      <w:tblPr>
        <w:tblW w:w="5000" w:type="pct"/>
        <w:tblCellSpacing w:w="7" w:type="dxa"/>
        <w:tblCellMar>
          <w:left w:w="0" w:type="dxa"/>
          <w:right w:w="0" w:type="dxa"/>
        </w:tblCellMar>
        <w:tblLook w:val="04A0" w:firstRow="1" w:lastRow="0" w:firstColumn="1" w:lastColumn="0" w:noHBand="0" w:noVBand="1"/>
      </w:tblPr>
      <w:tblGrid>
        <w:gridCol w:w="8640"/>
      </w:tblGrid>
      <w:tr w:rsidR="00F42214" w14:paraId="0BDDCE33" w14:textId="77777777" w:rsidTr="00F42214">
        <w:trPr>
          <w:tblCellSpacing w:w="7" w:type="dxa"/>
        </w:trPr>
        <w:tc>
          <w:tcPr>
            <w:tcW w:w="0" w:type="auto"/>
            <w:vAlign w:val="center"/>
            <w:hideMark/>
          </w:tcPr>
          <w:p w14:paraId="5C783D8A" w14:textId="77777777" w:rsidR="00F42214" w:rsidRDefault="00F42214">
            <w:pPr>
              <w:pStyle w:val="Heading2"/>
              <w:keepNext/>
              <w:keepLines/>
            </w:pPr>
            <w:r>
              <w:t>G. Ratings of Project Performance in ISRs</w:t>
            </w:r>
          </w:p>
        </w:tc>
      </w:tr>
      <w:tr w:rsidR="00F42214" w14:paraId="3898A6BD" w14:textId="77777777" w:rsidTr="00F42214">
        <w:trPr>
          <w:tblCellSpacing w:w="7" w:type="dxa"/>
        </w:trPr>
        <w:tc>
          <w:tcPr>
            <w:tcW w:w="0" w:type="auto"/>
            <w:vAlign w:val="center"/>
          </w:tcPr>
          <w:p w14:paraId="573C1FB1" w14:textId="77777777" w:rsidR="00F42214" w:rsidRDefault="00F42214">
            <w:pPr>
              <w:keepNext/>
              <w:keepLines/>
            </w:pPr>
          </w:p>
        </w:tc>
      </w:tr>
    </w:tbl>
    <w:p w14:paraId="5341678B" w14:textId="77777777" w:rsidR="00F42214" w:rsidRDefault="00F42214" w:rsidP="00F42214">
      <w:pPr>
        <w:keepNext/>
        <w:keepLines/>
        <w:rPr>
          <w:vanish/>
        </w:rPr>
      </w:pPr>
    </w:p>
    <w:tbl>
      <w:tblPr>
        <w:tblW w:w="5000" w:type="pct"/>
        <w:tblLayout w:type="fixed"/>
        <w:tblCellMar>
          <w:top w:w="10" w:type="dxa"/>
          <w:left w:w="10" w:type="dxa"/>
          <w:bottom w:w="10" w:type="dxa"/>
          <w:right w:w="10" w:type="dxa"/>
        </w:tblCellMar>
        <w:tblLook w:val="04A0" w:firstRow="1" w:lastRow="0" w:firstColumn="1" w:lastColumn="0" w:noHBand="0" w:noVBand="1"/>
      </w:tblPr>
      <w:tblGrid>
        <w:gridCol w:w="520"/>
        <w:gridCol w:w="1463"/>
        <w:gridCol w:w="2332"/>
        <w:gridCol w:w="2332"/>
        <w:gridCol w:w="1983"/>
      </w:tblGrid>
      <w:tr w:rsidR="00F42214" w14:paraId="6F735F5F" w14:textId="77777777" w:rsidTr="00F42214">
        <w:tc>
          <w:tcPr>
            <w:tcW w:w="522"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0F2E12E5" w14:textId="77777777" w:rsidR="00F42214" w:rsidRDefault="00F42214">
            <w:pPr>
              <w:keepNext/>
              <w:keepLines/>
              <w:jc w:val="center"/>
              <w:rPr>
                <w:b/>
                <w:bCs/>
                <w:color w:val="606060"/>
                <w:sz w:val="22"/>
                <w:szCs w:val="22"/>
              </w:rPr>
            </w:pPr>
            <w:r>
              <w:rPr>
                <w:b/>
                <w:bCs/>
                <w:color w:val="606060"/>
                <w:sz w:val="22"/>
                <w:szCs w:val="22"/>
              </w:rPr>
              <w:t>No.</w:t>
            </w:r>
          </w:p>
        </w:tc>
        <w:tc>
          <w:tcPr>
            <w:tcW w:w="1468"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5979508" w14:textId="77777777" w:rsidR="00F42214" w:rsidRDefault="00F42214">
            <w:pPr>
              <w:keepNext/>
              <w:keepLines/>
              <w:jc w:val="center"/>
              <w:rPr>
                <w:b/>
                <w:bCs/>
                <w:color w:val="606060"/>
                <w:sz w:val="22"/>
                <w:szCs w:val="22"/>
              </w:rPr>
            </w:pPr>
            <w:r>
              <w:rPr>
                <w:b/>
                <w:bCs/>
                <w:color w:val="606060"/>
                <w:sz w:val="22"/>
                <w:szCs w:val="22"/>
              </w:rPr>
              <w:t xml:space="preserve">Date ISR </w:t>
            </w:r>
          </w:p>
          <w:p w14:paraId="533D5CCD" w14:textId="77777777" w:rsidR="00F42214" w:rsidRDefault="00F42214">
            <w:pPr>
              <w:keepNext/>
              <w:keepLines/>
              <w:jc w:val="center"/>
              <w:rPr>
                <w:b/>
                <w:bCs/>
                <w:color w:val="606060"/>
                <w:sz w:val="22"/>
                <w:szCs w:val="22"/>
              </w:rPr>
            </w:pPr>
            <w:r>
              <w:rPr>
                <w:b/>
                <w:bCs/>
                <w:color w:val="606060"/>
                <w:sz w:val="22"/>
                <w:szCs w:val="22"/>
              </w:rPr>
              <w:t>Archived</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41DF8EA" w14:textId="77777777" w:rsidR="00F42214" w:rsidRDefault="00F42214">
            <w:pPr>
              <w:keepNext/>
              <w:keepLines/>
              <w:jc w:val="center"/>
              <w:rPr>
                <w:b/>
                <w:bCs/>
                <w:color w:val="606060"/>
                <w:sz w:val="22"/>
                <w:szCs w:val="22"/>
              </w:rPr>
            </w:pPr>
            <w:r>
              <w:rPr>
                <w:b/>
                <w:bCs/>
                <w:color w:val="606060"/>
                <w:sz w:val="22"/>
                <w:szCs w:val="22"/>
              </w:rPr>
              <w:t>DO</w:t>
            </w:r>
          </w:p>
        </w:tc>
        <w:tc>
          <w:tcPr>
            <w:tcW w:w="234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3CE31E0C" w14:textId="77777777" w:rsidR="00F42214" w:rsidRDefault="00F42214">
            <w:pPr>
              <w:keepNext/>
              <w:keepLines/>
              <w:jc w:val="center"/>
              <w:rPr>
                <w:b/>
                <w:bCs/>
                <w:color w:val="606060"/>
                <w:sz w:val="22"/>
                <w:szCs w:val="22"/>
              </w:rPr>
            </w:pPr>
            <w:r>
              <w:rPr>
                <w:b/>
                <w:bCs/>
                <w:color w:val="606060"/>
                <w:sz w:val="22"/>
                <w:szCs w:val="22"/>
              </w:rPr>
              <w:t>IP</w:t>
            </w:r>
          </w:p>
        </w:tc>
        <w:tc>
          <w:tcPr>
            <w:tcW w:w="199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00481B5" w14:textId="77777777" w:rsidR="00F42214" w:rsidRDefault="00F42214">
            <w:pPr>
              <w:keepNext/>
              <w:keepLines/>
              <w:jc w:val="center"/>
              <w:rPr>
                <w:b/>
                <w:bCs/>
                <w:color w:val="606060"/>
                <w:sz w:val="22"/>
                <w:szCs w:val="22"/>
              </w:rPr>
            </w:pPr>
            <w:r>
              <w:rPr>
                <w:b/>
                <w:bCs/>
                <w:color w:val="606060"/>
                <w:sz w:val="22"/>
                <w:szCs w:val="22"/>
              </w:rPr>
              <w:t>Actual Disbursements</w:t>
            </w:r>
          </w:p>
          <w:p w14:paraId="77F0E44D" w14:textId="77777777" w:rsidR="00F42214" w:rsidRDefault="00F42214">
            <w:pPr>
              <w:keepNext/>
              <w:keepLines/>
              <w:jc w:val="center"/>
              <w:rPr>
                <w:b/>
                <w:bCs/>
                <w:color w:val="606060"/>
                <w:sz w:val="22"/>
                <w:szCs w:val="22"/>
              </w:rPr>
            </w:pPr>
            <w:r>
              <w:rPr>
                <w:b/>
                <w:bCs/>
                <w:color w:val="606060"/>
                <w:sz w:val="22"/>
                <w:szCs w:val="22"/>
              </w:rPr>
              <w:t>(USD millions)</w:t>
            </w:r>
          </w:p>
        </w:tc>
      </w:tr>
      <w:tr w:rsidR="00F42214" w14:paraId="144FFE78"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381EB407" w14:textId="77777777" w:rsidR="00F42214" w:rsidRDefault="00F42214">
            <w:pPr>
              <w:spacing w:line="200" w:lineRule="atLeast"/>
              <w:jc w:val="center"/>
              <w:rPr>
                <w:color w:val="000000"/>
                <w:sz w:val="22"/>
                <w:szCs w:val="22"/>
              </w:rPr>
            </w:pPr>
            <w:r>
              <w:rPr>
                <w:color w:val="000000"/>
                <w:sz w:val="22"/>
                <w:szCs w:val="22"/>
              </w:rPr>
              <w:t xml:space="preserve"> 1</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0CED3568" w14:textId="77777777" w:rsidR="00F42214" w:rsidRDefault="00F42214">
            <w:pPr>
              <w:spacing w:line="200" w:lineRule="atLeast"/>
              <w:jc w:val="center"/>
              <w:rPr>
                <w:color w:val="000000"/>
                <w:sz w:val="22"/>
                <w:szCs w:val="22"/>
              </w:rPr>
            </w:pPr>
            <w:r>
              <w:rPr>
                <w:color w:val="000000"/>
                <w:sz w:val="22"/>
                <w:szCs w:val="22"/>
              </w:rPr>
              <w:t>09/14/2008</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326877D" w14:textId="77777777" w:rsidR="00F42214" w:rsidRDefault="00F42214">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8287C6E" w14:textId="77777777" w:rsidR="00F42214" w:rsidRDefault="00F42214">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443A86BE" w14:textId="77777777" w:rsidR="00F42214" w:rsidRDefault="00F42214">
            <w:pPr>
              <w:tabs>
                <w:tab w:val="decimal" w:pos="1430"/>
              </w:tabs>
              <w:spacing w:line="200" w:lineRule="atLeast"/>
              <w:rPr>
                <w:color w:val="000000"/>
                <w:sz w:val="22"/>
                <w:szCs w:val="22"/>
              </w:rPr>
            </w:pPr>
            <w:r>
              <w:rPr>
                <w:color w:val="000000"/>
                <w:sz w:val="22"/>
                <w:szCs w:val="22"/>
              </w:rPr>
              <w:t>0.00</w:t>
            </w:r>
          </w:p>
        </w:tc>
      </w:tr>
      <w:tr w:rsidR="00F42214" w14:paraId="548FA8E2"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5BE1F418" w14:textId="77777777" w:rsidR="00F42214" w:rsidRDefault="00F42214">
            <w:pPr>
              <w:spacing w:line="200" w:lineRule="atLeast"/>
              <w:jc w:val="center"/>
              <w:rPr>
                <w:color w:val="000000"/>
                <w:sz w:val="22"/>
                <w:szCs w:val="22"/>
              </w:rPr>
            </w:pPr>
            <w:r>
              <w:rPr>
                <w:color w:val="000000"/>
                <w:sz w:val="22"/>
                <w:szCs w:val="22"/>
              </w:rPr>
              <w:t xml:space="preserve"> 2</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065E26E5" w14:textId="77777777" w:rsidR="00F42214" w:rsidRDefault="00F42214">
            <w:pPr>
              <w:spacing w:line="200" w:lineRule="atLeast"/>
              <w:jc w:val="center"/>
              <w:rPr>
                <w:color w:val="000000"/>
                <w:sz w:val="22"/>
                <w:szCs w:val="22"/>
              </w:rPr>
            </w:pPr>
            <w:r>
              <w:rPr>
                <w:color w:val="000000"/>
                <w:sz w:val="22"/>
                <w:szCs w:val="22"/>
              </w:rPr>
              <w:t>03/14/2009</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506E16D" w14:textId="77777777" w:rsidR="00F42214" w:rsidRDefault="00F42214">
            <w:pPr>
              <w:spacing w:line="200" w:lineRule="atLeast"/>
              <w:jc w:val="center"/>
              <w:rPr>
                <w:color w:val="000000"/>
                <w:sz w:val="22"/>
                <w:szCs w:val="22"/>
              </w:rPr>
            </w:pPr>
            <w:r>
              <w:rPr>
                <w:color w:val="000000"/>
                <w:sz w:val="22"/>
                <w:szCs w:val="22"/>
              </w:rPr>
              <w:t>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4030251" w14:textId="77777777" w:rsidR="00F42214" w:rsidRDefault="00F42214">
            <w:pPr>
              <w:spacing w:line="200" w:lineRule="atLeast"/>
              <w:jc w:val="center"/>
              <w:rPr>
                <w:color w:val="000000"/>
                <w:sz w:val="22"/>
                <w:szCs w:val="22"/>
              </w:rPr>
            </w:pPr>
            <w:r>
              <w:rPr>
                <w:color w:val="000000"/>
                <w:sz w:val="22"/>
                <w:szCs w:val="22"/>
              </w:rPr>
              <w:t>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127CB099" w14:textId="77777777" w:rsidR="00F42214" w:rsidRDefault="00F42214">
            <w:pPr>
              <w:tabs>
                <w:tab w:val="decimal" w:pos="1430"/>
              </w:tabs>
              <w:spacing w:line="200" w:lineRule="atLeast"/>
              <w:rPr>
                <w:color w:val="000000"/>
                <w:sz w:val="22"/>
                <w:szCs w:val="22"/>
              </w:rPr>
            </w:pPr>
            <w:r>
              <w:rPr>
                <w:color w:val="000000"/>
                <w:sz w:val="22"/>
                <w:szCs w:val="22"/>
              </w:rPr>
              <w:t>0.43</w:t>
            </w:r>
          </w:p>
        </w:tc>
      </w:tr>
      <w:tr w:rsidR="00F42214" w14:paraId="48462AD5"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264ED4FF" w14:textId="77777777" w:rsidR="00F42214" w:rsidRDefault="00F42214">
            <w:pPr>
              <w:spacing w:line="200" w:lineRule="atLeast"/>
              <w:jc w:val="center"/>
              <w:rPr>
                <w:color w:val="000000"/>
                <w:sz w:val="22"/>
                <w:szCs w:val="22"/>
              </w:rPr>
            </w:pPr>
            <w:r>
              <w:rPr>
                <w:color w:val="000000"/>
                <w:sz w:val="22"/>
                <w:szCs w:val="22"/>
              </w:rPr>
              <w:t xml:space="preserve"> 3</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394E0DE2" w14:textId="77777777" w:rsidR="00F42214" w:rsidRDefault="00F42214">
            <w:pPr>
              <w:spacing w:line="200" w:lineRule="atLeast"/>
              <w:jc w:val="center"/>
              <w:rPr>
                <w:color w:val="000000"/>
                <w:sz w:val="22"/>
                <w:szCs w:val="22"/>
              </w:rPr>
            </w:pPr>
            <w:r>
              <w:rPr>
                <w:color w:val="000000"/>
                <w:sz w:val="22"/>
                <w:szCs w:val="22"/>
              </w:rPr>
              <w:t>08/14/2009</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2776960"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A124C49"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6B056024" w14:textId="77777777" w:rsidR="00F42214" w:rsidRDefault="00F42214">
            <w:pPr>
              <w:tabs>
                <w:tab w:val="decimal" w:pos="1430"/>
              </w:tabs>
              <w:spacing w:line="200" w:lineRule="atLeast"/>
              <w:rPr>
                <w:color w:val="000000"/>
                <w:sz w:val="22"/>
                <w:szCs w:val="22"/>
              </w:rPr>
            </w:pPr>
            <w:r>
              <w:rPr>
                <w:color w:val="000000"/>
                <w:sz w:val="22"/>
                <w:szCs w:val="22"/>
              </w:rPr>
              <w:t>1.37</w:t>
            </w:r>
          </w:p>
        </w:tc>
      </w:tr>
      <w:tr w:rsidR="00F42214" w14:paraId="78DB2553"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46E5FAA1" w14:textId="77777777" w:rsidR="00F42214" w:rsidRDefault="00F42214">
            <w:pPr>
              <w:spacing w:line="200" w:lineRule="atLeast"/>
              <w:jc w:val="center"/>
              <w:rPr>
                <w:color w:val="000000"/>
                <w:sz w:val="22"/>
                <w:szCs w:val="22"/>
              </w:rPr>
            </w:pPr>
            <w:r>
              <w:rPr>
                <w:color w:val="000000"/>
                <w:sz w:val="22"/>
                <w:szCs w:val="22"/>
              </w:rPr>
              <w:t xml:space="preserve"> 4</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7FCCD6BD" w14:textId="77777777" w:rsidR="00F42214" w:rsidRDefault="00F42214">
            <w:pPr>
              <w:spacing w:line="200" w:lineRule="atLeast"/>
              <w:jc w:val="center"/>
              <w:rPr>
                <w:color w:val="000000"/>
                <w:sz w:val="22"/>
                <w:szCs w:val="22"/>
              </w:rPr>
            </w:pPr>
            <w:r>
              <w:rPr>
                <w:color w:val="000000"/>
                <w:sz w:val="22"/>
                <w:szCs w:val="22"/>
              </w:rPr>
              <w:t>03/18/2010</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0571235" w14:textId="77777777" w:rsidR="00F42214" w:rsidRDefault="00F42214">
            <w:pPr>
              <w:spacing w:line="200" w:lineRule="atLeast"/>
              <w:jc w:val="center"/>
              <w:rPr>
                <w:color w:val="000000"/>
                <w:sz w:val="22"/>
                <w:szCs w:val="22"/>
              </w:rPr>
            </w:pPr>
            <w:r>
              <w:rPr>
                <w:color w:val="000000"/>
                <w:sz w:val="22"/>
                <w:szCs w:val="22"/>
              </w:rPr>
              <w:t>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7627DB4" w14:textId="77777777" w:rsidR="00F42214" w:rsidRDefault="00F42214">
            <w:pPr>
              <w:spacing w:line="200" w:lineRule="atLeast"/>
              <w:jc w:val="center"/>
              <w:rPr>
                <w:color w:val="000000"/>
                <w:sz w:val="22"/>
                <w:szCs w:val="22"/>
              </w:rPr>
            </w:pPr>
            <w:r>
              <w:rPr>
                <w:color w:val="000000"/>
                <w:sz w:val="22"/>
                <w:szCs w:val="22"/>
              </w:rPr>
              <w:t>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787D455E" w14:textId="77777777" w:rsidR="00F42214" w:rsidRDefault="00F42214">
            <w:pPr>
              <w:tabs>
                <w:tab w:val="decimal" w:pos="1430"/>
              </w:tabs>
              <w:spacing w:line="200" w:lineRule="atLeast"/>
              <w:rPr>
                <w:color w:val="000000"/>
                <w:sz w:val="22"/>
                <w:szCs w:val="22"/>
              </w:rPr>
            </w:pPr>
            <w:r>
              <w:rPr>
                <w:color w:val="000000"/>
                <w:sz w:val="22"/>
                <w:szCs w:val="22"/>
              </w:rPr>
              <w:t>1.87</w:t>
            </w:r>
          </w:p>
        </w:tc>
      </w:tr>
      <w:tr w:rsidR="00F42214" w14:paraId="41D80B88"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0A33DCDD" w14:textId="77777777" w:rsidR="00F42214" w:rsidRDefault="00F42214">
            <w:pPr>
              <w:spacing w:line="200" w:lineRule="atLeast"/>
              <w:jc w:val="center"/>
              <w:rPr>
                <w:color w:val="000000"/>
                <w:sz w:val="22"/>
                <w:szCs w:val="22"/>
              </w:rPr>
            </w:pPr>
            <w:r>
              <w:rPr>
                <w:color w:val="000000"/>
                <w:sz w:val="22"/>
                <w:szCs w:val="22"/>
              </w:rPr>
              <w:t xml:space="preserve"> 5</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02ACB992" w14:textId="77777777" w:rsidR="00F42214" w:rsidRDefault="00F42214">
            <w:pPr>
              <w:spacing w:line="200" w:lineRule="atLeast"/>
              <w:jc w:val="center"/>
              <w:rPr>
                <w:color w:val="000000"/>
                <w:sz w:val="22"/>
                <w:szCs w:val="22"/>
              </w:rPr>
            </w:pPr>
            <w:r>
              <w:rPr>
                <w:color w:val="000000"/>
                <w:sz w:val="22"/>
                <w:szCs w:val="22"/>
              </w:rPr>
              <w:t>02/27/2011</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757BAC1" w14:textId="77777777" w:rsidR="00F42214" w:rsidRDefault="00F42214">
            <w:pPr>
              <w:spacing w:line="200" w:lineRule="atLeast"/>
              <w:jc w:val="center"/>
              <w:rPr>
                <w:color w:val="000000"/>
                <w:sz w:val="22"/>
                <w:szCs w:val="22"/>
              </w:rPr>
            </w:pPr>
            <w:r>
              <w:rPr>
                <w:color w:val="000000"/>
                <w:sz w:val="22"/>
                <w:szCs w:val="22"/>
              </w:rPr>
              <w:t>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BA4581B" w14:textId="77777777" w:rsidR="00F42214" w:rsidRDefault="00F42214">
            <w:pPr>
              <w:spacing w:line="200" w:lineRule="atLeast"/>
              <w:jc w:val="center"/>
              <w:rPr>
                <w:color w:val="000000"/>
                <w:sz w:val="22"/>
                <w:szCs w:val="22"/>
              </w:rPr>
            </w:pPr>
            <w:r>
              <w:rPr>
                <w:color w:val="000000"/>
                <w:sz w:val="22"/>
                <w:szCs w:val="22"/>
              </w:rPr>
              <w:t>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2AD4D40F" w14:textId="77777777" w:rsidR="00F42214" w:rsidRDefault="00F42214">
            <w:pPr>
              <w:tabs>
                <w:tab w:val="decimal" w:pos="1430"/>
              </w:tabs>
              <w:spacing w:line="200" w:lineRule="atLeast"/>
              <w:rPr>
                <w:color w:val="000000"/>
                <w:sz w:val="22"/>
                <w:szCs w:val="22"/>
              </w:rPr>
            </w:pPr>
            <w:r>
              <w:rPr>
                <w:color w:val="000000"/>
                <w:sz w:val="22"/>
                <w:szCs w:val="22"/>
              </w:rPr>
              <w:t>1.89</w:t>
            </w:r>
          </w:p>
        </w:tc>
      </w:tr>
      <w:tr w:rsidR="00F42214" w14:paraId="6EF61FF0"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183F3035" w14:textId="77777777" w:rsidR="00F42214" w:rsidRDefault="00F42214">
            <w:pPr>
              <w:spacing w:line="200" w:lineRule="atLeast"/>
              <w:jc w:val="center"/>
              <w:rPr>
                <w:color w:val="000000"/>
                <w:sz w:val="22"/>
                <w:szCs w:val="22"/>
              </w:rPr>
            </w:pPr>
            <w:r>
              <w:rPr>
                <w:color w:val="000000"/>
                <w:sz w:val="22"/>
                <w:szCs w:val="22"/>
              </w:rPr>
              <w:t xml:space="preserve"> 6</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4B2925E3" w14:textId="77777777" w:rsidR="00F42214" w:rsidRDefault="00F42214">
            <w:pPr>
              <w:spacing w:line="200" w:lineRule="atLeast"/>
              <w:jc w:val="center"/>
              <w:rPr>
                <w:color w:val="000000"/>
                <w:sz w:val="22"/>
                <w:szCs w:val="22"/>
              </w:rPr>
            </w:pPr>
            <w:r>
              <w:rPr>
                <w:color w:val="000000"/>
                <w:sz w:val="22"/>
                <w:szCs w:val="22"/>
              </w:rPr>
              <w:t>09/11/2011</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49F5DFE" w14:textId="77777777" w:rsidR="00F42214" w:rsidRDefault="00F42214">
            <w:pPr>
              <w:spacing w:line="200" w:lineRule="atLeast"/>
              <w:jc w:val="center"/>
              <w:rPr>
                <w:color w:val="000000"/>
                <w:sz w:val="22"/>
                <w:szCs w:val="22"/>
              </w:rPr>
            </w:pPr>
            <w:r>
              <w:rPr>
                <w:color w:val="000000"/>
                <w:sz w:val="22"/>
                <w:szCs w:val="22"/>
              </w:rPr>
              <w:t>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0E59BA8" w14:textId="77777777" w:rsidR="00F42214" w:rsidRDefault="00F42214">
            <w:pPr>
              <w:spacing w:line="200" w:lineRule="atLeast"/>
              <w:jc w:val="center"/>
              <w:rPr>
                <w:color w:val="000000"/>
                <w:sz w:val="22"/>
                <w:szCs w:val="22"/>
              </w:rPr>
            </w:pPr>
            <w:r>
              <w:rPr>
                <w:color w:val="000000"/>
                <w:sz w:val="22"/>
                <w:szCs w:val="22"/>
              </w:rPr>
              <w:t>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339179B0" w14:textId="77777777" w:rsidR="00F42214" w:rsidRDefault="00F42214">
            <w:pPr>
              <w:tabs>
                <w:tab w:val="decimal" w:pos="1430"/>
              </w:tabs>
              <w:spacing w:line="200" w:lineRule="atLeast"/>
              <w:rPr>
                <w:color w:val="000000"/>
                <w:sz w:val="22"/>
                <w:szCs w:val="22"/>
              </w:rPr>
            </w:pPr>
            <w:r>
              <w:rPr>
                <w:color w:val="000000"/>
                <w:sz w:val="22"/>
                <w:szCs w:val="22"/>
              </w:rPr>
              <w:t>1.96</w:t>
            </w:r>
          </w:p>
        </w:tc>
      </w:tr>
      <w:tr w:rsidR="00F42214" w14:paraId="3A81FB4D"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73343392" w14:textId="77777777" w:rsidR="00F42214" w:rsidRDefault="00F42214">
            <w:pPr>
              <w:spacing w:line="200" w:lineRule="atLeast"/>
              <w:jc w:val="center"/>
              <w:rPr>
                <w:color w:val="000000"/>
                <w:sz w:val="22"/>
                <w:szCs w:val="22"/>
              </w:rPr>
            </w:pPr>
            <w:r>
              <w:rPr>
                <w:color w:val="000000"/>
                <w:sz w:val="22"/>
                <w:szCs w:val="22"/>
              </w:rPr>
              <w:t xml:space="preserve"> 7</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34AB4BC5" w14:textId="77777777" w:rsidR="00F42214" w:rsidRDefault="00F42214">
            <w:pPr>
              <w:spacing w:line="200" w:lineRule="atLeast"/>
              <w:jc w:val="center"/>
              <w:rPr>
                <w:color w:val="000000"/>
                <w:sz w:val="22"/>
                <w:szCs w:val="22"/>
              </w:rPr>
            </w:pPr>
            <w:r>
              <w:rPr>
                <w:color w:val="000000"/>
                <w:sz w:val="22"/>
                <w:szCs w:val="22"/>
              </w:rPr>
              <w:t>04/07/2012</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A86956A" w14:textId="77777777" w:rsidR="00F42214" w:rsidRDefault="00F42214">
            <w:pPr>
              <w:spacing w:line="200" w:lineRule="atLeast"/>
              <w:jc w:val="center"/>
              <w:rPr>
                <w:color w:val="000000"/>
                <w:sz w:val="22"/>
                <w:szCs w:val="22"/>
              </w:rPr>
            </w:pPr>
            <w:r>
              <w:rPr>
                <w:color w:val="000000"/>
                <w:sz w:val="22"/>
                <w:szCs w:val="22"/>
              </w:rPr>
              <w:t>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81EDCFA" w14:textId="77777777" w:rsidR="00F42214" w:rsidRDefault="00F42214">
            <w:pPr>
              <w:spacing w:line="200" w:lineRule="atLeast"/>
              <w:jc w:val="center"/>
              <w:rPr>
                <w:color w:val="000000"/>
                <w:sz w:val="22"/>
                <w:szCs w:val="22"/>
              </w:rPr>
            </w:pPr>
            <w:r>
              <w:rPr>
                <w:color w:val="000000"/>
                <w:sz w:val="22"/>
                <w:szCs w:val="22"/>
              </w:rPr>
              <w:t>Moderately 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231011A7" w14:textId="77777777" w:rsidR="00F42214" w:rsidRDefault="00F42214">
            <w:pPr>
              <w:tabs>
                <w:tab w:val="decimal" w:pos="1430"/>
              </w:tabs>
              <w:spacing w:line="200" w:lineRule="atLeast"/>
              <w:rPr>
                <w:color w:val="000000"/>
                <w:sz w:val="22"/>
                <w:szCs w:val="22"/>
              </w:rPr>
            </w:pPr>
            <w:r>
              <w:rPr>
                <w:color w:val="000000"/>
                <w:sz w:val="22"/>
                <w:szCs w:val="22"/>
              </w:rPr>
              <w:t>2.04</w:t>
            </w:r>
          </w:p>
        </w:tc>
      </w:tr>
      <w:tr w:rsidR="00F42214" w14:paraId="55579468"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27928554" w14:textId="77777777" w:rsidR="00F42214" w:rsidRDefault="00F42214">
            <w:pPr>
              <w:spacing w:line="200" w:lineRule="atLeast"/>
              <w:jc w:val="center"/>
              <w:rPr>
                <w:color w:val="000000"/>
                <w:sz w:val="22"/>
                <w:szCs w:val="22"/>
              </w:rPr>
            </w:pPr>
            <w:r>
              <w:rPr>
                <w:color w:val="000000"/>
                <w:sz w:val="22"/>
                <w:szCs w:val="22"/>
              </w:rPr>
              <w:t xml:space="preserve"> 8</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3B119E83" w14:textId="77777777" w:rsidR="00F42214" w:rsidRDefault="00F42214">
            <w:pPr>
              <w:spacing w:line="200" w:lineRule="atLeast"/>
              <w:jc w:val="center"/>
              <w:rPr>
                <w:color w:val="000000"/>
                <w:sz w:val="22"/>
                <w:szCs w:val="22"/>
              </w:rPr>
            </w:pPr>
            <w:r>
              <w:rPr>
                <w:color w:val="000000"/>
                <w:sz w:val="22"/>
                <w:szCs w:val="22"/>
              </w:rPr>
              <w:t>10/08/2012</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DFAEDDE" w14:textId="77777777" w:rsidR="00F42214" w:rsidRDefault="00F42214">
            <w:pPr>
              <w:spacing w:line="200" w:lineRule="atLeast"/>
              <w:jc w:val="center"/>
              <w:rPr>
                <w:color w:val="000000"/>
                <w:sz w:val="22"/>
                <w:szCs w:val="22"/>
              </w:rPr>
            </w:pPr>
            <w:r>
              <w:rPr>
                <w:color w:val="000000"/>
                <w:sz w:val="22"/>
                <w:szCs w:val="22"/>
              </w:rPr>
              <w:t>Moderately 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E84352B"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00F86C18" w14:textId="77777777" w:rsidR="00F42214" w:rsidRDefault="00F42214">
            <w:pPr>
              <w:tabs>
                <w:tab w:val="decimal" w:pos="1430"/>
              </w:tabs>
              <w:spacing w:line="200" w:lineRule="atLeast"/>
              <w:rPr>
                <w:color w:val="000000"/>
                <w:sz w:val="22"/>
                <w:szCs w:val="22"/>
              </w:rPr>
            </w:pPr>
            <w:r>
              <w:rPr>
                <w:color w:val="000000"/>
                <w:sz w:val="22"/>
                <w:szCs w:val="22"/>
              </w:rPr>
              <w:t>2.04</w:t>
            </w:r>
          </w:p>
        </w:tc>
      </w:tr>
      <w:tr w:rsidR="00F42214" w14:paraId="0E5905EA"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1BE542C2" w14:textId="77777777" w:rsidR="00F42214" w:rsidRDefault="00F42214">
            <w:pPr>
              <w:spacing w:line="200" w:lineRule="atLeast"/>
              <w:jc w:val="center"/>
              <w:rPr>
                <w:color w:val="000000"/>
                <w:sz w:val="22"/>
                <w:szCs w:val="22"/>
              </w:rPr>
            </w:pPr>
            <w:r>
              <w:rPr>
                <w:color w:val="000000"/>
                <w:sz w:val="22"/>
                <w:szCs w:val="22"/>
              </w:rPr>
              <w:t xml:space="preserve"> 9</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453EDDC6" w14:textId="77777777" w:rsidR="00F42214" w:rsidRDefault="00F42214">
            <w:pPr>
              <w:spacing w:line="200" w:lineRule="atLeast"/>
              <w:jc w:val="center"/>
              <w:rPr>
                <w:color w:val="000000"/>
                <w:sz w:val="22"/>
                <w:szCs w:val="22"/>
              </w:rPr>
            </w:pPr>
            <w:r>
              <w:rPr>
                <w:color w:val="000000"/>
                <w:sz w:val="22"/>
                <w:szCs w:val="22"/>
              </w:rPr>
              <w:t>03/30/2013</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17CED1D8"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745507EF"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7D1E4C10" w14:textId="77777777" w:rsidR="00F42214" w:rsidRDefault="00F42214">
            <w:pPr>
              <w:tabs>
                <w:tab w:val="decimal" w:pos="1430"/>
              </w:tabs>
              <w:spacing w:line="200" w:lineRule="atLeast"/>
              <w:rPr>
                <w:color w:val="000000"/>
                <w:sz w:val="22"/>
                <w:szCs w:val="22"/>
              </w:rPr>
            </w:pPr>
            <w:r>
              <w:rPr>
                <w:color w:val="000000"/>
                <w:sz w:val="22"/>
                <w:szCs w:val="22"/>
              </w:rPr>
              <w:t>3.05</w:t>
            </w:r>
          </w:p>
        </w:tc>
      </w:tr>
      <w:tr w:rsidR="00F42214" w14:paraId="68D8C592"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08449E7B" w14:textId="77777777" w:rsidR="00F42214" w:rsidRDefault="00F42214">
            <w:pPr>
              <w:spacing w:line="200" w:lineRule="atLeast"/>
              <w:jc w:val="center"/>
              <w:rPr>
                <w:color w:val="000000"/>
                <w:sz w:val="22"/>
                <w:szCs w:val="22"/>
              </w:rPr>
            </w:pPr>
            <w:r>
              <w:rPr>
                <w:color w:val="000000"/>
                <w:sz w:val="22"/>
                <w:szCs w:val="22"/>
              </w:rPr>
              <w:t xml:space="preserve"> 10</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4B807833" w14:textId="77777777" w:rsidR="00F42214" w:rsidRDefault="00F42214">
            <w:pPr>
              <w:spacing w:line="200" w:lineRule="atLeast"/>
              <w:jc w:val="center"/>
              <w:rPr>
                <w:color w:val="000000"/>
                <w:sz w:val="22"/>
                <w:szCs w:val="22"/>
              </w:rPr>
            </w:pPr>
            <w:r>
              <w:rPr>
                <w:color w:val="000000"/>
                <w:sz w:val="22"/>
                <w:szCs w:val="22"/>
              </w:rPr>
              <w:t>09/01/2013</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1A901A1E"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25469F5B"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215C3137" w14:textId="77777777" w:rsidR="00F42214" w:rsidRDefault="00F42214">
            <w:pPr>
              <w:tabs>
                <w:tab w:val="decimal" w:pos="1430"/>
              </w:tabs>
              <w:spacing w:line="200" w:lineRule="atLeast"/>
              <w:rPr>
                <w:color w:val="000000"/>
                <w:sz w:val="22"/>
                <w:szCs w:val="22"/>
              </w:rPr>
            </w:pPr>
            <w:r>
              <w:rPr>
                <w:color w:val="000000"/>
                <w:sz w:val="22"/>
                <w:szCs w:val="22"/>
              </w:rPr>
              <w:t>3.76</w:t>
            </w:r>
          </w:p>
        </w:tc>
      </w:tr>
      <w:tr w:rsidR="00F42214" w14:paraId="4D7F6A3C"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5F2073E3" w14:textId="77777777" w:rsidR="00F42214" w:rsidRDefault="00F42214">
            <w:pPr>
              <w:spacing w:line="200" w:lineRule="atLeast"/>
              <w:jc w:val="center"/>
              <w:rPr>
                <w:color w:val="000000"/>
                <w:sz w:val="22"/>
                <w:szCs w:val="22"/>
              </w:rPr>
            </w:pPr>
            <w:r>
              <w:rPr>
                <w:color w:val="000000"/>
                <w:sz w:val="22"/>
                <w:szCs w:val="22"/>
              </w:rPr>
              <w:t xml:space="preserve"> 11</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7B0AC359" w14:textId="77777777" w:rsidR="00F42214" w:rsidRDefault="00F42214">
            <w:pPr>
              <w:spacing w:line="200" w:lineRule="atLeast"/>
              <w:jc w:val="center"/>
              <w:rPr>
                <w:color w:val="000000"/>
                <w:sz w:val="22"/>
                <w:szCs w:val="22"/>
              </w:rPr>
            </w:pPr>
            <w:r>
              <w:rPr>
                <w:color w:val="000000"/>
                <w:sz w:val="22"/>
                <w:szCs w:val="22"/>
              </w:rPr>
              <w:t>03/03/2014</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6F51F25"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4B8CB58"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205DE74E" w14:textId="77777777" w:rsidR="00F42214" w:rsidRDefault="00F42214">
            <w:pPr>
              <w:tabs>
                <w:tab w:val="decimal" w:pos="1430"/>
              </w:tabs>
              <w:spacing w:line="200" w:lineRule="atLeast"/>
              <w:rPr>
                <w:color w:val="000000"/>
                <w:sz w:val="22"/>
                <w:szCs w:val="22"/>
              </w:rPr>
            </w:pPr>
            <w:r>
              <w:rPr>
                <w:color w:val="000000"/>
                <w:sz w:val="22"/>
                <w:szCs w:val="22"/>
              </w:rPr>
              <w:t>4.91</w:t>
            </w:r>
          </w:p>
        </w:tc>
      </w:tr>
      <w:tr w:rsidR="00F42214" w14:paraId="57057317"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2C1B63E7" w14:textId="77777777" w:rsidR="00F42214" w:rsidRDefault="00F42214">
            <w:pPr>
              <w:spacing w:line="200" w:lineRule="atLeast"/>
              <w:jc w:val="center"/>
              <w:rPr>
                <w:color w:val="000000"/>
                <w:sz w:val="22"/>
                <w:szCs w:val="22"/>
              </w:rPr>
            </w:pPr>
            <w:r>
              <w:rPr>
                <w:color w:val="000000"/>
                <w:sz w:val="22"/>
                <w:szCs w:val="22"/>
              </w:rPr>
              <w:t xml:space="preserve"> 12</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31D4622C" w14:textId="77777777" w:rsidR="00F42214" w:rsidRDefault="00F42214">
            <w:pPr>
              <w:spacing w:line="200" w:lineRule="atLeast"/>
              <w:jc w:val="center"/>
              <w:rPr>
                <w:color w:val="000000"/>
                <w:sz w:val="22"/>
                <w:szCs w:val="22"/>
              </w:rPr>
            </w:pPr>
            <w:r>
              <w:rPr>
                <w:color w:val="000000"/>
                <w:sz w:val="22"/>
                <w:szCs w:val="22"/>
              </w:rPr>
              <w:t>09/06/2014</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BC6EFE0" w14:textId="77777777" w:rsidR="00F42214" w:rsidRDefault="00F42214">
            <w:pPr>
              <w:spacing w:line="200" w:lineRule="atLeast"/>
              <w:jc w:val="center"/>
              <w:rPr>
                <w:color w:val="000000"/>
                <w:sz w:val="22"/>
                <w:szCs w:val="22"/>
              </w:rPr>
            </w:pPr>
            <w:r>
              <w:rPr>
                <w:color w:val="000000"/>
                <w:sz w:val="22"/>
                <w:szCs w:val="22"/>
              </w:rPr>
              <w:t>Moderately Unsatisfactory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9ED3F90" w14:textId="77777777" w:rsidR="00F42214" w:rsidRDefault="00F42214">
            <w:pPr>
              <w:spacing w:line="200" w:lineRule="atLeast"/>
              <w:jc w:val="center"/>
              <w:rPr>
                <w:color w:val="000000"/>
                <w:sz w:val="22"/>
                <w:szCs w:val="22"/>
              </w:rPr>
            </w:pPr>
            <w:r>
              <w:rPr>
                <w:color w:val="000000"/>
                <w:sz w:val="22"/>
                <w:szCs w:val="22"/>
              </w:rPr>
              <w:t>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7DAC5352" w14:textId="77777777" w:rsidR="00F42214" w:rsidRDefault="00F42214">
            <w:pPr>
              <w:tabs>
                <w:tab w:val="decimal" w:pos="1430"/>
              </w:tabs>
              <w:spacing w:line="200" w:lineRule="atLeast"/>
              <w:rPr>
                <w:color w:val="000000"/>
                <w:sz w:val="22"/>
                <w:szCs w:val="22"/>
              </w:rPr>
            </w:pPr>
            <w:r>
              <w:rPr>
                <w:color w:val="000000"/>
                <w:sz w:val="22"/>
                <w:szCs w:val="22"/>
              </w:rPr>
              <w:t>6.35</w:t>
            </w:r>
          </w:p>
        </w:tc>
      </w:tr>
      <w:tr w:rsidR="00F42214" w14:paraId="7383F46D"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071D0E67" w14:textId="77777777" w:rsidR="00F42214" w:rsidRDefault="00F42214">
            <w:pPr>
              <w:spacing w:line="200" w:lineRule="atLeast"/>
              <w:jc w:val="center"/>
              <w:rPr>
                <w:color w:val="000000"/>
                <w:sz w:val="22"/>
                <w:szCs w:val="22"/>
              </w:rPr>
            </w:pPr>
            <w:r>
              <w:rPr>
                <w:color w:val="000000"/>
                <w:sz w:val="22"/>
                <w:szCs w:val="22"/>
              </w:rPr>
              <w:t xml:space="preserve"> 13</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00BE3F1E" w14:textId="77777777" w:rsidR="00F42214" w:rsidRDefault="00F42214">
            <w:pPr>
              <w:spacing w:line="200" w:lineRule="atLeast"/>
              <w:jc w:val="center"/>
              <w:rPr>
                <w:color w:val="000000"/>
                <w:sz w:val="22"/>
                <w:szCs w:val="22"/>
              </w:rPr>
            </w:pPr>
            <w:r>
              <w:rPr>
                <w:color w:val="000000"/>
                <w:sz w:val="22"/>
                <w:szCs w:val="22"/>
              </w:rPr>
              <w:t>03/19/2015</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1D881022"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7DF9E9B" w14:textId="77777777" w:rsidR="00F42214" w:rsidRDefault="00F42214">
            <w:pPr>
              <w:spacing w:line="200" w:lineRule="atLeast"/>
              <w:jc w:val="center"/>
              <w:rPr>
                <w:color w:val="000000"/>
                <w:sz w:val="22"/>
                <w:szCs w:val="22"/>
              </w:rPr>
            </w:pPr>
            <w:r>
              <w:rPr>
                <w:color w:val="000000"/>
                <w:sz w:val="22"/>
                <w:szCs w:val="22"/>
              </w:rPr>
              <w:t>Moderately Unsatisfactory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28D44C68" w14:textId="77777777" w:rsidR="00F42214" w:rsidRDefault="00F42214">
            <w:pPr>
              <w:tabs>
                <w:tab w:val="decimal" w:pos="1430"/>
              </w:tabs>
              <w:spacing w:line="200" w:lineRule="atLeast"/>
              <w:rPr>
                <w:color w:val="000000"/>
                <w:sz w:val="22"/>
                <w:szCs w:val="22"/>
              </w:rPr>
            </w:pPr>
            <w:r>
              <w:rPr>
                <w:color w:val="000000"/>
                <w:sz w:val="22"/>
                <w:szCs w:val="22"/>
              </w:rPr>
              <w:t>7.65</w:t>
            </w:r>
          </w:p>
        </w:tc>
      </w:tr>
      <w:tr w:rsidR="00F42214" w14:paraId="371F4E06"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2844FC76" w14:textId="77777777" w:rsidR="00F42214" w:rsidRDefault="00F42214">
            <w:pPr>
              <w:spacing w:line="200" w:lineRule="atLeast"/>
              <w:jc w:val="center"/>
              <w:rPr>
                <w:color w:val="000000"/>
                <w:sz w:val="22"/>
                <w:szCs w:val="22"/>
              </w:rPr>
            </w:pPr>
            <w:r>
              <w:rPr>
                <w:color w:val="000000"/>
                <w:sz w:val="22"/>
                <w:szCs w:val="22"/>
              </w:rPr>
              <w:t xml:space="preserve"> 14</w:t>
            </w:r>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79960AAA" w14:textId="77777777" w:rsidR="00F42214" w:rsidRDefault="00F42214">
            <w:pPr>
              <w:spacing w:line="200" w:lineRule="atLeast"/>
              <w:jc w:val="center"/>
              <w:rPr>
                <w:color w:val="000000"/>
                <w:sz w:val="22"/>
                <w:szCs w:val="22"/>
              </w:rPr>
            </w:pPr>
            <w:r>
              <w:rPr>
                <w:color w:val="000000"/>
                <w:sz w:val="22"/>
                <w:szCs w:val="22"/>
              </w:rPr>
              <w:t>10/07/2015</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0C2406C2" w14:textId="77777777" w:rsidR="00F42214" w:rsidRDefault="00F42214">
            <w:pPr>
              <w:spacing w:line="200" w:lineRule="atLeast"/>
              <w:jc w:val="center"/>
              <w:rPr>
                <w:color w:val="000000"/>
                <w:sz w:val="22"/>
                <w:szCs w:val="22"/>
              </w:rPr>
            </w:pPr>
            <w:r>
              <w:rPr>
                <w:color w:val="000000"/>
                <w:sz w:val="22"/>
                <w:szCs w:val="22"/>
              </w:rPr>
              <w:t>Moderately Satisfactory</w:t>
            </w:r>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5D2402A3" w14:textId="77777777" w:rsidR="00F42214" w:rsidRDefault="00F42214">
            <w:pPr>
              <w:spacing w:line="200" w:lineRule="atLeast"/>
              <w:jc w:val="center"/>
              <w:rPr>
                <w:color w:val="000000"/>
                <w:sz w:val="22"/>
                <w:szCs w:val="22"/>
              </w:rPr>
            </w:pPr>
            <w:r>
              <w:rPr>
                <w:color w:val="000000"/>
                <w:sz w:val="22"/>
                <w:szCs w:val="22"/>
              </w:rPr>
              <w:t>Moderately Satisfactory</w:t>
            </w:r>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49860FF7" w14:textId="77777777" w:rsidR="00F42214" w:rsidRDefault="00F42214">
            <w:pPr>
              <w:tabs>
                <w:tab w:val="decimal" w:pos="1430"/>
              </w:tabs>
              <w:spacing w:line="200" w:lineRule="atLeast"/>
              <w:rPr>
                <w:color w:val="000000"/>
                <w:sz w:val="22"/>
                <w:szCs w:val="22"/>
              </w:rPr>
            </w:pPr>
            <w:r>
              <w:rPr>
                <w:color w:val="000000"/>
                <w:sz w:val="22"/>
                <w:szCs w:val="22"/>
              </w:rPr>
              <w:t>9.92</w:t>
            </w:r>
          </w:p>
        </w:tc>
      </w:tr>
      <w:tr w:rsidR="00F42214" w14:paraId="5A710140" w14:textId="77777777" w:rsidTr="00F42214">
        <w:tc>
          <w:tcPr>
            <w:tcW w:w="522" w:type="dxa"/>
            <w:tcBorders>
              <w:top w:val="single" w:sz="4" w:space="0" w:color="B1B1B1"/>
              <w:left w:val="single" w:sz="4" w:space="0" w:color="B1B1B1"/>
              <w:bottom w:val="single" w:sz="4" w:space="0" w:color="B1B1B1"/>
              <w:right w:val="single" w:sz="4" w:space="0" w:color="B1B1B1"/>
            </w:tcBorders>
            <w:vAlign w:val="center"/>
            <w:hideMark/>
          </w:tcPr>
          <w:p w14:paraId="4701071C" w14:textId="77777777" w:rsidR="00F42214" w:rsidRDefault="00F42214">
            <w:pPr>
              <w:spacing w:line="200" w:lineRule="atLeast"/>
              <w:jc w:val="center"/>
              <w:rPr>
                <w:color w:val="000000"/>
                <w:sz w:val="22"/>
                <w:szCs w:val="22"/>
              </w:rPr>
            </w:pPr>
            <w:r>
              <w:rPr>
                <w:color w:val="000000"/>
                <w:sz w:val="22"/>
                <w:szCs w:val="22"/>
              </w:rPr>
              <w:t xml:space="preserve"> </w:t>
            </w:r>
            <w:bookmarkStart w:id="92" w:name="ARCHISR_COL_1"/>
            <w:r>
              <w:rPr>
                <w:color w:val="000000"/>
                <w:sz w:val="22"/>
                <w:szCs w:val="22"/>
              </w:rPr>
              <w:t>15</w:t>
            </w:r>
            <w:bookmarkEnd w:id="92"/>
          </w:p>
        </w:tc>
        <w:tc>
          <w:tcPr>
            <w:tcW w:w="1468" w:type="dxa"/>
            <w:tcBorders>
              <w:top w:val="single" w:sz="4" w:space="0" w:color="B1B1B1"/>
              <w:left w:val="single" w:sz="4" w:space="0" w:color="B1B1B1"/>
              <w:bottom w:val="single" w:sz="4" w:space="0" w:color="B1B1B1"/>
              <w:right w:val="single" w:sz="4" w:space="0" w:color="B1B1B1"/>
            </w:tcBorders>
            <w:vAlign w:val="center"/>
            <w:hideMark/>
          </w:tcPr>
          <w:p w14:paraId="0D7A893A" w14:textId="77777777" w:rsidR="00F42214" w:rsidRDefault="00F42214">
            <w:pPr>
              <w:spacing w:line="200" w:lineRule="atLeast"/>
              <w:jc w:val="center"/>
              <w:rPr>
                <w:color w:val="000000"/>
                <w:sz w:val="22"/>
                <w:szCs w:val="22"/>
              </w:rPr>
            </w:pPr>
            <w:bookmarkStart w:id="93" w:name="ARCHISR_COL_2"/>
            <w:r>
              <w:rPr>
                <w:color w:val="000000"/>
                <w:sz w:val="22"/>
                <w:szCs w:val="22"/>
              </w:rPr>
              <w:t>06/29/2016</w:t>
            </w:r>
            <w:bookmarkEnd w:id="93"/>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30EF378F" w14:textId="77777777" w:rsidR="00F42214" w:rsidRDefault="00F42214">
            <w:pPr>
              <w:spacing w:line="200" w:lineRule="atLeast"/>
              <w:jc w:val="center"/>
              <w:rPr>
                <w:color w:val="000000"/>
                <w:sz w:val="22"/>
                <w:szCs w:val="22"/>
              </w:rPr>
            </w:pPr>
            <w:bookmarkStart w:id="94" w:name="ARCHISR_COL_3"/>
            <w:r>
              <w:rPr>
                <w:color w:val="000000"/>
                <w:sz w:val="22"/>
                <w:szCs w:val="22"/>
              </w:rPr>
              <w:t>Satisfactory</w:t>
            </w:r>
            <w:bookmarkEnd w:id="94"/>
          </w:p>
        </w:tc>
        <w:tc>
          <w:tcPr>
            <w:tcW w:w="2340" w:type="dxa"/>
            <w:tcBorders>
              <w:top w:val="single" w:sz="4" w:space="0" w:color="B1B1B1"/>
              <w:left w:val="single" w:sz="4" w:space="0" w:color="B1B1B1"/>
              <w:bottom w:val="single" w:sz="4" w:space="0" w:color="B1B1B1"/>
              <w:right w:val="single" w:sz="4" w:space="0" w:color="B1B1B1"/>
            </w:tcBorders>
            <w:vAlign w:val="center"/>
            <w:hideMark/>
          </w:tcPr>
          <w:p w14:paraId="64333958" w14:textId="77777777" w:rsidR="00F42214" w:rsidRDefault="00F42214">
            <w:pPr>
              <w:spacing w:line="200" w:lineRule="atLeast"/>
              <w:jc w:val="center"/>
              <w:rPr>
                <w:color w:val="000000"/>
                <w:sz w:val="22"/>
                <w:szCs w:val="22"/>
              </w:rPr>
            </w:pPr>
            <w:bookmarkStart w:id="95" w:name="ARCHISR_COL_4"/>
            <w:r>
              <w:rPr>
                <w:color w:val="000000"/>
                <w:sz w:val="22"/>
                <w:szCs w:val="22"/>
              </w:rPr>
              <w:t>Moderately Satisfactory</w:t>
            </w:r>
            <w:bookmarkEnd w:id="95"/>
          </w:p>
        </w:tc>
        <w:tc>
          <w:tcPr>
            <w:tcW w:w="1990" w:type="dxa"/>
            <w:tcBorders>
              <w:top w:val="single" w:sz="4" w:space="0" w:color="B1B1B1"/>
              <w:left w:val="single" w:sz="4" w:space="0" w:color="B1B1B1"/>
              <w:bottom w:val="single" w:sz="4" w:space="0" w:color="B1B1B1"/>
              <w:right w:val="single" w:sz="4" w:space="0" w:color="B1B1B1"/>
            </w:tcBorders>
            <w:vAlign w:val="center"/>
            <w:hideMark/>
          </w:tcPr>
          <w:p w14:paraId="1C2BE15A" w14:textId="77777777" w:rsidR="00F42214" w:rsidRDefault="00F42214">
            <w:pPr>
              <w:tabs>
                <w:tab w:val="decimal" w:pos="1430"/>
              </w:tabs>
              <w:spacing w:line="200" w:lineRule="atLeast"/>
              <w:rPr>
                <w:color w:val="000000"/>
                <w:sz w:val="22"/>
                <w:szCs w:val="22"/>
              </w:rPr>
            </w:pPr>
            <w:bookmarkStart w:id="96" w:name="ARCHISR_COL_5"/>
            <w:r>
              <w:rPr>
                <w:color w:val="000000"/>
                <w:sz w:val="22"/>
                <w:szCs w:val="22"/>
              </w:rPr>
              <w:t>17.56</w:t>
            </w:r>
            <w:bookmarkEnd w:id="96"/>
          </w:p>
        </w:tc>
      </w:tr>
    </w:tbl>
    <w:p w14:paraId="3C49DFFF" w14:textId="77777777" w:rsidR="00F42214" w:rsidRDefault="00F42214" w:rsidP="00F42214">
      <w:bookmarkStart w:id="97" w:name="ARCHISR"/>
      <w:bookmarkEnd w:id="97"/>
    </w:p>
    <w:p w14:paraId="79231B1E" w14:textId="77777777" w:rsidR="00F42214" w:rsidRDefault="00F42214" w:rsidP="00F42214"/>
    <w:tbl>
      <w:tblPr>
        <w:tblW w:w="5000" w:type="pct"/>
        <w:tblCellSpacing w:w="7" w:type="dxa"/>
        <w:tblCellMar>
          <w:left w:w="0" w:type="dxa"/>
          <w:right w:w="0" w:type="dxa"/>
        </w:tblCellMar>
        <w:tblLook w:val="04A0" w:firstRow="1" w:lastRow="0" w:firstColumn="1" w:lastColumn="0" w:noHBand="0" w:noVBand="1"/>
      </w:tblPr>
      <w:tblGrid>
        <w:gridCol w:w="8640"/>
      </w:tblGrid>
      <w:tr w:rsidR="00F42214" w14:paraId="31D41A83" w14:textId="77777777" w:rsidTr="00F42214">
        <w:trPr>
          <w:tblCellSpacing w:w="7" w:type="dxa"/>
        </w:trPr>
        <w:tc>
          <w:tcPr>
            <w:tcW w:w="0" w:type="auto"/>
            <w:vAlign w:val="center"/>
            <w:hideMark/>
          </w:tcPr>
          <w:p w14:paraId="52D433CD" w14:textId="77777777" w:rsidR="00F42214" w:rsidRDefault="00F42214">
            <w:pPr>
              <w:pStyle w:val="Heading2"/>
              <w:keepNext/>
              <w:keepLines/>
            </w:pPr>
            <w:r>
              <w:t xml:space="preserve">H. Restructuring (if any) </w:t>
            </w:r>
          </w:p>
        </w:tc>
      </w:tr>
    </w:tbl>
    <w:p w14:paraId="3109E1AB" w14:textId="77777777" w:rsidR="00F42214" w:rsidRDefault="00F42214" w:rsidP="00F42214">
      <w:bookmarkStart w:id="98" w:name="restruc_fld"/>
      <w:bookmarkEnd w:id="98"/>
    </w:p>
    <w:tbl>
      <w:tblPr>
        <w:tblW w:w="5000" w:type="pct"/>
        <w:tblLayout w:type="fixed"/>
        <w:tblCellMar>
          <w:top w:w="10" w:type="dxa"/>
          <w:left w:w="10" w:type="dxa"/>
          <w:bottom w:w="10" w:type="dxa"/>
          <w:right w:w="10" w:type="dxa"/>
        </w:tblCellMar>
        <w:tblLook w:val="04A0" w:firstRow="1" w:lastRow="0" w:firstColumn="1" w:lastColumn="0" w:noHBand="0" w:noVBand="1"/>
      </w:tblPr>
      <w:tblGrid>
        <w:gridCol w:w="1497"/>
        <w:gridCol w:w="10"/>
        <w:gridCol w:w="1384"/>
        <w:gridCol w:w="6"/>
        <w:gridCol w:w="700"/>
        <w:gridCol w:w="718"/>
        <w:gridCol w:w="1435"/>
        <w:gridCol w:w="2880"/>
      </w:tblGrid>
      <w:tr w:rsidR="00F42214" w14:paraId="0D20BFBE" w14:textId="77777777" w:rsidTr="00F42214">
        <w:trPr>
          <w:cantSplit/>
          <w:tblHeader/>
        </w:trPr>
        <w:tc>
          <w:tcPr>
            <w:tcW w:w="1503"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63231AEF" w14:textId="77777777" w:rsidR="00F42214" w:rsidRDefault="00F42214">
            <w:pPr>
              <w:jc w:val="center"/>
              <w:rPr>
                <w:b/>
                <w:bCs/>
                <w:color w:val="606060"/>
                <w:sz w:val="22"/>
                <w:szCs w:val="22"/>
              </w:rPr>
            </w:pPr>
            <w:r>
              <w:rPr>
                <w:b/>
                <w:bCs/>
                <w:color w:val="606060"/>
                <w:sz w:val="22"/>
                <w:szCs w:val="22"/>
              </w:rPr>
              <w:t>Restructuring Date(s)</w:t>
            </w:r>
          </w:p>
        </w:tc>
        <w:tc>
          <w:tcPr>
            <w:tcW w:w="1399" w:type="dxa"/>
            <w:gridSpan w:val="2"/>
            <w:vMerge w:val="restar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54CD3D68" w14:textId="77777777" w:rsidR="00F42214" w:rsidRDefault="00F42214">
            <w:pPr>
              <w:jc w:val="center"/>
              <w:rPr>
                <w:b/>
                <w:bCs/>
                <w:color w:val="606060"/>
                <w:sz w:val="22"/>
                <w:szCs w:val="22"/>
              </w:rPr>
            </w:pPr>
            <w:r>
              <w:rPr>
                <w:b/>
                <w:bCs/>
                <w:color w:val="606060"/>
                <w:sz w:val="22"/>
                <w:szCs w:val="22"/>
              </w:rPr>
              <w:t>Board Approved PDO Change</w:t>
            </w:r>
          </w:p>
        </w:tc>
        <w:tc>
          <w:tcPr>
            <w:tcW w:w="1428"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60B99EEA" w14:textId="77777777" w:rsidR="00F42214" w:rsidRDefault="00F42214">
            <w:pPr>
              <w:keepNext/>
              <w:jc w:val="center"/>
              <w:rPr>
                <w:b/>
                <w:bCs/>
                <w:color w:val="606060"/>
                <w:sz w:val="22"/>
                <w:szCs w:val="22"/>
              </w:rPr>
            </w:pPr>
            <w:r>
              <w:rPr>
                <w:b/>
                <w:bCs/>
                <w:color w:val="606060"/>
                <w:sz w:val="22"/>
                <w:szCs w:val="22"/>
              </w:rPr>
              <w:t>ISR Ratings at Restructuring</w:t>
            </w:r>
          </w:p>
        </w:tc>
        <w:tc>
          <w:tcPr>
            <w:tcW w:w="144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C125292" w14:textId="77777777" w:rsidR="00F42214" w:rsidRDefault="00F42214">
            <w:pPr>
              <w:jc w:val="center"/>
              <w:rPr>
                <w:b/>
                <w:bCs/>
                <w:color w:val="606060"/>
                <w:sz w:val="22"/>
                <w:szCs w:val="22"/>
              </w:rPr>
            </w:pPr>
            <w:r>
              <w:rPr>
                <w:b/>
                <w:bCs/>
                <w:color w:val="606060"/>
                <w:sz w:val="22"/>
                <w:szCs w:val="22"/>
              </w:rPr>
              <w:t>Amount Disbursed at Restructuring in USD millions</w:t>
            </w:r>
          </w:p>
        </w:tc>
        <w:tc>
          <w:tcPr>
            <w:tcW w:w="289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5F68387" w14:textId="77777777" w:rsidR="00F42214" w:rsidRDefault="00F42214">
            <w:pPr>
              <w:jc w:val="center"/>
              <w:rPr>
                <w:b/>
                <w:bCs/>
                <w:color w:val="606060"/>
                <w:sz w:val="22"/>
                <w:szCs w:val="22"/>
              </w:rPr>
            </w:pPr>
            <w:r>
              <w:rPr>
                <w:b/>
                <w:bCs/>
                <w:color w:val="606060"/>
                <w:sz w:val="22"/>
                <w:szCs w:val="22"/>
              </w:rPr>
              <w:t>Reason for Restructuring &amp; Key Changes Made</w:t>
            </w:r>
          </w:p>
        </w:tc>
      </w:tr>
      <w:tr w:rsidR="00F42214" w14:paraId="58E5E570" w14:textId="77777777" w:rsidTr="00F42214">
        <w:trPr>
          <w:cantSplit/>
          <w:tblHeader/>
        </w:trPr>
        <w:tc>
          <w:tcPr>
            <w:tcW w:w="1513" w:type="dxa"/>
            <w:vMerge/>
            <w:tcBorders>
              <w:top w:val="single" w:sz="4" w:space="0" w:color="B1B1B1"/>
              <w:left w:val="single" w:sz="4" w:space="0" w:color="B1B1B1"/>
              <w:bottom w:val="single" w:sz="4" w:space="0" w:color="B1B1B1"/>
              <w:right w:val="single" w:sz="4" w:space="0" w:color="B1B1B1"/>
            </w:tcBorders>
            <w:vAlign w:val="center"/>
            <w:hideMark/>
          </w:tcPr>
          <w:p w14:paraId="3C688C81" w14:textId="77777777" w:rsidR="00F42214" w:rsidRDefault="00F42214">
            <w:pPr>
              <w:rPr>
                <w:b/>
                <w:bCs/>
                <w:color w:val="606060"/>
                <w:sz w:val="22"/>
                <w:szCs w:val="22"/>
              </w:rPr>
            </w:pPr>
          </w:p>
        </w:tc>
        <w:tc>
          <w:tcPr>
            <w:tcW w:w="2794" w:type="dxa"/>
            <w:gridSpan w:val="2"/>
            <w:vMerge/>
            <w:tcBorders>
              <w:top w:val="single" w:sz="4" w:space="0" w:color="B1B1B1"/>
              <w:left w:val="single" w:sz="4" w:space="0" w:color="B1B1B1"/>
              <w:bottom w:val="single" w:sz="4" w:space="0" w:color="B1B1B1"/>
              <w:right w:val="single" w:sz="4" w:space="0" w:color="B1B1B1"/>
            </w:tcBorders>
            <w:vAlign w:val="center"/>
            <w:hideMark/>
          </w:tcPr>
          <w:p w14:paraId="11E2F859" w14:textId="77777777" w:rsidR="00F42214" w:rsidRDefault="00F42214">
            <w:pPr>
              <w:rPr>
                <w:b/>
                <w:bCs/>
                <w:color w:val="606060"/>
                <w:sz w:val="22"/>
                <w:szCs w:val="22"/>
              </w:rPr>
            </w:pPr>
          </w:p>
        </w:tc>
        <w:tc>
          <w:tcPr>
            <w:tcW w:w="708"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B5E2CBF" w14:textId="77777777" w:rsidR="00F42214" w:rsidRDefault="00F42214">
            <w:pPr>
              <w:jc w:val="center"/>
              <w:rPr>
                <w:b/>
                <w:bCs/>
                <w:color w:val="606060"/>
                <w:sz w:val="22"/>
                <w:szCs w:val="22"/>
              </w:rPr>
            </w:pPr>
            <w:r>
              <w:rPr>
                <w:b/>
                <w:bCs/>
                <w:color w:val="606060"/>
                <w:sz w:val="22"/>
                <w:szCs w:val="22"/>
              </w:rPr>
              <w:t>DO</w:t>
            </w:r>
          </w:p>
        </w:tc>
        <w:tc>
          <w:tcPr>
            <w:tcW w:w="720" w:type="dxa"/>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76E780FD" w14:textId="77777777" w:rsidR="00F42214" w:rsidRDefault="00F42214">
            <w:pPr>
              <w:jc w:val="center"/>
              <w:rPr>
                <w:b/>
                <w:bCs/>
                <w:color w:val="606060"/>
                <w:sz w:val="22"/>
                <w:szCs w:val="22"/>
              </w:rPr>
            </w:pPr>
            <w:r>
              <w:rPr>
                <w:b/>
                <w:bCs/>
                <w:color w:val="606060"/>
                <w:sz w:val="22"/>
                <w:szCs w:val="22"/>
              </w:rPr>
              <w:t>IP</w:t>
            </w:r>
          </w:p>
        </w:tc>
        <w:tc>
          <w:tcPr>
            <w:tcW w:w="1440" w:type="dxa"/>
            <w:vMerge/>
            <w:tcBorders>
              <w:top w:val="single" w:sz="4" w:space="0" w:color="B1B1B1"/>
              <w:left w:val="single" w:sz="4" w:space="0" w:color="B1B1B1"/>
              <w:bottom w:val="single" w:sz="4" w:space="0" w:color="B1B1B1"/>
              <w:right w:val="single" w:sz="4" w:space="0" w:color="B1B1B1"/>
            </w:tcBorders>
            <w:vAlign w:val="center"/>
            <w:hideMark/>
          </w:tcPr>
          <w:p w14:paraId="2A4C4F71" w14:textId="77777777" w:rsidR="00F42214" w:rsidRDefault="00F42214">
            <w:pPr>
              <w:rPr>
                <w:b/>
                <w:bCs/>
                <w:color w:val="606060"/>
                <w:sz w:val="22"/>
                <w:szCs w:val="22"/>
              </w:rPr>
            </w:pPr>
          </w:p>
        </w:tc>
        <w:tc>
          <w:tcPr>
            <w:tcW w:w="2890" w:type="dxa"/>
            <w:vMerge/>
            <w:tcBorders>
              <w:top w:val="single" w:sz="4" w:space="0" w:color="B1B1B1"/>
              <w:left w:val="single" w:sz="4" w:space="0" w:color="B1B1B1"/>
              <w:bottom w:val="single" w:sz="4" w:space="0" w:color="B1B1B1"/>
              <w:right w:val="single" w:sz="4" w:space="0" w:color="B1B1B1"/>
            </w:tcBorders>
            <w:vAlign w:val="center"/>
            <w:hideMark/>
          </w:tcPr>
          <w:p w14:paraId="4C905A52" w14:textId="77777777" w:rsidR="00F42214" w:rsidRDefault="00F42214">
            <w:pPr>
              <w:rPr>
                <w:b/>
                <w:bCs/>
                <w:color w:val="606060"/>
                <w:sz w:val="22"/>
                <w:szCs w:val="22"/>
              </w:rPr>
            </w:pPr>
          </w:p>
        </w:tc>
      </w:tr>
      <w:tr w:rsidR="00F42214" w14:paraId="21F8FE6E" w14:textId="77777777" w:rsidTr="00F42214">
        <w:tc>
          <w:tcPr>
            <w:tcW w:w="1513" w:type="dxa"/>
            <w:gridSpan w:val="2"/>
            <w:tcBorders>
              <w:top w:val="single" w:sz="4" w:space="0" w:color="B1B1B1"/>
              <w:left w:val="single" w:sz="4" w:space="0" w:color="B1B1B1"/>
              <w:bottom w:val="single" w:sz="4" w:space="0" w:color="B1B1B1"/>
              <w:right w:val="single" w:sz="4" w:space="0" w:color="B1B1B1"/>
            </w:tcBorders>
            <w:vAlign w:val="center"/>
            <w:hideMark/>
          </w:tcPr>
          <w:p w14:paraId="069FD7E0" w14:textId="77777777" w:rsidR="00F42214" w:rsidRDefault="00F42214">
            <w:pPr>
              <w:spacing w:line="200" w:lineRule="atLeast"/>
              <w:jc w:val="center"/>
              <w:rPr>
                <w:color w:val="000000"/>
                <w:sz w:val="22"/>
                <w:szCs w:val="22"/>
              </w:rPr>
            </w:pPr>
            <w:r>
              <w:rPr>
                <w:color w:val="000000"/>
                <w:sz w:val="22"/>
                <w:szCs w:val="22"/>
              </w:rPr>
              <w:t xml:space="preserve"> 06/24/2011</w:t>
            </w:r>
          </w:p>
        </w:tc>
        <w:tc>
          <w:tcPr>
            <w:tcW w:w="1395" w:type="dxa"/>
            <w:gridSpan w:val="2"/>
            <w:tcBorders>
              <w:top w:val="single" w:sz="4" w:space="0" w:color="B1B1B1"/>
              <w:left w:val="single" w:sz="4" w:space="0" w:color="B1B1B1"/>
              <w:bottom w:val="single" w:sz="4" w:space="0" w:color="B1B1B1"/>
              <w:right w:val="single" w:sz="4" w:space="0" w:color="B1B1B1"/>
            </w:tcBorders>
            <w:vAlign w:val="center"/>
            <w:hideMark/>
          </w:tcPr>
          <w:p w14:paraId="3D296C37" w14:textId="77777777" w:rsidR="00F42214" w:rsidRDefault="00F42214">
            <w:pPr>
              <w:spacing w:line="200" w:lineRule="atLeast"/>
              <w:jc w:val="center"/>
              <w:rPr>
                <w:color w:val="000000"/>
                <w:sz w:val="22"/>
                <w:szCs w:val="22"/>
              </w:rPr>
            </w:pPr>
            <w:r>
              <w:rPr>
                <w:color w:val="000000"/>
                <w:sz w:val="22"/>
                <w:szCs w:val="22"/>
              </w:rPr>
              <w:t>Y</w:t>
            </w:r>
          </w:p>
        </w:tc>
        <w:tc>
          <w:tcPr>
            <w:tcW w:w="702" w:type="dxa"/>
            <w:tcBorders>
              <w:top w:val="single" w:sz="4" w:space="0" w:color="B1B1B1"/>
              <w:left w:val="single" w:sz="4" w:space="0" w:color="B1B1B1"/>
              <w:bottom w:val="single" w:sz="4" w:space="0" w:color="B1B1B1"/>
              <w:right w:val="single" w:sz="4" w:space="0" w:color="B1B1B1"/>
            </w:tcBorders>
            <w:vAlign w:val="center"/>
            <w:hideMark/>
          </w:tcPr>
          <w:p w14:paraId="79294A86" w14:textId="77777777" w:rsidR="00F42214" w:rsidRDefault="00F42214">
            <w:pPr>
              <w:spacing w:line="200" w:lineRule="atLeast"/>
              <w:jc w:val="center"/>
              <w:rPr>
                <w:color w:val="000000"/>
                <w:sz w:val="22"/>
                <w:szCs w:val="22"/>
              </w:rPr>
            </w:pPr>
            <w:r>
              <w:rPr>
                <w:color w:val="000000"/>
                <w:sz w:val="22"/>
                <w:szCs w:val="22"/>
              </w:rPr>
              <w:t>U</w:t>
            </w:r>
          </w:p>
        </w:tc>
        <w:tc>
          <w:tcPr>
            <w:tcW w:w="720" w:type="dxa"/>
            <w:tcBorders>
              <w:top w:val="single" w:sz="4" w:space="0" w:color="B1B1B1"/>
              <w:left w:val="single" w:sz="4" w:space="0" w:color="B1B1B1"/>
              <w:bottom w:val="single" w:sz="4" w:space="0" w:color="B1B1B1"/>
              <w:right w:val="single" w:sz="4" w:space="0" w:color="B1B1B1"/>
            </w:tcBorders>
            <w:vAlign w:val="center"/>
            <w:hideMark/>
          </w:tcPr>
          <w:p w14:paraId="401D00FF" w14:textId="77777777" w:rsidR="00F42214" w:rsidRDefault="00F42214">
            <w:pPr>
              <w:spacing w:line="200" w:lineRule="atLeast"/>
              <w:jc w:val="center"/>
              <w:rPr>
                <w:color w:val="000000"/>
                <w:sz w:val="22"/>
                <w:szCs w:val="22"/>
              </w:rPr>
            </w:pPr>
            <w:r>
              <w:rPr>
                <w:color w:val="000000"/>
                <w:sz w:val="22"/>
                <w:szCs w:val="22"/>
              </w:rPr>
              <w:t>U</w:t>
            </w:r>
          </w:p>
        </w:tc>
        <w:tc>
          <w:tcPr>
            <w:tcW w:w="1440" w:type="dxa"/>
            <w:tcBorders>
              <w:top w:val="single" w:sz="4" w:space="0" w:color="B1B1B1"/>
              <w:left w:val="single" w:sz="4" w:space="0" w:color="B1B1B1"/>
              <w:bottom w:val="single" w:sz="4" w:space="0" w:color="B1B1B1"/>
              <w:right w:val="single" w:sz="4" w:space="0" w:color="B1B1B1"/>
            </w:tcBorders>
            <w:vAlign w:val="center"/>
            <w:hideMark/>
          </w:tcPr>
          <w:p w14:paraId="33BC1C77" w14:textId="77777777" w:rsidR="00F42214" w:rsidRDefault="00F42214">
            <w:pPr>
              <w:tabs>
                <w:tab w:val="decimal" w:pos="827"/>
              </w:tabs>
              <w:spacing w:line="200" w:lineRule="atLeast"/>
              <w:rPr>
                <w:color w:val="000000"/>
                <w:sz w:val="22"/>
                <w:szCs w:val="22"/>
              </w:rPr>
            </w:pPr>
            <w:r>
              <w:rPr>
                <w:color w:val="000000"/>
                <w:sz w:val="22"/>
                <w:szCs w:val="22"/>
              </w:rPr>
              <w:t>1.89</w:t>
            </w:r>
          </w:p>
        </w:tc>
        <w:tc>
          <w:tcPr>
            <w:tcW w:w="2890" w:type="dxa"/>
            <w:tcBorders>
              <w:top w:val="single" w:sz="4" w:space="0" w:color="B1B1B1"/>
              <w:left w:val="single" w:sz="4" w:space="0" w:color="B1B1B1"/>
              <w:bottom w:val="single" w:sz="4" w:space="0" w:color="B1B1B1"/>
              <w:right w:val="single" w:sz="4" w:space="0" w:color="B1B1B1"/>
            </w:tcBorders>
            <w:vAlign w:val="center"/>
          </w:tcPr>
          <w:p w14:paraId="529CD54D" w14:textId="77777777" w:rsidR="00F42214" w:rsidRDefault="00F42214">
            <w:r>
              <w:t xml:space="preserve">Project activities were revised to reflect a shift from an NGO based arrangement to provision of services by government. The PDO was changed to provide a more precise and measurable reflection of the project activities and outcomes in line with the revised design. </w:t>
            </w:r>
          </w:p>
          <w:p w14:paraId="65AFBD2B" w14:textId="77777777" w:rsidR="00F42214" w:rsidRDefault="00F42214">
            <w:pPr>
              <w:spacing w:line="200" w:lineRule="atLeast"/>
              <w:rPr>
                <w:color w:val="000000"/>
                <w:sz w:val="22"/>
                <w:szCs w:val="22"/>
              </w:rPr>
            </w:pPr>
          </w:p>
        </w:tc>
      </w:tr>
      <w:tr w:rsidR="00F42214" w14:paraId="492975BF" w14:textId="77777777" w:rsidTr="00F42214">
        <w:tc>
          <w:tcPr>
            <w:tcW w:w="1513" w:type="dxa"/>
            <w:gridSpan w:val="2"/>
            <w:tcBorders>
              <w:top w:val="single" w:sz="4" w:space="0" w:color="B1B1B1"/>
              <w:left w:val="single" w:sz="4" w:space="0" w:color="B1B1B1"/>
              <w:bottom w:val="single" w:sz="4" w:space="0" w:color="B1B1B1"/>
              <w:right w:val="single" w:sz="4" w:space="0" w:color="B1B1B1"/>
            </w:tcBorders>
            <w:vAlign w:val="center"/>
            <w:hideMark/>
          </w:tcPr>
          <w:p w14:paraId="68457356" w14:textId="77777777" w:rsidR="00F42214" w:rsidRDefault="00F42214">
            <w:pPr>
              <w:spacing w:line="200" w:lineRule="atLeast"/>
              <w:jc w:val="center"/>
              <w:rPr>
                <w:color w:val="000000"/>
                <w:sz w:val="22"/>
                <w:szCs w:val="22"/>
              </w:rPr>
            </w:pPr>
            <w:r>
              <w:rPr>
                <w:color w:val="000000"/>
                <w:sz w:val="22"/>
                <w:szCs w:val="22"/>
              </w:rPr>
              <w:t xml:space="preserve"> 12/31/2013</w:t>
            </w:r>
          </w:p>
        </w:tc>
        <w:tc>
          <w:tcPr>
            <w:tcW w:w="1395" w:type="dxa"/>
            <w:gridSpan w:val="2"/>
            <w:tcBorders>
              <w:top w:val="single" w:sz="4" w:space="0" w:color="B1B1B1"/>
              <w:left w:val="single" w:sz="4" w:space="0" w:color="B1B1B1"/>
              <w:bottom w:val="single" w:sz="4" w:space="0" w:color="B1B1B1"/>
              <w:right w:val="single" w:sz="4" w:space="0" w:color="B1B1B1"/>
            </w:tcBorders>
            <w:vAlign w:val="center"/>
            <w:hideMark/>
          </w:tcPr>
          <w:p w14:paraId="4B669EFB" w14:textId="77777777" w:rsidR="00F42214" w:rsidRDefault="00F42214">
            <w:pPr>
              <w:spacing w:line="200" w:lineRule="atLeast"/>
              <w:jc w:val="center"/>
              <w:rPr>
                <w:color w:val="000000"/>
                <w:sz w:val="22"/>
                <w:szCs w:val="22"/>
              </w:rPr>
            </w:pPr>
            <w:r>
              <w:rPr>
                <w:color w:val="000000"/>
                <w:sz w:val="22"/>
                <w:szCs w:val="22"/>
              </w:rPr>
              <w:t>N</w:t>
            </w:r>
          </w:p>
        </w:tc>
        <w:tc>
          <w:tcPr>
            <w:tcW w:w="702" w:type="dxa"/>
            <w:tcBorders>
              <w:top w:val="single" w:sz="4" w:space="0" w:color="B1B1B1"/>
              <w:left w:val="single" w:sz="4" w:space="0" w:color="B1B1B1"/>
              <w:bottom w:val="single" w:sz="4" w:space="0" w:color="B1B1B1"/>
              <w:right w:val="single" w:sz="4" w:space="0" w:color="B1B1B1"/>
            </w:tcBorders>
            <w:vAlign w:val="center"/>
            <w:hideMark/>
          </w:tcPr>
          <w:p w14:paraId="3AEDDCE0" w14:textId="77777777" w:rsidR="00F42214" w:rsidRDefault="00F42214">
            <w:pPr>
              <w:spacing w:line="200" w:lineRule="atLeast"/>
              <w:jc w:val="center"/>
              <w:rPr>
                <w:color w:val="000000"/>
                <w:sz w:val="22"/>
                <w:szCs w:val="22"/>
              </w:rPr>
            </w:pPr>
            <w:r>
              <w:rPr>
                <w:color w:val="000000"/>
                <w:sz w:val="22"/>
                <w:szCs w:val="22"/>
              </w:rPr>
              <w:t>MS</w:t>
            </w:r>
          </w:p>
        </w:tc>
        <w:tc>
          <w:tcPr>
            <w:tcW w:w="720" w:type="dxa"/>
            <w:tcBorders>
              <w:top w:val="single" w:sz="4" w:space="0" w:color="B1B1B1"/>
              <w:left w:val="single" w:sz="4" w:space="0" w:color="B1B1B1"/>
              <w:bottom w:val="single" w:sz="4" w:space="0" w:color="B1B1B1"/>
              <w:right w:val="single" w:sz="4" w:space="0" w:color="B1B1B1"/>
            </w:tcBorders>
            <w:vAlign w:val="center"/>
            <w:hideMark/>
          </w:tcPr>
          <w:p w14:paraId="523F411C" w14:textId="77777777" w:rsidR="00F42214" w:rsidRDefault="00F42214">
            <w:pPr>
              <w:spacing w:line="200" w:lineRule="atLeast"/>
              <w:jc w:val="center"/>
              <w:rPr>
                <w:color w:val="000000"/>
                <w:sz w:val="22"/>
                <w:szCs w:val="22"/>
              </w:rPr>
            </w:pPr>
            <w:r>
              <w:rPr>
                <w:color w:val="000000"/>
                <w:sz w:val="22"/>
                <w:szCs w:val="22"/>
              </w:rPr>
              <w:t>MS</w:t>
            </w:r>
          </w:p>
        </w:tc>
        <w:tc>
          <w:tcPr>
            <w:tcW w:w="1440" w:type="dxa"/>
            <w:tcBorders>
              <w:top w:val="single" w:sz="4" w:space="0" w:color="B1B1B1"/>
              <w:left w:val="single" w:sz="4" w:space="0" w:color="B1B1B1"/>
              <w:bottom w:val="single" w:sz="4" w:space="0" w:color="B1B1B1"/>
              <w:right w:val="single" w:sz="4" w:space="0" w:color="B1B1B1"/>
            </w:tcBorders>
            <w:vAlign w:val="center"/>
            <w:hideMark/>
          </w:tcPr>
          <w:p w14:paraId="5FB1B0CD" w14:textId="77777777" w:rsidR="00F42214" w:rsidRDefault="00F42214">
            <w:pPr>
              <w:tabs>
                <w:tab w:val="decimal" w:pos="827"/>
              </w:tabs>
              <w:spacing w:line="200" w:lineRule="atLeast"/>
              <w:rPr>
                <w:color w:val="000000"/>
                <w:sz w:val="22"/>
                <w:szCs w:val="22"/>
              </w:rPr>
            </w:pPr>
            <w:r>
              <w:rPr>
                <w:color w:val="000000"/>
                <w:sz w:val="22"/>
                <w:szCs w:val="22"/>
              </w:rPr>
              <w:t>4.29</w:t>
            </w:r>
          </w:p>
        </w:tc>
        <w:tc>
          <w:tcPr>
            <w:tcW w:w="2890" w:type="dxa"/>
            <w:tcBorders>
              <w:top w:val="single" w:sz="4" w:space="0" w:color="B1B1B1"/>
              <w:left w:val="single" w:sz="4" w:space="0" w:color="B1B1B1"/>
              <w:bottom w:val="single" w:sz="4" w:space="0" w:color="B1B1B1"/>
              <w:right w:val="single" w:sz="4" w:space="0" w:color="B1B1B1"/>
            </w:tcBorders>
            <w:vAlign w:val="center"/>
          </w:tcPr>
          <w:p w14:paraId="3ED89C50" w14:textId="77777777" w:rsidR="00F42214" w:rsidRDefault="00F42214">
            <w:r>
              <w:t xml:space="preserve">1) Partial cancellation of US$8.8 million. Cancellation requested by the Borrower given cost savings and streamlining of activities not critical to the achievement of the PDO. 2) Modifications in project components and costs to allow focus on key critical activities. 3) Extension of Project Closing Date by 18 months from December 31, 2014 to June 30,2016 to allow for new and revised activities to be implemented. 4) Adjustment of the Results Framework including PDO indicators to reflect changes above. </w:t>
            </w:r>
          </w:p>
          <w:p w14:paraId="16F17BDC" w14:textId="77777777" w:rsidR="00F42214" w:rsidRDefault="00F42214">
            <w:pPr>
              <w:spacing w:line="200" w:lineRule="atLeast"/>
              <w:rPr>
                <w:color w:val="000000"/>
                <w:sz w:val="22"/>
                <w:szCs w:val="22"/>
              </w:rPr>
            </w:pPr>
          </w:p>
        </w:tc>
      </w:tr>
      <w:tr w:rsidR="00F42214" w14:paraId="6196664C" w14:textId="77777777" w:rsidTr="00F42214">
        <w:tc>
          <w:tcPr>
            <w:tcW w:w="1513" w:type="dxa"/>
            <w:gridSpan w:val="2"/>
            <w:tcBorders>
              <w:top w:val="single" w:sz="4" w:space="0" w:color="B1B1B1"/>
              <w:left w:val="single" w:sz="4" w:space="0" w:color="B1B1B1"/>
              <w:bottom w:val="single" w:sz="4" w:space="0" w:color="B1B1B1"/>
              <w:right w:val="single" w:sz="4" w:space="0" w:color="B1B1B1"/>
            </w:tcBorders>
            <w:vAlign w:val="center"/>
            <w:hideMark/>
          </w:tcPr>
          <w:p w14:paraId="5696FD86" w14:textId="77777777" w:rsidR="00F42214" w:rsidRDefault="00F42214">
            <w:pPr>
              <w:spacing w:line="200" w:lineRule="atLeast"/>
              <w:jc w:val="center"/>
              <w:rPr>
                <w:color w:val="000000"/>
                <w:sz w:val="22"/>
                <w:szCs w:val="22"/>
              </w:rPr>
            </w:pPr>
            <w:r>
              <w:rPr>
                <w:color w:val="000000"/>
                <w:sz w:val="22"/>
                <w:szCs w:val="22"/>
              </w:rPr>
              <w:t xml:space="preserve"> </w:t>
            </w:r>
            <w:bookmarkStart w:id="99" w:name="RESTRUCTURING_DATE_COL_1"/>
            <w:r>
              <w:rPr>
                <w:color w:val="000000"/>
                <w:sz w:val="22"/>
                <w:szCs w:val="22"/>
              </w:rPr>
              <w:t>03/25/2015</w:t>
            </w:r>
            <w:bookmarkEnd w:id="99"/>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14:paraId="7988CF0C" w14:textId="77777777" w:rsidR="00F42214" w:rsidRDefault="00F42214">
            <w:pPr>
              <w:spacing w:line="200" w:lineRule="atLeast"/>
              <w:jc w:val="center"/>
              <w:rPr>
                <w:color w:val="000000"/>
                <w:sz w:val="22"/>
                <w:szCs w:val="22"/>
              </w:rPr>
            </w:pPr>
            <w:bookmarkStart w:id="100" w:name="RESTRUCTURING_DATE_COL_2"/>
            <w:bookmarkEnd w:id="100"/>
          </w:p>
        </w:tc>
        <w:tc>
          <w:tcPr>
            <w:tcW w:w="702" w:type="dxa"/>
            <w:tcBorders>
              <w:top w:val="single" w:sz="4" w:space="0" w:color="B1B1B1"/>
              <w:left w:val="single" w:sz="4" w:space="0" w:color="B1B1B1"/>
              <w:bottom w:val="single" w:sz="4" w:space="0" w:color="B1B1B1"/>
              <w:right w:val="single" w:sz="4" w:space="0" w:color="B1B1B1"/>
            </w:tcBorders>
            <w:vAlign w:val="center"/>
            <w:hideMark/>
          </w:tcPr>
          <w:p w14:paraId="107C099B" w14:textId="77777777" w:rsidR="00F42214" w:rsidRDefault="00F42214">
            <w:pPr>
              <w:spacing w:line="200" w:lineRule="atLeast"/>
              <w:jc w:val="center"/>
              <w:rPr>
                <w:color w:val="000000"/>
                <w:sz w:val="22"/>
                <w:szCs w:val="22"/>
              </w:rPr>
            </w:pPr>
            <w:bookmarkStart w:id="101" w:name="RESTRUCTURING_DATE_COL_3"/>
            <w:r>
              <w:rPr>
                <w:color w:val="000000"/>
                <w:sz w:val="22"/>
                <w:szCs w:val="22"/>
              </w:rPr>
              <w:t>MS</w:t>
            </w:r>
            <w:bookmarkEnd w:id="101"/>
          </w:p>
        </w:tc>
        <w:tc>
          <w:tcPr>
            <w:tcW w:w="720" w:type="dxa"/>
            <w:tcBorders>
              <w:top w:val="single" w:sz="4" w:space="0" w:color="B1B1B1"/>
              <w:left w:val="single" w:sz="4" w:space="0" w:color="B1B1B1"/>
              <w:bottom w:val="single" w:sz="4" w:space="0" w:color="B1B1B1"/>
              <w:right w:val="single" w:sz="4" w:space="0" w:color="B1B1B1"/>
            </w:tcBorders>
            <w:vAlign w:val="center"/>
            <w:hideMark/>
          </w:tcPr>
          <w:p w14:paraId="018937BC" w14:textId="77777777" w:rsidR="00F42214" w:rsidRDefault="00F42214">
            <w:pPr>
              <w:spacing w:line="200" w:lineRule="atLeast"/>
              <w:jc w:val="center"/>
              <w:rPr>
                <w:color w:val="000000"/>
                <w:sz w:val="22"/>
                <w:szCs w:val="22"/>
              </w:rPr>
            </w:pPr>
            <w:bookmarkStart w:id="102" w:name="RESTRUCTURING_DATE_COL_4"/>
            <w:r>
              <w:rPr>
                <w:color w:val="000000"/>
                <w:sz w:val="22"/>
                <w:szCs w:val="22"/>
              </w:rPr>
              <w:t>MU</w:t>
            </w:r>
            <w:bookmarkEnd w:id="102"/>
          </w:p>
        </w:tc>
        <w:tc>
          <w:tcPr>
            <w:tcW w:w="1440" w:type="dxa"/>
            <w:tcBorders>
              <w:top w:val="single" w:sz="4" w:space="0" w:color="B1B1B1"/>
              <w:left w:val="single" w:sz="4" w:space="0" w:color="B1B1B1"/>
              <w:bottom w:val="single" w:sz="4" w:space="0" w:color="B1B1B1"/>
              <w:right w:val="single" w:sz="4" w:space="0" w:color="B1B1B1"/>
            </w:tcBorders>
            <w:vAlign w:val="center"/>
            <w:hideMark/>
          </w:tcPr>
          <w:p w14:paraId="082BD229" w14:textId="77777777" w:rsidR="00F42214" w:rsidRDefault="00F42214">
            <w:pPr>
              <w:tabs>
                <w:tab w:val="decimal" w:pos="827"/>
              </w:tabs>
              <w:spacing w:line="200" w:lineRule="atLeast"/>
              <w:rPr>
                <w:color w:val="000000"/>
                <w:sz w:val="22"/>
                <w:szCs w:val="22"/>
              </w:rPr>
            </w:pPr>
            <w:bookmarkStart w:id="103" w:name="RESTRUCTURING_DATE_COL_5"/>
            <w:r>
              <w:rPr>
                <w:color w:val="000000"/>
                <w:sz w:val="22"/>
                <w:szCs w:val="22"/>
              </w:rPr>
              <w:t>7.79</w:t>
            </w:r>
            <w:bookmarkEnd w:id="103"/>
          </w:p>
        </w:tc>
        <w:tc>
          <w:tcPr>
            <w:tcW w:w="2890" w:type="dxa"/>
            <w:tcBorders>
              <w:top w:val="single" w:sz="4" w:space="0" w:color="B1B1B1"/>
              <w:left w:val="single" w:sz="4" w:space="0" w:color="B1B1B1"/>
              <w:bottom w:val="single" w:sz="4" w:space="0" w:color="B1B1B1"/>
              <w:right w:val="single" w:sz="4" w:space="0" w:color="B1B1B1"/>
            </w:tcBorders>
            <w:vAlign w:val="center"/>
          </w:tcPr>
          <w:p w14:paraId="142A1E7A" w14:textId="77777777" w:rsidR="00F42214" w:rsidRDefault="00F42214">
            <w:bookmarkStart w:id="104" w:name="RESTRUCTURING_DATE_COL_6"/>
            <w:bookmarkEnd w:id="104"/>
            <w:r>
              <w:t xml:space="preserve">Partial cancellation of US$9.0 million without changes to indicators. Cancellation of US$5.0 million is based on the revision of project costs to eliminate amounts not required for completion of Project activities. While a fluctuation in exchange rate of US$ to SDR explains an additional cost reduction in the amount of US$4.0 million. </w:t>
            </w:r>
          </w:p>
          <w:p w14:paraId="2EDFFA69" w14:textId="77777777" w:rsidR="00F42214" w:rsidRDefault="00F42214">
            <w:pPr>
              <w:spacing w:line="200" w:lineRule="atLeast"/>
              <w:rPr>
                <w:color w:val="000000"/>
                <w:sz w:val="22"/>
                <w:szCs w:val="22"/>
              </w:rPr>
            </w:pPr>
          </w:p>
        </w:tc>
      </w:tr>
    </w:tbl>
    <w:p w14:paraId="61DF5320" w14:textId="77777777" w:rsidR="00F42214" w:rsidRDefault="00F42214" w:rsidP="00F42214">
      <w:bookmarkStart w:id="105" w:name="RESTRUCTURING_DATE"/>
      <w:bookmarkEnd w:id="105"/>
    </w:p>
    <w:p w14:paraId="4F84EF28" w14:textId="77777777" w:rsidR="00F42214" w:rsidRDefault="00F42214" w:rsidP="00F42214">
      <w:bookmarkStart w:id="106" w:name="RESTRUCTURING_DATES"/>
      <w:bookmarkEnd w:id="106"/>
    </w:p>
    <w:tbl>
      <w:tblPr>
        <w:tblW w:w="5000" w:type="pct"/>
        <w:tblCellSpacing w:w="7" w:type="dxa"/>
        <w:tblLayout w:type="fixed"/>
        <w:tblCellMar>
          <w:left w:w="0" w:type="dxa"/>
          <w:right w:w="0" w:type="dxa"/>
        </w:tblCellMar>
        <w:tblLook w:val="04A0" w:firstRow="1" w:lastRow="0" w:firstColumn="1" w:lastColumn="0" w:noHBand="0" w:noVBand="1"/>
      </w:tblPr>
      <w:tblGrid>
        <w:gridCol w:w="4318"/>
        <w:gridCol w:w="4322"/>
      </w:tblGrid>
      <w:tr w:rsidR="00F42214" w14:paraId="212F74B0" w14:textId="77777777" w:rsidTr="00F42214">
        <w:trPr>
          <w:tblCellSpacing w:w="7" w:type="dxa"/>
        </w:trPr>
        <w:tc>
          <w:tcPr>
            <w:tcW w:w="8660" w:type="dxa"/>
            <w:gridSpan w:val="2"/>
            <w:vAlign w:val="center"/>
            <w:hideMark/>
          </w:tcPr>
          <w:p w14:paraId="39D7A706" w14:textId="77777777" w:rsidR="00F42214" w:rsidRDefault="00F42214">
            <w:pPr>
              <w:spacing w:line="200" w:lineRule="atLeast"/>
              <w:rPr>
                <w:color w:val="000000"/>
                <w:sz w:val="22"/>
                <w:szCs w:val="22"/>
              </w:rPr>
            </w:pPr>
            <w:r>
              <w:rPr>
                <w:color w:val="000000"/>
                <w:sz w:val="22"/>
                <w:szCs w:val="22"/>
              </w:rPr>
              <w:t xml:space="preserve">If PDO and/or Key Outcome Targets were formally revised (approved by the original approving body) enter ratings below: </w:t>
            </w:r>
          </w:p>
        </w:tc>
      </w:tr>
      <w:tr w:rsidR="00F42214" w14:paraId="2249A4DB" w14:textId="77777777" w:rsidTr="00F42214">
        <w:trPr>
          <w:tblCellSpacing w:w="7" w:type="dxa"/>
        </w:trPr>
        <w:tc>
          <w:tcPr>
            <w:tcW w:w="4328" w:type="dxa"/>
            <w:vAlign w:val="center"/>
          </w:tcPr>
          <w:p w14:paraId="349C3FCE" w14:textId="77777777" w:rsidR="00F42214" w:rsidRDefault="00F42214">
            <w:pPr>
              <w:spacing w:line="200" w:lineRule="atLeast"/>
              <w:rPr>
                <w:color w:val="000000"/>
                <w:sz w:val="22"/>
                <w:szCs w:val="22"/>
              </w:rPr>
            </w:pPr>
          </w:p>
        </w:tc>
        <w:tc>
          <w:tcPr>
            <w:tcW w:w="4332" w:type="dxa"/>
            <w:shd w:val="clear" w:color="auto" w:fill="F1F1F1"/>
            <w:vAlign w:val="center"/>
            <w:hideMark/>
          </w:tcPr>
          <w:p w14:paraId="6948A0B1" w14:textId="77777777" w:rsidR="00F42214" w:rsidRDefault="00F42214">
            <w:pPr>
              <w:jc w:val="center"/>
              <w:rPr>
                <w:b/>
                <w:bCs/>
                <w:color w:val="606060"/>
                <w:sz w:val="22"/>
                <w:szCs w:val="22"/>
              </w:rPr>
            </w:pPr>
            <w:r>
              <w:rPr>
                <w:b/>
                <w:bCs/>
                <w:color w:val="606060"/>
                <w:sz w:val="22"/>
                <w:szCs w:val="22"/>
              </w:rPr>
              <w:t>Outcome Ratings</w:t>
            </w:r>
          </w:p>
        </w:tc>
      </w:tr>
      <w:tr w:rsidR="00F42214" w14:paraId="0B765FBD" w14:textId="77777777" w:rsidTr="00F42214">
        <w:trPr>
          <w:tblCellSpacing w:w="7" w:type="dxa"/>
        </w:trPr>
        <w:tc>
          <w:tcPr>
            <w:tcW w:w="4328" w:type="dxa"/>
            <w:shd w:val="clear" w:color="auto" w:fill="F1F1F1"/>
            <w:vAlign w:val="center"/>
            <w:hideMark/>
          </w:tcPr>
          <w:p w14:paraId="7E463760" w14:textId="77777777" w:rsidR="00F42214" w:rsidRDefault="00F42214">
            <w:pPr>
              <w:rPr>
                <w:b/>
                <w:bCs/>
                <w:color w:val="606060"/>
                <w:sz w:val="22"/>
                <w:szCs w:val="22"/>
              </w:rPr>
            </w:pPr>
            <w:r>
              <w:rPr>
                <w:b/>
                <w:bCs/>
                <w:color w:val="606060"/>
                <w:sz w:val="22"/>
                <w:szCs w:val="22"/>
              </w:rPr>
              <w:t>Against Original PDO/Targets</w:t>
            </w:r>
          </w:p>
        </w:tc>
        <w:tc>
          <w:tcPr>
            <w:tcW w:w="4332" w:type="dxa"/>
            <w:vAlign w:val="center"/>
            <w:hideMark/>
          </w:tcPr>
          <w:p w14:paraId="66C76B90" w14:textId="77777777" w:rsidR="00F42214" w:rsidRDefault="00F42214">
            <w:pPr>
              <w:spacing w:line="200" w:lineRule="atLeast"/>
              <w:jc w:val="center"/>
              <w:rPr>
                <w:color w:val="000000"/>
                <w:sz w:val="22"/>
                <w:szCs w:val="22"/>
              </w:rPr>
            </w:pPr>
            <w:bookmarkStart w:id="107" w:name="BOARD_APP_RESTR_COL_1"/>
            <w:r>
              <w:rPr>
                <w:color w:val="000000"/>
                <w:sz w:val="22"/>
                <w:szCs w:val="22"/>
              </w:rPr>
              <w:t>Moderately Unsatisfactory</w:t>
            </w:r>
            <w:bookmarkEnd w:id="107"/>
          </w:p>
        </w:tc>
      </w:tr>
      <w:tr w:rsidR="00F42214" w14:paraId="18D5E7A7" w14:textId="77777777" w:rsidTr="00F42214">
        <w:trPr>
          <w:tblCellSpacing w:w="7" w:type="dxa"/>
        </w:trPr>
        <w:tc>
          <w:tcPr>
            <w:tcW w:w="4328" w:type="dxa"/>
            <w:shd w:val="clear" w:color="auto" w:fill="F1F1F1"/>
            <w:vAlign w:val="center"/>
            <w:hideMark/>
          </w:tcPr>
          <w:p w14:paraId="574382C4" w14:textId="77777777" w:rsidR="00F42214" w:rsidRDefault="00F42214">
            <w:pPr>
              <w:rPr>
                <w:b/>
                <w:bCs/>
                <w:color w:val="606060"/>
                <w:sz w:val="22"/>
                <w:szCs w:val="22"/>
              </w:rPr>
            </w:pPr>
            <w:r>
              <w:rPr>
                <w:b/>
                <w:bCs/>
                <w:color w:val="606060"/>
                <w:sz w:val="22"/>
                <w:szCs w:val="22"/>
              </w:rPr>
              <w:t>Against Formally Revised PDO/Targets</w:t>
            </w:r>
          </w:p>
        </w:tc>
        <w:tc>
          <w:tcPr>
            <w:tcW w:w="4332" w:type="dxa"/>
            <w:vAlign w:val="center"/>
            <w:hideMark/>
          </w:tcPr>
          <w:p w14:paraId="53FC8061" w14:textId="77777777" w:rsidR="00F42214" w:rsidRDefault="00F42214">
            <w:pPr>
              <w:spacing w:line="200" w:lineRule="atLeast"/>
              <w:jc w:val="center"/>
              <w:rPr>
                <w:color w:val="000000"/>
                <w:sz w:val="22"/>
                <w:szCs w:val="22"/>
              </w:rPr>
            </w:pPr>
            <w:bookmarkStart w:id="108" w:name="BOARD_APP_RESTR_COL_2"/>
            <w:r>
              <w:rPr>
                <w:color w:val="000000"/>
                <w:sz w:val="22"/>
                <w:szCs w:val="22"/>
              </w:rPr>
              <w:t>Satisfactory</w:t>
            </w:r>
            <w:bookmarkEnd w:id="108"/>
          </w:p>
        </w:tc>
      </w:tr>
      <w:tr w:rsidR="00F42214" w14:paraId="4E6D675C" w14:textId="77777777" w:rsidTr="00F42214">
        <w:trPr>
          <w:tblCellSpacing w:w="7" w:type="dxa"/>
        </w:trPr>
        <w:tc>
          <w:tcPr>
            <w:tcW w:w="4328" w:type="dxa"/>
            <w:shd w:val="clear" w:color="auto" w:fill="F1F1F1"/>
            <w:vAlign w:val="center"/>
            <w:hideMark/>
          </w:tcPr>
          <w:p w14:paraId="6124A00C" w14:textId="77777777" w:rsidR="00F42214" w:rsidRDefault="00F42214">
            <w:pPr>
              <w:rPr>
                <w:b/>
                <w:bCs/>
                <w:color w:val="606060"/>
                <w:sz w:val="22"/>
                <w:szCs w:val="22"/>
              </w:rPr>
            </w:pPr>
            <w:r>
              <w:rPr>
                <w:b/>
                <w:bCs/>
                <w:color w:val="606060"/>
                <w:sz w:val="22"/>
                <w:szCs w:val="22"/>
              </w:rPr>
              <w:t>Overall (weighted) rating</w:t>
            </w:r>
          </w:p>
        </w:tc>
        <w:tc>
          <w:tcPr>
            <w:tcW w:w="4332" w:type="dxa"/>
            <w:vAlign w:val="center"/>
            <w:hideMark/>
          </w:tcPr>
          <w:p w14:paraId="551CD6E8" w14:textId="77777777" w:rsidR="00F42214" w:rsidRDefault="00F42214">
            <w:pPr>
              <w:spacing w:line="200" w:lineRule="atLeast"/>
              <w:jc w:val="center"/>
              <w:rPr>
                <w:color w:val="000000"/>
                <w:sz w:val="22"/>
                <w:szCs w:val="22"/>
              </w:rPr>
            </w:pPr>
            <w:bookmarkStart w:id="109" w:name="BOARD_APP_RESTR_COL_3"/>
            <w:r>
              <w:rPr>
                <w:color w:val="000000"/>
                <w:sz w:val="22"/>
                <w:szCs w:val="22"/>
              </w:rPr>
              <w:t>Moderately Satisfactory</w:t>
            </w:r>
            <w:bookmarkEnd w:id="109"/>
          </w:p>
        </w:tc>
      </w:tr>
    </w:tbl>
    <w:p w14:paraId="56230F89" w14:textId="77777777" w:rsidR="00F42214" w:rsidRDefault="00F42214" w:rsidP="00F42214">
      <w:bookmarkStart w:id="110" w:name="BOARD_APP_RESTR"/>
      <w:bookmarkEnd w:id="110"/>
    </w:p>
    <w:p w14:paraId="1A17CFD1" w14:textId="77777777" w:rsidR="00F42214" w:rsidRDefault="00F42214" w:rsidP="00F42214">
      <w:pPr>
        <w:rPr>
          <w:vanish/>
          <w:sz w:val="2"/>
          <w:szCs w:val="2"/>
        </w:rPr>
      </w:pPr>
    </w:p>
    <w:p w14:paraId="1E8C3E9F" w14:textId="77777777" w:rsidR="00F42214" w:rsidRDefault="00F42214" w:rsidP="00F42214">
      <w:pPr>
        <w:pStyle w:val="Heading2"/>
        <w:keepNext/>
        <w:keepLines/>
      </w:pPr>
      <w:r>
        <w:t>I.  Disbursement Profile</w:t>
      </w:r>
    </w:p>
    <w:p w14:paraId="054B2E5C" w14:textId="6EBEA66B" w:rsidR="00F42214" w:rsidRDefault="00F42214" w:rsidP="00F42214">
      <w:bookmarkStart w:id="111" w:name="DISBPROJ1"/>
      <w:bookmarkEnd w:id="111"/>
      <w:r>
        <w:rPr>
          <w:noProof/>
          <w:lang w:eastAsia="en-US"/>
        </w:rPr>
        <w:drawing>
          <wp:inline distT="0" distB="0" distL="0" distR="0" wp14:anchorId="2C66EA54" wp14:editId="296DA779">
            <wp:extent cx="5715000" cy="2857500"/>
            <wp:effectExtent l="0" t="0" r="0" b="0"/>
            <wp:docPr id="1" name="Picture 1" descr="http://projportal.worldbank.org/shared/SiteResources/ICR/DISB_CHART/P106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portal.worldbank.org/shared/SiteResources/ICR/DISB_CHART/P106332.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303E35AC" w14:textId="77777777" w:rsidR="00F42214" w:rsidRDefault="00F42214" w:rsidP="00F42214"/>
    <w:p w14:paraId="5D9DCE71" w14:textId="77777777" w:rsidR="00F42214" w:rsidRDefault="00F42214" w:rsidP="00F42214"/>
    <w:p w14:paraId="2EC5E290" w14:textId="77777777" w:rsidR="00F42214" w:rsidRDefault="00F42214"/>
    <w:p w14:paraId="5DDCDBE9" w14:textId="1BB564E9" w:rsidR="001E0E8C" w:rsidRDefault="001E0E8C"/>
    <w:p w14:paraId="7CED5906" w14:textId="77777777" w:rsidR="001E0E8C" w:rsidRDefault="001E0E8C"/>
    <w:p w14:paraId="387D4426" w14:textId="77777777" w:rsidR="001E0E8C" w:rsidRDefault="001E0E8C"/>
    <w:p w14:paraId="38AC4125" w14:textId="77777777" w:rsidR="001E0E8C" w:rsidRDefault="001E0E8C"/>
    <w:p w14:paraId="434BEC07" w14:textId="77777777" w:rsidR="001E0E8C" w:rsidRDefault="001E0E8C"/>
    <w:p w14:paraId="52AA9C3D" w14:textId="77777777" w:rsidR="001E0E8C" w:rsidRPr="00BA45AA" w:rsidRDefault="001E0E8C"/>
    <w:p w14:paraId="7638A5E0" w14:textId="77777777" w:rsidR="00DB088C" w:rsidRPr="00BA45AA" w:rsidRDefault="00DB088C">
      <w:pPr>
        <w:sectPr w:rsidR="00DB088C" w:rsidRPr="00BA45AA" w:rsidSect="00FD2995">
          <w:footerReference w:type="default" r:id="rId10"/>
          <w:pgSz w:w="12240" w:h="15840"/>
          <w:pgMar w:top="1440" w:right="1800" w:bottom="1440" w:left="1800" w:header="720" w:footer="720" w:gutter="0"/>
          <w:pgNumType w:fmt="lowerRoman" w:start="1"/>
          <w:cols w:space="720"/>
          <w:docGrid w:linePitch="360"/>
        </w:sectPr>
      </w:pPr>
    </w:p>
    <w:p w14:paraId="22B346F7" w14:textId="77777777" w:rsidR="00C67D43" w:rsidRDefault="00C67D43" w:rsidP="00E6685A">
      <w:pPr>
        <w:pStyle w:val="Heading2"/>
        <w:keepNext/>
      </w:pPr>
      <w:bookmarkStart w:id="112" w:name="_Toc158019370"/>
      <w:r>
        <w:t>1. Project Context, Development Objectives and Design</w:t>
      </w:r>
      <w:bookmarkEnd w:id="112"/>
      <w:r>
        <w:t xml:space="preserve"> </w:t>
      </w:r>
    </w:p>
    <w:p w14:paraId="52B63265" w14:textId="77777777" w:rsidR="00C67D43" w:rsidRDefault="00C67D43" w:rsidP="007A077F">
      <w:pPr>
        <w:pStyle w:val="Heading3"/>
        <w:keepNext/>
      </w:pPr>
      <w:r>
        <w:t>1.1 Context at Appraisal</w:t>
      </w:r>
    </w:p>
    <w:p w14:paraId="32B81D2A" w14:textId="77777777" w:rsidR="0097523F" w:rsidRDefault="00C67D43" w:rsidP="0097523F">
      <w:r>
        <w:rPr>
          <w:i/>
          <w:iCs/>
        </w:rPr>
        <w:t>(brief summary of country and sector background, rationale for Bank assistance)</w:t>
      </w:r>
      <w:bookmarkStart w:id="113" w:name="SEC61"/>
      <w:bookmarkEnd w:id="113"/>
    </w:p>
    <w:p w14:paraId="5C43B13E" w14:textId="77777777" w:rsidR="007D7533" w:rsidRDefault="007D7533" w:rsidP="0097523F"/>
    <w:p w14:paraId="2BF38153" w14:textId="70118CF0" w:rsidR="009C06C6" w:rsidRDefault="009C06C6" w:rsidP="002E6B88">
      <w:pPr>
        <w:pStyle w:val="ListParagraph"/>
        <w:numPr>
          <w:ilvl w:val="0"/>
          <w:numId w:val="34"/>
        </w:numPr>
        <w:ind w:left="0" w:firstLine="360"/>
        <w:jc w:val="both"/>
      </w:pPr>
      <w:r>
        <w:t>Designed in</w:t>
      </w:r>
      <w:r w:rsidR="006B2B47">
        <w:t xml:space="preserve"> early 2008 as</w:t>
      </w:r>
      <w:r>
        <w:t xml:space="preserve"> </w:t>
      </w:r>
      <w:r w:rsidR="005F2404">
        <w:t xml:space="preserve">a </w:t>
      </w:r>
      <w:r>
        <w:t>response to a request from Govern</w:t>
      </w:r>
      <w:r w:rsidR="006B2B47">
        <w:t>ment of Bangladesh (GOB)</w:t>
      </w:r>
      <w:r w:rsidR="0095545B">
        <w:t xml:space="preserve">, </w:t>
      </w:r>
      <w:r>
        <w:t>t</w:t>
      </w:r>
      <w:r w:rsidR="00BD4842">
        <w:t>he D</w:t>
      </w:r>
      <w:r w:rsidR="00CE1B3F">
        <w:t xml:space="preserve">isability and Children at Risk </w:t>
      </w:r>
      <w:r w:rsidR="00BD4842">
        <w:t xml:space="preserve">(DCAR) project </w:t>
      </w:r>
      <w:r w:rsidR="00BD33B5">
        <w:t xml:space="preserve">was </w:t>
      </w:r>
      <w:r w:rsidR="00BD4842">
        <w:t xml:space="preserve">the first lending operation in </w:t>
      </w:r>
      <w:r w:rsidR="001844E0">
        <w:t xml:space="preserve">the </w:t>
      </w:r>
      <w:r w:rsidR="00BD4842">
        <w:t>Social Protection sector</w:t>
      </w:r>
      <w:r>
        <w:t xml:space="preserve"> in the country. It also was the first project addressing pro</w:t>
      </w:r>
      <w:r w:rsidR="0095545B">
        <w:t>vision of services to persons with disabi</w:t>
      </w:r>
      <w:r w:rsidR="008C7E3E">
        <w:t>lities</w:t>
      </w:r>
      <w:r w:rsidR="00891FF0">
        <w:t xml:space="preserve"> (PWD)</w:t>
      </w:r>
      <w:r>
        <w:t xml:space="preserve"> </w:t>
      </w:r>
      <w:r w:rsidR="005F2404">
        <w:t>supported</w:t>
      </w:r>
      <w:r>
        <w:t xml:space="preserve"> by the World Bank Group. </w:t>
      </w:r>
    </w:p>
    <w:p w14:paraId="37B512E9" w14:textId="77777777" w:rsidR="009C06C6" w:rsidRDefault="009C06C6" w:rsidP="004D3832">
      <w:pPr>
        <w:jc w:val="both"/>
      </w:pPr>
    </w:p>
    <w:p w14:paraId="38A3529B" w14:textId="429FC7DC" w:rsidR="00DA2592" w:rsidRDefault="001844E0" w:rsidP="002E6B88">
      <w:pPr>
        <w:pStyle w:val="ListParagraph"/>
        <w:numPr>
          <w:ilvl w:val="0"/>
          <w:numId w:val="34"/>
        </w:numPr>
        <w:ind w:left="0" w:firstLine="360"/>
        <w:jc w:val="both"/>
      </w:pPr>
      <w:r>
        <w:t>I</w:t>
      </w:r>
      <w:r w:rsidR="00A62DA4">
        <w:t>n August 2008</w:t>
      </w:r>
      <w:r>
        <w:t>, when the Project was appraised,</w:t>
      </w:r>
      <w:r w:rsidR="00A62DA4">
        <w:t xml:space="preserve"> </w:t>
      </w:r>
      <w:r w:rsidR="0097523F">
        <w:t>Bangladesh</w:t>
      </w:r>
      <w:r w:rsidR="00A62DA4">
        <w:t xml:space="preserve"> </w:t>
      </w:r>
      <w:r w:rsidR="002D6512">
        <w:t xml:space="preserve">was </w:t>
      </w:r>
      <w:r w:rsidR="0097523F">
        <w:t>experienc</w:t>
      </w:r>
      <w:r w:rsidR="002D6512">
        <w:t>ing</w:t>
      </w:r>
      <w:r w:rsidR="0097523F">
        <w:t xml:space="preserve"> s</w:t>
      </w:r>
      <w:r w:rsidR="006B37A7">
        <w:t xml:space="preserve">ubstantial </w:t>
      </w:r>
      <w:r w:rsidR="0097523F">
        <w:t xml:space="preserve">economic </w:t>
      </w:r>
      <w:r w:rsidR="006B37A7">
        <w:t xml:space="preserve">growth </w:t>
      </w:r>
      <w:r w:rsidR="0097523F">
        <w:t xml:space="preserve">that was </w:t>
      </w:r>
      <w:r w:rsidR="006B37A7">
        <w:t>twice the average</w:t>
      </w:r>
      <w:r w:rsidR="0097523F">
        <w:t xml:space="preserve"> of other low income countries and </w:t>
      </w:r>
      <w:r w:rsidR="006B37A7">
        <w:t xml:space="preserve">made </w:t>
      </w:r>
      <w:r w:rsidR="0097523F">
        <w:t xml:space="preserve">significant </w:t>
      </w:r>
      <w:r w:rsidR="006B37A7">
        <w:t>progress towards reducing poverty</w:t>
      </w:r>
      <w:r w:rsidR="0097523F">
        <w:t xml:space="preserve"> (with national poverty line declining roughly one percent per annum for the preceding 15 years</w:t>
      </w:r>
      <w:r w:rsidR="00526252">
        <w:rPr>
          <w:rStyle w:val="FootnoteReference"/>
        </w:rPr>
        <w:footnoteReference w:id="1"/>
      </w:r>
      <w:r w:rsidR="0097523F">
        <w:t xml:space="preserve">). Part of the poverty reduction can be attributed to variety of programs established by the </w:t>
      </w:r>
      <w:r w:rsidR="007D7533">
        <w:t xml:space="preserve">GOB </w:t>
      </w:r>
      <w:r w:rsidR="0097523F">
        <w:t>that were designed to support the rural poor, elderly, women, and children through provision of safety nets, microfinance and other services</w:t>
      </w:r>
      <w:r w:rsidR="0025038B">
        <w:rPr>
          <w:rStyle w:val="FootnoteReference"/>
        </w:rPr>
        <w:footnoteReference w:id="2"/>
      </w:r>
      <w:r w:rsidR="0097523F">
        <w:t xml:space="preserve">.  </w:t>
      </w:r>
      <w:r w:rsidR="007D7533">
        <w:t>Nonetheless</w:t>
      </w:r>
      <w:r w:rsidR="0097523F" w:rsidRPr="0097523F">
        <w:t xml:space="preserve">, </w:t>
      </w:r>
      <w:r w:rsidR="0097523F">
        <w:t xml:space="preserve">GOB recognized </w:t>
      </w:r>
      <w:r w:rsidR="0097523F" w:rsidRPr="0097523F">
        <w:t>that</w:t>
      </w:r>
      <w:r w:rsidR="0097523F">
        <w:t xml:space="preserve"> </w:t>
      </w:r>
      <w:r w:rsidR="00760E94">
        <w:t>despite</w:t>
      </w:r>
      <w:r w:rsidR="0097523F">
        <w:t xml:space="preserve"> these programs </w:t>
      </w:r>
      <w:r w:rsidR="0097523F" w:rsidRPr="0097523F">
        <w:t>some groups remain</w:t>
      </w:r>
      <w:r w:rsidR="0097523F">
        <w:t>ed</w:t>
      </w:r>
      <w:r w:rsidR="0097523F" w:rsidRPr="0097523F">
        <w:t xml:space="preserve"> particularly marginalized with few ta</w:t>
      </w:r>
      <w:r w:rsidR="0097523F">
        <w:t xml:space="preserve">rgeted interventions. </w:t>
      </w:r>
      <w:r w:rsidR="0097523F" w:rsidRPr="0097523F">
        <w:t>Prominent amo</w:t>
      </w:r>
      <w:r w:rsidR="0097523F">
        <w:t>ng these marginalized groups were</w:t>
      </w:r>
      <w:r w:rsidR="0097523F" w:rsidRPr="0097523F">
        <w:t>: (i) people with disabilitie</w:t>
      </w:r>
      <w:r w:rsidR="00D31830">
        <w:t>s</w:t>
      </w:r>
      <w:r w:rsidR="0097523F" w:rsidRPr="0097523F">
        <w:t xml:space="preserve">; and (ii) particularly vulnerable children (street children, children working in hazardous occupations, orphans, children/adolescents in conflict with the law, etc.), especially in rapidly growing urban slums. </w:t>
      </w:r>
    </w:p>
    <w:p w14:paraId="4198FD05" w14:textId="77777777" w:rsidR="002F65FB" w:rsidRDefault="002F65FB" w:rsidP="002F65FB">
      <w:pPr>
        <w:pStyle w:val="ListParagraph"/>
      </w:pPr>
    </w:p>
    <w:p w14:paraId="29F89C82" w14:textId="3366E74A" w:rsidR="002F65FB" w:rsidRDefault="009437F7" w:rsidP="00D7358B">
      <w:pPr>
        <w:pStyle w:val="ListParagraph"/>
        <w:numPr>
          <w:ilvl w:val="0"/>
          <w:numId w:val="34"/>
        </w:numPr>
        <w:ind w:left="0" w:firstLine="270"/>
        <w:jc w:val="both"/>
      </w:pPr>
      <w:r>
        <w:t xml:space="preserve">The costs of not addressing </w:t>
      </w:r>
      <w:r w:rsidR="00594E56">
        <w:t xml:space="preserve">challenges faced by </w:t>
      </w:r>
      <w:r w:rsidR="007F0A11">
        <w:t>PWD</w:t>
      </w:r>
      <w:r>
        <w:t xml:space="preserve"> and children-at-risk were estimated to be between US$1.2-$1.8 billion and US$9 million per annum </w:t>
      </w:r>
      <w:r w:rsidR="00212477">
        <w:t>respectively. According to the data from National Forum for Organizations Working with Disability (NFOWD</w:t>
      </w:r>
      <w:r w:rsidR="00884778">
        <w:t>) and</w:t>
      </w:r>
      <w:r w:rsidR="000044F4">
        <w:t xml:space="preserve"> Handicap International (HI) </w:t>
      </w:r>
      <w:r w:rsidR="00212477">
        <w:t>in 2005</w:t>
      </w:r>
      <w:r w:rsidR="007F0A11">
        <w:t xml:space="preserve"> PWD</w:t>
      </w:r>
      <w:r w:rsidR="00212477">
        <w:t xml:space="preserve"> represented about 5.6% of population in Bangladesh. </w:t>
      </w:r>
      <w:r w:rsidR="002F65FB">
        <w:t>The Economic and Financial analysis performed at the appraisal estimate</w:t>
      </w:r>
      <w:r w:rsidR="00446BDE">
        <w:t>d</w:t>
      </w:r>
      <w:r w:rsidR="002F65FB">
        <w:t xml:space="preserve"> that </w:t>
      </w:r>
      <w:r w:rsidR="00446BDE">
        <w:t>due to (i) some people with disabilities not participating in the workforce</w:t>
      </w:r>
      <w:r w:rsidR="00AE18AD">
        <w:rPr>
          <w:rStyle w:val="FootnoteReference"/>
        </w:rPr>
        <w:footnoteReference w:id="3"/>
      </w:r>
      <w:r w:rsidR="00446BDE">
        <w:t xml:space="preserve">; (ii) foregone schooling for some children with disability; (iii) foregone income for adult caretakers; and (iv) foregone schooling for child care takers not addressing needs of people with disability costed Bangladesh as much as </w:t>
      </w:r>
      <w:r w:rsidR="002F65FB">
        <w:t xml:space="preserve">US$l.2 </w:t>
      </w:r>
      <w:r w:rsidR="00446BDE">
        <w:t>billion, or 1.74 percent of GDP</w:t>
      </w:r>
      <w:r w:rsidR="002F65FB">
        <w:t xml:space="preserve"> lost per annum.</w:t>
      </w:r>
      <w:r w:rsidR="00446BDE">
        <w:t xml:space="preserve"> </w:t>
      </w:r>
      <w:r w:rsidR="00D7358B">
        <w:t xml:space="preserve">Moreover, </w:t>
      </w:r>
      <w:r w:rsidR="00D7358B" w:rsidRPr="00043881">
        <w:t>an independent study that used</w:t>
      </w:r>
      <w:r w:rsidR="00446BDE" w:rsidRPr="00043881">
        <w:t xml:space="preserve"> similar data estimated the number to be even higher at US$1.8 billion</w:t>
      </w:r>
      <w:r w:rsidR="00355060" w:rsidRPr="00043881">
        <w:rPr>
          <w:rStyle w:val="FootnoteReference"/>
        </w:rPr>
        <w:footnoteReference w:id="4"/>
      </w:r>
      <w:r w:rsidR="00446BDE" w:rsidRPr="00043881">
        <w:t>.</w:t>
      </w:r>
      <w:r w:rsidR="00D7358B" w:rsidRPr="00D7358B">
        <w:t xml:space="preserve"> </w:t>
      </w:r>
      <w:r>
        <w:t xml:space="preserve">The </w:t>
      </w:r>
      <w:r w:rsidR="00BB2739">
        <w:t xml:space="preserve">exact number of children-at-risk was not available at the time of appraisal. </w:t>
      </w:r>
      <w:r w:rsidR="00932332">
        <w:t>Close to 700,000 children were also estimated to be homeless</w:t>
      </w:r>
      <w:r w:rsidR="00932332">
        <w:rPr>
          <w:rStyle w:val="FootnoteReference"/>
        </w:rPr>
        <w:footnoteReference w:id="5"/>
      </w:r>
      <w:r w:rsidR="00932332">
        <w:t>. Additionally</w:t>
      </w:r>
      <w:r w:rsidR="00BB2739">
        <w:t>, according to National Child Labor Survey 2002 -</w:t>
      </w:r>
      <w:r w:rsidR="00007703">
        <w:t>2003 7.4</w:t>
      </w:r>
      <w:r w:rsidR="00BB2739">
        <w:t xml:space="preserve"> million of children ages 5-17 were engaged in some economic activity and 4 million were neither at school nor</w:t>
      </w:r>
      <w:r w:rsidR="00932332">
        <w:t xml:space="preserve"> engaged in work. The</w:t>
      </w:r>
      <w:r w:rsidR="00BB2739">
        <w:t xml:space="preserve"> </w:t>
      </w:r>
      <w:r>
        <w:t xml:space="preserve">team </w:t>
      </w:r>
      <w:r w:rsidR="00D7358B">
        <w:t>estimate</w:t>
      </w:r>
      <w:r>
        <w:t>d</w:t>
      </w:r>
      <w:r w:rsidR="00D7358B">
        <w:t xml:space="preserve"> the annu</w:t>
      </w:r>
      <w:r>
        <w:t>a</w:t>
      </w:r>
      <w:r w:rsidR="00D7358B">
        <w:t xml:space="preserve">l loss in lifetime earnings due to street children forgoing </w:t>
      </w:r>
      <w:r w:rsidR="007F6FDE">
        <w:t>schooling to</w:t>
      </w:r>
      <w:r>
        <w:t xml:space="preserve"> be </w:t>
      </w:r>
      <w:r w:rsidR="00D7358B">
        <w:t>US$9 million.</w:t>
      </w:r>
      <w:r w:rsidR="00446BDE">
        <w:t xml:space="preserve"> </w:t>
      </w:r>
    </w:p>
    <w:p w14:paraId="6CA4D59A" w14:textId="77777777" w:rsidR="00DA2592" w:rsidRDefault="00DA2592" w:rsidP="004D3832">
      <w:pPr>
        <w:jc w:val="both"/>
      </w:pPr>
    </w:p>
    <w:p w14:paraId="0AA37839" w14:textId="31FFB221" w:rsidR="003F63C9" w:rsidRDefault="00D33169" w:rsidP="00885ED5">
      <w:pPr>
        <w:pStyle w:val="ListParagraph"/>
        <w:numPr>
          <w:ilvl w:val="0"/>
          <w:numId w:val="34"/>
        </w:numPr>
        <w:ind w:left="0" w:firstLine="360"/>
        <w:jc w:val="both"/>
      </w:pPr>
      <w:r>
        <w:t xml:space="preserve">The </w:t>
      </w:r>
      <w:r w:rsidR="00DA2592">
        <w:t>GOB was committed to improving the welfare of these groups. By August 2008</w:t>
      </w:r>
      <w:r>
        <w:t xml:space="preserve">, the </w:t>
      </w:r>
      <w:r w:rsidR="00DA2592">
        <w:t xml:space="preserve">GOB was a signatory to most of the international conventions and declarations on disability including the United Nations (UN) Convention on the Rights of Persons with Disabilities (CRPD).  </w:t>
      </w:r>
      <w:r w:rsidR="00772BE7">
        <w:t xml:space="preserve">It also signed the UN Convention on the Rights of the Child (UNCRC).  </w:t>
      </w:r>
      <w:r w:rsidR="00DA2592">
        <w:t>Further</w:t>
      </w:r>
      <w:r w:rsidR="00007811">
        <w:t>more</w:t>
      </w:r>
      <w:r w:rsidR="00DA2592">
        <w:t xml:space="preserve">, </w:t>
      </w:r>
      <w:r w:rsidR="004D3832">
        <w:t>commitment of GOB to reaching these groups could be evidenced by</w:t>
      </w:r>
      <w:r w:rsidR="00DA2592">
        <w:t xml:space="preserve"> creation of</w:t>
      </w:r>
      <w:r w:rsidR="004D3832">
        <w:t xml:space="preserve"> </w:t>
      </w:r>
      <w:r w:rsidR="006B37A7">
        <w:t>National Plan of Action for Children</w:t>
      </w:r>
      <w:r w:rsidR="00772BE7">
        <w:t xml:space="preserve"> (2005-2010)</w:t>
      </w:r>
      <w:r w:rsidR="006B37A7">
        <w:t xml:space="preserve"> and National Policy for Disability </w:t>
      </w:r>
      <w:r w:rsidR="004D3832">
        <w:t xml:space="preserve">in </w:t>
      </w:r>
      <w:r w:rsidR="006B37A7">
        <w:t>2005</w:t>
      </w:r>
      <w:r w:rsidR="004D3832">
        <w:t xml:space="preserve">. </w:t>
      </w:r>
      <w:r w:rsidR="003F63C9">
        <w:t xml:space="preserve"> Two departments within Ministry of Social Welfare (</w:t>
      </w:r>
      <w:r w:rsidR="001844E0">
        <w:t>MoSW</w:t>
      </w:r>
      <w:r w:rsidR="003F63C9">
        <w:t xml:space="preserve">) were in charge of implementing these policies: (i) the National Foundation for the Development of Disabled Persons (NFDDP) </w:t>
      </w:r>
      <w:r w:rsidR="001844E0">
        <w:t xml:space="preserve">which specifically addressed </w:t>
      </w:r>
      <w:r w:rsidR="003F63C9">
        <w:t xml:space="preserve">PWDs; and (ii) the Department of Social Services (DSS) </w:t>
      </w:r>
      <w:r w:rsidR="001844E0">
        <w:t xml:space="preserve">which </w:t>
      </w:r>
      <w:r w:rsidR="003F63C9">
        <w:t>addressed the needs of children at risk</w:t>
      </w:r>
      <w:r w:rsidR="001844E0">
        <w:t>, in addition to implementing a number of other social protection interventions</w:t>
      </w:r>
      <w:r w:rsidR="003F63C9">
        <w:t xml:space="preserve">. </w:t>
      </w:r>
      <w:r w:rsidR="004D3832">
        <w:t>Nonetheless</w:t>
      </w:r>
      <w:r w:rsidR="003F63C9">
        <w:t>,</w:t>
      </w:r>
      <w:r w:rsidR="004D3832">
        <w:t xml:space="preserve"> the </w:t>
      </w:r>
      <w:r w:rsidR="003F63C9">
        <w:t>impleme</w:t>
      </w:r>
      <w:r w:rsidR="00E40D8C">
        <w:t>ntation of the</w:t>
      </w:r>
      <w:r w:rsidR="00992AB3">
        <w:t xml:space="preserve"> National</w:t>
      </w:r>
      <w:r w:rsidR="00E40D8C">
        <w:t xml:space="preserve"> Plans</w:t>
      </w:r>
      <w:r w:rsidR="00992AB3">
        <w:t xml:space="preserve"> for Disability and Children</w:t>
      </w:r>
      <w:r w:rsidR="00E40D8C">
        <w:t xml:space="preserve"> lagged. </w:t>
      </w:r>
      <w:r w:rsidR="00CD58FF">
        <w:t xml:space="preserve">Cognizant of </w:t>
      </w:r>
      <w:r>
        <w:t xml:space="preserve">these challenges, the </w:t>
      </w:r>
      <w:r w:rsidR="00CD58FF">
        <w:t>GOB</w:t>
      </w:r>
      <w:r w:rsidR="003F63C9">
        <w:t xml:space="preserve"> experimented with various ways to improve the functioning of the</w:t>
      </w:r>
      <w:r w:rsidR="00CD58FF">
        <w:t>se</w:t>
      </w:r>
      <w:r w:rsidR="003F63C9">
        <w:t xml:space="preserve"> departments</w:t>
      </w:r>
      <w:r w:rsidR="00CD58FF">
        <w:t>. For example, it made</w:t>
      </w:r>
      <w:r w:rsidR="003F63C9">
        <w:t xml:space="preserve"> NFDDP more autonomous</w:t>
      </w:r>
      <w:r w:rsidR="00E40D8C">
        <w:t xml:space="preserve"> (concurrently</w:t>
      </w:r>
      <w:r w:rsidR="003F63C9">
        <w:t xml:space="preserve"> changing its name to the Jatiyo </w:t>
      </w:r>
      <w:r w:rsidR="00E40D8C">
        <w:t>Protibondhi Unnayan Foundation (JPUF))</w:t>
      </w:r>
      <w:r w:rsidR="00CD58FF">
        <w:t xml:space="preserve"> in hope that this would allow to improve its capacity by raising its profile and ability to attract top talent.</w:t>
      </w:r>
    </w:p>
    <w:p w14:paraId="3C47DF2D" w14:textId="77777777" w:rsidR="00772BE7" w:rsidRDefault="00772BE7" w:rsidP="004D3832">
      <w:pPr>
        <w:jc w:val="both"/>
      </w:pPr>
    </w:p>
    <w:p w14:paraId="2C498B3A" w14:textId="774CB4B4" w:rsidR="006536FE" w:rsidRDefault="00514A3F" w:rsidP="00FA1488">
      <w:pPr>
        <w:pStyle w:val="ListParagraph"/>
        <w:numPr>
          <w:ilvl w:val="0"/>
          <w:numId w:val="34"/>
        </w:numPr>
        <w:ind w:left="0" w:firstLine="360"/>
        <w:jc w:val="both"/>
      </w:pPr>
      <w:r>
        <w:t xml:space="preserve">This vision </w:t>
      </w:r>
      <w:r w:rsidR="00CD58FF">
        <w:t>of</w:t>
      </w:r>
      <w:r w:rsidR="00FA1488">
        <w:t xml:space="preserve"> a need for </w:t>
      </w:r>
      <w:r w:rsidR="00E043A4">
        <w:t xml:space="preserve">an </w:t>
      </w:r>
      <w:r w:rsidR="00FA1488">
        <w:t>intervention targ</w:t>
      </w:r>
      <w:r w:rsidR="00E043A4">
        <w:t>et</w:t>
      </w:r>
      <w:r w:rsidR="00FA1488">
        <w:t>ing particularly marginalized grou</w:t>
      </w:r>
      <w:r w:rsidR="00A048A4">
        <w:t>ps such as PWDs and children-at-</w:t>
      </w:r>
      <w:r w:rsidR="00FA1488">
        <w:t xml:space="preserve"> risk </w:t>
      </w:r>
      <w:r>
        <w:t xml:space="preserve">was aligned with </w:t>
      </w:r>
      <w:r w:rsidR="00806675">
        <w:t>Pillar 2 of the</w:t>
      </w:r>
      <w:r w:rsidR="009C06C6">
        <w:t xml:space="preserve"> Country Assis</w:t>
      </w:r>
      <w:r w:rsidR="00806675">
        <w:t xml:space="preserve">tance Strategy (CAS) 2006-2009. Pillar 2 </w:t>
      </w:r>
      <w:r w:rsidR="00D33169">
        <w:t xml:space="preserve">on </w:t>
      </w:r>
      <w:r w:rsidR="00806675">
        <w:t>Empowerment of the Poor focused</w:t>
      </w:r>
      <w:r w:rsidR="00526252">
        <w:t xml:space="preserve"> on</w:t>
      </w:r>
      <w:r w:rsidR="00877283">
        <w:t xml:space="preserve"> enhancin</w:t>
      </w:r>
      <w:r w:rsidR="00A83D32">
        <w:t xml:space="preserve">g the quality and efficiency of </w:t>
      </w:r>
      <w:r w:rsidR="00877283">
        <w:t>socia</w:t>
      </w:r>
      <w:r w:rsidR="00A83D32">
        <w:t xml:space="preserve">l service provision to the poor </w:t>
      </w:r>
      <w:r w:rsidR="00526252">
        <w:t>and vulnerable</w:t>
      </w:r>
      <w:r w:rsidR="007E6280">
        <w:t>. The only minor difference</w:t>
      </w:r>
      <w:r w:rsidR="00F16C50">
        <w:t xml:space="preserve"> between the approach outlined in </w:t>
      </w:r>
      <w:r w:rsidR="00D33169">
        <w:t xml:space="preserve">the </w:t>
      </w:r>
      <w:r w:rsidR="00F16C50">
        <w:t xml:space="preserve">CAS and </w:t>
      </w:r>
      <w:r w:rsidR="00806675">
        <w:t xml:space="preserve">one </w:t>
      </w:r>
      <w:r w:rsidR="00D33169">
        <w:t xml:space="preserve">used </w:t>
      </w:r>
      <w:r w:rsidR="00F16C50">
        <w:t xml:space="preserve">by the project is that </w:t>
      </w:r>
      <w:r w:rsidR="00D33169">
        <w:t xml:space="preserve">the </w:t>
      </w:r>
      <w:r w:rsidR="00F16C50">
        <w:t>CAS focus</w:t>
      </w:r>
      <w:r w:rsidR="00806675">
        <w:t>ed</w:t>
      </w:r>
      <w:r w:rsidR="00F16C50">
        <w:t xml:space="preserve"> on improving service delivery</w:t>
      </w:r>
      <w:r w:rsidR="007E6280">
        <w:t xml:space="preserve"> through strengthening of the local government</w:t>
      </w:r>
      <w:r w:rsidR="00806675">
        <w:t xml:space="preserve"> and community driven interventions</w:t>
      </w:r>
      <w:r w:rsidR="007E6280">
        <w:t xml:space="preserve">, while the project </w:t>
      </w:r>
      <w:r w:rsidR="00806675">
        <w:t xml:space="preserve">aimed to </w:t>
      </w:r>
      <w:r w:rsidR="007E6280">
        <w:t>strength</w:t>
      </w:r>
      <w:r w:rsidR="00806675">
        <w:t>en</w:t>
      </w:r>
      <w:r w:rsidR="007E6280">
        <w:t xml:space="preserve"> non-govern</w:t>
      </w:r>
      <w:r w:rsidR="00806675">
        <w:t>mental organizations (NGOs) in parallel with building</w:t>
      </w:r>
      <w:r w:rsidR="008F010D">
        <w:t xml:space="preserve"> capacity of the </w:t>
      </w:r>
      <w:r w:rsidR="007E6280">
        <w:t xml:space="preserve">central government. </w:t>
      </w:r>
    </w:p>
    <w:p w14:paraId="1C6F0DA9" w14:textId="77777777" w:rsidR="006536FE" w:rsidRDefault="006536FE" w:rsidP="006536FE">
      <w:pPr>
        <w:pStyle w:val="ListParagraph"/>
      </w:pPr>
    </w:p>
    <w:p w14:paraId="6B6BBAD9" w14:textId="3ECFD0DA" w:rsidR="009C06C6" w:rsidRDefault="00F16C50" w:rsidP="00FA1488">
      <w:pPr>
        <w:pStyle w:val="ListParagraph"/>
        <w:numPr>
          <w:ilvl w:val="0"/>
          <w:numId w:val="34"/>
        </w:numPr>
        <w:ind w:left="0" w:firstLine="360"/>
        <w:jc w:val="both"/>
      </w:pPr>
      <w:r>
        <w:t xml:space="preserve">However, the strength of </w:t>
      </w:r>
      <w:r w:rsidR="00D33169">
        <w:t xml:space="preserve">the </w:t>
      </w:r>
      <w:r>
        <w:t>NGO sector in Bangladesh and its role as a partner of the Government in terms of service delivery is something that is acknowled</w:t>
      </w:r>
      <w:r w:rsidR="00007811">
        <w:t>ged not only by</w:t>
      </w:r>
      <w:r>
        <w:t xml:space="preserve"> </w:t>
      </w:r>
      <w:r w:rsidR="00D33169">
        <w:t xml:space="preserve">the </w:t>
      </w:r>
      <w:r>
        <w:t>CAS</w:t>
      </w:r>
      <w:r w:rsidR="0056494F">
        <w:rPr>
          <w:rStyle w:val="FootnoteReference"/>
        </w:rPr>
        <w:footnoteReference w:id="6"/>
      </w:r>
      <w:r w:rsidR="0049437D">
        <w:t xml:space="preserve"> of the World Bank</w:t>
      </w:r>
      <w:r w:rsidR="00007811">
        <w:t xml:space="preserve"> but also by</w:t>
      </w:r>
      <w:r>
        <w:t xml:space="preserve"> </w:t>
      </w:r>
      <w:r w:rsidR="00D33169">
        <w:t xml:space="preserve">the </w:t>
      </w:r>
      <w:r>
        <w:t>CAS prepared by th</w:t>
      </w:r>
      <w:r w:rsidR="008761B6">
        <w:t>e Asian Development Bank (ADB)</w:t>
      </w:r>
      <w:r w:rsidR="00E92372">
        <w:rPr>
          <w:rStyle w:val="FootnoteReference"/>
        </w:rPr>
        <w:footnoteReference w:id="7"/>
      </w:r>
      <w:r w:rsidR="00007811">
        <w:t>. Furthermore, while there was</w:t>
      </w:r>
      <w:r w:rsidR="00806675">
        <w:t xml:space="preserve"> no evidence that NGOs were effective at delivering services to persons with disability</w:t>
      </w:r>
      <w:r w:rsidR="00007811">
        <w:t xml:space="preserve"> in Bangladesh</w:t>
      </w:r>
      <w:r w:rsidR="00806675">
        <w:t xml:space="preserve">, in terms of addressing children at risk </w:t>
      </w:r>
      <w:r w:rsidR="006A5346">
        <w:t>by the time of appraisal</w:t>
      </w:r>
      <w:r w:rsidR="00D33169">
        <w:t>,</w:t>
      </w:r>
      <w:r w:rsidR="006A5346">
        <w:t xml:space="preserve"> UNICEF had</w:t>
      </w:r>
      <w:r w:rsidR="00806675">
        <w:t xml:space="preserve"> already had a successful collaboration with the Government of Bangladesh through PCAR (Protecting Children at</w:t>
      </w:r>
      <w:r w:rsidR="000962F3">
        <w:t xml:space="preserve"> Risk) Project, which utilized collaboration between GOB and NGOs for service delivery. </w:t>
      </w:r>
      <w:r w:rsidR="00514A3F">
        <w:t>The World Bank</w:t>
      </w:r>
      <w:r w:rsidR="0088246C">
        <w:t>’</w:t>
      </w:r>
      <w:r w:rsidR="00514A3F">
        <w:t>s success in supporting Palli Karma Sahayak Foundation</w:t>
      </w:r>
      <w:r w:rsidR="00D02354">
        <w:rPr>
          <w:rStyle w:val="FootnoteReference"/>
        </w:rPr>
        <w:footnoteReference w:id="8"/>
      </w:r>
      <w:r w:rsidR="00514A3F">
        <w:t xml:space="preserve"> (PKSF) </w:t>
      </w:r>
      <w:r w:rsidR="002E4731">
        <w:t>also provided</w:t>
      </w:r>
      <w:r w:rsidR="00CC6AD9">
        <w:t xml:space="preserve"> a good model for partnership</w:t>
      </w:r>
      <w:r w:rsidR="002E4731">
        <w:t xml:space="preserve"> between the government, NGOs and civil society. </w:t>
      </w:r>
      <w:r w:rsidR="008D10B2">
        <w:t>PKSF has implemented Bank projects on poverty alleviation and</w:t>
      </w:r>
      <w:r w:rsidR="0078530B">
        <w:t xml:space="preserve"> microfinance, livelihood restoration</w:t>
      </w:r>
      <w:r w:rsidR="004F2160">
        <w:t xml:space="preserve"> during disaster recovery etc. during 1990s and 2000s.</w:t>
      </w:r>
    </w:p>
    <w:p w14:paraId="60091F5D" w14:textId="128319B6" w:rsidR="00C67D43" w:rsidRDefault="00C67D43" w:rsidP="0092352B">
      <w:pPr>
        <w:pStyle w:val="Heading3"/>
        <w:numPr>
          <w:ilvl w:val="1"/>
          <w:numId w:val="45"/>
        </w:numPr>
      </w:pPr>
      <w:r>
        <w:t xml:space="preserve">Original Project Development Objectives (PDO) and Key Indicators </w:t>
      </w:r>
      <w:r w:rsidR="00E07BAC" w:rsidRPr="00B26B5F">
        <w:t>(</w:t>
      </w:r>
      <w:r w:rsidR="00E07BAC" w:rsidRPr="007A077F">
        <w:rPr>
          <w:b w:val="0"/>
          <w:i/>
        </w:rPr>
        <w:t>as approved</w:t>
      </w:r>
      <w:r w:rsidR="00E07BAC" w:rsidRPr="00B26B5F">
        <w:t>)</w:t>
      </w:r>
    </w:p>
    <w:p w14:paraId="5905153D" w14:textId="051F96E9" w:rsidR="00AF426B" w:rsidRPr="0092352B" w:rsidRDefault="00AF426B" w:rsidP="0092352B">
      <w:pPr>
        <w:pStyle w:val="ListParagraph"/>
        <w:numPr>
          <w:ilvl w:val="0"/>
          <w:numId w:val="34"/>
        </w:numPr>
        <w:ind w:left="0" w:firstLine="360"/>
        <w:jc w:val="both"/>
        <w:divId w:val="1039739519"/>
        <w:rPr>
          <w:rFonts w:eastAsia="Times New Roman"/>
        </w:rPr>
      </w:pPr>
      <w:bookmarkStart w:id="114" w:name="SEC62"/>
      <w:bookmarkStart w:id="115" w:name="PDO"/>
      <w:bookmarkEnd w:id="114"/>
      <w:bookmarkEnd w:id="115"/>
      <w:r w:rsidRPr="0092352B">
        <w:rPr>
          <w:rFonts w:eastAsia="Times New Roman"/>
        </w:rPr>
        <w:t xml:space="preserve">The objective of the Project </w:t>
      </w:r>
      <w:r w:rsidR="00D33169" w:rsidRPr="0092352B">
        <w:rPr>
          <w:rFonts w:eastAsia="Times New Roman"/>
        </w:rPr>
        <w:t xml:space="preserve">was </w:t>
      </w:r>
      <w:r w:rsidRPr="0092352B">
        <w:rPr>
          <w:rFonts w:eastAsia="Times New Roman"/>
        </w:rPr>
        <w:t>to expand the coverage, use, and quality of social care services for persons with disabilities and vulnerable children as a means of promoti</w:t>
      </w:r>
      <w:r w:rsidR="007F6668" w:rsidRPr="0092352B">
        <w:rPr>
          <w:rFonts w:eastAsia="Times New Roman"/>
        </w:rPr>
        <w:t>ng equity and social inclusion</w:t>
      </w:r>
      <w:r w:rsidR="00FC5085">
        <w:rPr>
          <w:rStyle w:val="FootnoteReference"/>
          <w:rFonts w:eastAsia="Times New Roman"/>
        </w:rPr>
        <w:footnoteReference w:id="9"/>
      </w:r>
      <w:r w:rsidR="007F6668" w:rsidRPr="0092352B">
        <w:rPr>
          <w:rFonts w:eastAsia="Times New Roman"/>
        </w:rPr>
        <w:t>.</w:t>
      </w:r>
    </w:p>
    <w:p w14:paraId="330CB8ED" w14:textId="77777777" w:rsidR="00C67D43" w:rsidRDefault="00C67D43" w:rsidP="00C67D43"/>
    <w:p w14:paraId="0A1F27EE" w14:textId="77777777" w:rsidR="001F2614" w:rsidRDefault="001F2614" w:rsidP="00C67D43">
      <w:pPr>
        <w:rPr>
          <w:b/>
          <w:i/>
        </w:rPr>
      </w:pPr>
      <w:r w:rsidRPr="001F2614">
        <w:rPr>
          <w:b/>
          <w:i/>
        </w:rPr>
        <w:t xml:space="preserve">Outcome Indicators: </w:t>
      </w:r>
    </w:p>
    <w:p w14:paraId="684B820B" w14:textId="77777777" w:rsidR="005F74D5" w:rsidRPr="005F74D5" w:rsidRDefault="005F74D5" w:rsidP="005F74D5">
      <w:pPr>
        <w:pStyle w:val="ListParagraph"/>
        <w:numPr>
          <w:ilvl w:val="0"/>
          <w:numId w:val="26"/>
        </w:numPr>
      </w:pPr>
      <w:r w:rsidRPr="005F74D5">
        <w:t>10% increase in the coverage of disabled population by JPUF</w:t>
      </w:r>
    </w:p>
    <w:p w14:paraId="33C8BCC2" w14:textId="77777777" w:rsidR="001F2614" w:rsidRDefault="005F74D5" w:rsidP="005F74D5">
      <w:pPr>
        <w:pStyle w:val="ListParagraph"/>
        <w:numPr>
          <w:ilvl w:val="0"/>
          <w:numId w:val="26"/>
        </w:numPr>
      </w:pPr>
      <w:r w:rsidRPr="005F74D5">
        <w:t>30% increase in early detection of disabilities and impairments</w:t>
      </w:r>
    </w:p>
    <w:p w14:paraId="36FE335F" w14:textId="77777777" w:rsidR="005F74D5" w:rsidRDefault="005F74D5" w:rsidP="005F74D5">
      <w:pPr>
        <w:pStyle w:val="ListParagraph"/>
        <w:numPr>
          <w:ilvl w:val="0"/>
          <w:numId w:val="26"/>
        </w:numPr>
      </w:pPr>
      <w:r w:rsidRPr="005F74D5">
        <w:t>10% increase of PWD in the workforce</w:t>
      </w:r>
    </w:p>
    <w:p w14:paraId="510595A2" w14:textId="77777777" w:rsidR="005F74D5" w:rsidRDefault="005F74D5" w:rsidP="005F74D5">
      <w:pPr>
        <w:pStyle w:val="ListParagraph"/>
        <w:numPr>
          <w:ilvl w:val="0"/>
          <w:numId w:val="26"/>
        </w:numPr>
      </w:pPr>
      <w:r w:rsidRPr="005F74D5">
        <w:t>30% of participating street children attend formal or non</w:t>
      </w:r>
      <w:r>
        <w:t>-</w:t>
      </w:r>
      <w:r w:rsidRPr="005F74D5">
        <w:t>formal education or training</w:t>
      </w:r>
    </w:p>
    <w:p w14:paraId="79F5F400" w14:textId="4314830C" w:rsidR="00C37A2B" w:rsidRDefault="00C67D43">
      <w:pPr>
        <w:pStyle w:val="Heading3"/>
      </w:pPr>
      <w:r>
        <w:t xml:space="preserve">1.3 Revised </w:t>
      </w:r>
      <w:r w:rsidR="00404E4D">
        <w:t>PDO</w:t>
      </w:r>
      <w:r w:rsidR="006D6ED3">
        <w:t xml:space="preserve"> </w:t>
      </w:r>
      <w:r w:rsidR="00E07BAC">
        <w:t>(as approved by original approving authority) and Key Indicators</w:t>
      </w:r>
      <w:r>
        <w:t>, and reasons/justificatio</w:t>
      </w:r>
      <w:r w:rsidR="005E26FA">
        <w:t>n</w:t>
      </w:r>
    </w:p>
    <w:p w14:paraId="7F66A360" w14:textId="38F36881" w:rsidR="004E0268" w:rsidRDefault="00CE7E4C" w:rsidP="004E0268">
      <w:pPr>
        <w:pStyle w:val="Heading3"/>
        <w:numPr>
          <w:ilvl w:val="0"/>
          <w:numId w:val="34"/>
        </w:numPr>
        <w:tabs>
          <w:tab w:val="left" w:pos="360"/>
        </w:tabs>
        <w:ind w:left="0" w:firstLine="360"/>
        <w:jc w:val="both"/>
        <w:rPr>
          <w:b w:val="0"/>
          <w:sz w:val="24"/>
          <w:szCs w:val="24"/>
        </w:rPr>
      </w:pPr>
      <w:r w:rsidRPr="00CE7E4C">
        <w:rPr>
          <w:b w:val="0"/>
          <w:sz w:val="24"/>
          <w:szCs w:val="24"/>
        </w:rPr>
        <w:t>The change of government in January 2009</w:t>
      </w:r>
      <w:r>
        <w:rPr>
          <w:b w:val="0"/>
          <w:sz w:val="24"/>
          <w:szCs w:val="24"/>
        </w:rPr>
        <w:t xml:space="preserve"> (following election in December 2008)</w:t>
      </w:r>
      <w:r w:rsidRPr="00CE7E4C">
        <w:rPr>
          <w:b w:val="0"/>
          <w:sz w:val="24"/>
          <w:szCs w:val="24"/>
        </w:rPr>
        <w:t xml:space="preserve"> resulted in a major shift in government’s stance on social welfare policy. In particular, in early 2009, the MoSW took a decision to significantly strengthen public social welfare institutions and service delivery systems and scale up publicly provided services</w:t>
      </w:r>
      <w:r w:rsidRPr="00CE7E4C">
        <w:rPr>
          <w:rStyle w:val="FootnoteReference"/>
          <w:b w:val="0"/>
          <w:sz w:val="24"/>
          <w:szCs w:val="24"/>
        </w:rPr>
        <w:footnoteReference w:id="10"/>
      </w:r>
      <w:r w:rsidRPr="00CE7E4C">
        <w:rPr>
          <w:b w:val="0"/>
          <w:sz w:val="24"/>
          <w:szCs w:val="24"/>
        </w:rPr>
        <w:t xml:space="preserve">. </w:t>
      </w:r>
      <w:r w:rsidR="00C37A2B" w:rsidRPr="00CE7E4C">
        <w:rPr>
          <w:b w:val="0"/>
          <w:sz w:val="24"/>
          <w:szCs w:val="24"/>
        </w:rPr>
        <w:t>As a result</w:t>
      </w:r>
      <w:r w:rsidR="007A18E1" w:rsidRPr="00CE7E4C">
        <w:rPr>
          <w:b w:val="0"/>
          <w:sz w:val="24"/>
          <w:szCs w:val="24"/>
        </w:rPr>
        <w:t>,</w:t>
      </w:r>
      <w:r w:rsidR="00C37A2B" w:rsidRPr="00CE7E4C">
        <w:rPr>
          <w:b w:val="0"/>
          <w:sz w:val="24"/>
          <w:szCs w:val="24"/>
        </w:rPr>
        <w:t xml:space="preserve"> the project went through a Level-1 restructuring with the change in the PDO and all</w:t>
      </w:r>
      <w:r w:rsidR="00C37A2B" w:rsidRPr="00010C31">
        <w:rPr>
          <w:b w:val="0"/>
          <w:sz w:val="24"/>
          <w:szCs w:val="24"/>
        </w:rPr>
        <w:t xml:space="preserve"> the PDO indicators in June 2011. The revised PDO read as: </w:t>
      </w:r>
    </w:p>
    <w:p w14:paraId="63B15979" w14:textId="1F969AE7" w:rsidR="007F6668" w:rsidRPr="004E0268" w:rsidRDefault="007F6668" w:rsidP="004E0268">
      <w:pPr>
        <w:pStyle w:val="Heading3"/>
        <w:tabs>
          <w:tab w:val="left" w:pos="360"/>
        </w:tabs>
        <w:jc w:val="both"/>
        <w:rPr>
          <w:b w:val="0"/>
          <w:sz w:val="24"/>
          <w:szCs w:val="24"/>
        </w:rPr>
      </w:pPr>
      <w:r w:rsidRPr="004E0268">
        <w:rPr>
          <w:b w:val="0"/>
          <w:sz w:val="24"/>
          <w:szCs w:val="24"/>
        </w:rPr>
        <w:t xml:space="preserve">“To expand coverage and improve quality of services for persons with disabilities and children at risk by strengthening and scaling up government service delivery systems.” </w:t>
      </w:r>
    </w:p>
    <w:p w14:paraId="25C2542B" w14:textId="77777777" w:rsidR="0031777A" w:rsidRDefault="0031777A" w:rsidP="00F12FCE">
      <w:pPr>
        <w:pStyle w:val="Heading3"/>
        <w:contextualSpacing/>
        <w:jc w:val="both"/>
        <w:rPr>
          <w:b w:val="0"/>
          <w:sz w:val="24"/>
          <w:szCs w:val="24"/>
        </w:rPr>
      </w:pPr>
    </w:p>
    <w:p w14:paraId="2B23CDF7" w14:textId="77777777" w:rsidR="0031777A" w:rsidRPr="0031777A" w:rsidRDefault="0031777A" w:rsidP="00F12FCE">
      <w:pPr>
        <w:pStyle w:val="Heading3"/>
        <w:contextualSpacing/>
        <w:jc w:val="both"/>
        <w:rPr>
          <w:i/>
          <w:sz w:val="24"/>
          <w:szCs w:val="24"/>
        </w:rPr>
      </w:pPr>
      <w:r w:rsidRPr="0031777A">
        <w:rPr>
          <w:i/>
          <w:sz w:val="24"/>
          <w:szCs w:val="24"/>
        </w:rPr>
        <w:t xml:space="preserve">Outcome Indicators: </w:t>
      </w:r>
    </w:p>
    <w:p w14:paraId="17A13621" w14:textId="1DCBF8D1" w:rsidR="00C67D43" w:rsidRDefault="0031777A" w:rsidP="00F12FCE">
      <w:pPr>
        <w:pStyle w:val="ListParagraph"/>
        <w:numPr>
          <w:ilvl w:val="0"/>
          <w:numId w:val="27"/>
        </w:numPr>
        <w:jc w:val="both"/>
      </w:pPr>
      <w:bookmarkStart w:id="116" w:name="SEC63"/>
      <w:bookmarkStart w:id="117" w:name="RPDO"/>
      <w:bookmarkEnd w:id="116"/>
      <w:bookmarkEnd w:id="117"/>
      <w:r w:rsidRPr="0031777A">
        <w:t>Increased number of persons with disability receiving services</w:t>
      </w:r>
    </w:p>
    <w:p w14:paraId="1EA648B6" w14:textId="77777777" w:rsidR="0031777A" w:rsidRDefault="0031777A" w:rsidP="00F12FCE">
      <w:pPr>
        <w:pStyle w:val="ListParagraph"/>
        <w:numPr>
          <w:ilvl w:val="0"/>
          <w:numId w:val="27"/>
        </w:numPr>
        <w:jc w:val="both"/>
      </w:pPr>
      <w:r w:rsidRPr="0031777A">
        <w:t>Increased percentage of beneficiaries report satisfaction with services received at disability service centers</w:t>
      </w:r>
    </w:p>
    <w:p w14:paraId="6C4034D9" w14:textId="77777777" w:rsidR="00EB0B63" w:rsidRDefault="00EB0B63" w:rsidP="00F12FCE">
      <w:pPr>
        <w:pStyle w:val="ListParagraph"/>
        <w:numPr>
          <w:ilvl w:val="0"/>
          <w:numId w:val="27"/>
        </w:numPr>
        <w:jc w:val="both"/>
      </w:pPr>
      <w:r w:rsidRPr="00EB0B63">
        <w:t>Increased number of children at risk receiving child protection services</w:t>
      </w:r>
    </w:p>
    <w:p w14:paraId="763854A7" w14:textId="77777777" w:rsidR="00EB0B63" w:rsidRDefault="00EB0B63" w:rsidP="00F12FCE">
      <w:pPr>
        <w:pStyle w:val="ListParagraph"/>
        <w:numPr>
          <w:ilvl w:val="0"/>
          <w:numId w:val="27"/>
        </w:numPr>
        <w:jc w:val="both"/>
      </w:pPr>
      <w:r w:rsidRPr="00EB0B63">
        <w:t xml:space="preserve">Performance of disability and </w:t>
      </w:r>
      <w:r w:rsidR="00391A6C">
        <w:t>children at risk (</w:t>
      </w:r>
      <w:r w:rsidRPr="00EB0B63">
        <w:t>CAR</w:t>
      </w:r>
      <w:r w:rsidR="00391A6C">
        <w:t>)</w:t>
      </w:r>
      <w:r w:rsidRPr="00EB0B63">
        <w:t xml:space="preserve"> programs </w:t>
      </w:r>
      <w:r w:rsidR="00DE1A14" w:rsidRPr="00EB0B63">
        <w:t>regularly</w:t>
      </w:r>
      <w:r w:rsidRPr="00EB0B63">
        <w:t xml:space="preserve"> monitored and reviewed</w:t>
      </w:r>
    </w:p>
    <w:p w14:paraId="6A147331" w14:textId="77777777" w:rsidR="00DE1A14" w:rsidRDefault="00DE1A14" w:rsidP="00F12FCE">
      <w:pPr>
        <w:pStyle w:val="ListParagraph"/>
        <w:numPr>
          <w:ilvl w:val="0"/>
          <w:numId w:val="27"/>
        </w:numPr>
        <w:jc w:val="both"/>
      </w:pPr>
      <w:r w:rsidRPr="00DE1A14">
        <w:t>Increased awareness and positive change in attitude towards PWD and CAR in communities where services provided</w:t>
      </w:r>
    </w:p>
    <w:p w14:paraId="2D9407A0" w14:textId="77777777" w:rsidR="00DE1A14" w:rsidRDefault="00DE1A14" w:rsidP="00DE1A14">
      <w:pPr>
        <w:pStyle w:val="ListParagraph"/>
      </w:pPr>
    </w:p>
    <w:p w14:paraId="2DC47F63" w14:textId="09BAFFD2" w:rsidR="00C37A2B" w:rsidRDefault="00B129DB" w:rsidP="00D53973">
      <w:pPr>
        <w:pStyle w:val="ListParagraph"/>
        <w:numPr>
          <w:ilvl w:val="0"/>
          <w:numId w:val="34"/>
        </w:numPr>
        <w:ind w:left="0" w:firstLine="360"/>
        <w:jc w:val="both"/>
      </w:pPr>
      <w:r>
        <w:t>T</w:t>
      </w:r>
      <w:r w:rsidR="00192D9A">
        <w:t xml:space="preserve">he subsequent restructurings in 2013 and 2015 </w:t>
      </w:r>
      <w:r w:rsidR="002D6B34">
        <w:t>did not change the PDO</w:t>
      </w:r>
      <w:r w:rsidR="00005191">
        <w:t>. Nonetheless, the restructuring of 2013</w:t>
      </w:r>
      <w:r w:rsidR="00BE3262">
        <w:t xml:space="preserve"> introduced revision</w:t>
      </w:r>
      <w:r w:rsidR="00656155">
        <w:t>s</w:t>
      </w:r>
      <w:r w:rsidR="00BE3262">
        <w:t xml:space="preserve"> </w:t>
      </w:r>
      <w:r w:rsidR="00656155">
        <w:t xml:space="preserve">of </w:t>
      </w:r>
      <w:r w:rsidR="00C37A2B">
        <w:t>key</w:t>
      </w:r>
      <w:r w:rsidR="00656155">
        <w:t xml:space="preserve"> performance</w:t>
      </w:r>
      <w:r w:rsidR="00C37A2B">
        <w:t xml:space="preserve"> indicator</w:t>
      </w:r>
      <w:r w:rsidR="007A18E1">
        <w:t xml:space="preserve">s which remained as such until </w:t>
      </w:r>
      <w:r w:rsidR="00BE3262">
        <w:t>project closing</w:t>
      </w:r>
      <w:r w:rsidR="00C53F76">
        <w:t xml:space="preserve"> in June</w:t>
      </w:r>
      <w:r w:rsidR="007A18E1">
        <w:t xml:space="preserve"> 2016</w:t>
      </w:r>
      <w:r w:rsidR="00C37A2B">
        <w:t xml:space="preserve">: </w:t>
      </w:r>
    </w:p>
    <w:p w14:paraId="0C55F0FF" w14:textId="0DF3EF88" w:rsidR="00C37A2B" w:rsidRDefault="00C37A2B" w:rsidP="00010C31">
      <w:pPr>
        <w:pStyle w:val="ListParagraph"/>
        <w:numPr>
          <w:ilvl w:val="0"/>
          <w:numId w:val="38"/>
        </w:numPr>
        <w:ind w:left="720"/>
        <w:jc w:val="both"/>
      </w:pPr>
      <w:r>
        <w:t>Number of persons with d</w:t>
      </w:r>
      <w:r w:rsidR="000C0C4A">
        <w:t>isabilities receiving services</w:t>
      </w:r>
    </w:p>
    <w:p w14:paraId="3C7A01C5" w14:textId="3F80141B" w:rsidR="00C37A2B" w:rsidRDefault="00C37A2B" w:rsidP="00010C31">
      <w:pPr>
        <w:pStyle w:val="ListParagraph"/>
        <w:numPr>
          <w:ilvl w:val="0"/>
          <w:numId w:val="38"/>
        </w:numPr>
        <w:ind w:left="720"/>
        <w:jc w:val="both"/>
      </w:pPr>
      <w:r>
        <w:t>Number of children at risk recei</w:t>
      </w:r>
      <w:r w:rsidR="000C0C4A">
        <w:t>ving child protection services</w:t>
      </w:r>
    </w:p>
    <w:p w14:paraId="66021E81" w14:textId="2F9024A1" w:rsidR="00C37A2B" w:rsidRDefault="00C37A2B" w:rsidP="00010C31">
      <w:pPr>
        <w:pStyle w:val="ListParagraph"/>
        <w:numPr>
          <w:ilvl w:val="0"/>
          <w:numId w:val="38"/>
        </w:numPr>
        <w:ind w:left="720"/>
        <w:jc w:val="both"/>
      </w:pPr>
      <w:r>
        <w:t>Share of beneficiaries that report satisfaction with services received at disability service centers</w:t>
      </w:r>
      <w:r w:rsidR="00B84042">
        <w:t xml:space="preserve"> (DSC)</w:t>
      </w:r>
    </w:p>
    <w:p w14:paraId="4AB4DE70" w14:textId="1131178A" w:rsidR="00C37A2B" w:rsidRDefault="00C37A2B" w:rsidP="00010C31">
      <w:pPr>
        <w:pStyle w:val="ListParagraph"/>
        <w:numPr>
          <w:ilvl w:val="0"/>
          <w:numId w:val="38"/>
        </w:numPr>
        <w:ind w:left="720"/>
        <w:jc w:val="both"/>
      </w:pPr>
      <w:r>
        <w:t>Share of persons reporting greater awareness on related issues in communities whe</w:t>
      </w:r>
      <w:r w:rsidR="000C0C4A">
        <w:t>re services have been provided</w:t>
      </w:r>
    </w:p>
    <w:p w14:paraId="69F839A0" w14:textId="516FBB7F" w:rsidR="00B84042" w:rsidRDefault="00B84042" w:rsidP="00010C31">
      <w:pPr>
        <w:pStyle w:val="ListParagraph"/>
        <w:numPr>
          <w:ilvl w:val="0"/>
          <w:numId w:val="38"/>
        </w:numPr>
        <w:ind w:left="720"/>
        <w:jc w:val="both"/>
      </w:pPr>
      <w:r>
        <w:t>Performance of disability and children at risk programs re</w:t>
      </w:r>
      <w:r w:rsidR="000C0C4A">
        <w:t>gularly monitored and reviewed</w:t>
      </w:r>
    </w:p>
    <w:p w14:paraId="72C79B9E" w14:textId="5496F378" w:rsidR="00B84042" w:rsidRDefault="00B84042" w:rsidP="00010C31">
      <w:pPr>
        <w:pStyle w:val="ListParagraph"/>
        <w:numPr>
          <w:ilvl w:val="0"/>
          <w:numId w:val="38"/>
        </w:numPr>
        <w:ind w:left="720"/>
        <w:jc w:val="both"/>
      </w:pPr>
      <w:r>
        <w:t>Share of DSC staff that attain a minimum score on a technical skills assessment</w:t>
      </w:r>
    </w:p>
    <w:p w14:paraId="407145FE" w14:textId="0A539D03" w:rsidR="00B84042" w:rsidRDefault="000C0C4A" w:rsidP="00010C31">
      <w:pPr>
        <w:pStyle w:val="ListParagraph"/>
        <w:numPr>
          <w:ilvl w:val="0"/>
          <w:numId w:val="38"/>
        </w:numPr>
        <w:ind w:left="720"/>
        <w:jc w:val="both"/>
      </w:pPr>
      <w:r>
        <w:t>Children at risk reintegrated</w:t>
      </w:r>
      <w:r w:rsidR="006E0EB9">
        <w:t>.</w:t>
      </w:r>
    </w:p>
    <w:p w14:paraId="59C835E5" w14:textId="40613A60" w:rsidR="00A6531D" w:rsidRDefault="00A6531D" w:rsidP="00010C31">
      <w:pPr>
        <w:pStyle w:val="ListParagraph"/>
        <w:numPr>
          <w:ilvl w:val="0"/>
          <w:numId w:val="38"/>
        </w:numPr>
        <w:ind w:left="720"/>
        <w:jc w:val="both"/>
      </w:pPr>
      <w:r>
        <w:t xml:space="preserve">Number of beneficiaries (core indicator) </w:t>
      </w:r>
    </w:p>
    <w:p w14:paraId="343A6C80" w14:textId="6D09407A" w:rsidR="00A6531D" w:rsidRDefault="00A6531D" w:rsidP="00010C31">
      <w:pPr>
        <w:pStyle w:val="ListParagraph"/>
        <w:numPr>
          <w:ilvl w:val="0"/>
          <w:numId w:val="38"/>
        </w:numPr>
        <w:ind w:left="720"/>
        <w:jc w:val="both"/>
      </w:pPr>
      <w:r>
        <w:t xml:space="preserve">Number of female beneficiaries (core indicator) </w:t>
      </w:r>
    </w:p>
    <w:p w14:paraId="5CD1CAA4" w14:textId="52746C51" w:rsidR="00C37A2B" w:rsidRDefault="00C37A2B" w:rsidP="00010C31">
      <w:pPr>
        <w:pStyle w:val="ListParagraph"/>
        <w:ind w:left="360"/>
        <w:jc w:val="both"/>
      </w:pPr>
    </w:p>
    <w:p w14:paraId="22F56363" w14:textId="60B839BA" w:rsidR="00D53973" w:rsidRDefault="00192D9A" w:rsidP="00D53973">
      <w:pPr>
        <w:pStyle w:val="ListParagraph"/>
        <w:numPr>
          <w:ilvl w:val="0"/>
          <w:numId w:val="34"/>
        </w:numPr>
        <w:ind w:left="0" w:firstLine="360"/>
        <w:jc w:val="both"/>
      </w:pPr>
      <w:r>
        <w:t xml:space="preserve">Detailed </w:t>
      </w:r>
      <w:r w:rsidR="00DE1A14">
        <w:t xml:space="preserve">key performance indicators are presented in the ICR Datasheet, above, and </w:t>
      </w:r>
      <w:r w:rsidR="007A18E1">
        <w:t xml:space="preserve">are </w:t>
      </w:r>
      <w:r w:rsidR="00DE1A14">
        <w:t>marked whether they were “original”, “</w:t>
      </w:r>
      <w:r w:rsidR="000B5298">
        <w:t>new” and/or “revised</w:t>
      </w:r>
      <w:r w:rsidR="00DE1A14" w:rsidRPr="00B95669">
        <w:t>”. Section 2.3</w:t>
      </w:r>
      <w:r w:rsidR="00DE1A14">
        <w:t xml:space="preserve"> on Monitoring and Evaluation below provides a detailed description </w:t>
      </w:r>
      <w:r w:rsidR="007A18E1">
        <w:t xml:space="preserve">and analysis </w:t>
      </w:r>
      <w:r w:rsidR="00DE1A14">
        <w:t xml:space="preserve">of the Results Framework, including the changes introduced during the project. </w:t>
      </w:r>
    </w:p>
    <w:p w14:paraId="3AF293C6" w14:textId="77777777" w:rsidR="00D53973" w:rsidRDefault="00D53973" w:rsidP="00D53973">
      <w:pPr>
        <w:pStyle w:val="ListParagraph"/>
        <w:ind w:left="360"/>
        <w:jc w:val="both"/>
      </w:pPr>
    </w:p>
    <w:p w14:paraId="53548A63" w14:textId="6D2C59C4" w:rsidR="00D53973" w:rsidRDefault="00C67D43">
      <w:pPr>
        <w:pStyle w:val="Heading3"/>
      </w:pPr>
      <w:r>
        <w:t>1.4 Ma</w:t>
      </w:r>
      <w:r w:rsidR="004C4F53">
        <w:t>in Beneficiaries</w:t>
      </w:r>
    </w:p>
    <w:p w14:paraId="597C9F46" w14:textId="77777777" w:rsidR="0041206B" w:rsidRDefault="0041206B">
      <w:pPr>
        <w:pStyle w:val="Heading3"/>
      </w:pPr>
    </w:p>
    <w:p w14:paraId="6D4DDA1E" w14:textId="00A38B86" w:rsidR="00D53973" w:rsidRDefault="00950D71" w:rsidP="005D235F">
      <w:pPr>
        <w:pStyle w:val="ListParagraph"/>
        <w:numPr>
          <w:ilvl w:val="0"/>
          <w:numId w:val="34"/>
        </w:numPr>
        <w:ind w:left="0" w:firstLine="360"/>
        <w:jc w:val="both"/>
      </w:pPr>
      <w:bookmarkStart w:id="118" w:name="SEC64"/>
      <w:bookmarkEnd w:id="118"/>
      <w:r>
        <w:t>T</w:t>
      </w:r>
      <w:r w:rsidR="005055B5">
        <w:t xml:space="preserve">he primary beneficiaries of DCAR were </w:t>
      </w:r>
      <w:r w:rsidR="007A18E1">
        <w:t xml:space="preserve">to be </w:t>
      </w:r>
      <w:r w:rsidR="005055B5">
        <w:t>persons with disabilities and children at risk</w:t>
      </w:r>
      <w:r w:rsidR="008B52AB">
        <w:rPr>
          <w:rStyle w:val="FootnoteReference"/>
        </w:rPr>
        <w:footnoteReference w:id="11"/>
      </w:r>
      <w:r w:rsidR="008B52AB">
        <w:t xml:space="preserve">. </w:t>
      </w:r>
      <w:r>
        <w:t>In</w:t>
      </w:r>
      <w:r w:rsidR="0041206B">
        <w:t xml:space="preserve">itially the project did not have a specific geographic focus. After the restructuring in 2011 </w:t>
      </w:r>
      <w:r>
        <w:t>c</w:t>
      </w:r>
      <w:r w:rsidR="00C54418">
        <w:t>h</w:t>
      </w:r>
      <w:r>
        <w:t xml:space="preserve">ildren at risk component was </w:t>
      </w:r>
      <w:r w:rsidR="007A18E1">
        <w:t xml:space="preserve">to be </w:t>
      </w:r>
      <w:r>
        <w:t xml:space="preserve">implemented in </w:t>
      </w:r>
      <w:r w:rsidR="0041206B">
        <w:t>seven</w:t>
      </w:r>
      <w:r w:rsidR="00207ACE">
        <w:t xml:space="preserve"> divisional cities. The restructuring of 2013 added four more centers expanding the reach to </w:t>
      </w:r>
      <w:r w:rsidR="00C54418">
        <w:t>eleven locations</w:t>
      </w:r>
      <w:r w:rsidR="00E726C8">
        <w:rPr>
          <w:rStyle w:val="FootnoteReference"/>
        </w:rPr>
        <w:footnoteReference w:id="12"/>
      </w:r>
      <w:r w:rsidR="00F37959">
        <w:t xml:space="preserve">. Similarly after restructuring in June 2011 the disability component was envisioned to complement government’s own efforts in establishment of DSCs and </w:t>
      </w:r>
      <w:r w:rsidR="00773532">
        <w:t xml:space="preserve">financed </w:t>
      </w:r>
      <w:r w:rsidR="004C41CC">
        <w:t xml:space="preserve">additional </w:t>
      </w:r>
      <w:r w:rsidR="00773532">
        <w:t xml:space="preserve">20 locations. During restructuring of </w:t>
      </w:r>
      <w:r w:rsidR="004C41CC">
        <w:t>2013 thirty</w:t>
      </w:r>
      <w:r w:rsidR="00A72BAE">
        <w:t xml:space="preserve"> more locations were added. As a result </w:t>
      </w:r>
      <w:r w:rsidR="00C54418">
        <w:t xml:space="preserve">the disability component was implemented </w:t>
      </w:r>
      <w:r w:rsidR="00446886">
        <w:t xml:space="preserve">in one-hundred and three locations (fifty of which were entirely financed by the Project, </w:t>
      </w:r>
      <w:r w:rsidR="006E0EB9">
        <w:t>and</w:t>
      </w:r>
      <w:r w:rsidR="00446886">
        <w:t xml:space="preserve"> the remainder benefitt</w:t>
      </w:r>
      <w:r w:rsidR="006E0EB9">
        <w:t>ed</w:t>
      </w:r>
      <w:r w:rsidR="00446886">
        <w:t xml:space="preserve"> from financing of specific costs such as equipment</w:t>
      </w:r>
      <w:r w:rsidR="00A72BAE">
        <w:t>, equipment upgrading</w:t>
      </w:r>
      <w:r w:rsidR="00446886">
        <w:t xml:space="preserve"> and training)</w:t>
      </w:r>
      <w:r w:rsidR="00446886">
        <w:rPr>
          <w:rStyle w:val="FootnoteReference"/>
        </w:rPr>
        <w:footnoteReference w:id="13"/>
      </w:r>
      <w:r w:rsidR="00C54418">
        <w:t xml:space="preserve">. </w:t>
      </w:r>
    </w:p>
    <w:p w14:paraId="5EB5AF27" w14:textId="77777777" w:rsidR="004C4F53" w:rsidRDefault="004C4F53" w:rsidP="001549B3">
      <w:pPr>
        <w:jc w:val="both"/>
      </w:pPr>
    </w:p>
    <w:p w14:paraId="07C98566" w14:textId="2937012F" w:rsidR="0087631B" w:rsidRDefault="00A72BAE" w:rsidP="00A72BAE">
      <w:pPr>
        <w:pStyle w:val="ListParagraph"/>
        <w:numPr>
          <w:ilvl w:val="0"/>
          <w:numId w:val="34"/>
        </w:numPr>
        <w:ind w:left="90" w:firstLine="270"/>
        <w:jc w:val="both"/>
      </w:pPr>
      <w:r>
        <w:t xml:space="preserve"> </w:t>
      </w:r>
      <w:r w:rsidRPr="00A72BAE">
        <w:t xml:space="preserve">JPUF and DSS, were meant to be secondary beneficiaries of the project. </w:t>
      </w:r>
      <w:r>
        <w:t>As initially designed t</w:t>
      </w:r>
      <w:r w:rsidR="004C5D7D">
        <w:t>he project</w:t>
      </w:r>
      <w:r w:rsidR="004C5D7D" w:rsidRPr="004C5D7D">
        <w:t xml:space="preserve"> </w:t>
      </w:r>
      <w:r w:rsidR="007A18E1">
        <w:t xml:space="preserve">was to </w:t>
      </w:r>
      <w:r w:rsidR="004C5D7D" w:rsidRPr="004C5D7D">
        <w:t>support institutional capacity strengthening through development of relevant guidelines, training of relevant staff at all levels</w:t>
      </w:r>
      <w:r w:rsidR="00093133">
        <w:t>,</w:t>
      </w:r>
      <w:r w:rsidR="004C5D7D" w:rsidRPr="004C5D7D">
        <w:t xml:space="preserve"> and development of MIS </w:t>
      </w:r>
      <w:r w:rsidR="00382EEB" w:rsidRPr="004C5D7D">
        <w:t xml:space="preserve">for </w:t>
      </w:r>
      <w:r w:rsidR="00382EEB">
        <w:t>implementing</w:t>
      </w:r>
      <w:r w:rsidR="00093133">
        <w:t xml:space="preserve"> </w:t>
      </w:r>
      <w:r w:rsidR="004C5D7D" w:rsidRPr="004C5D7D">
        <w:t>agencies.</w:t>
      </w:r>
      <w:r>
        <w:t xml:space="preserve"> This focus was not affected by the restructuring. In fact as restructured the focus on institutional capacity strengthening was even stronger, which is reflected in the revised PDO. </w:t>
      </w:r>
    </w:p>
    <w:p w14:paraId="361ED608" w14:textId="77777777" w:rsidR="00A72BAE" w:rsidRDefault="00A72BAE" w:rsidP="00A72BAE"/>
    <w:p w14:paraId="6EC9811D" w14:textId="3E0A474B" w:rsidR="001307F0" w:rsidRPr="0087631B" w:rsidRDefault="001307F0" w:rsidP="0087631B">
      <w:pPr>
        <w:pStyle w:val="ListParagraph"/>
        <w:numPr>
          <w:ilvl w:val="0"/>
          <w:numId w:val="34"/>
        </w:numPr>
        <w:ind w:left="0" w:firstLine="360"/>
        <w:jc w:val="both"/>
      </w:pPr>
      <w:r w:rsidRPr="0087631B">
        <w:t xml:space="preserve">Additionally, as the project was originally designed the NGOs through which the services were supposed to be delivered could also have been considered as secondary beneficiaries. </w:t>
      </w:r>
      <w:r w:rsidR="008B26AD">
        <w:t>Even though there was no</w:t>
      </w:r>
      <w:r w:rsidRPr="0087631B">
        <w:t xml:space="preserve"> direct capacity building </w:t>
      </w:r>
      <w:r w:rsidR="008B26AD">
        <w:t xml:space="preserve">intervention </w:t>
      </w:r>
      <w:r w:rsidRPr="0087631B">
        <w:t>for NGOs/DPOs as part of the project, it was envisioned to happen due to the NGOs/DPOs having to meet a rigorous set of criteria to receive funding from JPUF.</w:t>
      </w:r>
    </w:p>
    <w:p w14:paraId="1F8A0E07" w14:textId="77777777" w:rsidR="00C67D43" w:rsidRDefault="00C67D43">
      <w:pPr>
        <w:pStyle w:val="Heading3"/>
      </w:pPr>
      <w:r>
        <w:t>1.5 Original Components (</w:t>
      </w:r>
      <w:r w:rsidRPr="007A077F">
        <w:rPr>
          <w:b w:val="0"/>
          <w:i/>
        </w:rPr>
        <w:t>as approved</w:t>
      </w:r>
      <w:r>
        <w:t>)</w:t>
      </w:r>
    </w:p>
    <w:p w14:paraId="0E48F26B" w14:textId="77777777" w:rsidR="005D235F" w:rsidRDefault="005D235F" w:rsidP="00A66231">
      <w:pPr>
        <w:jc w:val="both"/>
        <w:rPr>
          <w:b/>
          <w:i/>
        </w:rPr>
      </w:pPr>
    </w:p>
    <w:p w14:paraId="1F88BE7A" w14:textId="7C6F6099" w:rsidR="00A66231" w:rsidRDefault="00656155" w:rsidP="005D235F">
      <w:pPr>
        <w:pStyle w:val="ListParagraph"/>
        <w:numPr>
          <w:ilvl w:val="0"/>
          <w:numId w:val="34"/>
        </w:numPr>
        <w:ind w:left="0" w:firstLine="360"/>
        <w:jc w:val="both"/>
      </w:pPr>
      <w:r>
        <w:rPr>
          <w:b/>
          <w:i/>
        </w:rPr>
        <w:t xml:space="preserve">Component 1: Expanding Disability Services, Improving Awareness, and Building Capacity </w:t>
      </w:r>
      <w:r w:rsidR="00A66231" w:rsidRPr="005D235F">
        <w:rPr>
          <w:b/>
          <w:i/>
        </w:rPr>
        <w:t>(total baseline estimated costs US$21.60 million):</w:t>
      </w:r>
      <w:r w:rsidR="00A66231">
        <w:t xml:space="preserve"> The objective</w:t>
      </w:r>
      <w:r w:rsidR="00FB03A6">
        <w:t xml:space="preserve"> of </w:t>
      </w:r>
      <w:r w:rsidR="00FF7BE4">
        <w:t xml:space="preserve">this component </w:t>
      </w:r>
      <w:r w:rsidR="00A66231">
        <w:t>was to expand disability services, improve awareness and build capacity of NGOs and government agencies serving the disab</w:t>
      </w:r>
      <w:r w:rsidR="00D417F9">
        <w:t>led. Sub-component 1(a) supported</w:t>
      </w:r>
      <w:r w:rsidR="00A66231">
        <w:t xml:space="preserve"> the restructuring, scaling up</w:t>
      </w:r>
      <w:r w:rsidR="004161D9">
        <w:t>,</w:t>
      </w:r>
      <w:r w:rsidR="00A66231">
        <w:t xml:space="preserve"> and capacity building of the JPUF to make it a center of excellence for contracting disability services, promote awareness building, research, monitoring and evaluation, and establishing good pract</w:t>
      </w:r>
      <w:r w:rsidR="00D417F9">
        <w:t>ices. Sub-component 1(b) provided financing for disability</w:t>
      </w:r>
      <w:r w:rsidR="00A66231">
        <w:t xml:space="preserve"> services </w:t>
      </w:r>
      <w:r w:rsidR="00E65F0B">
        <w:t>JPUF administered</w:t>
      </w:r>
      <w:r w:rsidR="00D417F9">
        <w:t xml:space="preserve"> </w:t>
      </w:r>
      <w:r w:rsidR="00E65F0B">
        <w:t>grants</w:t>
      </w:r>
      <w:r w:rsidR="00D417F9">
        <w:t xml:space="preserve"> to NGOs and Disabled People’s Organizations (DPOs)</w:t>
      </w:r>
      <w:r w:rsidR="00A66231">
        <w:t xml:space="preserve">. </w:t>
      </w:r>
    </w:p>
    <w:p w14:paraId="5C000C5C" w14:textId="77777777" w:rsidR="00A66231" w:rsidRDefault="00A66231" w:rsidP="00A66231">
      <w:pPr>
        <w:jc w:val="both"/>
      </w:pPr>
    </w:p>
    <w:p w14:paraId="08E70E8D" w14:textId="5C61F3FA" w:rsidR="00A66231" w:rsidRDefault="003D044C" w:rsidP="00746783">
      <w:pPr>
        <w:pStyle w:val="ListParagraph"/>
        <w:numPr>
          <w:ilvl w:val="0"/>
          <w:numId w:val="34"/>
        </w:numPr>
        <w:ind w:left="0" w:firstLine="360"/>
        <w:jc w:val="both"/>
      </w:pPr>
      <w:r>
        <w:rPr>
          <w:b/>
          <w:i/>
        </w:rPr>
        <w:t xml:space="preserve">Component 2: </w:t>
      </w:r>
      <w:r w:rsidR="008F516B">
        <w:rPr>
          <w:b/>
          <w:i/>
        </w:rPr>
        <w:t xml:space="preserve">Strengthening and Expanding the Network of Services for Children-at-Risk </w:t>
      </w:r>
      <w:r w:rsidR="00A66231" w:rsidRPr="004E2718">
        <w:rPr>
          <w:b/>
          <w:i/>
        </w:rPr>
        <w:t>(total baseline estimated costs US$9.14 million):</w:t>
      </w:r>
      <w:r w:rsidR="00A66231" w:rsidRPr="004E2718">
        <w:rPr>
          <w:b/>
        </w:rPr>
        <w:t xml:space="preserve"> </w:t>
      </w:r>
      <w:r w:rsidR="00CA543D">
        <w:t xml:space="preserve">The objective </w:t>
      </w:r>
      <w:r w:rsidR="00AA5FCE">
        <w:t xml:space="preserve">of </w:t>
      </w:r>
      <w:r w:rsidR="00FF7BE4">
        <w:t xml:space="preserve">this </w:t>
      </w:r>
      <w:r w:rsidR="00993BA4">
        <w:t>c</w:t>
      </w:r>
      <w:r w:rsidR="00AA5FCE">
        <w:t xml:space="preserve">omponent </w:t>
      </w:r>
      <w:r w:rsidR="00CA543D">
        <w:t>was</w:t>
      </w:r>
      <w:r w:rsidR="00A66231">
        <w:t xml:space="preserve"> to strengthen and expand the network of services for children-at-risk. Activities under sub-component 2(a) focus</w:t>
      </w:r>
      <w:r w:rsidR="00CA543D">
        <w:t>ed</w:t>
      </w:r>
      <w:r w:rsidR="00A66231">
        <w:t xml:space="preserve"> on</w:t>
      </w:r>
      <w:r w:rsidR="00CA543D">
        <w:t xml:space="preserve"> institutional and capacity building of DSS and included but were not limited to development of standards for care service provision, development of “case-management” tool and training of personnel</w:t>
      </w:r>
      <w:r w:rsidR="00A66231">
        <w:t>. Sub-component 2(b) provide</w:t>
      </w:r>
      <w:r w:rsidR="00CA543D">
        <w:t>d</w:t>
      </w:r>
      <w:r w:rsidR="00A66231">
        <w:t xml:space="preserve"> rehabilitation and integration services for street children by supporting NGO-run centers for street children in eleven locations</w:t>
      </w:r>
      <w:r w:rsidR="00FF7BE4">
        <w:t>,</w:t>
      </w:r>
      <w:r w:rsidR="008F516B">
        <w:t xml:space="preserve"> t</w:t>
      </w:r>
      <w:r w:rsidR="00FF7BE4">
        <w:t>h</w:t>
      </w:r>
      <w:r w:rsidR="00CA543D">
        <w:t>us effectiv</w:t>
      </w:r>
      <w:r w:rsidR="00527B50">
        <w:t>ely supporting expansion of PCAR from six to eleven locations and broadening the scope of services provided. Sub-component 2(c) supported</w:t>
      </w:r>
      <w:r w:rsidR="00A66231">
        <w:t xml:space="preserve"> the design, development and piloting of alternative approaches to institutional care for orphans by contracting NGOs as service providers. </w:t>
      </w:r>
      <w:r w:rsidR="00591DBC">
        <w:t>Lastly, sub-component 2(d) supported</w:t>
      </w:r>
      <w:r w:rsidR="00A66231">
        <w:t xml:space="preserve"> the management and operational costs of the projects. </w:t>
      </w:r>
    </w:p>
    <w:p w14:paraId="2325E4A2" w14:textId="77777777" w:rsidR="00A66231" w:rsidRDefault="00A66231" w:rsidP="00A66231">
      <w:pPr>
        <w:jc w:val="both"/>
      </w:pPr>
    </w:p>
    <w:p w14:paraId="7FC0D12C" w14:textId="4B699B28" w:rsidR="00A66231" w:rsidRDefault="00A66231" w:rsidP="00746783">
      <w:pPr>
        <w:pStyle w:val="ListParagraph"/>
        <w:numPr>
          <w:ilvl w:val="0"/>
          <w:numId w:val="34"/>
        </w:numPr>
        <w:ind w:left="0" w:firstLine="360"/>
        <w:jc w:val="both"/>
      </w:pPr>
      <w:r w:rsidRPr="00685E6A">
        <w:rPr>
          <w:b/>
          <w:i/>
        </w:rPr>
        <w:t>Component 3</w:t>
      </w:r>
      <w:r w:rsidR="0068595C">
        <w:rPr>
          <w:b/>
          <w:i/>
        </w:rPr>
        <w:t>:</w:t>
      </w:r>
      <w:r w:rsidRPr="00685E6A">
        <w:rPr>
          <w:b/>
          <w:i/>
        </w:rPr>
        <w:t xml:space="preserve"> </w:t>
      </w:r>
      <w:r w:rsidR="008F516B">
        <w:rPr>
          <w:b/>
          <w:i/>
        </w:rPr>
        <w:t xml:space="preserve">Institutional Strengthening of the Ministry of Social Welfare and Department of Social Services </w:t>
      </w:r>
      <w:r w:rsidRPr="00685E6A">
        <w:rPr>
          <w:b/>
          <w:i/>
        </w:rPr>
        <w:t>(total baseline estimated costs US$2.75 million):</w:t>
      </w:r>
      <w:r w:rsidR="00D14DDC">
        <w:t xml:space="preserve"> The objective of </w:t>
      </w:r>
      <w:r w:rsidR="00FF7BE4">
        <w:t>this c</w:t>
      </w:r>
      <w:r w:rsidR="00D14DDC">
        <w:t>omponent was</w:t>
      </w:r>
      <w:r>
        <w:t xml:space="preserve"> the institutional strengthening, training and capacity building of the MoSW and DSS for policy formulation, program planning, implementation, monitoring and evaluation by supporting: (i) the revision of the associated legal framework for persons with disabilities, child protection and other socially disadvantaged populations to bring local laws and regulations in conformity with the UN conventions on Disability and Child Rights; (ii) streamlining the organizational structure and procedures of DSS; (iii) training DSS personnel and other service providers on proactive social services; (iv) technical assistance and provisions of required hardware and software for</w:t>
      </w:r>
      <w:r w:rsidR="00B95669">
        <w:t xml:space="preserve"> monitoring and evaluation of MO</w:t>
      </w:r>
      <w:r>
        <w:t xml:space="preserve">SW and DSS services and programs. </w:t>
      </w:r>
    </w:p>
    <w:p w14:paraId="6FAA48AB" w14:textId="77777777" w:rsidR="0016149D" w:rsidRPr="00680241" w:rsidRDefault="00C67D43" w:rsidP="0016149D">
      <w:pPr>
        <w:pStyle w:val="Heading3"/>
      </w:pPr>
      <w:bookmarkStart w:id="119" w:name="SEC65"/>
      <w:bookmarkEnd w:id="119"/>
      <w:r w:rsidRPr="00680241">
        <w:t>1.6 Revised Components</w:t>
      </w:r>
      <w:bookmarkStart w:id="120" w:name="SEC66"/>
      <w:bookmarkEnd w:id="120"/>
    </w:p>
    <w:p w14:paraId="72B2CAF1" w14:textId="77777777" w:rsidR="0016149D" w:rsidRDefault="0016149D" w:rsidP="00F30B30">
      <w:pPr>
        <w:jc w:val="both"/>
      </w:pPr>
    </w:p>
    <w:p w14:paraId="3F240F06" w14:textId="396C06C1" w:rsidR="00497FCF" w:rsidRDefault="008565D9" w:rsidP="00537251">
      <w:pPr>
        <w:pStyle w:val="ListParagraph"/>
        <w:numPr>
          <w:ilvl w:val="0"/>
          <w:numId w:val="34"/>
        </w:numPr>
        <w:ind w:left="0" w:firstLine="360"/>
        <w:jc w:val="both"/>
      </w:pPr>
      <w:r w:rsidRPr="008565D9">
        <w:t xml:space="preserve">As </w:t>
      </w:r>
      <w:r>
        <w:t xml:space="preserve">mentioned </w:t>
      </w:r>
      <w:r w:rsidRPr="00B95669">
        <w:t xml:space="preserve">in </w:t>
      </w:r>
      <w:r w:rsidR="00FF7BE4" w:rsidRPr="00B95669">
        <w:t>S</w:t>
      </w:r>
      <w:r w:rsidRPr="00B95669">
        <w:t>ection 1.3</w:t>
      </w:r>
      <w:r>
        <w:t xml:space="preserve"> </w:t>
      </w:r>
      <w:r w:rsidR="00FF7BE4">
        <w:t xml:space="preserve">above, </w:t>
      </w:r>
      <w:r>
        <w:t xml:space="preserve">the </w:t>
      </w:r>
      <w:r w:rsidR="00CA00BF">
        <w:t>change of government in</w:t>
      </w:r>
      <w:r w:rsidR="000339B2">
        <w:t xml:space="preserve"> January</w:t>
      </w:r>
      <w:r w:rsidR="00CA00BF">
        <w:t xml:space="preserve"> 2009 resulted in a major shift in government’s </w:t>
      </w:r>
      <w:r w:rsidR="00497FCF">
        <w:t xml:space="preserve">stance on </w:t>
      </w:r>
      <w:r w:rsidR="00CA00BF">
        <w:t>social welfare policy</w:t>
      </w:r>
      <w:r>
        <w:t xml:space="preserve">. </w:t>
      </w:r>
      <w:r w:rsidR="00497FCF">
        <w:t xml:space="preserve">Furthermore, the Government reassessed the institutional status of JPUF (implementing agency for Component 1) and began the process of reverting it to a Government agency with the appointment of a civil servant as the Managing Director. </w:t>
      </w:r>
    </w:p>
    <w:p w14:paraId="1603D762" w14:textId="77777777" w:rsidR="008B26AD" w:rsidRDefault="008B26AD" w:rsidP="008B26AD">
      <w:pPr>
        <w:pStyle w:val="ListParagraph"/>
        <w:ind w:left="360"/>
        <w:jc w:val="both"/>
      </w:pPr>
    </w:p>
    <w:p w14:paraId="50208572" w14:textId="3DDD4675" w:rsidR="0016149D" w:rsidRDefault="00497FCF" w:rsidP="008B26AD">
      <w:pPr>
        <w:pStyle w:val="ListParagraph"/>
        <w:numPr>
          <w:ilvl w:val="0"/>
          <w:numId w:val="34"/>
        </w:numPr>
        <w:ind w:left="0" w:firstLine="360"/>
        <w:jc w:val="both"/>
      </w:pPr>
      <w:r>
        <w:t>Consequently</w:t>
      </w:r>
      <w:r w:rsidR="00537251">
        <w:t xml:space="preserve"> </w:t>
      </w:r>
      <w:r w:rsidR="005E5FC4">
        <w:t xml:space="preserve">to ensure alignment with new government priorities </w:t>
      </w:r>
      <w:r w:rsidR="00537251">
        <w:t xml:space="preserve">the project </w:t>
      </w:r>
      <w:r w:rsidR="008565D9" w:rsidRPr="008565D9">
        <w:t>went through a Level-1 restructuring in June 2011</w:t>
      </w:r>
      <w:r w:rsidR="008B26AD">
        <w:t xml:space="preserve">, which also contained a </w:t>
      </w:r>
      <w:r w:rsidR="008B26AD" w:rsidRPr="008B26AD">
        <w:t xml:space="preserve">significant change in implementation arrangements, wherein </w:t>
      </w:r>
      <w:r w:rsidR="008B26AD">
        <w:t xml:space="preserve">it was decided </w:t>
      </w:r>
      <w:r w:rsidR="008B26AD" w:rsidRPr="008B26AD">
        <w:t>the project would deliver services to the intended beneficiaries through the government’s own staffing rather than an NGO</w:t>
      </w:r>
      <w:r w:rsidR="008B26AD">
        <w:t xml:space="preserve"> led model as originally envisioned. </w:t>
      </w:r>
      <w:r w:rsidR="0016149D">
        <w:t>During</w:t>
      </w:r>
      <w:r w:rsidR="00D87A44">
        <w:t xml:space="preserve"> this restructuring</w:t>
      </w:r>
      <w:r w:rsidR="0016149D">
        <w:t xml:space="preserve"> the </w:t>
      </w:r>
      <w:r w:rsidR="00FF7BE4">
        <w:t xml:space="preserve">number of </w:t>
      </w:r>
      <w:r w:rsidR="0016149D">
        <w:t xml:space="preserve">components </w:t>
      </w:r>
      <w:r w:rsidR="00FF7BE4">
        <w:t xml:space="preserve">remained the same but their focus and activities </w:t>
      </w:r>
      <w:r w:rsidR="0016149D">
        <w:t xml:space="preserve">were changed </w:t>
      </w:r>
      <w:r w:rsidR="00FF7BE4">
        <w:t>as follows</w:t>
      </w:r>
      <w:r w:rsidR="0016149D">
        <w:t xml:space="preserve">: </w:t>
      </w:r>
    </w:p>
    <w:p w14:paraId="0AAC5709" w14:textId="77777777" w:rsidR="00EB6CDC" w:rsidRDefault="00EB6CDC" w:rsidP="00EB6CDC">
      <w:pPr>
        <w:pStyle w:val="ListParagraph"/>
        <w:jc w:val="both"/>
      </w:pPr>
    </w:p>
    <w:p w14:paraId="1093A7F9" w14:textId="717D59E3" w:rsidR="0016149D" w:rsidRDefault="00EB6CDC" w:rsidP="00030D96">
      <w:pPr>
        <w:pStyle w:val="ListParagraph"/>
        <w:numPr>
          <w:ilvl w:val="0"/>
          <w:numId w:val="34"/>
        </w:numPr>
        <w:ind w:left="0" w:firstLine="360"/>
        <w:jc w:val="both"/>
      </w:pPr>
      <w:r w:rsidRPr="00EB6CDC">
        <w:rPr>
          <w:b/>
          <w:i/>
        </w:rPr>
        <w:t>Component 1: Institutional Strengthening, Expanding Disability Services, Improving Awareness, and Building Capacity (total estimated cost US$22 million):</w:t>
      </w:r>
      <w:r>
        <w:t xml:space="preserve"> The objective of this component was to strengthen the capacity of JPUF to formulate and implement disability policies and programs, increase the coverage and quality of disability services and programs, and build public awareness on the rights of persons with disability in Bangladesh.  Sub-Component 1(a) focused on expansion of integrated services and support for inclusion of persons with disabilities. Activities under this sub-component included: (i) strengthening and scaling up of government programs and interventions through the addition of 20 new Disability Service Centers (DSCs) to the 15 existing centers and the provision of 20 fully-equipped mobile vans for outreach services;  (ii) contracting services from non-governmental service providers to reach persons with disability specifically in under-served geographical/service areas in order to complement government service delivery; (iii) design of a national disability certification and determination process through the development of relevant guidelines and tools; (iv) provision </w:t>
      </w:r>
      <w:r w:rsidR="004C0DE8">
        <w:t xml:space="preserve">of </w:t>
      </w:r>
      <w:r>
        <w:t>schooling materials such as Braille textbooks, assistive devices such as spectacles and hearing aids, and mobile ramps for cyclone shelters; and (v) design and implementation of public education and information campaigns on disability issues, including the development of awareness materials.</w:t>
      </w:r>
      <w:r w:rsidR="0027505C">
        <w:t xml:space="preserve"> </w:t>
      </w:r>
      <w:r w:rsidR="0027505C" w:rsidRPr="0027505C">
        <w:t>Sub-component 1(b) supported institutional strengthening of the JPUF. Activities under this sub-component included:  (i) a needs assessment to inform program development and action plan formulation for disability services and programs; (ii) development of detailed operational guidelines and standards of service for persons with disabilities; (iii) introduction of a system to monitor and assess JPUF progress and performance with an integrated MIS; (iv) training of disability service providers such as therapists, health workers, and school teachers; (v) training and c</w:t>
      </w:r>
      <w:r w:rsidR="00590BBC">
        <w:t>apacity building  of JPUF and MO</w:t>
      </w:r>
      <w:r w:rsidR="0027505C" w:rsidRPr="0027505C">
        <w:t>SW staff at union, upazilla, district and national levels on disability issues; (vi) performance assessment of performance of JPUF programs and services; and (vii) provision of fiduciary and technical staff to support project implementation and associated operating costs.</w:t>
      </w:r>
    </w:p>
    <w:p w14:paraId="0B9FBBAD" w14:textId="77777777" w:rsidR="00B331E6" w:rsidRDefault="00B331E6" w:rsidP="00B331E6">
      <w:pPr>
        <w:pStyle w:val="ListParagraph"/>
        <w:ind w:left="360"/>
        <w:jc w:val="both"/>
      </w:pPr>
    </w:p>
    <w:p w14:paraId="09EF8284" w14:textId="3BD2FF9E" w:rsidR="00C30F37" w:rsidRDefault="005A18A7" w:rsidP="00885ED5">
      <w:pPr>
        <w:pStyle w:val="ListParagraph"/>
        <w:numPr>
          <w:ilvl w:val="0"/>
          <w:numId w:val="34"/>
        </w:numPr>
        <w:ind w:left="0" w:firstLine="360"/>
        <w:jc w:val="both"/>
      </w:pPr>
      <w:r w:rsidRPr="00C30F37">
        <w:rPr>
          <w:b/>
          <w:i/>
        </w:rPr>
        <w:t xml:space="preserve">Component 2: Strengthening and Expanding the Network of Services for Children at Risk and Strengthening Department of Social Services (DSS) (total estimated cost US$10.5 million): </w:t>
      </w:r>
      <w:r>
        <w:t>The o</w:t>
      </w:r>
      <w:r w:rsidR="00FC3478">
        <w:t xml:space="preserve">bjective of this component was </w:t>
      </w:r>
      <w:r>
        <w:t>to improve and expand the network of services for children at risk and strengthen the institutional capacity of DSS.  Sub-component 2(a) focused on strengthening of services for children at risk. Activities under this component included: (i) support of  Integrated Child Protection Service Centers</w:t>
      </w:r>
      <w:r w:rsidR="00503D31">
        <w:t xml:space="preserve"> (ICPSCs) </w:t>
      </w:r>
      <w:r>
        <w:t xml:space="preserve"> in 7 divisional cities; (ii) contract of service provision from non-government service providers to expand services specifically in under-served geographical or service areas for children at risk to complement government service delivery; (iii) a needs assessment to inform program development and action plans for children-at-risk services and programs; (iv) development of  detailed operational guidelines and standards of services for children-at-risk; and (v) design and implementation of  public education and information campaigns on child protection issues including the development of awareness materials. Sub-component 2(b) was targeted towards project implementation support and included activities such as: (i) design and implementation of a system to monitor and assess DSS progress and performance, including an MIS; (ii) performance evaluation of programs and services for children at risk; and (iii) provision of fiduciary and technical staff to support project implementation and associated operating costs.</w:t>
      </w:r>
    </w:p>
    <w:p w14:paraId="4B89D98C" w14:textId="77777777" w:rsidR="00CA00BF" w:rsidRDefault="00CA00BF" w:rsidP="00010C31">
      <w:pPr>
        <w:pStyle w:val="ListParagraph"/>
        <w:ind w:left="360"/>
        <w:jc w:val="both"/>
      </w:pPr>
    </w:p>
    <w:p w14:paraId="2361C700" w14:textId="0E1B6753" w:rsidR="00236F93" w:rsidRDefault="00CA00BF" w:rsidP="00010C31">
      <w:pPr>
        <w:pStyle w:val="ListParagraph"/>
        <w:numPr>
          <w:ilvl w:val="0"/>
          <w:numId w:val="34"/>
        </w:numPr>
        <w:ind w:left="0" w:firstLine="360"/>
        <w:jc w:val="both"/>
      </w:pPr>
      <w:r w:rsidRPr="00010C31">
        <w:rPr>
          <w:b/>
          <w:i/>
        </w:rPr>
        <w:t>Component 3: Institutional Strengthening o</w:t>
      </w:r>
      <w:r w:rsidR="00590BBC">
        <w:rPr>
          <w:b/>
          <w:i/>
        </w:rPr>
        <w:t>f Ministry of Social Welfare (MO</w:t>
      </w:r>
      <w:r w:rsidRPr="00010C31">
        <w:rPr>
          <w:b/>
          <w:i/>
        </w:rPr>
        <w:t>SW) to Mainstream Disability and Children at Risk Issues (total estimated cost US$2.5 million):</w:t>
      </w:r>
      <w:r w:rsidRPr="00CA00BF">
        <w:t xml:space="preserve"> The objective of this component was to strengthen </w:t>
      </w:r>
      <w:r w:rsidR="00590BBC">
        <w:t>the institutional capacity of MO</w:t>
      </w:r>
      <w:r w:rsidRPr="00CA00BF">
        <w:t>SW and enhance project impacts by promoting and mainstreaming disability and children at risk issues within the institutions that deal with social welfare concerns more broadly. This component supported the following activities: (i) strengthening of the National Social Service Academy (NSSA) on disability and child protection issu</w:t>
      </w:r>
      <w:r w:rsidR="00590BBC">
        <w:t>es; (ii) building capacity of MO</w:t>
      </w:r>
      <w:r w:rsidRPr="00CA00BF">
        <w:t>SW personnel through training and exposure through group study tours; (iii) training and building capacity of staff at the local levels (i.e. union, upazilla and district social workers); (iv) development and implementation of an MIS for MoSW integrated with the DSS and JPUF MIS systems (including hardware, software, training, communication technology); and (v) an evaluation to assess overall project performance and impact.</w:t>
      </w:r>
    </w:p>
    <w:p w14:paraId="446EAAF0" w14:textId="77777777" w:rsidR="00C30F37" w:rsidRDefault="00C30F37" w:rsidP="00C30F37">
      <w:pPr>
        <w:pStyle w:val="ListParagraph"/>
        <w:ind w:left="360"/>
        <w:jc w:val="both"/>
      </w:pPr>
    </w:p>
    <w:p w14:paraId="64A0A0BD" w14:textId="14B57E2D" w:rsidR="006A3BCA" w:rsidRDefault="006A3BCA" w:rsidP="00885ED5">
      <w:pPr>
        <w:pStyle w:val="ListParagraph"/>
        <w:numPr>
          <w:ilvl w:val="0"/>
          <w:numId w:val="34"/>
        </w:numPr>
        <w:ind w:left="0" w:firstLine="360"/>
        <w:jc w:val="both"/>
      </w:pPr>
      <w:r>
        <w:t>Subsequently in Dec</w:t>
      </w:r>
      <w:r w:rsidR="002F3061">
        <w:t xml:space="preserve">ember 31, 2013 </w:t>
      </w:r>
      <w:r w:rsidR="00D17CEC">
        <w:t xml:space="preserve">the project </w:t>
      </w:r>
      <w:r w:rsidR="002F3061">
        <w:t>was restructured</w:t>
      </w:r>
      <w:r w:rsidR="00D17CEC">
        <w:t xml:space="preserve"> even further</w:t>
      </w:r>
      <w:r w:rsidR="002F3061">
        <w:t xml:space="preserve"> to ensure </w:t>
      </w:r>
      <w:r w:rsidR="00210F24">
        <w:t xml:space="preserve">undivided </w:t>
      </w:r>
      <w:r w:rsidR="002F3061">
        <w:t>focus on the key activities</w:t>
      </w:r>
      <w:r w:rsidR="004E11F0">
        <w:t xml:space="preserve"> as agreed with GOB</w:t>
      </w:r>
      <w:r w:rsidR="00517873">
        <w:t xml:space="preserve">. </w:t>
      </w:r>
      <w:r w:rsidR="00446886">
        <w:t>This restructuring also entailed a partial cancellation of US</w:t>
      </w:r>
      <w:r w:rsidR="00265DC2">
        <w:t>$</w:t>
      </w:r>
      <w:r w:rsidR="00446886">
        <w:t xml:space="preserve">8.8 million. </w:t>
      </w:r>
      <w:r w:rsidR="00500882">
        <w:t>Additionally</w:t>
      </w:r>
      <w:r w:rsidR="00265DC2">
        <w:t>,</w:t>
      </w:r>
      <w:r w:rsidR="00500882">
        <w:t xml:space="preserve"> activities from Component 3 were merged into Component 2</w:t>
      </w:r>
      <w:r w:rsidR="00265DC2">
        <w:t xml:space="preserve"> as part of simplification and consolidation of project activities</w:t>
      </w:r>
      <w:r w:rsidR="00500882">
        <w:t xml:space="preserve">. The resulting components were as follows: </w:t>
      </w:r>
    </w:p>
    <w:p w14:paraId="01434D8D" w14:textId="77777777" w:rsidR="00500882" w:rsidRDefault="00500882" w:rsidP="00500882">
      <w:pPr>
        <w:pStyle w:val="ListParagraph"/>
      </w:pPr>
    </w:p>
    <w:p w14:paraId="0E02DA5D" w14:textId="333EE0AD" w:rsidR="00822AE6" w:rsidRDefault="00822AE6" w:rsidP="009673EE">
      <w:pPr>
        <w:pStyle w:val="ListParagraph"/>
        <w:numPr>
          <w:ilvl w:val="0"/>
          <w:numId w:val="34"/>
        </w:numPr>
        <w:ind w:left="0" w:firstLine="360"/>
        <w:jc w:val="both"/>
      </w:pPr>
      <w:r w:rsidRPr="009673EE">
        <w:rPr>
          <w:b/>
          <w:i/>
        </w:rPr>
        <w:t>Component 1: Institutional Strengthening, Expanding Disability Services, Improving Awareness, and Building Capacity, renamed as Strengthening Disability Services</w:t>
      </w:r>
      <w:r w:rsidR="00572B94">
        <w:rPr>
          <w:b/>
          <w:i/>
        </w:rPr>
        <w:t xml:space="preserve"> (US$16.2 million)</w:t>
      </w:r>
      <w:r w:rsidRPr="009673EE">
        <w:rPr>
          <w:b/>
          <w:i/>
        </w:rPr>
        <w:t>.</w:t>
      </w:r>
      <w:r>
        <w:t xml:space="preserve"> This component supported establishing </w:t>
      </w:r>
      <w:r w:rsidR="00265DC2">
        <w:t xml:space="preserve">an estimated </w:t>
      </w:r>
      <w:r>
        <w:t xml:space="preserve">30 additional disability service centers (DSCs) at the sub-district level and providing additional mobile therapy vans, as well as upgrading equipment in all (Government and World Bank funded) DSCs. </w:t>
      </w:r>
    </w:p>
    <w:p w14:paraId="2BEE2871" w14:textId="77777777" w:rsidR="009673EE" w:rsidRDefault="009673EE" w:rsidP="00010C31">
      <w:pPr>
        <w:jc w:val="both"/>
      </w:pPr>
    </w:p>
    <w:p w14:paraId="6A924683" w14:textId="0E3E25CA" w:rsidR="00500882" w:rsidRDefault="00822AE6" w:rsidP="009558DD">
      <w:pPr>
        <w:pStyle w:val="ListParagraph"/>
        <w:numPr>
          <w:ilvl w:val="0"/>
          <w:numId w:val="34"/>
        </w:numPr>
        <w:ind w:left="0" w:firstLine="360"/>
        <w:jc w:val="both"/>
      </w:pPr>
      <w:r w:rsidRPr="009673EE">
        <w:rPr>
          <w:b/>
          <w:i/>
        </w:rPr>
        <w:t>Component 2: Strengthening Children-At-Risk Services and Social Welfare Program Administration</w:t>
      </w:r>
      <w:r w:rsidR="00572B94">
        <w:rPr>
          <w:b/>
          <w:i/>
        </w:rPr>
        <w:t xml:space="preserve"> (US$10.0</w:t>
      </w:r>
      <w:r w:rsidR="00B861F0">
        <w:rPr>
          <w:b/>
          <w:i/>
        </w:rPr>
        <w:t xml:space="preserve"> million)</w:t>
      </w:r>
      <w:r w:rsidRPr="009673EE">
        <w:rPr>
          <w:b/>
          <w:i/>
        </w:rPr>
        <w:t>.</w:t>
      </w:r>
      <w:r>
        <w:t xml:space="preserve"> </w:t>
      </w:r>
      <w:r w:rsidR="009558DD">
        <w:t>This component would support three</w:t>
      </w:r>
      <w:r>
        <w:t xml:space="preserve"> main activities: (i) establishment of 4 additional ICPSCs to expand coverage and provision of additional equipment to and strengthening of emergency and outreach services; and (ii) consolidation of all MIS activities into an integrated system that covers project activities as well as key programs administered by the Ministry of Social Welfare including social pensions and cash transfer programs such as the Old Age Allowance, Widow’s Allow</w:t>
      </w:r>
      <w:r w:rsidR="009558DD">
        <w:t xml:space="preserve">ance, and Disability Allowance; (iii) capacity building and institutional strengthening activities previously under Component 3 of the project. </w:t>
      </w:r>
    </w:p>
    <w:p w14:paraId="57CDB3BA" w14:textId="77777777" w:rsidR="00590BBC" w:rsidRDefault="00590BBC" w:rsidP="00590BBC">
      <w:pPr>
        <w:pStyle w:val="ListParagraph"/>
      </w:pPr>
    </w:p>
    <w:p w14:paraId="08A7EE6A" w14:textId="77777777" w:rsidR="00C67D43" w:rsidRPr="00680241" w:rsidRDefault="00C67D43">
      <w:pPr>
        <w:pStyle w:val="Heading3"/>
      </w:pPr>
      <w:r w:rsidRPr="00680241">
        <w:t>1.7 Other significant changes</w:t>
      </w:r>
    </w:p>
    <w:p w14:paraId="2D7219FF" w14:textId="1A040317" w:rsidR="008245FD" w:rsidRDefault="008245FD" w:rsidP="00424804">
      <w:pPr>
        <w:jc w:val="both"/>
        <w:rPr>
          <w:i/>
          <w:iCs/>
        </w:rPr>
      </w:pPr>
      <w:bookmarkStart w:id="121" w:name="SEC67"/>
      <w:bookmarkEnd w:id="121"/>
    </w:p>
    <w:p w14:paraId="34B8FCF5" w14:textId="5E210B7D" w:rsidR="00772864" w:rsidRDefault="00AF1A49" w:rsidP="00356670">
      <w:pPr>
        <w:pStyle w:val="ListParagraph"/>
        <w:numPr>
          <w:ilvl w:val="0"/>
          <w:numId w:val="34"/>
        </w:numPr>
        <w:ind w:left="0" w:firstLine="360"/>
        <w:jc w:val="both"/>
      </w:pPr>
      <w:r>
        <w:rPr>
          <w:u w:val="single"/>
        </w:rPr>
        <w:t>Partial c</w:t>
      </w:r>
      <w:r w:rsidR="00AB1BC6">
        <w:rPr>
          <w:u w:val="single"/>
        </w:rPr>
        <w:t>ancellations</w:t>
      </w:r>
      <w:r w:rsidR="00527284" w:rsidRPr="00772864">
        <w:rPr>
          <w:u w:val="single"/>
        </w:rPr>
        <w:t xml:space="preserve">: </w:t>
      </w:r>
      <w:r w:rsidR="00527284">
        <w:t xml:space="preserve"> The project went through two cancellations</w:t>
      </w:r>
      <w:r>
        <w:t xml:space="preserve"> (US</w:t>
      </w:r>
      <w:r w:rsidR="002D325C">
        <w:t>$</w:t>
      </w:r>
      <w:r w:rsidR="00236F93">
        <w:t>8.8</w:t>
      </w:r>
      <w:r w:rsidR="00527284">
        <w:t xml:space="preserve"> million in December 20</w:t>
      </w:r>
      <w:r w:rsidR="00BC68C3">
        <w:t xml:space="preserve">13 and </w:t>
      </w:r>
      <w:r>
        <w:t>US</w:t>
      </w:r>
      <w:r w:rsidR="002D325C">
        <w:t>$</w:t>
      </w:r>
      <w:r w:rsidR="00236F93">
        <w:t>5</w:t>
      </w:r>
      <w:r w:rsidR="002D325C">
        <w:t xml:space="preserve"> </w:t>
      </w:r>
      <w:r w:rsidR="00527284">
        <w:t>million in March 2015</w:t>
      </w:r>
      <w:r>
        <w:t>)</w:t>
      </w:r>
      <w:r w:rsidR="00527284">
        <w:t>. The can</w:t>
      </w:r>
      <w:r w:rsidR="00000FB3">
        <w:t xml:space="preserve">cellation undertaken in 2013 was driven by: </w:t>
      </w:r>
      <w:r w:rsidR="00F64151">
        <w:t>(i) delays in initiating services</w:t>
      </w:r>
      <w:r w:rsidR="00B8058F">
        <w:t xml:space="preserve"> due to </w:t>
      </w:r>
      <w:r w:rsidR="002D325C">
        <w:t xml:space="preserve">the </w:t>
      </w:r>
      <w:r w:rsidR="00B8058F">
        <w:t>lengthy government approval processes</w:t>
      </w:r>
      <w:r w:rsidR="00F64151">
        <w:t xml:space="preserve"> and thus lower than planned expenditures on operating costs; (ii) cost savings in the estimated operating costs of the centers, as the package of services was a new arrangement and no comparable services were available on which to base </w:t>
      </w:r>
      <w:r w:rsidR="00A41AE2">
        <w:t xml:space="preserve">initial </w:t>
      </w:r>
      <w:r w:rsidR="00F64151">
        <w:t>cost estimates; (iii) lower than anticipated costs of some consulting contracts; and (iv) elimination of cost allocations to originally planned activities that were no longer prioritized</w:t>
      </w:r>
      <w:r w:rsidR="00A41AE2">
        <w:t xml:space="preserve"> by the government</w:t>
      </w:r>
      <w:r w:rsidR="00F64151">
        <w:t xml:space="preserve">. </w:t>
      </w:r>
      <w:r w:rsidR="00000FB3">
        <w:t xml:space="preserve">The cancellation in March 2015 </w:t>
      </w:r>
      <w:r w:rsidR="00772864">
        <w:t xml:space="preserve">was on the other hand driven by: </w:t>
      </w:r>
      <w:r w:rsidR="00626B96">
        <w:t xml:space="preserve">(i) </w:t>
      </w:r>
      <w:r w:rsidR="00236F93">
        <w:t xml:space="preserve">a </w:t>
      </w:r>
      <w:r w:rsidR="00772864">
        <w:t xml:space="preserve">change in estimated cost of components based on the updated schedule of recurring payments </w:t>
      </w:r>
      <w:r w:rsidR="001E6E1B">
        <w:t xml:space="preserve">for </w:t>
      </w:r>
      <w:r w:rsidR="00772864">
        <w:t>procurement of goods, non-consulting services and consul</w:t>
      </w:r>
      <w:r w:rsidR="00572B36">
        <w:t xml:space="preserve">tant services for each component, which accounted for </w:t>
      </w:r>
      <w:r w:rsidR="002D325C">
        <w:t>US$</w:t>
      </w:r>
      <w:r w:rsidR="00572B36">
        <w:t>5 million</w:t>
      </w:r>
      <w:r w:rsidR="00236F93">
        <w:t xml:space="preserve">, </w:t>
      </w:r>
      <w:r w:rsidR="001E6E1B">
        <w:t xml:space="preserve">and </w:t>
      </w:r>
      <w:r w:rsidR="00626B96">
        <w:t xml:space="preserve">(ii) an additional </w:t>
      </w:r>
      <w:r w:rsidR="001E6E1B">
        <w:t xml:space="preserve">reduction of this revised cost by </w:t>
      </w:r>
      <w:r w:rsidR="00236F93">
        <w:t>US</w:t>
      </w:r>
      <w:r w:rsidR="002D325C">
        <w:t>$</w:t>
      </w:r>
      <w:r w:rsidR="00236F93">
        <w:t>4 million on account of US</w:t>
      </w:r>
      <w:r w:rsidR="002D325C">
        <w:t>$</w:t>
      </w:r>
      <w:r w:rsidR="00236F93">
        <w:t xml:space="preserve"> to </w:t>
      </w:r>
      <w:r w:rsidR="002D325C">
        <w:t>S</w:t>
      </w:r>
      <w:r w:rsidR="00626B96">
        <w:t xml:space="preserve">DR exchange rate fluctuation, - resulting in a total partial cancellation of US$9 million. </w:t>
      </w:r>
    </w:p>
    <w:p w14:paraId="37CD107B" w14:textId="77777777" w:rsidR="00772864" w:rsidRDefault="00772864" w:rsidP="00772864">
      <w:pPr>
        <w:pStyle w:val="ListParagraph"/>
        <w:ind w:left="360"/>
        <w:jc w:val="both"/>
      </w:pPr>
    </w:p>
    <w:p w14:paraId="50FE117B" w14:textId="48AF9458" w:rsidR="00772864" w:rsidRDefault="00772864" w:rsidP="00A16D2A">
      <w:pPr>
        <w:pStyle w:val="ListParagraph"/>
        <w:numPr>
          <w:ilvl w:val="0"/>
          <w:numId w:val="34"/>
        </w:numPr>
        <w:ind w:left="0" w:firstLine="360"/>
        <w:jc w:val="both"/>
      </w:pPr>
      <w:r w:rsidRPr="00772864">
        <w:rPr>
          <w:u w:val="single"/>
        </w:rPr>
        <w:t>Change</w:t>
      </w:r>
      <w:r w:rsidR="00AB1BC6">
        <w:rPr>
          <w:u w:val="single"/>
        </w:rPr>
        <w:t>s</w:t>
      </w:r>
      <w:r w:rsidRPr="00772864">
        <w:rPr>
          <w:u w:val="single"/>
        </w:rPr>
        <w:t xml:space="preserve"> in </w:t>
      </w:r>
      <w:r w:rsidR="002D325C">
        <w:rPr>
          <w:u w:val="single"/>
        </w:rPr>
        <w:t xml:space="preserve">expenditure </w:t>
      </w:r>
      <w:r w:rsidRPr="00772864">
        <w:rPr>
          <w:u w:val="single"/>
        </w:rPr>
        <w:t>allocations:</w:t>
      </w:r>
      <w:r>
        <w:t xml:space="preserve"> </w:t>
      </w:r>
      <w:r w:rsidR="00A21273">
        <w:t xml:space="preserve">Restructuring in 2013 reflected </w:t>
      </w:r>
      <w:r w:rsidR="005317DF">
        <w:t xml:space="preserve">the </w:t>
      </w:r>
      <w:r w:rsidR="00A21273">
        <w:t>need for the project to focus</w:t>
      </w:r>
      <w:r w:rsidRPr="00772864">
        <w:t xml:space="preserve"> on implementation of a</w:t>
      </w:r>
      <w:r w:rsidR="00A16D2A">
        <w:t xml:space="preserve"> few key activities</w:t>
      </w:r>
      <w:r w:rsidRPr="00772864">
        <w:t xml:space="preserve"> to ensure that</w:t>
      </w:r>
      <w:r w:rsidR="00A21273">
        <w:t xml:space="preserve"> it </w:t>
      </w:r>
      <w:r w:rsidR="00A16D2A">
        <w:t>had</w:t>
      </w:r>
      <w:r w:rsidRPr="00772864">
        <w:t xml:space="preserve"> a chance to deliver what it had promised</w:t>
      </w:r>
      <w:r w:rsidR="00A21273">
        <w:t xml:space="preserve"> </w:t>
      </w:r>
      <w:r w:rsidR="00A21273" w:rsidRPr="00772864">
        <w:t>given the pace of implementation and governm</w:t>
      </w:r>
      <w:r w:rsidR="00A21273">
        <w:t>ent’s priorities</w:t>
      </w:r>
      <w:r w:rsidRPr="00772864">
        <w:t>.</w:t>
      </w:r>
      <w:r w:rsidR="00A32849">
        <w:t xml:space="preserve"> This streamlining resulted</w:t>
      </w:r>
      <w:r w:rsidRPr="00772864">
        <w:t xml:space="preserve"> in </w:t>
      </w:r>
      <w:r w:rsidR="002D325C">
        <w:t xml:space="preserve">a </w:t>
      </w:r>
      <w:r w:rsidRPr="00772864">
        <w:t>reallocation of funds from component 3 into componen</w:t>
      </w:r>
      <w:r w:rsidR="003712EC">
        <w:t xml:space="preserve">ts 1 and 2 and dropping of </w:t>
      </w:r>
      <w:r w:rsidRPr="00772864">
        <w:t xml:space="preserve">activities </w:t>
      </w:r>
      <w:r w:rsidR="00D94D43" w:rsidRPr="00772864">
        <w:t xml:space="preserve">that </w:t>
      </w:r>
      <w:r w:rsidR="00D94D43">
        <w:t>no</w:t>
      </w:r>
      <w:r w:rsidR="003712EC">
        <w:t xml:space="preserve"> longer corresponded to government’s priorities or could be completed without financing from the World Bank</w:t>
      </w:r>
      <w:r w:rsidR="003712EC">
        <w:rPr>
          <w:rStyle w:val="FootnoteReference"/>
        </w:rPr>
        <w:footnoteReference w:id="14"/>
      </w:r>
      <w:r w:rsidR="003712EC">
        <w:t xml:space="preserve">. </w:t>
      </w:r>
    </w:p>
    <w:p w14:paraId="3DF16A82" w14:textId="77777777" w:rsidR="00000FB3" w:rsidRDefault="00000FB3" w:rsidP="00424804">
      <w:pPr>
        <w:jc w:val="both"/>
      </w:pPr>
    </w:p>
    <w:p w14:paraId="718FDA5C" w14:textId="5410C0E8" w:rsidR="00424804" w:rsidRPr="00920E41" w:rsidRDefault="00000FB3" w:rsidP="001C07E6">
      <w:pPr>
        <w:pStyle w:val="ListParagraph"/>
        <w:numPr>
          <w:ilvl w:val="0"/>
          <w:numId w:val="34"/>
        </w:numPr>
        <w:ind w:left="0" w:firstLine="360"/>
        <w:jc w:val="both"/>
      </w:pPr>
      <w:r w:rsidRPr="00F64151">
        <w:rPr>
          <w:u w:val="single"/>
        </w:rPr>
        <w:t>Changes in timeline:</w:t>
      </w:r>
      <w:r w:rsidRPr="002F6775">
        <w:t xml:space="preserve"> </w:t>
      </w:r>
      <w:r w:rsidR="002F6775">
        <w:t xml:space="preserve"> </w:t>
      </w:r>
      <w:r w:rsidR="00616828">
        <w:t>G</w:t>
      </w:r>
      <w:r w:rsidR="002F6775">
        <w:t>iven the pace of implementation</w:t>
      </w:r>
      <w:r w:rsidR="00616828">
        <w:t>,</w:t>
      </w:r>
      <w:r w:rsidR="002F6775">
        <w:t xml:space="preserve"> under restructuring in December 2013</w:t>
      </w:r>
      <w:r w:rsidR="00616828">
        <w:t>,</w:t>
      </w:r>
      <w:r w:rsidR="002F6775">
        <w:t xml:space="preserve"> the project</w:t>
      </w:r>
      <w:r w:rsidR="00616828">
        <w:t xml:space="preserve"> </w:t>
      </w:r>
      <w:r w:rsidR="002D325C">
        <w:t>C</w:t>
      </w:r>
      <w:r w:rsidR="00616828">
        <w:t xml:space="preserve">losing </w:t>
      </w:r>
      <w:r w:rsidR="002D325C">
        <w:t>D</w:t>
      </w:r>
      <w:r w:rsidR="00616828">
        <w:t>ate</w:t>
      </w:r>
      <w:r w:rsidR="002F6775">
        <w:t xml:space="preserve"> </w:t>
      </w:r>
      <w:r w:rsidR="00722E68">
        <w:t xml:space="preserve">was extended for </w:t>
      </w:r>
      <w:r w:rsidR="00236F93">
        <w:t xml:space="preserve">an </w:t>
      </w:r>
      <w:r w:rsidR="00722E68">
        <w:t xml:space="preserve">additional eighteen months </w:t>
      </w:r>
      <w:r w:rsidR="00616828">
        <w:t>from December 3</w:t>
      </w:r>
      <w:r w:rsidR="00913DDA">
        <w:t>1</w:t>
      </w:r>
      <w:r w:rsidR="00616828">
        <w:t xml:space="preserve">, 2014 to </w:t>
      </w:r>
      <w:r w:rsidR="00722E68">
        <w:t xml:space="preserve">June 30, 2016. </w:t>
      </w:r>
      <w:r w:rsidR="00920E41">
        <w:t xml:space="preserve">The extension was </w:t>
      </w:r>
      <w:r w:rsidR="002D325C">
        <w:t xml:space="preserve">granted </w:t>
      </w:r>
      <w:r w:rsidR="00920E41">
        <w:t xml:space="preserve">to allow the additional DSCs and ICPSCs to be </w:t>
      </w:r>
      <w:r w:rsidR="00236F93">
        <w:t xml:space="preserve">established </w:t>
      </w:r>
      <w:r w:rsidR="00920E41">
        <w:t>under the project to become fully operational (e.g. by allowing them the time to build client roster and for the staff to undergo training). Additionally, the extension would provide time for the integrated MIS to be developed and rolled out across all sites at all levels of program administration</w:t>
      </w:r>
      <w:r w:rsidR="006142D1">
        <w:t>.</w:t>
      </w:r>
      <w:r w:rsidR="00920E41">
        <w:t xml:space="preserve"> </w:t>
      </w:r>
    </w:p>
    <w:p w14:paraId="36B8F328" w14:textId="77777777" w:rsidR="00000FB3" w:rsidRDefault="00000FB3" w:rsidP="00424804">
      <w:pPr>
        <w:jc w:val="both"/>
      </w:pPr>
    </w:p>
    <w:p w14:paraId="7055298F" w14:textId="77777777" w:rsidR="00C67D43" w:rsidRDefault="00C67D43">
      <w:pPr>
        <w:pStyle w:val="Heading2"/>
      </w:pPr>
      <w:bookmarkStart w:id="122" w:name="_IL7"/>
      <w:bookmarkStart w:id="123" w:name="_Toc158019371"/>
      <w:r>
        <w:t>2. Key Factors Affecting Implementation and Outcomes</w:t>
      </w:r>
      <w:bookmarkEnd w:id="122"/>
      <w:bookmarkEnd w:id="123"/>
      <w:r>
        <w:t xml:space="preserve"> </w:t>
      </w:r>
    </w:p>
    <w:p w14:paraId="0E283F99" w14:textId="77777777" w:rsidR="00C67D43" w:rsidRPr="00054BCC" w:rsidRDefault="00C67D43">
      <w:pPr>
        <w:pStyle w:val="Heading3"/>
      </w:pPr>
      <w:r w:rsidRPr="00054BCC">
        <w:t>2.1 Project Preparation, Design and Quality at Entry</w:t>
      </w:r>
    </w:p>
    <w:p w14:paraId="391C92BF" w14:textId="77777777" w:rsidR="00AB1BC6" w:rsidRPr="00BC7AF8" w:rsidRDefault="00AB1BC6">
      <w:pPr>
        <w:rPr>
          <w:i/>
          <w:iCs/>
          <w:color w:val="000000"/>
          <w:sz w:val="22"/>
          <w:szCs w:val="22"/>
        </w:rPr>
      </w:pPr>
    </w:p>
    <w:p w14:paraId="779484F7" w14:textId="06AC5F02" w:rsidR="00717A8E" w:rsidRDefault="00AB1BC6" w:rsidP="006320F2">
      <w:pPr>
        <w:pStyle w:val="ListParagraph"/>
        <w:numPr>
          <w:ilvl w:val="0"/>
          <w:numId w:val="34"/>
        </w:numPr>
        <w:ind w:left="0" w:firstLine="360"/>
        <w:jc w:val="both"/>
      </w:pPr>
      <w:bookmarkStart w:id="124" w:name="SEC71"/>
      <w:bookmarkEnd w:id="124"/>
      <w:r>
        <w:t xml:space="preserve">The </w:t>
      </w:r>
      <w:r w:rsidR="002D325C">
        <w:t>Bank</w:t>
      </w:r>
      <w:r w:rsidR="00154CF6">
        <w:t xml:space="preserve"> </w:t>
      </w:r>
      <w:r>
        <w:t xml:space="preserve">team </w:t>
      </w:r>
      <w:r w:rsidR="00154CF6">
        <w:t>respond</w:t>
      </w:r>
      <w:r w:rsidR="00717A8E">
        <w:t>ed</w:t>
      </w:r>
      <w:r w:rsidR="00154CF6">
        <w:t xml:space="preserve"> to </w:t>
      </w:r>
      <w:r w:rsidR="002D325C">
        <w:t xml:space="preserve">the </w:t>
      </w:r>
      <w:r w:rsidR="00154CF6">
        <w:t>Government’s request for a project addressing needs of PWDs and children-at-risk</w:t>
      </w:r>
      <w:r w:rsidR="00680B59">
        <w:t xml:space="preserve"> and prepared a project </w:t>
      </w:r>
      <w:r w:rsidR="00DD75E3">
        <w:t xml:space="preserve">in less than </w:t>
      </w:r>
      <w:r w:rsidR="00680B59">
        <w:t>10 months</w:t>
      </w:r>
      <w:r w:rsidR="00A83400">
        <w:t xml:space="preserve"> securing the first lending project for Social Protection sector in Bangladesh</w:t>
      </w:r>
      <w:r w:rsidR="00154CF6">
        <w:t>.</w:t>
      </w:r>
      <w:r w:rsidR="00680B59">
        <w:t xml:space="preserve"> </w:t>
      </w:r>
      <w:r w:rsidR="007B5952">
        <w:t xml:space="preserve">The preparation included a stakeholder consultation and a Quality Enhancement Review (QER). The resulting design mimicked the PDO entirely and thus made sense in terms of focus and scope despite other issues (discussed below). </w:t>
      </w:r>
    </w:p>
    <w:p w14:paraId="6C57BB1B" w14:textId="77777777" w:rsidR="007B5952" w:rsidRDefault="007B5952" w:rsidP="007B5952">
      <w:pPr>
        <w:pStyle w:val="ListParagraph"/>
        <w:ind w:left="360"/>
        <w:jc w:val="both"/>
      </w:pPr>
    </w:p>
    <w:p w14:paraId="686B1708" w14:textId="77777777" w:rsidR="00A047CE" w:rsidRDefault="0050546B" w:rsidP="007A334C">
      <w:pPr>
        <w:pStyle w:val="ListParagraph"/>
        <w:numPr>
          <w:ilvl w:val="0"/>
          <w:numId w:val="34"/>
        </w:numPr>
        <w:ind w:left="0" w:firstLine="360"/>
        <w:jc w:val="both"/>
      </w:pPr>
      <w:r>
        <w:t xml:space="preserve">The children-at-risk component </w:t>
      </w:r>
      <w:r w:rsidR="00A12D7F">
        <w:t xml:space="preserve">primarily </w:t>
      </w:r>
      <w:r w:rsidR="00DD75E3">
        <w:t xml:space="preserve">built </w:t>
      </w:r>
      <w:r>
        <w:t xml:space="preserve">on the already existing model of service provision to </w:t>
      </w:r>
      <w:r w:rsidR="00A12D7F">
        <w:t xml:space="preserve">this segment of the population </w:t>
      </w:r>
      <w:r w:rsidR="00DD75E3">
        <w:t>through expansion</w:t>
      </w:r>
      <w:r w:rsidR="00A12D7F">
        <w:t xml:space="preserve"> and strengthening</w:t>
      </w:r>
      <w:r w:rsidR="00DD75E3">
        <w:t xml:space="preserve"> of</w:t>
      </w:r>
      <w:r>
        <w:t xml:space="preserve"> UNICEF</w:t>
      </w:r>
      <w:r w:rsidR="00DD75E3">
        <w:t xml:space="preserve"> PCAR type of intervention.</w:t>
      </w:r>
      <w:r w:rsidR="00A12D7F">
        <w:t xml:space="preserve"> The UNICEF PCAR project subcontracted NGOs for service delivery.</w:t>
      </w:r>
      <w:r w:rsidR="00DD75E3">
        <w:t xml:space="preserve"> </w:t>
      </w:r>
      <w:r w:rsidR="00DC6E53">
        <w:t xml:space="preserve"> </w:t>
      </w:r>
    </w:p>
    <w:p w14:paraId="3DA27373" w14:textId="77777777" w:rsidR="00A047CE" w:rsidRDefault="00A047CE" w:rsidP="00A047CE">
      <w:pPr>
        <w:pStyle w:val="ListParagraph"/>
      </w:pPr>
    </w:p>
    <w:p w14:paraId="41C25195" w14:textId="7264967C" w:rsidR="00E97C27" w:rsidRDefault="00DC6E53" w:rsidP="00E97C27">
      <w:pPr>
        <w:pStyle w:val="ListParagraph"/>
        <w:numPr>
          <w:ilvl w:val="0"/>
          <w:numId w:val="34"/>
        </w:numPr>
        <w:ind w:left="0" w:firstLine="360"/>
        <w:jc w:val="both"/>
      </w:pPr>
      <w:r>
        <w:t xml:space="preserve">However, disability component that addressed </w:t>
      </w:r>
      <w:r w:rsidR="00A12D7F" w:rsidRPr="00A12D7F">
        <w:t xml:space="preserve">provision of services to </w:t>
      </w:r>
      <w:r w:rsidRPr="00A12D7F">
        <w:t xml:space="preserve">PWDs </w:t>
      </w:r>
      <w:r>
        <w:t>was</w:t>
      </w:r>
      <w:r w:rsidR="00924B9F">
        <w:t xml:space="preserve"> a first project </w:t>
      </w:r>
      <w:r w:rsidR="00A047CE">
        <w:t xml:space="preserve">of this </w:t>
      </w:r>
      <w:r w:rsidR="00924B9F">
        <w:t>type</w:t>
      </w:r>
      <w:r>
        <w:t xml:space="preserve"> and had no</w:t>
      </w:r>
      <w:r w:rsidR="00A12D7F" w:rsidRPr="00A12D7F">
        <w:t xml:space="preserve"> best pr</w:t>
      </w:r>
      <w:r>
        <w:t>actices or documented le</w:t>
      </w:r>
      <w:r w:rsidR="00904A1C">
        <w:t xml:space="preserve">ssons that project preparation could use. </w:t>
      </w:r>
      <w:r w:rsidR="00924B9F">
        <w:t xml:space="preserve">The design of this component </w:t>
      </w:r>
      <w:r w:rsidR="00B2705A">
        <w:t>(</w:t>
      </w:r>
      <w:r w:rsidR="00924B9F">
        <w:t>similarly to the design of the children-at-risk component</w:t>
      </w:r>
      <w:r w:rsidR="00B2705A">
        <w:t>)</w:t>
      </w:r>
      <w:r w:rsidR="00924B9F">
        <w:t xml:space="preserve"> relied on successes </w:t>
      </w:r>
      <w:r w:rsidR="00590BBC">
        <w:t>of joint</w:t>
      </w:r>
      <w:r w:rsidR="00717A8E">
        <w:t xml:space="preserve"> government/NGO implementation</w:t>
      </w:r>
      <w:r w:rsidR="00B2705A">
        <w:t>. This delivery model</w:t>
      </w:r>
      <w:r w:rsidR="00680B59">
        <w:t xml:space="preserve"> had a proven track record of being effective </w:t>
      </w:r>
      <w:r w:rsidR="00A83400">
        <w:t>in other sectors</w:t>
      </w:r>
      <w:r w:rsidR="00717A8E">
        <w:t xml:space="preserve"> in and outside of Bangladesh</w:t>
      </w:r>
      <w:r w:rsidR="00680B59">
        <w:t>.</w:t>
      </w:r>
      <w:r w:rsidR="00B2705A">
        <w:t xml:space="preserve"> The PAD in particular mentions SDF and PKSF, as examples of success</w:t>
      </w:r>
      <w:r w:rsidR="008837BF">
        <w:t>,</w:t>
      </w:r>
      <w:r w:rsidR="00590BBC">
        <w:t xml:space="preserve"> even though neither one of these</w:t>
      </w:r>
      <w:r w:rsidR="008837BF">
        <w:t xml:space="preserve"> could serve as an example of service delivery</w:t>
      </w:r>
      <w:r w:rsidR="00590BBC">
        <w:t xml:space="preserve"> in the context of this project</w:t>
      </w:r>
      <w:r w:rsidR="00B2705A">
        <w:t>.</w:t>
      </w:r>
      <w:r w:rsidR="00680B59">
        <w:t xml:space="preserve"> </w:t>
      </w:r>
      <w:r w:rsidR="00CB2892">
        <w:t>The model of joint government/NGO implementation was also highlighted as one of the innovative and effective approaches in the CAS 2006-2010 given generally high capacity of NGO sector in Bangladesh.</w:t>
      </w:r>
      <w:r w:rsidR="00A047CE">
        <w:t xml:space="preserve"> </w:t>
      </w:r>
    </w:p>
    <w:p w14:paraId="33A1A950" w14:textId="77777777" w:rsidR="00E97C27" w:rsidRDefault="00E97C27" w:rsidP="00E97C27">
      <w:pPr>
        <w:pStyle w:val="ListParagraph"/>
      </w:pPr>
    </w:p>
    <w:p w14:paraId="43AB9B13" w14:textId="52C5CF61" w:rsidR="006014DE" w:rsidRDefault="00E97C27" w:rsidP="00E97C27">
      <w:pPr>
        <w:pStyle w:val="ListParagraph"/>
        <w:numPr>
          <w:ilvl w:val="0"/>
          <w:numId w:val="34"/>
        </w:numPr>
        <w:ind w:left="0" w:firstLine="360"/>
        <w:jc w:val="both"/>
      </w:pPr>
      <w:r>
        <w:t>However,</w:t>
      </w:r>
      <w:r w:rsidRPr="00E97C27">
        <w:t xml:space="preserve"> given low supervision/management capacity of the </w:t>
      </w:r>
      <w:r w:rsidR="00BA028B">
        <w:t>implementing agency (recognized</w:t>
      </w:r>
      <w:r w:rsidRPr="00E97C27">
        <w:t xml:space="preserve"> in the PAD) and lack of evidence of capacity </w:t>
      </w:r>
      <w:r w:rsidR="00BA028B">
        <w:t xml:space="preserve">of </w:t>
      </w:r>
      <w:r w:rsidRPr="00E97C27">
        <w:t>NGO</w:t>
      </w:r>
      <w:r w:rsidR="00BA028B">
        <w:t>s/DPOs in the disability</w:t>
      </w:r>
      <w:r w:rsidRPr="00E97C27">
        <w:t xml:space="preserve"> sector the resulting design introduced unnecessary complexity in the project design. </w:t>
      </w:r>
      <w:r>
        <w:t>T</w:t>
      </w:r>
      <w:r w:rsidR="00497FB6">
        <w:t xml:space="preserve">he capacity of the NGOs in the sector of intervention is crucial for the model of joint government/NGO implementation to be successful in particular in cases where government might have low capacity itself. The PAD presents no evidence in regards to the capacity of the NGOs/DPOs in disability sector. </w:t>
      </w:r>
      <w:r w:rsidR="00A047CE">
        <w:t>Furthermore, t</w:t>
      </w:r>
      <w:r w:rsidR="00E90C08">
        <w:t xml:space="preserve">he </w:t>
      </w:r>
      <w:r w:rsidR="00EC62B6">
        <w:t xml:space="preserve">PAD </w:t>
      </w:r>
      <w:r w:rsidR="00E90C08">
        <w:t xml:space="preserve">acknowledged that NGOs in the disability sector had </w:t>
      </w:r>
      <w:r w:rsidR="00EC62B6">
        <w:t>not been successful at providing access to employment, aids and services for PWDs. It mentioned lack of funding as one of the potential explanations, but did not provide evidenc</w:t>
      </w:r>
      <w:r w:rsidR="00A047CE">
        <w:t>e of otherwise strong capacity and did not undertake an</w:t>
      </w:r>
      <w:r w:rsidR="002623F5">
        <w:t>y additional</w:t>
      </w:r>
      <w:r w:rsidR="00A047CE">
        <w:t xml:space="preserve"> assessment</w:t>
      </w:r>
      <w:r w:rsidR="002623F5">
        <w:t xml:space="preserve">s. </w:t>
      </w:r>
    </w:p>
    <w:p w14:paraId="39EDE4CB" w14:textId="77777777" w:rsidR="006014DE" w:rsidRDefault="006014DE" w:rsidP="006014DE">
      <w:pPr>
        <w:pStyle w:val="ListParagraph"/>
      </w:pPr>
    </w:p>
    <w:p w14:paraId="098A64A7" w14:textId="17EDF9ED" w:rsidR="00E90C08" w:rsidRDefault="002623F5" w:rsidP="00E90C08">
      <w:pPr>
        <w:pStyle w:val="ListParagraph"/>
        <w:numPr>
          <w:ilvl w:val="0"/>
          <w:numId w:val="34"/>
        </w:numPr>
        <w:ind w:left="0" w:firstLine="360"/>
        <w:jc w:val="both"/>
      </w:pPr>
      <w:r>
        <w:t>Furthermore, concerns in regards to the complexity of the design and lack of evidence justifying NGO led implementation were raised during the QER discussions</w:t>
      </w:r>
      <w:r w:rsidR="00E97C27">
        <w:rPr>
          <w:rStyle w:val="FootnoteReference"/>
        </w:rPr>
        <w:footnoteReference w:id="15"/>
      </w:r>
      <w:r>
        <w:t>. T</w:t>
      </w:r>
      <w:r w:rsidR="00E90C08">
        <w:t>he risk of disability NGOs/DPOs having limited capacity to deliver services was acknowledged in PAD and rated as “</w:t>
      </w:r>
      <w:r w:rsidR="00E90C08" w:rsidRPr="00BA028B">
        <w:rPr>
          <w:i/>
        </w:rPr>
        <w:t>Substantial</w:t>
      </w:r>
      <w:r>
        <w:t>.</w:t>
      </w:r>
      <w:r w:rsidR="00E90C08">
        <w:t>”</w:t>
      </w:r>
      <w:r>
        <w:t xml:space="preserve"> T</w:t>
      </w:r>
      <w:r w:rsidR="00E90C08">
        <w:t>he proposed mitigation measures</w:t>
      </w:r>
      <w:r>
        <w:t>, however,</w:t>
      </w:r>
      <w:r w:rsidR="00E90C08">
        <w:t xml:space="preserve"> were not sufficient.  Specifically, the mitigating measures consisted of building capacity for JPUF to assess the capacity of NGOs/DPOs that apply for grants, and did not </w:t>
      </w:r>
      <w:r>
        <w:t xml:space="preserve">directly </w:t>
      </w:r>
      <w:r w:rsidR="00E90C08">
        <w:t xml:space="preserve">address building the capacity of the disability NGOs/DPOs. </w:t>
      </w:r>
    </w:p>
    <w:p w14:paraId="7AD16238" w14:textId="77777777" w:rsidR="006320F2" w:rsidRDefault="006320F2" w:rsidP="006320F2">
      <w:pPr>
        <w:pStyle w:val="ListParagraph"/>
        <w:ind w:left="360"/>
        <w:jc w:val="both"/>
      </w:pPr>
    </w:p>
    <w:p w14:paraId="3E430C44" w14:textId="37366733" w:rsidR="001E1C32" w:rsidRDefault="004638FB" w:rsidP="007A334C">
      <w:pPr>
        <w:pStyle w:val="ListParagraph"/>
        <w:numPr>
          <w:ilvl w:val="0"/>
          <w:numId w:val="34"/>
        </w:numPr>
        <w:ind w:left="0" w:firstLine="360"/>
        <w:jc w:val="both"/>
      </w:pPr>
      <w:r>
        <w:t xml:space="preserve"> Furthermore,</w:t>
      </w:r>
      <w:r w:rsidR="006014DE">
        <w:t xml:space="preserve"> while risk assessment at the appraisal was </w:t>
      </w:r>
      <w:r>
        <w:t xml:space="preserve">quite </w:t>
      </w:r>
      <w:r w:rsidR="006014DE">
        <w:t xml:space="preserve">thorough </w:t>
      </w:r>
      <w:r>
        <w:t xml:space="preserve">it lacked the political economy analysis that could have been </w:t>
      </w:r>
      <w:r w:rsidR="001262AA">
        <w:t xml:space="preserve">useful </w:t>
      </w:r>
      <w:r>
        <w:t xml:space="preserve">given the upcoming elections in December 2008. </w:t>
      </w:r>
      <w:r w:rsidR="006014DE">
        <w:t xml:space="preserve"> </w:t>
      </w:r>
      <w:r w:rsidR="00BA028B">
        <w:t xml:space="preserve">On one hand </w:t>
      </w:r>
      <w:r w:rsidR="007A334C">
        <w:t xml:space="preserve">it would be unrealistic to </w:t>
      </w:r>
      <w:r w:rsidR="00BA028B">
        <w:t>expect that the team could</w:t>
      </w:r>
      <w:r w:rsidR="007A334C">
        <w:t xml:space="preserve"> foresee a drastic change in the Government’s stance on service delivery to PWDs and children-at-risk especially in light of the Government a</w:t>
      </w:r>
      <w:r w:rsidR="00BA028B">
        <w:t>greeing to the proposed design. On the other hand, performing a thorough institutional and political analysis could have allowed the team to assess if there was a likelihood or any signs of this change happening. Additionally</w:t>
      </w:r>
      <w:r w:rsidR="007A334C">
        <w:t xml:space="preserve">, the team could have at least </w:t>
      </w:r>
      <w:r w:rsidR="00BA028B">
        <w:t xml:space="preserve">accounted for </w:t>
      </w:r>
      <w:r w:rsidR="007A334C">
        <w:t>potential delays</w:t>
      </w:r>
      <w:r w:rsidR="00BA028B">
        <w:t xml:space="preserve"> in implementation</w:t>
      </w:r>
      <w:r w:rsidR="007A334C">
        <w:t xml:space="preserve"> due to the change in government. </w:t>
      </w:r>
    </w:p>
    <w:p w14:paraId="2D3A748E" w14:textId="210A0441" w:rsidR="008409D8" w:rsidRDefault="008409D8" w:rsidP="007A3D02">
      <w:pPr>
        <w:jc w:val="both"/>
      </w:pPr>
    </w:p>
    <w:p w14:paraId="36963BFC" w14:textId="77777777" w:rsidR="00C67D43" w:rsidRDefault="00C67D43" w:rsidP="007A3D02">
      <w:pPr>
        <w:pStyle w:val="Heading3"/>
      </w:pPr>
      <w:r>
        <w:t>2.2 Implementation</w:t>
      </w:r>
    </w:p>
    <w:p w14:paraId="274A366E" w14:textId="77777777" w:rsidR="00910274" w:rsidRDefault="00910274" w:rsidP="004D0BED">
      <w:pPr>
        <w:jc w:val="both"/>
      </w:pPr>
    </w:p>
    <w:p w14:paraId="7D161AD8" w14:textId="2C6E9B0D" w:rsidR="00B71B22" w:rsidRDefault="00101018" w:rsidP="00B71B22">
      <w:pPr>
        <w:pStyle w:val="ListParagraph"/>
        <w:numPr>
          <w:ilvl w:val="0"/>
          <w:numId w:val="34"/>
        </w:numPr>
        <w:ind w:left="0" w:firstLine="360"/>
        <w:jc w:val="both"/>
      </w:pPr>
      <w:r>
        <w:t>The project became effective in January 2009</w:t>
      </w:r>
      <w:r w:rsidR="0008702C">
        <w:t xml:space="preserve"> exactly at the same time as</w:t>
      </w:r>
      <w:r w:rsidR="00940846">
        <w:t xml:space="preserve"> the government changed following the elections</w:t>
      </w:r>
      <w:r w:rsidR="00A6172C">
        <w:t xml:space="preserve"> of December 2008</w:t>
      </w:r>
      <w:r w:rsidR="00940846">
        <w:t xml:space="preserve">.  The change in government </w:t>
      </w:r>
      <w:r w:rsidR="004D0BED">
        <w:t>resulted in</w:t>
      </w:r>
      <w:r w:rsidR="008E0E42">
        <w:t xml:space="preserve"> </w:t>
      </w:r>
      <w:r w:rsidR="00940846">
        <w:t>the shift of government’s stance on service delivery (as mention</w:t>
      </w:r>
      <w:r w:rsidR="00A6172C">
        <w:t>ed</w:t>
      </w:r>
      <w:r w:rsidR="00940846">
        <w:t xml:space="preserve"> </w:t>
      </w:r>
      <w:r w:rsidR="00940846" w:rsidRPr="00B95669">
        <w:t>in Section</w:t>
      </w:r>
      <w:r w:rsidR="00940846" w:rsidRPr="00EB7FA1">
        <w:t xml:space="preserve"> 1.3).</w:t>
      </w:r>
      <w:r w:rsidR="00940846">
        <w:t xml:space="preserve"> The MoSW now prioritized the ability of the government to deliver social services through its own systems and therefore focused on </w:t>
      </w:r>
      <w:r w:rsidR="00B71B22">
        <w:t>strengthening</w:t>
      </w:r>
      <w:r w:rsidR="004D0BED">
        <w:t xml:space="preserve"> and scaling up of government se</w:t>
      </w:r>
      <w:r w:rsidR="008E0E42">
        <w:t>rvice delivery system</w:t>
      </w:r>
      <w:r w:rsidR="00940846">
        <w:t>s and institutions</w:t>
      </w:r>
      <w:r w:rsidR="004D0BED">
        <w:t xml:space="preserve">. </w:t>
      </w:r>
      <w:r w:rsidR="00A6172C">
        <w:t xml:space="preserve"> The government remained strongly committed to agenda of improving the lives of PWD and children-at-risk, and even introduced Amendments to the Disability Welfare Act of 2001 and Children’</w:t>
      </w:r>
      <w:r w:rsidR="00C5191A">
        <w:t>s Act of 1974 to reflect new implementation</w:t>
      </w:r>
      <w:r w:rsidR="00A6172C">
        <w:t xml:space="preserve"> priorities. It was open to utilizing partnerships with NGOs but only where it was needed to complement government’s own efforts. This meant that </w:t>
      </w:r>
      <w:r w:rsidR="00B71B22">
        <w:t>NGO-led service delivery model</w:t>
      </w:r>
      <w:r w:rsidR="00A6172C">
        <w:t xml:space="preserve"> (as proposed in the original project design) no longer corresponded to the government priorities in the social welfare sector.</w:t>
      </w:r>
    </w:p>
    <w:p w14:paraId="04698CAB" w14:textId="5410DDC8" w:rsidR="00B71B22" w:rsidRDefault="00B71B22" w:rsidP="00B71B22">
      <w:pPr>
        <w:pStyle w:val="ListParagraph"/>
        <w:ind w:left="360"/>
        <w:jc w:val="both"/>
      </w:pPr>
      <w:r>
        <w:t xml:space="preserve"> </w:t>
      </w:r>
    </w:p>
    <w:p w14:paraId="367B45A7" w14:textId="33FD03F0" w:rsidR="00B71B22" w:rsidRPr="00590BBC" w:rsidRDefault="00A6172C" w:rsidP="00B71B22">
      <w:pPr>
        <w:pStyle w:val="ListParagraph"/>
        <w:numPr>
          <w:ilvl w:val="0"/>
          <w:numId w:val="34"/>
        </w:numPr>
        <w:ind w:left="0" w:firstLine="360"/>
        <w:jc w:val="both"/>
      </w:pPr>
      <w:r w:rsidRPr="00590BBC">
        <w:t xml:space="preserve">Furthermore, </w:t>
      </w:r>
      <w:r w:rsidR="00B71B22" w:rsidRPr="00590BBC">
        <w:t xml:space="preserve">change in the institutional status of </w:t>
      </w:r>
      <w:r w:rsidR="00B71B22" w:rsidRPr="00B95669">
        <w:t>JPUF</w:t>
      </w:r>
      <w:r w:rsidRPr="00B95669">
        <w:t xml:space="preserve"> (see Section 1.3)</w:t>
      </w:r>
      <w:r w:rsidRPr="00590BBC">
        <w:t xml:space="preserve"> meant</w:t>
      </w:r>
      <w:r w:rsidR="00B71B22" w:rsidRPr="00590BBC">
        <w:t xml:space="preserve"> that the design of the disability component that relied on JPUF as a semi-autonomous body had to undergo </w:t>
      </w:r>
      <w:r w:rsidRPr="00590BBC">
        <w:t xml:space="preserve">even more </w:t>
      </w:r>
      <w:r w:rsidR="00C5191A" w:rsidRPr="00590BBC">
        <w:t>adjustment</w:t>
      </w:r>
      <w:r w:rsidR="00590BBC">
        <w:t xml:space="preserve">s. It also implied that JPUF as an institution </w:t>
      </w:r>
      <w:r w:rsidR="00041A36">
        <w:t>had to undergo another restructuring and also work with the Bank team to redesign the project in line with the revised thinking of the then government. Both of these processes were time taking.</w:t>
      </w:r>
    </w:p>
    <w:p w14:paraId="44470BE3" w14:textId="77777777" w:rsidR="00101018" w:rsidRDefault="00101018" w:rsidP="00101018">
      <w:pPr>
        <w:pStyle w:val="ListParagraph"/>
      </w:pPr>
    </w:p>
    <w:p w14:paraId="4215400D" w14:textId="115381FB" w:rsidR="00101018" w:rsidRDefault="00101018" w:rsidP="00B71B22">
      <w:pPr>
        <w:pStyle w:val="ListParagraph"/>
        <w:numPr>
          <w:ilvl w:val="0"/>
          <w:numId w:val="34"/>
        </w:numPr>
        <w:ind w:left="0" w:firstLine="360"/>
        <w:jc w:val="both"/>
      </w:pPr>
      <w:r>
        <w:t xml:space="preserve">The project team on the Bank side has also </w:t>
      </w:r>
      <w:r w:rsidR="00DE765F">
        <w:t xml:space="preserve">been altered </w:t>
      </w:r>
      <w:r>
        <w:t xml:space="preserve">with only two people remaining from the team at Appraisal. </w:t>
      </w:r>
      <w:r w:rsidR="00A6172C">
        <w:t xml:space="preserve">Therefore with significant changes on both sides almost a new dialogue had to be established, which required additional time and </w:t>
      </w:r>
      <w:r w:rsidR="00AA3CA3">
        <w:t xml:space="preserve">introduced </w:t>
      </w:r>
      <w:r w:rsidR="00A6172C">
        <w:t xml:space="preserve">additional political economy challenges on top of the already usually complicated discussions that surround project restructuring. </w:t>
      </w:r>
    </w:p>
    <w:p w14:paraId="1015D6B4" w14:textId="77777777" w:rsidR="00101018" w:rsidRDefault="00101018" w:rsidP="00101018">
      <w:pPr>
        <w:jc w:val="both"/>
      </w:pPr>
    </w:p>
    <w:p w14:paraId="49BD6A3B" w14:textId="5642E8B1" w:rsidR="00E54FDA" w:rsidRDefault="00A6172C" w:rsidP="00E54FDA">
      <w:pPr>
        <w:pStyle w:val="ListParagraph"/>
        <w:numPr>
          <w:ilvl w:val="0"/>
          <w:numId w:val="34"/>
        </w:numPr>
        <w:ind w:left="0" w:firstLine="360"/>
        <w:jc w:val="both"/>
      </w:pPr>
      <w:r>
        <w:t>Nonetheless, after yet another change in the Bank team leadership t</w:t>
      </w:r>
      <w:r w:rsidR="00E54FDA">
        <w:t xml:space="preserve">he </w:t>
      </w:r>
      <w:r>
        <w:t xml:space="preserve">project was successfully restructured in June 2011. The </w:t>
      </w:r>
      <w:r w:rsidR="00E54FDA">
        <w:t xml:space="preserve">restructured design of the project in 2011 reflected </w:t>
      </w:r>
      <w:r w:rsidR="00AA3CA3">
        <w:t xml:space="preserve">the </w:t>
      </w:r>
      <w:r>
        <w:t xml:space="preserve">government’s new priorities </w:t>
      </w:r>
      <w:r w:rsidR="00AA3CA3">
        <w:t xml:space="preserve">and its continued </w:t>
      </w:r>
      <w:r>
        <w:t>commitment to the cause of PWD and children-at-risk.  F</w:t>
      </w:r>
      <w:r w:rsidR="00E153CE">
        <w:t>urthermore, t</w:t>
      </w:r>
      <w:r w:rsidR="00E54FDA">
        <w:t xml:space="preserve">he </w:t>
      </w:r>
      <w:r w:rsidR="00E153CE">
        <w:t xml:space="preserve">revised </w:t>
      </w:r>
      <w:r w:rsidR="00E54FDA">
        <w:t xml:space="preserve">PDO </w:t>
      </w:r>
      <w:r w:rsidR="00E153CE">
        <w:t xml:space="preserve">not only improved </w:t>
      </w:r>
      <w:r w:rsidR="00A01774">
        <w:t xml:space="preserve">the </w:t>
      </w:r>
      <w:r w:rsidR="00E54FDA">
        <w:t>measurability</w:t>
      </w:r>
      <w:r w:rsidR="00E153CE">
        <w:t xml:space="preserve"> of the initial goal to expand and improve service delivery to PWDs and children-at-risk, but also </w:t>
      </w:r>
      <w:r w:rsidR="00E54FDA">
        <w:t>highlight</w:t>
      </w:r>
      <w:r w:rsidR="00E153CE">
        <w:t>ed</w:t>
      </w:r>
      <w:r w:rsidR="00E54FDA">
        <w:t xml:space="preserve"> the project’s </w:t>
      </w:r>
      <w:r w:rsidR="00AA3CA3">
        <w:t xml:space="preserve">commitment to </w:t>
      </w:r>
      <w:r w:rsidR="00E54FDA">
        <w:t xml:space="preserve">strengthening government owned systems for service delivery. </w:t>
      </w:r>
      <w:r w:rsidR="008B03E9">
        <w:t xml:space="preserve"> </w:t>
      </w:r>
    </w:p>
    <w:p w14:paraId="0A54BC43" w14:textId="77777777" w:rsidR="00AA3CA3" w:rsidRDefault="00AA3CA3" w:rsidP="00AA3CA3">
      <w:pPr>
        <w:pStyle w:val="ListParagraph"/>
      </w:pPr>
    </w:p>
    <w:p w14:paraId="010A4793" w14:textId="3A09E1CD" w:rsidR="00BE23CF" w:rsidRDefault="00AA3CA3" w:rsidP="00670E24">
      <w:pPr>
        <w:pStyle w:val="ListParagraph"/>
        <w:numPr>
          <w:ilvl w:val="0"/>
          <w:numId w:val="34"/>
        </w:numPr>
        <w:ind w:left="0" w:firstLine="360"/>
        <w:jc w:val="both"/>
      </w:pPr>
      <w:r>
        <w:t>The restructured project design was also informed by a thorough institutional assessment, which could serve as the evidence of learning from the initial phase o</w:t>
      </w:r>
      <w:r w:rsidR="00B509B8">
        <w:t xml:space="preserve">f project implementation. </w:t>
      </w:r>
      <w:r w:rsidR="005F29E9">
        <w:t>Furthermore, t</w:t>
      </w:r>
      <w:r w:rsidR="00B509B8">
        <w:t xml:space="preserve">he team has also significantly revised the results framework to improve its ability to measure progress towards the achievement of the PDO and to inform necessary adjustments in the course of implementation. </w:t>
      </w:r>
    </w:p>
    <w:p w14:paraId="7556354B" w14:textId="77777777" w:rsidR="00952A1F" w:rsidRDefault="00952A1F" w:rsidP="00952A1F">
      <w:pPr>
        <w:pStyle w:val="ListParagraph"/>
      </w:pPr>
    </w:p>
    <w:p w14:paraId="7F297ABA" w14:textId="13CDF04E" w:rsidR="00952A1F" w:rsidRDefault="00952A1F" w:rsidP="00670E24">
      <w:pPr>
        <w:pStyle w:val="ListParagraph"/>
        <w:numPr>
          <w:ilvl w:val="0"/>
          <w:numId w:val="34"/>
        </w:numPr>
        <w:ind w:left="0" w:firstLine="360"/>
        <w:jc w:val="both"/>
      </w:pPr>
      <w:r>
        <w:t>However, due to unusually complex restructuring that required not just an “Amendment to the Financing Agreement</w:t>
      </w:r>
      <w:r w:rsidRPr="00EC1535">
        <w:t>,</w:t>
      </w:r>
      <w:r>
        <w:t>”</w:t>
      </w:r>
      <w:r w:rsidRPr="00EC1535">
        <w:t xml:space="preserve"> </w:t>
      </w:r>
      <w:r>
        <w:t xml:space="preserve">but a reshaping of the Financing Agreement as </w:t>
      </w:r>
      <w:r w:rsidRPr="00EC1535">
        <w:t>“Amended and Restated Financing Agreement</w:t>
      </w:r>
      <w:r>
        <w:t>” it took about 18 months for restructuring related discussions to conclude in the form of a level 1 restructuring cleared by the Board in June 2011. And it took up to April 2012</w:t>
      </w:r>
      <w:r w:rsidR="00041A36">
        <w:t xml:space="preserve"> when</w:t>
      </w:r>
      <w:r>
        <w:t xml:space="preserve"> the first restructuring was declared effective.  </w:t>
      </w:r>
    </w:p>
    <w:p w14:paraId="02A1452F" w14:textId="77777777" w:rsidR="00E54FDA" w:rsidRDefault="00E54FDA" w:rsidP="00E54FDA">
      <w:pPr>
        <w:pStyle w:val="ListParagraph"/>
        <w:ind w:left="360"/>
        <w:jc w:val="both"/>
      </w:pPr>
    </w:p>
    <w:p w14:paraId="1A047053" w14:textId="79981C8A" w:rsidR="00E153CE" w:rsidRDefault="009B2EBB" w:rsidP="00885ED5">
      <w:pPr>
        <w:pStyle w:val="ListParagraph"/>
        <w:numPr>
          <w:ilvl w:val="0"/>
          <w:numId w:val="34"/>
        </w:numPr>
        <w:ind w:left="0" w:firstLine="360"/>
        <w:jc w:val="both"/>
      </w:pPr>
      <w:r>
        <w:t xml:space="preserve"> Restructuring undertaken in D</w:t>
      </w:r>
      <w:r w:rsidR="001C35FA">
        <w:t>ecember 2013 highlighted</w:t>
      </w:r>
      <w:r>
        <w:t xml:space="preserve"> further learning from implementation experience. The</w:t>
      </w:r>
      <w:r w:rsidR="001C35FA">
        <w:t xml:space="preserve"> </w:t>
      </w:r>
      <w:r w:rsidR="006A4819">
        <w:t xml:space="preserve">team </w:t>
      </w:r>
      <w:r w:rsidR="001C35FA">
        <w:t xml:space="preserve">took </w:t>
      </w:r>
      <w:r>
        <w:t>in</w:t>
      </w:r>
      <w:r w:rsidR="007D1DBB">
        <w:t>to</w:t>
      </w:r>
      <w:r>
        <w:t xml:space="preserve"> account: </w:t>
      </w:r>
    </w:p>
    <w:p w14:paraId="7A902A46" w14:textId="4BD2729B" w:rsidR="00E153CE" w:rsidRDefault="009B2EBB" w:rsidP="00010C31">
      <w:pPr>
        <w:pStyle w:val="ListParagraph"/>
        <w:numPr>
          <w:ilvl w:val="0"/>
          <w:numId w:val="39"/>
        </w:numPr>
        <w:jc w:val="both"/>
      </w:pPr>
      <w:r w:rsidRPr="00010C31">
        <w:rPr>
          <w:i/>
        </w:rPr>
        <w:t xml:space="preserve">the </w:t>
      </w:r>
      <w:r w:rsidR="007D1DBB" w:rsidRPr="00010C31">
        <w:rPr>
          <w:i/>
        </w:rPr>
        <w:t xml:space="preserve">pace </w:t>
      </w:r>
      <w:r w:rsidRPr="00010C31">
        <w:rPr>
          <w:i/>
        </w:rPr>
        <w:t>of implementation</w:t>
      </w:r>
      <w:r w:rsidR="00E153CE">
        <w:t xml:space="preserve">: </w:t>
      </w:r>
      <w:r w:rsidR="006A4819">
        <w:t>proposing an</w:t>
      </w:r>
      <w:r w:rsidR="00E153CE">
        <w:t xml:space="preserve"> </w:t>
      </w:r>
      <w:r>
        <w:t>extension to ensure the p</w:t>
      </w:r>
      <w:r w:rsidR="004D39F4">
        <w:t xml:space="preserve">roject achieves its objectives and partial cancellation </w:t>
      </w:r>
      <w:r w:rsidR="00E153CE">
        <w:t xml:space="preserve">to realistically reflect the possibilities given </w:t>
      </w:r>
      <w:r w:rsidR="004D39F4">
        <w:t>the speed of implementation;</w:t>
      </w:r>
      <w:r>
        <w:t xml:space="preserve"> </w:t>
      </w:r>
    </w:p>
    <w:p w14:paraId="0F00C5CC" w14:textId="1B813C6E" w:rsidR="00E153CE" w:rsidRDefault="004D39F4" w:rsidP="00010C31">
      <w:pPr>
        <w:pStyle w:val="ListParagraph"/>
        <w:numPr>
          <w:ilvl w:val="0"/>
          <w:numId w:val="39"/>
        </w:numPr>
        <w:jc w:val="both"/>
      </w:pPr>
      <w:r w:rsidRPr="00010C31">
        <w:rPr>
          <w:i/>
        </w:rPr>
        <w:t>further learning about the capacity of imp</w:t>
      </w:r>
      <w:r w:rsidR="001C35FA" w:rsidRPr="00010C31">
        <w:rPr>
          <w:i/>
        </w:rPr>
        <w:t>lementing agencies</w:t>
      </w:r>
      <w:r w:rsidR="00E153CE">
        <w:t xml:space="preserve">: </w:t>
      </w:r>
      <w:r w:rsidR="006A4819">
        <w:t>proposing</w:t>
      </w:r>
      <w:r>
        <w:t xml:space="preserve"> to focus solely on activities essential for the achievement of the PDO</w:t>
      </w:r>
      <w:r w:rsidR="001C35FA">
        <w:t xml:space="preserve"> and simplifi</w:t>
      </w:r>
      <w:r w:rsidR="00E153CE">
        <w:t>cation of</w:t>
      </w:r>
      <w:r w:rsidR="001C35FA">
        <w:t xml:space="preserve"> the design</w:t>
      </w:r>
      <w:r>
        <w:t xml:space="preserve">; </w:t>
      </w:r>
    </w:p>
    <w:p w14:paraId="325B4A9C" w14:textId="40B07006" w:rsidR="006A4819" w:rsidRDefault="004D39F4" w:rsidP="00010C31">
      <w:pPr>
        <w:pStyle w:val="ListParagraph"/>
        <w:numPr>
          <w:ilvl w:val="0"/>
          <w:numId w:val="39"/>
        </w:numPr>
        <w:jc w:val="both"/>
      </w:pPr>
      <w:r w:rsidRPr="00010C31">
        <w:rPr>
          <w:i/>
        </w:rPr>
        <w:t>learning about the costs of implementation</w:t>
      </w:r>
      <w:r w:rsidR="003B102B">
        <w:t xml:space="preserve">: </w:t>
      </w:r>
      <w:r w:rsidR="006A4819">
        <w:t>proposing</w:t>
      </w:r>
      <w:r w:rsidR="001C35FA">
        <w:t xml:space="preserve"> </w:t>
      </w:r>
      <w:r>
        <w:t xml:space="preserve">cancellations due to cost savings. </w:t>
      </w:r>
    </w:p>
    <w:p w14:paraId="3B08C63C" w14:textId="77777777" w:rsidR="00670E24" w:rsidRDefault="00670E24" w:rsidP="00010C31">
      <w:pPr>
        <w:pStyle w:val="ListParagraph"/>
        <w:ind w:left="1080"/>
        <w:jc w:val="both"/>
      </w:pPr>
    </w:p>
    <w:p w14:paraId="3C1A799C" w14:textId="622AEF41" w:rsidR="007A3040" w:rsidRPr="00D80408" w:rsidRDefault="00670E24" w:rsidP="00010C31">
      <w:pPr>
        <w:pStyle w:val="ListParagraph"/>
        <w:numPr>
          <w:ilvl w:val="0"/>
          <w:numId w:val="34"/>
        </w:numPr>
        <w:ind w:left="0" w:firstLine="360"/>
        <w:jc w:val="both"/>
      </w:pPr>
      <w:r>
        <w:t xml:space="preserve">The </w:t>
      </w:r>
      <w:r w:rsidR="007A3040">
        <w:t>project implementation still suffered from significant delays even as the government took more ownership of the project and as the design was simplified. More specifically</w:t>
      </w:r>
      <w:r w:rsidR="006365D1">
        <w:t>,</w:t>
      </w:r>
      <w:r w:rsidR="007A3040">
        <w:t xml:space="preserve"> </w:t>
      </w:r>
      <w:r>
        <w:t>slow pace of implementation noted in December 2013 restructuring</w:t>
      </w:r>
      <w:r w:rsidR="007A3040">
        <w:t xml:space="preserve"> and </w:t>
      </w:r>
      <w:r w:rsidR="006365D1">
        <w:t xml:space="preserve">again </w:t>
      </w:r>
      <w:r w:rsidR="007A3040">
        <w:t>later during March 2015 restructuring</w:t>
      </w:r>
      <w:r>
        <w:t xml:space="preserve"> </w:t>
      </w:r>
      <w:r w:rsidR="007A3040">
        <w:t>was a result of a combination of:</w:t>
      </w:r>
      <w:r w:rsidR="006365D1">
        <w:t xml:space="preserve"> </w:t>
      </w:r>
      <w:r>
        <w:t xml:space="preserve">(i) low capacity of implementing </w:t>
      </w:r>
      <w:r w:rsidR="007A3040">
        <w:t xml:space="preserve">agencies; and (ii) cumbersome government approval procedures required after each of the restructurings. The simplification of the project design that is observed in all of the restructurings paired with intensification of capacity building interventions was </w:t>
      </w:r>
      <w:r w:rsidR="007A3040" w:rsidRPr="00D80408">
        <w:t xml:space="preserve">necessary to address the first constraint. </w:t>
      </w:r>
    </w:p>
    <w:p w14:paraId="5B7960F5" w14:textId="77777777" w:rsidR="007A3040" w:rsidRPr="00D80408" w:rsidRDefault="007A3040" w:rsidP="007A3040">
      <w:pPr>
        <w:pStyle w:val="ListParagraph"/>
        <w:ind w:left="360"/>
        <w:jc w:val="both"/>
      </w:pPr>
    </w:p>
    <w:p w14:paraId="5AA9CF13" w14:textId="1772B907" w:rsidR="00670E24" w:rsidRPr="00D80408" w:rsidRDefault="007A3040" w:rsidP="00010C31">
      <w:pPr>
        <w:pStyle w:val="ListParagraph"/>
        <w:numPr>
          <w:ilvl w:val="0"/>
          <w:numId w:val="34"/>
        </w:numPr>
        <w:ind w:left="0" w:firstLine="360"/>
        <w:jc w:val="both"/>
      </w:pPr>
      <w:r w:rsidRPr="00D80408">
        <w:t xml:space="preserve">The second constraint comes from the need to submit the new Development Project Proposal (DPP) for approval of the ERD after each one of the major restructurings. </w:t>
      </w:r>
      <w:r w:rsidR="00D80408" w:rsidRPr="00D80408">
        <w:t>For instance, t</w:t>
      </w:r>
      <w:r w:rsidRPr="00D80408">
        <w:t xml:space="preserve">he </w:t>
      </w:r>
      <w:r w:rsidR="006258B2" w:rsidRPr="00D80408">
        <w:t xml:space="preserve">Revised </w:t>
      </w:r>
      <w:r w:rsidRPr="00D80408">
        <w:t xml:space="preserve">DPP </w:t>
      </w:r>
      <w:r w:rsidR="00D80408" w:rsidRPr="00D80408">
        <w:t>necessary after the first restructuring</w:t>
      </w:r>
      <w:r w:rsidR="006258B2" w:rsidRPr="00D80408">
        <w:t xml:space="preserve"> </w:t>
      </w:r>
      <w:r w:rsidR="00D80408" w:rsidRPr="00D80408">
        <w:t xml:space="preserve">(for both JPUF and DSS) </w:t>
      </w:r>
      <w:r w:rsidR="006258B2" w:rsidRPr="00D80408">
        <w:t xml:space="preserve">was approved in December 2011, while the Board had cleared </w:t>
      </w:r>
      <w:r w:rsidR="00D80408" w:rsidRPr="00D80408">
        <w:t>the restructuring in June 2011.</w:t>
      </w:r>
      <w:r w:rsidR="006258B2" w:rsidRPr="00D80408">
        <w:t xml:space="preserve"> </w:t>
      </w:r>
    </w:p>
    <w:p w14:paraId="7A20577F" w14:textId="77777777" w:rsidR="00C26391" w:rsidRDefault="00C26391" w:rsidP="00C26391">
      <w:pPr>
        <w:pStyle w:val="ListParagraph"/>
      </w:pPr>
    </w:p>
    <w:p w14:paraId="51606570" w14:textId="4F46AFF0" w:rsidR="00C26391" w:rsidRDefault="00C26391" w:rsidP="00010C31">
      <w:pPr>
        <w:pStyle w:val="ListParagraph"/>
        <w:numPr>
          <w:ilvl w:val="0"/>
          <w:numId w:val="34"/>
        </w:numPr>
        <w:ind w:left="0" w:firstLine="360"/>
        <w:jc w:val="both"/>
      </w:pPr>
      <w:r>
        <w:t>Additionally, each restructuring was used to reflect learning about implementing agencies’ capacity and aspirations. For example, mobile therapy vans were added during the restructuring of 2015 as a way to increase the outreach. While it could be a potentially risky step given the additional procurement capacity it required, it was the step that the implementing agency was willing to take on board and has successfully made happen by the close of the project</w:t>
      </w:r>
    </w:p>
    <w:p w14:paraId="690D1A73" w14:textId="77777777" w:rsidR="006365D1" w:rsidRDefault="006365D1" w:rsidP="006365D1">
      <w:pPr>
        <w:pStyle w:val="ListParagraph"/>
      </w:pPr>
    </w:p>
    <w:p w14:paraId="24298CD9" w14:textId="65D85F27" w:rsidR="006365D1" w:rsidRDefault="00C26391" w:rsidP="00010C31">
      <w:pPr>
        <w:pStyle w:val="ListParagraph"/>
        <w:numPr>
          <w:ilvl w:val="0"/>
          <w:numId w:val="34"/>
        </w:numPr>
        <w:ind w:left="0" w:firstLine="360"/>
        <w:jc w:val="both"/>
      </w:pPr>
      <w:r>
        <w:t>Overall</w:t>
      </w:r>
      <w:r w:rsidR="006365D1">
        <w:t xml:space="preserve">, </w:t>
      </w:r>
      <w:r w:rsidR="00BB4772">
        <w:t xml:space="preserve">despite a rather rough start and chronic delays </w:t>
      </w:r>
      <w:r w:rsidR="006365D1">
        <w:t>the project</w:t>
      </w:r>
      <w:r>
        <w:t xml:space="preserve"> implementation followed a</w:t>
      </w:r>
      <w:r w:rsidR="00BB4772">
        <w:t xml:space="preserve"> </w:t>
      </w:r>
      <w:r>
        <w:t xml:space="preserve">generally </w:t>
      </w:r>
      <w:r w:rsidR="006365D1">
        <w:t>upward trajectory</w:t>
      </w:r>
      <w:r w:rsidR="00BB4772">
        <w:t xml:space="preserve"> starting with the first restructuring. Each subsequent restructuring built on the learnings from the previous phase of implementation in terms of gradually simplifying the project design and identifying the critical a</w:t>
      </w:r>
      <w:r>
        <w:t>ctivities that had</w:t>
      </w:r>
      <w:r w:rsidR="00BB4772">
        <w:t xml:space="preserve"> to be prioritized to reach the PDO.</w:t>
      </w:r>
    </w:p>
    <w:p w14:paraId="7C3758B4" w14:textId="77777777" w:rsidR="00C67D43" w:rsidRDefault="00C67D43" w:rsidP="00C67D43">
      <w:bookmarkStart w:id="125" w:name="SEC72"/>
      <w:bookmarkEnd w:id="125"/>
    </w:p>
    <w:p w14:paraId="7252E381" w14:textId="77777777" w:rsidR="00C67D43" w:rsidRDefault="00C67D43">
      <w:pPr>
        <w:pStyle w:val="Heading3"/>
      </w:pPr>
      <w:r>
        <w:t>2.3 Monitoring and Evaluation (M&amp;E) Design, Implementation and Utilization</w:t>
      </w:r>
    </w:p>
    <w:p w14:paraId="70EEBE47" w14:textId="77777777" w:rsidR="00D1184D" w:rsidRDefault="00D1184D" w:rsidP="00C67D43">
      <w:bookmarkStart w:id="126" w:name="SEC73"/>
      <w:bookmarkEnd w:id="126"/>
    </w:p>
    <w:p w14:paraId="4B855DD3" w14:textId="573FB321" w:rsidR="003C28F9" w:rsidRDefault="00D1184D" w:rsidP="006365D1">
      <w:pPr>
        <w:pStyle w:val="ListParagraph"/>
        <w:numPr>
          <w:ilvl w:val="0"/>
          <w:numId w:val="34"/>
        </w:numPr>
        <w:ind w:left="0" w:firstLine="360"/>
        <w:jc w:val="both"/>
      </w:pPr>
      <w:r w:rsidRPr="006365D1">
        <w:rPr>
          <w:b/>
          <w:i/>
        </w:rPr>
        <w:t>Design:</w:t>
      </w:r>
      <w:r>
        <w:t xml:space="preserve"> The PAD Annex 3 contained 4 PDO indicators; 6 intermediate outcome (IO) indicators for Component 1; 3 IO indicators for Component 2; and 2 IO indicators for Component 3. </w:t>
      </w:r>
      <w:r w:rsidR="006365D1">
        <w:t xml:space="preserve"> I</w:t>
      </w:r>
      <w:r>
        <w:t xml:space="preserve">t can be argued that the initial M&amp;E framework </w:t>
      </w:r>
      <w:r w:rsidR="00DA2D24">
        <w:t xml:space="preserve">introduced at the design stage </w:t>
      </w:r>
      <w:r>
        <w:t>could</w:t>
      </w:r>
      <w:r w:rsidR="00DA2D24">
        <w:t xml:space="preserve"> have</w:t>
      </w:r>
      <w:r>
        <w:t xml:space="preserve"> be</w:t>
      </w:r>
      <w:r w:rsidR="00DA2D24">
        <w:t>en</w:t>
      </w:r>
      <w:r>
        <w:t xml:space="preserve"> strengthened </w:t>
      </w:r>
      <w:r w:rsidR="00465D44">
        <w:t>to reflect the theory of change behind the project interventions in a more measurable and conservative way.</w:t>
      </w:r>
      <w:r w:rsidR="00DA2D24">
        <w:t xml:space="preserve"> More specifically</w:t>
      </w:r>
      <w:r w:rsidR="00B44811">
        <w:t>,</w:t>
      </w:r>
      <w:r w:rsidR="00DA2D24">
        <w:t xml:space="preserve"> the original PDO </w:t>
      </w:r>
      <w:r w:rsidR="00281A26">
        <w:t xml:space="preserve">aims to </w:t>
      </w:r>
      <w:r w:rsidR="00CB260F">
        <w:t>address the</w:t>
      </w:r>
      <w:r w:rsidR="00281A26">
        <w:t xml:space="preserve"> improvements in terms of coverage, use and quality of services provided to PWDs and children-at-risk. However, only one PDO indicator</w:t>
      </w:r>
      <w:r w:rsidR="009D390D">
        <w:t xml:space="preserve"> out of four</w:t>
      </w:r>
      <w:r w:rsidR="00CB260F">
        <w:t xml:space="preserve"> measure</w:t>
      </w:r>
      <w:r w:rsidR="00B44811">
        <w:t>d</w:t>
      </w:r>
      <w:r w:rsidR="00CB260F">
        <w:t xml:space="preserve"> the increase in coverage. Another one “30% increase in early detection of disabilities and impairments” potentially</w:t>
      </w:r>
      <w:r w:rsidR="009D390D">
        <w:t xml:space="preserve"> could have</w:t>
      </w:r>
      <w:r w:rsidR="00CB260F">
        <w:t xml:space="preserve"> measure</w:t>
      </w:r>
      <w:r w:rsidR="00B44811">
        <w:t xml:space="preserve">d </w:t>
      </w:r>
      <w:r w:rsidR="00CB260F">
        <w:t xml:space="preserve">use and quality.  But the remaining two PDO indicators </w:t>
      </w:r>
      <w:r w:rsidR="00465D44">
        <w:t xml:space="preserve">“10% of increase of PWD in the workforce” and “30% of the participating street children attend formal or </w:t>
      </w:r>
      <w:r w:rsidR="00367F9C">
        <w:t>non-formal</w:t>
      </w:r>
      <w:r w:rsidR="00465D44">
        <w:t xml:space="preserve"> education, or training</w:t>
      </w:r>
      <w:r w:rsidR="00CB260F">
        <w:t>” seem</w:t>
      </w:r>
      <w:r w:rsidR="00B44811">
        <w:t>ed</w:t>
      </w:r>
      <w:r w:rsidR="00CB260F">
        <w:t xml:space="preserve"> to be addressing outcomes beyond the PDO and also </w:t>
      </w:r>
      <w:r w:rsidR="009D390D">
        <w:t>could not have been</w:t>
      </w:r>
      <w:r w:rsidR="00880449">
        <w:t xml:space="preserve"> </w:t>
      </w:r>
      <w:r w:rsidR="009D390D">
        <w:t xml:space="preserve">clearly </w:t>
      </w:r>
      <w:r w:rsidR="00880449">
        <w:t xml:space="preserve">attributed </w:t>
      </w:r>
      <w:r w:rsidR="00367F9C">
        <w:t>to the project. Thus</w:t>
      </w:r>
      <w:r w:rsidR="00B44811">
        <w:t>,</w:t>
      </w:r>
      <w:r w:rsidR="006365D1">
        <w:t xml:space="preserve"> even absent the change in the project design the original M&amp;E framework would have required revisions to improve its ability to track progress towards the PDO and to inform project implementation</w:t>
      </w:r>
      <w:r w:rsidR="00367F9C">
        <w:t xml:space="preserve">. </w:t>
      </w:r>
    </w:p>
    <w:p w14:paraId="6DE8A7C1" w14:textId="77777777" w:rsidR="003C28F9" w:rsidRDefault="003C28F9" w:rsidP="00010C31">
      <w:pPr>
        <w:pStyle w:val="ListParagraph"/>
        <w:ind w:left="360"/>
        <w:jc w:val="both"/>
      </w:pPr>
    </w:p>
    <w:p w14:paraId="56F0D696" w14:textId="734AF7A4" w:rsidR="00D400B9" w:rsidRDefault="00367F9C" w:rsidP="00010C31">
      <w:pPr>
        <w:pStyle w:val="ListParagraph"/>
        <w:numPr>
          <w:ilvl w:val="0"/>
          <w:numId w:val="34"/>
        </w:numPr>
        <w:ind w:left="0" w:firstLine="360"/>
        <w:jc w:val="both"/>
      </w:pPr>
      <w:r w:rsidRPr="00010C31">
        <w:rPr>
          <w:b/>
          <w:i/>
        </w:rPr>
        <w:t>Implementation:</w:t>
      </w:r>
      <w:r w:rsidRPr="00010C31">
        <w:t xml:space="preserve"> </w:t>
      </w:r>
      <w:r w:rsidR="00B44811">
        <w:t>The entire</w:t>
      </w:r>
      <w:r>
        <w:t xml:space="preserve"> M&amp;E framework was revised during restructuring in </w:t>
      </w:r>
      <w:r w:rsidR="00310B1F">
        <w:t xml:space="preserve">June </w:t>
      </w:r>
      <w:r>
        <w:t>2011</w:t>
      </w:r>
      <w:r w:rsidR="0013587C">
        <w:t>. As mentioned above</w:t>
      </w:r>
      <w:r w:rsidR="00B44811">
        <w:t>,</w:t>
      </w:r>
      <w:r w:rsidR="0013587C">
        <w:t xml:space="preserve"> this</w:t>
      </w:r>
      <w:r>
        <w:t xml:space="preserve"> mainly reflected </w:t>
      </w:r>
      <w:r w:rsidR="0013587C">
        <w:t xml:space="preserve">a rather drastic change in </w:t>
      </w:r>
      <w:r>
        <w:t>project structure and priorities. However,</w:t>
      </w:r>
      <w:r w:rsidR="0013587C">
        <w:t xml:space="preserve"> revision of the framework in 2011</w:t>
      </w:r>
      <w:r>
        <w:t xml:space="preserve"> also </w:t>
      </w:r>
      <w:r w:rsidR="0013587C">
        <w:t xml:space="preserve">reflected a more practical </w:t>
      </w:r>
      <w:r>
        <w:t>approach to M&amp;E by introducing a cautiously conservati</w:t>
      </w:r>
      <w:r w:rsidR="00574498">
        <w:t xml:space="preserve">ve output based framework with significantly improved </w:t>
      </w:r>
      <w:r w:rsidR="00880449">
        <w:t>attribution</w:t>
      </w:r>
      <w:r w:rsidR="0013587C">
        <w:t xml:space="preserve">. </w:t>
      </w:r>
      <w:r w:rsidR="00E37D81">
        <w:t>The M&amp;E framework was</w:t>
      </w:r>
      <w:r w:rsidR="00310B1F" w:rsidRPr="00310B1F">
        <w:t xml:space="preserve"> further revised during </w:t>
      </w:r>
      <w:r w:rsidR="00B44811">
        <w:t xml:space="preserve">the </w:t>
      </w:r>
      <w:r w:rsidR="00310B1F" w:rsidRPr="00310B1F">
        <w:t>second restructuring</w:t>
      </w:r>
      <w:r w:rsidR="00B44811">
        <w:t xml:space="preserve"> in 2013</w:t>
      </w:r>
      <w:r w:rsidR="00310B1F" w:rsidRPr="00310B1F">
        <w:t xml:space="preserve"> to properly </w:t>
      </w:r>
      <w:r w:rsidR="00BC2100" w:rsidRPr="00310B1F">
        <w:t>reflect</w:t>
      </w:r>
      <w:r w:rsidR="00BC2100">
        <w:t xml:space="preserve"> </w:t>
      </w:r>
      <w:r w:rsidR="00BC2100" w:rsidRPr="00310B1F">
        <w:t>streamlining</w:t>
      </w:r>
      <w:r w:rsidR="00310B1F" w:rsidRPr="00310B1F">
        <w:t xml:space="preserve"> of the critical activities </w:t>
      </w:r>
      <w:r w:rsidR="00310B1F">
        <w:t xml:space="preserve">of the project </w:t>
      </w:r>
      <w:r w:rsidR="00310B1F" w:rsidRPr="00310B1F">
        <w:t xml:space="preserve">and dropping of the non-essential ones. </w:t>
      </w:r>
    </w:p>
    <w:p w14:paraId="363D3AD5" w14:textId="77777777" w:rsidR="00D400B9" w:rsidRDefault="00D400B9" w:rsidP="00010C31">
      <w:pPr>
        <w:pStyle w:val="ListParagraph"/>
        <w:jc w:val="both"/>
      </w:pPr>
    </w:p>
    <w:p w14:paraId="1A5E8329" w14:textId="0FD12D98" w:rsidR="00310B1F" w:rsidRPr="00310B1F" w:rsidRDefault="00E37D81" w:rsidP="00010C31">
      <w:pPr>
        <w:pStyle w:val="ListParagraph"/>
        <w:numPr>
          <w:ilvl w:val="0"/>
          <w:numId w:val="34"/>
        </w:numPr>
        <w:ind w:left="0" w:firstLine="360"/>
        <w:jc w:val="both"/>
      </w:pPr>
      <w:r>
        <w:t>The resulting M&amp;E framework remained</w:t>
      </w:r>
      <w:r w:rsidR="00310B1F" w:rsidRPr="00310B1F">
        <w:t xml:space="preserve"> conservative</w:t>
      </w:r>
      <w:r>
        <w:t xml:space="preserve"> and output oriented</w:t>
      </w:r>
      <w:r w:rsidR="00B44811">
        <w:t xml:space="preserve"> which matched the revised PDO better</w:t>
      </w:r>
      <w:r>
        <w:t xml:space="preserve">, but </w:t>
      </w:r>
      <w:r w:rsidR="00B44811">
        <w:t xml:space="preserve">also </w:t>
      </w:r>
      <w:r>
        <w:t>allowed</w:t>
      </w:r>
      <w:r w:rsidR="00B44811">
        <w:t xml:space="preserve"> for a more</w:t>
      </w:r>
      <w:r w:rsidR="00310B1F" w:rsidRPr="00310B1F">
        <w:t xml:space="preserve"> effective measure </w:t>
      </w:r>
      <w:r w:rsidR="00B44811">
        <w:t xml:space="preserve">of </w:t>
      </w:r>
      <w:r w:rsidR="00310B1F" w:rsidRPr="00310B1F">
        <w:t xml:space="preserve">progress towards the PDO. </w:t>
      </w:r>
      <w:r>
        <w:t>More specifically</w:t>
      </w:r>
      <w:r w:rsidR="00B44811">
        <w:t>,</w:t>
      </w:r>
      <w:r>
        <w:t xml:space="preserve"> it allowed</w:t>
      </w:r>
      <w:r w:rsidR="00CE7C45">
        <w:t xml:space="preserve"> to assess progress towards expansion of coverage and improvement of quality of services provided to PWDs and children-at-risk through PDO indicators such as “number of people with disabilities receiving services,” “number of direct beneficiaries”, “number of children-at-risk re-integrated”, and “share of beneficiaries expressing satisfaction with services received at DSCs”</w:t>
      </w:r>
      <w:r w:rsidR="00B44811">
        <w:t xml:space="preserve"> as a proxy indicator for quality</w:t>
      </w:r>
      <w:r w:rsidR="00CE7C45">
        <w:t xml:space="preserve">.  </w:t>
      </w:r>
      <w:r>
        <w:t>It also further allowed</w:t>
      </w:r>
      <w:r w:rsidR="00CE7C45">
        <w:t xml:space="preserve"> to assess </w:t>
      </w:r>
      <w:r w:rsidR="00E22A19">
        <w:t xml:space="preserve">if </w:t>
      </w:r>
      <w:r w:rsidR="00CE7C45">
        <w:t>the expanded coverage and improved quality could be attributed to the strengthening of and scaling up of government service delivery system</w:t>
      </w:r>
      <w:r w:rsidR="00291D20">
        <w:t>s</w:t>
      </w:r>
      <w:r w:rsidR="00CE7C45">
        <w:t xml:space="preserve"> throu</w:t>
      </w:r>
      <w:r w:rsidR="00E22A19">
        <w:t xml:space="preserve">gh a host of intermediate results indicators </w:t>
      </w:r>
      <w:r>
        <w:t>(</w:t>
      </w:r>
      <w:r w:rsidR="00E22A19">
        <w:t>including such indicators as number of IDSCs and IPSCs</w:t>
      </w:r>
      <w:r>
        <w:t>)</w:t>
      </w:r>
      <w:r w:rsidR="00E22A19">
        <w:t xml:space="preserve"> and PDO indicators such as “share of DSC staff that attain a minimum score on technical skills assessment.” </w:t>
      </w:r>
      <w:r w:rsidR="00396626">
        <w:t xml:space="preserve">The strengthening itself was also assessed through the indicator tracking the development of the MIS. </w:t>
      </w:r>
    </w:p>
    <w:p w14:paraId="63DDC565" w14:textId="77777777" w:rsidR="00310B1F" w:rsidRDefault="00310B1F" w:rsidP="00010C31"/>
    <w:p w14:paraId="6CCFBB06" w14:textId="306629EE" w:rsidR="00310B1F" w:rsidRDefault="00E37D81" w:rsidP="00310B1F">
      <w:pPr>
        <w:pStyle w:val="ListParagraph"/>
        <w:numPr>
          <w:ilvl w:val="0"/>
          <w:numId w:val="34"/>
        </w:numPr>
        <w:ind w:left="0" w:firstLine="360"/>
        <w:jc w:val="both"/>
      </w:pPr>
      <w:r w:rsidRPr="00010C31">
        <w:rPr>
          <w:b/>
          <w:i/>
        </w:rPr>
        <w:t>Utilization:</w:t>
      </w:r>
      <w:r>
        <w:t xml:space="preserve"> </w:t>
      </w:r>
      <w:r w:rsidR="00B44811">
        <w:t>During implementation,</w:t>
      </w:r>
      <w:r>
        <w:t xml:space="preserve"> </w:t>
      </w:r>
      <w:r w:rsidR="00310B1F" w:rsidRPr="00310B1F">
        <w:t>all indicators were carefully monitored</w:t>
      </w:r>
      <w:r>
        <w:t xml:space="preserve"> </w:t>
      </w:r>
      <w:r w:rsidR="00B44811">
        <w:t>and</w:t>
      </w:r>
      <w:r w:rsidR="00310B1F" w:rsidRPr="00310B1F">
        <w:t xml:space="preserve"> both administrative data and third</w:t>
      </w:r>
      <w:r>
        <w:t xml:space="preserve"> party spot checks</w:t>
      </w:r>
      <w:r w:rsidR="00B44811">
        <w:t xml:space="preserve"> were used</w:t>
      </w:r>
      <w:r>
        <w:t>. There were two</w:t>
      </w:r>
      <w:r w:rsidR="00AE18A6">
        <w:t xml:space="preserve"> third party spot checks </w:t>
      </w:r>
      <w:r w:rsidR="00310B1F" w:rsidRPr="00310B1F">
        <w:t xml:space="preserve">covering </w:t>
      </w:r>
      <w:r>
        <w:t xml:space="preserve">DSCs, </w:t>
      </w:r>
      <w:r w:rsidR="00310B1F" w:rsidRPr="00310B1F">
        <w:t>ICPSCs, beneficiaries, and communities. The findings inf</w:t>
      </w:r>
      <w:r w:rsidR="00AE18A6">
        <w:t>ormed the implementing agencies</w:t>
      </w:r>
      <w:r w:rsidR="00310B1F" w:rsidRPr="00310B1F">
        <w:t xml:space="preserve"> an</w:t>
      </w:r>
      <w:r w:rsidR="00AE18A6">
        <w:t xml:space="preserve">d helped them to identify changes necessary to improve </w:t>
      </w:r>
      <w:r w:rsidR="00310B1F" w:rsidRPr="00310B1F">
        <w:t xml:space="preserve">quality of services. </w:t>
      </w:r>
      <w:r w:rsidR="00870D27">
        <w:t>Furthermore, the survey instruments used during these spot checks were customized for both JPUF and DSS to use during their own regular monitoring activities</w:t>
      </w:r>
      <w:r w:rsidR="00AE18A6">
        <w:t xml:space="preserve"> in the future</w:t>
      </w:r>
      <w:r w:rsidR="00870D27">
        <w:t>.  Lastly</w:t>
      </w:r>
      <w:r>
        <w:t>, project M&amp;E supported two stakeholder</w:t>
      </w:r>
      <w:r w:rsidR="00310B1F" w:rsidRPr="00310B1F">
        <w:t xml:space="preserve"> workshops</w:t>
      </w:r>
      <w:r w:rsidR="00870D27">
        <w:t xml:space="preserve"> in 2014 and 2016</w:t>
      </w:r>
      <w:r w:rsidR="00310B1F" w:rsidRPr="00310B1F">
        <w:t xml:space="preserve"> t</w:t>
      </w:r>
      <w:r w:rsidR="00870D27">
        <w:t xml:space="preserve">hat allowed to share the results of the </w:t>
      </w:r>
      <w:r w:rsidR="009F1708">
        <w:t xml:space="preserve">spot checks and process studies </w:t>
      </w:r>
      <w:r w:rsidR="00870D27">
        <w:t xml:space="preserve">and </w:t>
      </w:r>
      <w:r w:rsidR="001B2CEE">
        <w:t xml:space="preserve">collaboratively identify </w:t>
      </w:r>
      <w:r w:rsidR="00870D27">
        <w:t>approaches to improve project performance.</w:t>
      </w:r>
    </w:p>
    <w:p w14:paraId="3AB1D9F4" w14:textId="77777777" w:rsidR="000941CF" w:rsidRPr="000941CF" w:rsidRDefault="000941CF" w:rsidP="000941CF">
      <w:pPr>
        <w:pStyle w:val="ListParagraph"/>
        <w:rPr>
          <w:b/>
          <w:i/>
        </w:rPr>
      </w:pPr>
    </w:p>
    <w:p w14:paraId="1A84D06C" w14:textId="77777777" w:rsidR="00C67D43" w:rsidRDefault="00C67D43">
      <w:pPr>
        <w:pStyle w:val="Heading3"/>
      </w:pPr>
      <w:r>
        <w:t>2.4 Sa</w:t>
      </w:r>
      <w:r w:rsidR="001C6B3E">
        <w:t>feguard and Fiduciary Compliance</w:t>
      </w:r>
    </w:p>
    <w:p w14:paraId="395D24D9" w14:textId="6D9439A1" w:rsidR="005967AD" w:rsidRPr="00054BCC" w:rsidRDefault="00260D48" w:rsidP="00010C31">
      <w:pPr>
        <w:jc w:val="both"/>
        <w:rPr>
          <w:sz w:val="22"/>
        </w:rPr>
      </w:pPr>
      <w:bookmarkStart w:id="127" w:name="SEC74"/>
      <w:bookmarkEnd w:id="127"/>
      <w:r w:rsidRPr="00054BCC">
        <w:rPr>
          <w:b/>
          <w:sz w:val="22"/>
        </w:rPr>
        <w:t>Procurement</w:t>
      </w:r>
    </w:p>
    <w:p w14:paraId="0E77F7CB" w14:textId="353898E1" w:rsidR="005967AD" w:rsidRDefault="00B44811" w:rsidP="00010C31">
      <w:pPr>
        <w:pStyle w:val="ListParagraph"/>
        <w:numPr>
          <w:ilvl w:val="0"/>
          <w:numId w:val="34"/>
        </w:numPr>
        <w:ind w:left="0" w:firstLine="360"/>
        <w:jc w:val="both"/>
      </w:pPr>
      <w:r>
        <w:t>All planned</w:t>
      </w:r>
      <w:r w:rsidR="005967AD">
        <w:t xml:space="preserve"> procurement of goods and services </w:t>
      </w:r>
      <w:r>
        <w:t>was</w:t>
      </w:r>
      <w:r w:rsidR="005967AD">
        <w:t xml:space="preserve"> completed within the implementation period. Fou</w:t>
      </w:r>
      <w:r w:rsidR="005967AD" w:rsidRPr="005967AD">
        <w:t>r cases of misprocurement of contracts were identified during the period FY 2011 to FY 2013 (two contracts from DS</w:t>
      </w:r>
      <w:r w:rsidR="005967AD">
        <w:t>S and two contracts from JPUF</w:t>
      </w:r>
      <w:r w:rsidR="008E1844">
        <w:t xml:space="preserve">). All of the packages together amounted to a total of approximately US$ 50,000. They were primarily towards procurement of goods. The ineligible expenditures were in the process of being refunded (as on August 2016). </w:t>
      </w:r>
    </w:p>
    <w:p w14:paraId="554305E2" w14:textId="77777777" w:rsidR="005967AD" w:rsidRDefault="005967AD" w:rsidP="00010C31">
      <w:pPr>
        <w:pStyle w:val="ListParagraph"/>
        <w:ind w:left="360"/>
        <w:jc w:val="both"/>
      </w:pPr>
    </w:p>
    <w:p w14:paraId="03340A9A" w14:textId="4CEE8FE3" w:rsidR="005967AD" w:rsidRPr="005967AD" w:rsidRDefault="005967AD" w:rsidP="00010C31">
      <w:pPr>
        <w:pStyle w:val="ListParagraph"/>
        <w:numPr>
          <w:ilvl w:val="0"/>
          <w:numId w:val="34"/>
        </w:numPr>
        <w:ind w:left="0" w:firstLine="360"/>
        <w:jc w:val="both"/>
      </w:pPr>
      <w:r w:rsidRPr="005967AD">
        <w:t xml:space="preserve">The DSS and JPUF with the support of procurement consultants </w:t>
      </w:r>
      <w:r w:rsidR="00B44811">
        <w:t>were</w:t>
      </w:r>
      <w:r w:rsidRPr="005967AD">
        <w:t xml:space="preserve"> responsible for all procurement under the project. At the time of appraisal</w:t>
      </w:r>
      <w:r w:rsidR="00B44811">
        <w:t>,</w:t>
      </w:r>
      <w:r w:rsidRPr="005967AD">
        <w:t xml:space="preserve"> the team rated the procurement risk as “</w:t>
      </w:r>
      <w:r w:rsidRPr="00010C31">
        <w:rPr>
          <w:i/>
        </w:rPr>
        <w:t>Substantial</w:t>
      </w:r>
      <w:r w:rsidRPr="005967AD">
        <w:t>” before mitigation and as “</w:t>
      </w:r>
      <w:r w:rsidRPr="00010C31">
        <w:rPr>
          <w:i/>
        </w:rPr>
        <w:t>Moderate</w:t>
      </w:r>
      <w:r w:rsidRPr="005967AD">
        <w:t>” after mitigation. The mitigation strategy included setting up of a separate unit for procurement under JPUF and provision of procurement related technical assistance from the project to DSS. Following the first restructuring fiduciary arrangement</w:t>
      </w:r>
      <w:r w:rsidR="00EC1B69">
        <w:t>s</w:t>
      </w:r>
      <w:r w:rsidRPr="005967AD">
        <w:t xml:space="preserve"> and measures associated with fiduciary risks did not change significantly.</w:t>
      </w:r>
      <w:r w:rsidR="00EC1B69">
        <w:t xml:space="preserve"> Additionally</w:t>
      </w:r>
      <w:r w:rsidRPr="005967AD">
        <w:t xml:space="preserve">, by the time of the first restructuring both JPUF and DSS had hired procurement specialists, which could serve as an indication of an improved procurement capacity even though further measures had to be undertaken.  Nonetheless, both DSS and JPUF were not able to retain qualified staff due to below market salaries and both the MTR Mission in December 2012 and restructuring paper from December 2013 highlighted significant concerns in </w:t>
      </w:r>
      <w:r w:rsidR="00C16565">
        <w:t>this regard</w:t>
      </w:r>
      <w:r w:rsidRPr="005967AD">
        <w:t>.</w:t>
      </w:r>
      <w:r w:rsidR="00C16565">
        <w:t xml:space="preserve"> </w:t>
      </w:r>
      <w:r w:rsidR="007042AF">
        <w:t>The restructuring paper of December 2013 identifies the weak administrative capacity pertaining to both financial management and procurement as a risk.</w:t>
      </w:r>
      <w:r w:rsidRPr="005967AD">
        <w:t xml:space="preserve"> </w:t>
      </w:r>
      <w:r w:rsidR="007042AF">
        <w:t xml:space="preserve">This paper </w:t>
      </w:r>
      <w:r w:rsidRPr="005967AD">
        <w:t>suggested additional mitigating measures that included provision of training on procurement to the implementing agency staff and post review for most common pro</w:t>
      </w:r>
      <w:r w:rsidR="006319BA">
        <w:t xml:space="preserve">curement procedures. Further measures were suggested during subsequent supervision missions including prior review for all direct procurement and single source selection contracts regardless of the amount. </w:t>
      </w:r>
    </w:p>
    <w:p w14:paraId="799A979E" w14:textId="77777777" w:rsidR="00207772" w:rsidRDefault="00207772" w:rsidP="00010C31">
      <w:pPr>
        <w:jc w:val="both"/>
      </w:pPr>
    </w:p>
    <w:p w14:paraId="6262A691" w14:textId="77777777" w:rsidR="00260D48" w:rsidRPr="00874EF0" w:rsidRDefault="00260D48" w:rsidP="00260D48">
      <w:pPr>
        <w:jc w:val="both"/>
        <w:rPr>
          <w:b/>
          <w:sz w:val="22"/>
        </w:rPr>
      </w:pPr>
      <w:r w:rsidRPr="00874EF0">
        <w:rPr>
          <w:b/>
          <w:sz w:val="22"/>
        </w:rPr>
        <w:t>Financial Management</w:t>
      </w:r>
    </w:p>
    <w:p w14:paraId="7D9CF29F" w14:textId="414FE652" w:rsidR="00260D48" w:rsidRDefault="0096774F" w:rsidP="0096774F">
      <w:pPr>
        <w:pStyle w:val="ListParagraph"/>
        <w:numPr>
          <w:ilvl w:val="0"/>
          <w:numId w:val="34"/>
        </w:numPr>
        <w:ind w:left="0" w:firstLine="270"/>
        <w:jc w:val="both"/>
      </w:pPr>
      <w:r>
        <w:t xml:space="preserve">By the closing of the project there were no outstanding interim financial reports or audit reports. </w:t>
      </w:r>
      <w:r w:rsidR="00AE3E96">
        <w:t>At the time of appraisal t</w:t>
      </w:r>
      <w:r w:rsidR="00260D48" w:rsidRPr="00790A86">
        <w:t xml:space="preserve">he project rated the </w:t>
      </w:r>
      <w:r w:rsidR="00260D48">
        <w:t xml:space="preserve">FM </w:t>
      </w:r>
      <w:r w:rsidR="00260D48" w:rsidRPr="00790A86">
        <w:t>risk as “</w:t>
      </w:r>
      <w:r w:rsidR="00260D48" w:rsidRPr="00AE3E96">
        <w:rPr>
          <w:i/>
        </w:rPr>
        <w:t>Substantial</w:t>
      </w:r>
      <w:r w:rsidR="00AE3E96">
        <w:t>” before mitigation and as “</w:t>
      </w:r>
      <w:r w:rsidR="00AE3E96" w:rsidRPr="00AE3E96">
        <w:rPr>
          <w:i/>
        </w:rPr>
        <w:t>M</w:t>
      </w:r>
      <w:r w:rsidR="00260D48" w:rsidRPr="00AE3E96">
        <w:rPr>
          <w:i/>
        </w:rPr>
        <w:t>oderate</w:t>
      </w:r>
      <w:r w:rsidR="00260D48" w:rsidRPr="00790A86">
        <w:t>” after mitigation</w:t>
      </w:r>
      <w:r w:rsidR="00260D48">
        <w:t xml:space="preserve"> for both DSS and JPUF</w:t>
      </w:r>
      <w:r w:rsidR="00260D48" w:rsidRPr="00790A86">
        <w:t>.</w:t>
      </w:r>
      <w:r w:rsidR="00260D48">
        <w:t xml:space="preserve"> </w:t>
      </w:r>
      <w:r w:rsidR="006319BA">
        <w:t xml:space="preserve"> </w:t>
      </w:r>
      <w:r w:rsidR="00260D48">
        <w:t xml:space="preserve">Both agencies had staffing issues over time, however, compliance and reporting have been appropriate. There </w:t>
      </w:r>
      <w:r w:rsidR="00B44811">
        <w:t>were</w:t>
      </w:r>
      <w:r w:rsidR="00260D48">
        <w:t xml:space="preserve"> minor concerns on incompleteness of documentation, accuracy and timeliness of withdrawal application</w:t>
      </w:r>
      <w:r w:rsidR="00AE3E96">
        <w:t>s</w:t>
      </w:r>
      <w:r w:rsidR="00260D48">
        <w:t xml:space="preserve"> that have been raised by the task team on several occasions.</w:t>
      </w:r>
      <w:r w:rsidRPr="0096774F">
        <w:t xml:space="preserve"> </w:t>
      </w:r>
      <w:r w:rsidR="00260D48">
        <w:t xml:space="preserve">This </w:t>
      </w:r>
      <w:r w:rsidR="00B44811">
        <w:t>performance</w:t>
      </w:r>
      <w:r w:rsidR="00361319">
        <w:t xml:space="preserve"> issue in particular affected </w:t>
      </w:r>
      <w:r w:rsidR="00260D48">
        <w:t xml:space="preserve">DSS, wherein, the centers being operated by </w:t>
      </w:r>
      <w:r>
        <w:t xml:space="preserve">it </w:t>
      </w:r>
      <w:r w:rsidR="00260D48">
        <w:t>in 11 locations had poor book keeping due to absence of trained human resource</w:t>
      </w:r>
      <w:r w:rsidR="005C1682">
        <w:t>s</w:t>
      </w:r>
      <w:r w:rsidR="00260D48">
        <w:t xml:space="preserve">. Although, expenses were being incurred by these centers, the project and more importantly the government’s </w:t>
      </w:r>
      <w:r w:rsidR="00B31A50">
        <w:t>Development Project Proposal (</w:t>
      </w:r>
      <w:r w:rsidR="00260D48">
        <w:t>DPP</w:t>
      </w:r>
      <w:r w:rsidR="00B31A50">
        <w:t>)</w:t>
      </w:r>
      <w:r w:rsidR="003C28F9">
        <w:rPr>
          <w:rStyle w:val="FootnoteReference"/>
        </w:rPr>
        <w:footnoteReference w:id="16"/>
      </w:r>
      <w:r w:rsidR="00260D48">
        <w:t xml:space="preserve"> did not have provisions to appoint an accountant. As a result</w:t>
      </w:r>
      <w:r w:rsidR="00810A12">
        <w:t>,</w:t>
      </w:r>
      <w:r w:rsidR="00260D48">
        <w:t xml:space="preserve"> book keeping was assigned to other staff. This lack of capacity also affected the financial statements and received ‘qualified opinion’ from the auditors for FY 2012 and FY 2013. The DSS in pursuance of the audit and the task team’s follow up has taken internal measures in order to streamline their book keeping.</w:t>
      </w:r>
      <w:r w:rsidR="009640CE">
        <w:t xml:space="preserve"> </w:t>
      </w:r>
    </w:p>
    <w:p w14:paraId="71ABD40A" w14:textId="77777777" w:rsidR="00361319" w:rsidRDefault="00361319" w:rsidP="00010C31">
      <w:pPr>
        <w:pStyle w:val="ListParagraph"/>
        <w:ind w:left="270"/>
        <w:jc w:val="both"/>
      </w:pPr>
    </w:p>
    <w:p w14:paraId="0E8FBA50" w14:textId="28F02409" w:rsidR="00361319" w:rsidRDefault="00361319" w:rsidP="0096774F">
      <w:pPr>
        <w:pStyle w:val="ListParagraph"/>
        <w:numPr>
          <w:ilvl w:val="0"/>
          <w:numId w:val="34"/>
        </w:numPr>
        <w:ind w:left="0" w:firstLine="270"/>
        <w:jc w:val="both"/>
      </w:pPr>
      <w:r>
        <w:t>Additionally,</w:t>
      </w:r>
      <w:r w:rsidR="00810A12">
        <w:t xml:space="preserve"> the</w:t>
      </w:r>
      <w:r>
        <w:t xml:space="preserve"> </w:t>
      </w:r>
      <w:r w:rsidRPr="0096774F">
        <w:t>inability of both agencies to engage in adequate financial planning resulted in re</w:t>
      </w:r>
      <w:r w:rsidR="00CC78F2">
        <w:t>duced budget allocations from MO</w:t>
      </w:r>
      <w:r w:rsidRPr="0096774F">
        <w:t>SW</w:t>
      </w:r>
      <w:r>
        <w:t xml:space="preserve"> in FY 2013-2014 budget</w:t>
      </w:r>
      <w:r w:rsidRPr="0096774F">
        <w:t xml:space="preserve">. Lastly, just a month before </w:t>
      </w:r>
      <w:r w:rsidR="00810A12">
        <w:t xml:space="preserve">the </w:t>
      </w:r>
      <w:r w:rsidRPr="0096774F">
        <w:t xml:space="preserve">project </w:t>
      </w:r>
      <w:r w:rsidR="00810A12">
        <w:t>C</w:t>
      </w:r>
      <w:r w:rsidRPr="0096774F">
        <w:t xml:space="preserve">losing </w:t>
      </w:r>
      <w:r w:rsidR="00810A12">
        <w:t>D</w:t>
      </w:r>
      <w:r w:rsidRPr="0096774F">
        <w:t>ate</w:t>
      </w:r>
      <w:r w:rsidR="00810A12">
        <w:t>, the</w:t>
      </w:r>
      <w:r w:rsidRPr="0096774F">
        <w:t xml:space="preserve"> JPUF suffer</w:t>
      </w:r>
      <w:r w:rsidR="00810A12">
        <w:t>ed</w:t>
      </w:r>
      <w:r w:rsidRPr="0096774F">
        <w:t xml:space="preserve"> from fund shortages that were a result</w:t>
      </w:r>
      <w:r>
        <w:t xml:space="preserve"> of an increase in National Payscale</w:t>
      </w:r>
      <w:r w:rsidR="00864C49">
        <w:t xml:space="preserve"> 2015</w:t>
      </w:r>
      <w:r>
        <w:t xml:space="preserve">, under-forecasting of expenditures such as customs duties and taxes for goods procured, and depreciation of </w:t>
      </w:r>
      <w:r w:rsidR="00CC78F2">
        <w:t>X</w:t>
      </w:r>
      <w:r>
        <w:t>DR since the last project restructuring</w:t>
      </w:r>
      <w:r w:rsidR="00C13AC1">
        <w:t xml:space="preserve"> (which was not budgeted for appropriately). </w:t>
      </w:r>
    </w:p>
    <w:p w14:paraId="0914B7D3" w14:textId="77777777" w:rsidR="00AE3E96" w:rsidRDefault="00AE3E96" w:rsidP="00AE3E96">
      <w:pPr>
        <w:rPr>
          <w:b/>
          <w:color w:val="000000"/>
        </w:rPr>
      </w:pPr>
    </w:p>
    <w:p w14:paraId="7ADCC914" w14:textId="77777777" w:rsidR="00AE3E96" w:rsidRPr="00874EF0" w:rsidRDefault="00AE3E96" w:rsidP="00AE3E96">
      <w:pPr>
        <w:rPr>
          <w:b/>
          <w:color w:val="000000"/>
          <w:sz w:val="22"/>
        </w:rPr>
      </w:pPr>
      <w:r w:rsidRPr="00874EF0">
        <w:rPr>
          <w:b/>
          <w:color w:val="000000"/>
          <w:sz w:val="22"/>
        </w:rPr>
        <w:t>Safeguards</w:t>
      </w:r>
    </w:p>
    <w:p w14:paraId="031B03A6" w14:textId="77777777" w:rsidR="00AE3E96" w:rsidRDefault="00AE3E96" w:rsidP="00AE3E96">
      <w:pPr>
        <w:pStyle w:val="ListParagraph"/>
        <w:ind w:left="360"/>
        <w:jc w:val="both"/>
      </w:pPr>
    </w:p>
    <w:p w14:paraId="28D91A4D" w14:textId="164A8A15" w:rsidR="00D75A31" w:rsidRDefault="00AE3E96" w:rsidP="00010C31">
      <w:pPr>
        <w:pStyle w:val="ListParagraph"/>
        <w:numPr>
          <w:ilvl w:val="0"/>
          <w:numId w:val="34"/>
        </w:numPr>
        <w:ind w:left="0" w:firstLine="360"/>
        <w:jc w:val="both"/>
        <w:rPr>
          <w:color w:val="000000"/>
        </w:rPr>
      </w:pPr>
      <w:r w:rsidRPr="00010C31">
        <w:rPr>
          <w:color w:val="000000"/>
        </w:rPr>
        <w:t xml:space="preserve">The project did not trigger any safeguard policies and was rated as a C category project. </w:t>
      </w:r>
      <w:r w:rsidR="007042AF" w:rsidRPr="007042AF">
        <w:rPr>
          <w:color w:val="000000"/>
        </w:rPr>
        <w:t xml:space="preserve"> </w:t>
      </w:r>
      <w:r w:rsidR="007042AF">
        <w:rPr>
          <w:color w:val="000000"/>
        </w:rPr>
        <w:t xml:space="preserve">The project by its very nature was targeting a vulnerable population group. It intended to have a positive impact on both children at risk and persons with disabilities. </w:t>
      </w:r>
      <w:r w:rsidR="00222F70">
        <w:rPr>
          <w:color w:val="000000"/>
        </w:rPr>
        <w:t xml:space="preserve">Despite the </w:t>
      </w:r>
      <w:r w:rsidR="00CC78F2">
        <w:rPr>
          <w:color w:val="000000"/>
        </w:rPr>
        <w:t xml:space="preserve">project documents referring to </w:t>
      </w:r>
      <w:r w:rsidR="00222F70">
        <w:rPr>
          <w:color w:val="000000"/>
        </w:rPr>
        <w:t>DSCs and ICPSCs as built or established, there was</w:t>
      </w:r>
      <w:r w:rsidR="007042AF">
        <w:rPr>
          <w:color w:val="000000"/>
        </w:rPr>
        <w:t xml:space="preserve"> no </w:t>
      </w:r>
      <w:r w:rsidR="00222F70">
        <w:rPr>
          <w:color w:val="000000"/>
        </w:rPr>
        <w:t xml:space="preserve">actual </w:t>
      </w:r>
      <w:r w:rsidR="007042AF">
        <w:rPr>
          <w:color w:val="000000"/>
        </w:rPr>
        <w:t>construction involved in the project and all the services were provided through rented premises.</w:t>
      </w:r>
      <w:r w:rsidR="00222F70">
        <w:rPr>
          <w:color w:val="000000"/>
        </w:rPr>
        <w:t xml:space="preserve"> </w:t>
      </w:r>
    </w:p>
    <w:p w14:paraId="449FF81C" w14:textId="77777777" w:rsidR="00D75A31" w:rsidRDefault="00D75A31">
      <w:pPr>
        <w:rPr>
          <w:color w:val="000000"/>
        </w:rPr>
      </w:pPr>
      <w:r>
        <w:rPr>
          <w:color w:val="000000"/>
        </w:rPr>
        <w:br w:type="page"/>
      </w:r>
    </w:p>
    <w:p w14:paraId="2BD2B6B8" w14:textId="77777777" w:rsidR="00EB57E6" w:rsidRDefault="00EB57E6" w:rsidP="00EB57E6">
      <w:pPr>
        <w:pStyle w:val="Heading3"/>
      </w:pPr>
      <w:r>
        <w:t xml:space="preserve">2.5 Post-completion Operation/Next Phase </w:t>
      </w:r>
    </w:p>
    <w:p w14:paraId="4DB873E7" w14:textId="77777777" w:rsidR="00EB57E6" w:rsidRDefault="00EB57E6" w:rsidP="00EB57E6">
      <w:pPr>
        <w:pStyle w:val="ListParagraph"/>
        <w:jc w:val="both"/>
        <w:rPr>
          <w:color w:val="000000"/>
        </w:rPr>
      </w:pPr>
    </w:p>
    <w:p w14:paraId="38435490" w14:textId="35332754" w:rsidR="00EB57E6" w:rsidRPr="00EB57E6" w:rsidRDefault="00193CDA" w:rsidP="005425BC">
      <w:pPr>
        <w:pStyle w:val="ListParagraph"/>
        <w:numPr>
          <w:ilvl w:val="0"/>
          <w:numId w:val="34"/>
        </w:numPr>
        <w:ind w:left="0" w:firstLine="270"/>
        <w:jc w:val="both"/>
        <w:rPr>
          <w:color w:val="000000"/>
        </w:rPr>
      </w:pPr>
      <w:r>
        <w:rPr>
          <w:color w:val="000000"/>
        </w:rPr>
        <w:t xml:space="preserve">The project </w:t>
      </w:r>
      <w:r w:rsidR="00810A12">
        <w:rPr>
          <w:color w:val="000000"/>
        </w:rPr>
        <w:t>supported a total of</w:t>
      </w:r>
      <w:r>
        <w:rPr>
          <w:color w:val="000000"/>
        </w:rPr>
        <w:t xml:space="preserve"> 103</w:t>
      </w:r>
      <w:r w:rsidR="005425BC" w:rsidRPr="005425BC">
        <w:rPr>
          <w:color w:val="000000"/>
        </w:rPr>
        <w:t xml:space="preserve"> DSCs</w:t>
      </w:r>
      <w:r>
        <w:rPr>
          <w:rStyle w:val="FootnoteReference"/>
          <w:color w:val="000000"/>
        </w:rPr>
        <w:footnoteReference w:id="17"/>
      </w:r>
      <w:r w:rsidR="00DF1745">
        <w:rPr>
          <w:color w:val="000000"/>
        </w:rPr>
        <w:t xml:space="preserve"> </w:t>
      </w:r>
      <w:r w:rsidR="009C1FA9">
        <w:rPr>
          <w:color w:val="000000"/>
        </w:rPr>
        <w:t xml:space="preserve">, 32 mobile vans </w:t>
      </w:r>
      <w:r w:rsidR="005425BC" w:rsidRPr="005425BC">
        <w:rPr>
          <w:color w:val="000000"/>
        </w:rPr>
        <w:t xml:space="preserve">and 11 ICPSCs </w:t>
      </w:r>
      <w:r w:rsidR="00810A12">
        <w:rPr>
          <w:color w:val="000000"/>
        </w:rPr>
        <w:t>in their provision of</w:t>
      </w:r>
      <w:r w:rsidR="005425BC" w:rsidRPr="005425BC">
        <w:rPr>
          <w:color w:val="000000"/>
        </w:rPr>
        <w:t xml:space="preserve"> services </w:t>
      </w:r>
      <w:r w:rsidR="00060232">
        <w:rPr>
          <w:color w:val="000000"/>
        </w:rPr>
        <w:t xml:space="preserve">to </w:t>
      </w:r>
      <w:r w:rsidR="005425BC" w:rsidRPr="005425BC">
        <w:rPr>
          <w:color w:val="000000"/>
        </w:rPr>
        <w:t xml:space="preserve">over </w:t>
      </w:r>
      <w:r w:rsidR="00810A12">
        <w:rPr>
          <w:color w:val="000000"/>
        </w:rPr>
        <w:t xml:space="preserve">a </w:t>
      </w:r>
      <w:r w:rsidR="005425BC" w:rsidRPr="005425BC">
        <w:rPr>
          <w:color w:val="000000"/>
        </w:rPr>
        <w:t>mill</w:t>
      </w:r>
      <w:r>
        <w:rPr>
          <w:color w:val="000000"/>
        </w:rPr>
        <w:t>ion beneficiaries,</w:t>
      </w:r>
      <w:r w:rsidR="009C1FA9">
        <w:rPr>
          <w:color w:val="000000"/>
        </w:rPr>
        <w:t xml:space="preserve"> along with </w:t>
      </w:r>
      <w:r w:rsidR="005425BC" w:rsidRPr="005425BC">
        <w:rPr>
          <w:color w:val="000000"/>
        </w:rPr>
        <w:t>MIS systems</w:t>
      </w:r>
      <w:r w:rsidR="009C1FA9">
        <w:rPr>
          <w:color w:val="000000"/>
        </w:rPr>
        <w:t xml:space="preserve"> installed and made operation at both JPUF and DSS</w:t>
      </w:r>
      <w:r w:rsidR="005425BC" w:rsidRPr="005425BC">
        <w:rPr>
          <w:color w:val="000000"/>
        </w:rPr>
        <w:t xml:space="preserve">. </w:t>
      </w:r>
      <w:r w:rsidR="00810A12">
        <w:rPr>
          <w:color w:val="000000"/>
        </w:rPr>
        <w:t xml:space="preserve">The </w:t>
      </w:r>
      <w:r w:rsidR="005425BC" w:rsidRPr="005425BC">
        <w:rPr>
          <w:color w:val="000000"/>
        </w:rPr>
        <w:t xml:space="preserve">MoSW has the responsibility of maintaining this large scale operation, and </w:t>
      </w:r>
      <w:r w:rsidR="005425BC">
        <w:rPr>
          <w:color w:val="000000"/>
        </w:rPr>
        <w:t xml:space="preserve">is </w:t>
      </w:r>
      <w:r w:rsidR="005425BC" w:rsidRPr="005425BC">
        <w:rPr>
          <w:color w:val="000000"/>
        </w:rPr>
        <w:t>work</w:t>
      </w:r>
      <w:r w:rsidR="005425BC">
        <w:rPr>
          <w:color w:val="000000"/>
        </w:rPr>
        <w:t>ing</w:t>
      </w:r>
      <w:r w:rsidR="005425BC" w:rsidRPr="005425BC">
        <w:rPr>
          <w:color w:val="000000"/>
        </w:rPr>
        <w:t xml:space="preserve"> closely with </w:t>
      </w:r>
      <w:r w:rsidR="00810A12">
        <w:rPr>
          <w:color w:val="000000"/>
        </w:rPr>
        <w:t xml:space="preserve">the </w:t>
      </w:r>
      <w:r w:rsidR="005425BC">
        <w:rPr>
          <w:color w:val="000000"/>
        </w:rPr>
        <w:t>Ministry of Finance (</w:t>
      </w:r>
      <w:r w:rsidR="005425BC" w:rsidRPr="005425BC">
        <w:rPr>
          <w:color w:val="000000"/>
        </w:rPr>
        <w:t>MoF</w:t>
      </w:r>
      <w:r w:rsidR="005425BC">
        <w:rPr>
          <w:color w:val="000000"/>
        </w:rPr>
        <w:t>)</w:t>
      </w:r>
      <w:r w:rsidR="005425BC" w:rsidRPr="005425BC">
        <w:rPr>
          <w:color w:val="000000"/>
        </w:rPr>
        <w:t xml:space="preserve"> to ensure</w:t>
      </w:r>
      <w:r w:rsidR="00810A12">
        <w:rPr>
          <w:color w:val="000000"/>
        </w:rPr>
        <w:t xml:space="preserve"> the</w:t>
      </w:r>
      <w:r w:rsidR="005425BC" w:rsidRPr="005425BC">
        <w:rPr>
          <w:color w:val="000000"/>
        </w:rPr>
        <w:t xml:space="preserve"> sustainability of the activities</w:t>
      </w:r>
      <w:r w:rsidR="005425BC">
        <w:rPr>
          <w:color w:val="000000"/>
        </w:rPr>
        <w:t>. More specifically</w:t>
      </w:r>
      <w:r w:rsidR="00810A12">
        <w:rPr>
          <w:color w:val="000000"/>
        </w:rPr>
        <w:t>,</w:t>
      </w:r>
      <w:r w:rsidR="005425BC">
        <w:rPr>
          <w:color w:val="000000"/>
        </w:rPr>
        <w:t xml:space="preserve"> b</w:t>
      </w:r>
      <w:r w:rsidR="00EB57E6" w:rsidRPr="00EB57E6">
        <w:rPr>
          <w:color w:val="000000"/>
        </w:rPr>
        <w:t>y the end of the project there were: (i) allocation of 503 million taka (US</w:t>
      </w:r>
      <w:r w:rsidR="00810A12">
        <w:rPr>
          <w:color w:val="000000"/>
        </w:rPr>
        <w:t>4</w:t>
      </w:r>
      <w:r w:rsidR="00EB57E6" w:rsidRPr="00EB57E6">
        <w:rPr>
          <w:color w:val="000000"/>
        </w:rPr>
        <w:t xml:space="preserve"> 6.29 million) by MoSW to “Protibondhi Sheba O Shanhajji Kendro” Program under JPUF; and (ii) allocation of 205 million taka (US</w:t>
      </w:r>
      <w:r w:rsidR="00810A12">
        <w:rPr>
          <w:color w:val="000000"/>
        </w:rPr>
        <w:t>$</w:t>
      </w:r>
      <w:r w:rsidR="00EB57E6" w:rsidRPr="00EB57E6">
        <w:rPr>
          <w:color w:val="000000"/>
        </w:rPr>
        <w:t xml:space="preserve">2.56 million) by the Finance Division to the “Sheikh Russell Training and Rehabilitation Service Centers” under DSS.  </w:t>
      </w:r>
      <w:r w:rsidR="005425BC">
        <w:rPr>
          <w:color w:val="000000"/>
        </w:rPr>
        <w:t>Furthermore, t</w:t>
      </w:r>
      <w:r w:rsidR="00EB57E6">
        <w:rPr>
          <w:color w:val="000000"/>
        </w:rPr>
        <w:t xml:space="preserve">he project completion report prepared by </w:t>
      </w:r>
      <w:r w:rsidR="00810A12">
        <w:rPr>
          <w:color w:val="000000"/>
        </w:rPr>
        <w:t xml:space="preserve">THE </w:t>
      </w:r>
      <w:r w:rsidR="00EB57E6">
        <w:rPr>
          <w:color w:val="000000"/>
        </w:rPr>
        <w:t xml:space="preserve">JPUF also evidences that the GOB has taken initiative to </w:t>
      </w:r>
      <w:r w:rsidR="00FB37E0">
        <w:rPr>
          <w:color w:val="000000"/>
        </w:rPr>
        <w:t>absorb all existing project staff, 50</w:t>
      </w:r>
      <w:r w:rsidR="008105F4">
        <w:rPr>
          <w:color w:val="000000"/>
        </w:rPr>
        <w:t xml:space="preserve"> project financed</w:t>
      </w:r>
      <w:r w:rsidR="00FB37E0">
        <w:rPr>
          <w:color w:val="000000"/>
        </w:rPr>
        <w:t xml:space="preserve"> ICDSCs and 32</w:t>
      </w:r>
      <w:r w:rsidR="008360E4">
        <w:rPr>
          <w:color w:val="000000"/>
        </w:rPr>
        <w:t xml:space="preserve"> project supported</w:t>
      </w:r>
      <w:r w:rsidR="00FB37E0">
        <w:rPr>
          <w:color w:val="000000"/>
        </w:rPr>
        <w:t xml:space="preserve"> MTRVs with all financial liabilities into Government Revenue Budget program. </w:t>
      </w:r>
      <w:r w:rsidR="00C46443">
        <w:rPr>
          <w:color w:val="000000"/>
        </w:rPr>
        <w:t>These services have been well received and appreciated by beneficiary groups. The local media has also covered stories around project beneficiaries.</w:t>
      </w:r>
      <w:r w:rsidR="00C46443">
        <w:rPr>
          <w:rStyle w:val="FootnoteReference"/>
          <w:color w:val="000000"/>
        </w:rPr>
        <w:footnoteReference w:id="18"/>
      </w:r>
    </w:p>
    <w:p w14:paraId="23DB6A05" w14:textId="066940EF" w:rsidR="00DB2643" w:rsidRDefault="00C67D43" w:rsidP="00DB2643">
      <w:pPr>
        <w:pStyle w:val="Heading2"/>
      </w:pPr>
      <w:bookmarkStart w:id="128" w:name="RAT51B"/>
      <w:bookmarkStart w:id="129" w:name="SEC75"/>
      <w:bookmarkStart w:id="130" w:name="_IL8"/>
      <w:bookmarkStart w:id="131" w:name="_Toc158019372"/>
      <w:bookmarkEnd w:id="128"/>
      <w:bookmarkEnd w:id="129"/>
      <w:r>
        <w:t>3. Assessment of Outcomes</w:t>
      </w:r>
      <w:bookmarkEnd w:id="130"/>
      <w:bookmarkEnd w:id="131"/>
      <w:r>
        <w:t xml:space="preserve"> </w:t>
      </w:r>
    </w:p>
    <w:p w14:paraId="69D81E36" w14:textId="6DA353E0" w:rsidR="00DB2643" w:rsidRPr="00DB2643" w:rsidRDefault="00DB2643" w:rsidP="00DB2643">
      <w:pPr>
        <w:pStyle w:val="Heading2"/>
        <w:numPr>
          <w:ilvl w:val="0"/>
          <w:numId w:val="34"/>
        </w:numPr>
        <w:ind w:left="0" w:firstLine="270"/>
        <w:jc w:val="both"/>
        <w:rPr>
          <w:b w:val="0"/>
          <w:sz w:val="24"/>
          <w:szCs w:val="24"/>
        </w:rPr>
      </w:pPr>
      <w:r w:rsidRPr="00DB2643">
        <w:rPr>
          <w:b w:val="0"/>
          <w:bCs w:val="0"/>
          <w:sz w:val="24"/>
          <w:szCs w:val="24"/>
        </w:rPr>
        <w:t xml:space="preserve">The assessment of the project outcomes and performance is subject to the split-assessment methodology according to the Bank guidelines. The lifetime of a project is split into three Phases that are marked by changes in the PDO or PDO indicators: (i) </w:t>
      </w:r>
      <w:r w:rsidRPr="00DB2643">
        <w:rPr>
          <w:b w:val="0"/>
          <w:bCs w:val="0"/>
          <w:i/>
          <w:sz w:val="24"/>
          <w:szCs w:val="24"/>
        </w:rPr>
        <w:t>Phase 1</w:t>
      </w:r>
      <w:r w:rsidRPr="00DB2643">
        <w:rPr>
          <w:b w:val="0"/>
          <w:bCs w:val="0"/>
          <w:sz w:val="24"/>
          <w:szCs w:val="24"/>
        </w:rPr>
        <w:t xml:space="preserve"> which lasts from appraisal to the first restructuring in June 2011; (ii) </w:t>
      </w:r>
      <w:r w:rsidRPr="00DB2643">
        <w:rPr>
          <w:b w:val="0"/>
          <w:bCs w:val="0"/>
          <w:i/>
          <w:sz w:val="24"/>
          <w:szCs w:val="24"/>
        </w:rPr>
        <w:t>Phase 2</w:t>
      </w:r>
      <w:r w:rsidRPr="00DB2643">
        <w:rPr>
          <w:b w:val="0"/>
          <w:bCs w:val="0"/>
          <w:sz w:val="24"/>
          <w:szCs w:val="24"/>
        </w:rPr>
        <w:t xml:space="preserve"> which starts with Level-1 restructuring in 2011 that resulted in the change of the PDO and continues until the second restructuring in December 2013; and (iii) </w:t>
      </w:r>
      <w:r w:rsidRPr="00DB2643">
        <w:rPr>
          <w:b w:val="0"/>
          <w:bCs w:val="0"/>
          <w:i/>
          <w:sz w:val="24"/>
          <w:szCs w:val="24"/>
        </w:rPr>
        <w:t>Phase 3</w:t>
      </w:r>
      <w:r w:rsidRPr="00DB2643">
        <w:rPr>
          <w:b w:val="0"/>
          <w:bCs w:val="0"/>
          <w:sz w:val="24"/>
          <w:szCs w:val="24"/>
        </w:rPr>
        <w:t xml:space="preserve"> that starts with restructuring of December 2013 which involved change in the PDO indicators and lasts until the closing day of the project as the restructuring in March 2015 did not introduce changes to either the PDO or the PDO indicators.</w:t>
      </w:r>
    </w:p>
    <w:p w14:paraId="0A2A3066" w14:textId="77777777" w:rsidR="00C67D43" w:rsidRDefault="00C67D43">
      <w:pPr>
        <w:pStyle w:val="Heading3"/>
      </w:pPr>
      <w:r>
        <w:t>3.1 Relevance of Objectives, Design and Implementation</w:t>
      </w:r>
    </w:p>
    <w:p w14:paraId="2D3E79A7" w14:textId="5F2668EF" w:rsidR="00A561A8" w:rsidRDefault="005B0A88" w:rsidP="00D55C60">
      <w:pPr>
        <w:pStyle w:val="ListParagraph"/>
        <w:numPr>
          <w:ilvl w:val="0"/>
          <w:numId w:val="34"/>
        </w:numPr>
        <w:autoSpaceDE w:val="0"/>
        <w:autoSpaceDN w:val="0"/>
        <w:adjustRightInd w:val="0"/>
        <w:ind w:left="0" w:firstLine="360"/>
        <w:jc w:val="both"/>
      </w:pPr>
      <w:bookmarkStart w:id="132" w:name="SEC81"/>
      <w:bookmarkEnd w:id="132"/>
      <w:r w:rsidRPr="00AE3E96">
        <w:t>The</w:t>
      </w:r>
      <w:r w:rsidR="00E01B20">
        <w:t xml:space="preserve"> original and revised PDOs were highly relevant at the time of appraisal and revisions</w:t>
      </w:r>
      <w:r w:rsidR="00A561A8">
        <w:t xml:space="preserve"> (as </w:t>
      </w:r>
      <w:r w:rsidR="00A561A8" w:rsidRPr="00B95669">
        <w:t>discussed Section 1)</w:t>
      </w:r>
      <w:r w:rsidR="00E01B20" w:rsidRPr="00B95669">
        <w:t xml:space="preserve"> and remain so now</w:t>
      </w:r>
      <w:r w:rsidRPr="00B95669">
        <w:t xml:space="preserve">. </w:t>
      </w:r>
      <w:r w:rsidR="001D7D17" w:rsidRPr="00B95669">
        <w:t xml:space="preserve">The </w:t>
      </w:r>
      <w:r w:rsidR="00F77986" w:rsidRPr="00B95669">
        <w:t xml:space="preserve">goals and the </w:t>
      </w:r>
      <w:r w:rsidR="001D7D17" w:rsidRPr="00B95669">
        <w:t>achievements of the project in regards to provision</w:t>
      </w:r>
      <w:r w:rsidR="001D7D17" w:rsidRPr="00AE3E96">
        <w:t xml:space="preserve"> of services to both PWDs and people with disabilities are recognized in both C</w:t>
      </w:r>
      <w:r w:rsidR="00E01B20">
        <w:t xml:space="preserve">ountry </w:t>
      </w:r>
      <w:r w:rsidR="001D7D17" w:rsidRPr="00AE3E96">
        <w:t>P</w:t>
      </w:r>
      <w:r w:rsidR="00E01B20">
        <w:t xml:space="preserve">artnership </w:t>
      </w:r>
      <w:r w:rsidR="001D7D17" w:rsidRPr="00AE3E96">
        <w:t>F</w:t>
      </w:r>
      <w:r w:rsidR="00E01B20">
        <w:t>ramework (CPF)</w:t>
      </w:r>
      <w:r w:rsidR="001D7D17" w:rsidRPr="00AE3E96">
        <w:t xml:space="preserve"> for FY16-20 and </w:t>
      </w:r>
      <w:r w:rsidR="00364E08" w:rsidRPr="00AE3E96">
        <w:rPr>
          <w:lang w:eastAsia="en-US"/>
        </w:rPr>
        <w:t>7</w:t>
      </w:r>
      <w:r w:rsidR="00364E08" w:rsidRPr="00D55C60">
        <w:rPr>
          <w:vertAlign w:val="superscript"/>
          <w:lang w:eastAsia="en-US"/>
        </w:rPr>
        <w:t>th</w:t>
      </w:r>
      <w:r w:rsidR="00364E08" w:rsidRPr="00AE3E96">
        <w:rPr>
          <w:lang w:eastAsia="en-US"/>
        </w:rPr>
        <w:t xml:space="preserve"> </w:t>
      </w:r>
      <w:r w:rsidR="001D7D17" w:rsidRPr="00AE3E96">
        <w:rPr>
          <w:lang w:eastAsia="en-US"/>
        </w:rPr>
        <w:t>Five Year P</w:t>
      </w:r>
      <w:r w:rsidR="00364E08" w:rsidRPr="00AE3E96">
        <w:rPr>
          <w:lang w:eastAsia="en-US"/>
        </w:rPr>
        <w:t xml:space="preserve">lan </w:t>
      </w:r>
      <w:r w:rsidR="00B83C6F" w:rsidRPr="00AE3E96">
        <w:rPr>
          <w:lang w:eastAsia="en-US"/>
        </w:rPr>
        <w:t>(FYP)</w:t>
      </w:r>
      <w:r w:rsidR="00C40A9C">
        <w:rPr>
          <w:lang w:eastAsia="en-US"/>
        </w:rPr>
        <w:t>: FY 2016-FY2020</w:t>
      </w:r>
      <w:r w:rsidR="00B83C6F" w:rsidRPr="00AE3E96">
        <w:rPr>
          <w:lang w:eastAsia="en-US"/>
        </w:rPr>
        <w:t xml:space="preserve"> </w:t>
      </w:r>
      <w:r w:rsidR="00364E08" w:rsidRPr="00AE3E96">
        <w:rPr>
          <w:lang w:eastAsia="en-US"/>
        </w:rPr>
        <w:t>of the Government of Bangladesh</w:t>
      </w:r>
      <w:r w:rsidR="001D7D17" w:rsidRPr="00AE3E96">
        <w:rPr>
          <w:lang w:eastAsia="en-US"/>
        </w:rPr>
        <w:t xml:space="preserve">. </w:t>
      </w:r>
      <w:r w:rsidR="00364E08" w:rsidRPr="00AE3E96">
        <w:rPr>
          <w:lang w:eastAsia="en-US"/>
        </w:rPr>
        <w:t xml:space="preserve"> </w:t>
      </w:r>
      <w:r w:rsidR="001E0935">
        <w:rPr>
          <w:lang w:eastAsia="en-US"/>
        </w:rPr>
        <w:t xml:space="preserve">In particular </w:t>
      </w:r>
      <w:r w:rsidR="00B83C6F" w:rsidRPr="00AE3E96">
        <w:rPr>
          <w:lang w:eastAsia="en-US"/>
        </w:rPr>
        <w:t>the 7</w:t>
      </w:r>
      <w:r w:rsidR="00B83C6F" w:rsidRPr="00D55C60">
        <w:rPr>
          <w:vertAlign w:val="superscript"/>
          <w:lang w:eastAsia="en-US"/>
        </w:rPr>
        <w:t>th</w:t>
      </w:r>
      <w:r w:rsidR="009F6E96">
        <w:rPr>
          <w:lang w:eastAsia="en-US"/>
        </w:rPr>
        <w:t xml:space="preserve"> FYP acknowledges the achievements in terms of provision of services to PWD through IDSCs and mobile therapy vans in rural areas as an important building block towards future inclusion. Similarly it acknowledges the importance of re-integration of children-at-risk. </w:t>
      </w:r>
      <w:r w:rsidR="009F6E96">
        <w:t>I</w:t>
      </w:r>
      <w:r w:rsidR="00AE3E96" w:rsidRPr="00AE3E96">
        <w:t>ncorporation</w:t>
      </w:r>
      <w:r w:rsidR="00B83C6F" w:rsidRPr="00AE3E96">
        <w:t xml:space="preserve"> of marginalized groups is outlined as one of the key foundational priorities in the CPF FY16-20. </w:t>
      </w:r>
      <w:r w:rsidR="00AB5902">
        <w:t xml:space="preserve">Thus relevance of the objective is rated as </w:t>
      </w:r>
      <w:r w:rsidR="00AB5902" w:rsidRPr="00AB5902">
        <w:rPr>
          <w:i/>
        </w:rPr>
        <w:t>Substantial</w:t>
      </w:r>
      <w:r w:rsidR="00AB5902">
        <w:t xml:space="preserve"> across all three Phases. </w:t>
      </w:r>
    </w:p>
    <w:p w14:paraId="7EC1E4BB" w14:textId="77777777" w:rsidR="00A561A8" w:rsidRDefault="00A561A8" w:rsidP="00A561A8">
      <w:pPr>
        <w:pStyle w:val="ListParagraph"/>
        <w:autoSpaceDE w:val="0"/>
        <w:autoSpaceDN w:val="0"/>
        <w:adjustRightInd w:val="0"/>
        <w:ind w:left="360"/>
        <w:jc w:val="both"/>
      </w:pPr>
    </w:p>
    <w:p w14:paraId="66460A9D" w14:textId="77777777" w:rsidR="00DC6712" w:rsidRDefault="00C315B1" w:rsidP="00D55C60">
      <w:pPr>
        <w:pStyle w:val="ListParagraph"/>
        <w:numPr>
          <w:ilvl w:val="0"/>
          <w:numId w:val="34"/>
        </w:numPr>
        <w:autoSpaceDE w:val="0"/>
        <w:autoSpaceDN w:val="0"/>
        <w:adjustRightInd w:val="0"/>
        <w:ind w:left="0" w:firstLine="360"/>
        <w:jc w:val="both"/>
      </w:pPr>
      <w:r w:rsidRPr="006258B2">
        <w:t>The initial project design was in line with priorities of the CAS and Government at the time (see Section 1). However, as given political changes that happened during Phase 1 the NGO led model was</w:t>
      </w:r>
      <w:r>
        <w:t xml:space="preserve"> not reflective of the Government’s priorities in the social welfare sector. </w:t>
      </w:r>
      <w:r w:rsidR="009F6E96">
        <w:t xml:space="preserve"> </w:t>
      </w:r>
      <w:r>
        <w:t xml:space="preserve">It was not completely irrelevant given that the Government was open to partnership with NGOs where needed, but since the main priority was strengthening and expansion of the government’s own ability to deliver services its relevance was at best </w:t>
      </w:r>
      <w:r w:rsidRPr="00C315B1">
        <w:rPr>
          <w:i/>
        </w:rPr>
        <w:t>Modest</w:t>
      </w:r>
      <w:r>
        <w:t xml:space="preserve">. </w:t>
      </w:r>
    </w:p>
    <w:p w14:paraId="5697B673" w14:textId="77777777" w:rsidR="00DC6712" w:rsidRDefault="00DC6712" w:rsidP="00DC6712">
      <w:pPr>
        <w:pStyle w:val="ListParagraph"/>
      </w:pPr>
    </w:p>
    <w:p w14:paraId="2750CFA7" w14:textId="77777777" w:rsidR="00DC6712" w:rsidRDefault="00DC6712" w:rsidP="00D55C60">
      <w:pPr>
        <w:pStyle w:val="ListParagraph"/>
        <w:numPr>
          <w:ilvl w:val="0"/>
          <w:numId w:val="34"/>
        </w:numPr>
        <w:autoSpaceDE w:val="0"/>
        <w:autoSpaceDN w:val="0"/>
        <w:adjustRightInd w:val="0"/>
        <w:ind w:left="0" w:firstLine="360"/>
        <w:jc w:val="both"/>
      </w:pPr>
      <w:r>
        <w:t>D</w:t>
      </w:r>
      <w:r w:rsidR="00C315B1">
        <w:t xml:space="preserve">uring the first restructuring </w:t>
      </w:r>
      <w:r w:rsidR="009F6E96">
        <w:t>the project showed its commitment to government developmental priorities when the PDO and project design were changed in 2011 to reflect service provision through strengthening and scaling up of government systems.</w:t>
      </w:r>
      <w:r w:rsidR="003E764B">
        <w:t xml:space="preserve"> The restructuring in December 2013 did streamline the focus on the main activities needed for the achievement of the PDO the design and implementation of the project, but despite leaving some room for improvement the design and implementation of Phase 2 were still relevant as they corresponded to the government priorities then and now (in particular through focus on disability certification) and dropping of some of the activities such as the certification was connected more to the ability of the government to finance those activities themselves. Thus relevance of the design and implementation for this Phase is rated as </w:t>
      </w:r>
      <w:r w:rsidR="003E764B" w:rsidRPr="00DC6712">
        <w:rPr>
          <w:i/>
        </w:rPr>
        <w:t>Substantial</w:t>
      </w:r>
      <w:r w:rsidR="003E764B">
        <w:t xml:space="preserve">.  </w:t>
      </w:r>
    </w:p>
    <w:p w14:paraId="0B8B6064" w14:textId="77777777" w:rsidR="00DC6712" w:rsidRDefault="00DC6712" w:rsidP="00DC6712">
      <w:pPr>
        <w:pStyle w:val="ListParagraph"/>
      </w:pPr>
    </w:p>
    <w:p w14:paraId="0BCD9462" w14:textId="05004D70" w:rsidR="00B83C6F" w:rsidRPr="00AE3E96" w:rsidRDefault="00443EE9" w:rsidP="00D55C60">
      <w:pPr>
        <w:pStyle w:val="ListParagraph"/>
        <w:numPr>
          <w:ilvl w:val="0"/>
          <w:numId w:val="34"/>
        </w:numPr>
        <w:autoSpaceDE w:val="0"/>
        <w:autoSpaceDN w:val="0"/>
        <w:adjustRightInd w:val="0"/>
        <w:ind w:left="0" w:firstLine="360"/>
        <w:jc w:val="both"/>
      </w:pPr>
      <w:r>
        <w:t>Lastly</w:t>
      </w:r>
      <w:r w:rsidR="003E764B">
        <w:t xml:space="preserve"> the design as it emerged in Phase 3 with focus on the key activities such as establishment and upgrading of DSCs and ICPSCs, and</w:t>
      </w:r>
      <w:r>
        <w:t xml:space="preserve"> </w:t>
      </w:r>
      <w:r w:rsidRPr="00265367">
        <w:t xml:space="preserve">strengthening of DSS and </w:t>
      </w:r>
      <w:r w:rsidR="00265367" w:rsidRPr="00265367">
        <w:t>JPUF as</w:t>
      </w:r>
      <w:r w:rsidRPr="00265367">
        <w:t xml:space="preserve"> implementing agencies is in line with their increasing importance in implementing policies in regards to PWD and children-at-risk as outlined in NSSS 2015 and 7</w:t>
      </w:r>
      <w:r w:rsidRPr="00265367">
        <w:rPr>
          <w:vertAlign w:val="superscript"/>
        </w:rPr>
        <w:t>th</w:t>
      </w:r>
      <w:r w:rsidRPr="00265367">
        <w:t xml:space="preserve"> FYP</w:t>
      </w:r>
      <w:r>
        <w:t>: FY2016-2020.</w:t>
      </w:r>
      <w:r w:rsidR="009F6E96">
        <w:t xml:space="preserve"> </w:t>
      </w:r>
      <w:r w:rsidR="003E764B">
        <w:t xml:space="preserve"> Furthermore, while being just a subpart of Phase 3 the revisions introduced during the restructuring in March 2015 helped to achieve even more effective design in regards to the capacity  building of JPUF and DSS. </w:t>
      </w:r>
      <w:r w:rsidR="00C40A9C">
        <w:t xml:space="preserve">Thus </w:t>
      </w:r>
      <w:r w:rsidR="00C40A9C" w:rsidRPr="00AE3E96">
        <w:t>relevance of</w:t>
      </w:r>
      <w:r w:rsidR="00C40A9C">
        <w:t xml:space="preserve"> the</w:t>
      </w:r>
      <w:r w:rsidR="00C40A9C" w:rsidRPr="00AE3E96">
        <w:t xml:space="preserve"> project objectives</w:t>
      </w:r>
      <w:r>
        <w:t>, design and implementation</w:t>
      </w:r>
      <w:r w:rsidR="00C40A9C" w:rsidRPr="00AE3E96">
        <w:t xml:space="preserve"> is </w:t>
      </w:r>
      <w:r>
        <w:t xml:space="preserve">assessed as </w:t>
      </w:r>
      <w:r w:rsidR="004B1BC6">
        <w:rPr>
          <w:i/>
        </w:rPr>
        <w:t>Substantial</w:t>
      </w:r>
      <w:r w:rsidR="00C40A9C">
        <w:rPr>
          <w:i/>
        </w:rPr>
        <w:t>.</w:t>
      </w:r>
    </w:p>
    <w:p w14:paraId="68C23623" w14:textId="77777777" w:rsidR="00364E08" w:rsidRDefault="00C67D43">
      <w:pPr>
        <w:pStyle w:val="Heading3"/>
      </w:pPr>
      <w:r>
        <w:t>3.2 Achievement of Project Development Objectives</w:t>
      </w:r>
    </w:p>
    <w:p w14:paraId="7DA3C1F1" w14:textId="77777777" w:rsidR="00D55C60" w:rsidRDefault="00D55C60" w:rsidP="00FF201B">
      <w:pPr>
        <w:jc w:val="both"/>
        <w:rPr>
          <w:b/>
          <w:bCs/>
          <w:color w:val="000000"/>
          <w:sz w:val="22"/>
          <w:szCs w:val="22"/>
        </w:rPr>
      </w:pPr>
    </w:p>
    <w:p w14:paraId="1C08D537" w14:textId="2B807F53" w:rsidR="003B6CF1" w:rsidRDefault="003B6CF1" w:rsidP="00523BDD">
      <w:pPr>
        <w:pStyle w:val="ListParagraph"/>
        <w:numPr>
          <w:ilvl w:val="0"/>
          <w:numId w:val="34"/>
        </w:numPr>
        <w:ind w:left="0" w:firstLine="270"/>
        <w:jc w:val="both"/>
        <w:rPr>
          <w:bCs/>
          <w:color w:val="000000"/>
        </w:rPr>
      </w:pPr>
      <w:r>
        <w:rPr>
          <w:bCs/>
          <w:color w:val="000000"/>
        </w:rPr>
        <w:t xml:space="preserve"> </w:t>
      </w:r>
      <w:r w:rsidR="007162A0" w:rsidRPr="00D55C60">
        <w:rPr>
          <w:bCs/>
          <w:color w:val="000000"/>
        </w:rPr>
        <w:t xml:space="preserve">The table below presents a summary of achievement of PDO and Intermediate Outcome (IO) </w:t>
      </w:r>
      <w:r w:rsidR="007162A0">
        <w:rPr>
          <w:bCs/>
          <w:color w:val="000000"/>
        </w:rPr>
        <w:t xml:space="preserve">indicators </w:t>
      </w:r>
      <w:r w:rsidR="007162A0" w:rsidRPr="00D55C60">
        <w:rPr>
          <w:bCs/>
          <w:color w:val="000000"/>
        </w:rPr>
        <w:t xml:space="preserve">across the three </w:t>
      </w:r>
      <w:r w:rsidR="007162A0">
        <w:rPr>
          <w:bCs/>
          <w:color w:val="000000"/>
        </w:rPr>
        <w:t xml:space="preserve">project </w:t>
      </w:r>
      <w:r w:rsidR="007162A0" w:rsidRPr="00D55C60">
        <w:rPr>
          <w:bCs/>
          <w:color w:val="000000"/>
        </w:rPr>
        <w:t>phases</w:t>
      </w:r>
      <w:r w:rsidR="007162A0">
        <w:rPr>
          <w:bCs/>
          <w:color w:val="000000"/>
        </w:rPr>
        <w:t>.</w:t>
      </w:r>
    </w:p>
    <w:p w14:paraId="3B6E0DB6" w14:textId="77777777" w:rsidR="008574EC" w:rsidRDefault="002F4BBD" w:rsidP="00523BDD">
      <w:pPr>
        <w:pStyle w:val="ListParagraph"/>
        <w:numPr>
          <w:ilvl w:val="0"/>
          <w:numId w:val="34"/>
        </w:numPr>
        <w:ind w:left="0" w:firstLine="270"/>
        <w:jc w:val="both"/>
        <w:rPr>
          <w:bCs/>
          <w:color w:val="000000"/>
        </w:rPr>
      </w:pPr>
      <w:r>
        <w:rPr>
          <w:bCs/>
          <w:color w:val="000000"/>
        </w:rPr>
        <w:t xml:space="preserve">The achievement towards the PDO is broken down into subparts of the PDO. Initially the PDO consisted of three parts: (i) </w:t>
      </w:r>
      <w:r w:rsidR="00DE186E">
        <w:rPr>
          <w:bCs/>
          <w:color w:val="000000"/>
        </w:rPr>
        <w:t>“</w:t>
      </w:r>
      <w:r>
        <w:rPr>
          <w:bCs/>
          <w:color w:val="000000"/>
        </w:rPr>
        <w:t>expand coverage</w:t>
      </w:r>
      <w:r w:rsidR="00DE186E">
        <w:rPr>
          <w:bCs/>
          <w:color w:val="000000"/>
        </w:rPr>
        <w:t>”</w:t>
      </w:r>
      <w:r>
        <w:rPr>
          <w:bCs/>
          <w:color w:val="000000"/>
        </w:rPr>
        <w:t xml:space="preserve">; (ii) </w:t>
      </w:r>
      <w:r w:rsidR="00DE186E">
        <w:rPr>
          <w:bCs/>
          <w:color w:val="000000"/>
        </w:rPr>
        <w:t>“</w:t>
      </w:r>
      <w:r>
        <w:rPr>
          <w:bCs/>
          <w:color w:val="000000"/>
        </w:rPr>
        <w:t>expand use</w:t>
      </w:r>
      <w:r w:rsidR="00DE186E">
        <w:rPr>
          <w:bCs/>
          <w:color w:val="000000"/>
        </w:rPr>
        <w:t>”</w:t>
      </w:r>
      <w:r>
        <w:rPr>
          <w:bCs/>
          <w:color w:val="000000"/>
        </w:rPr>
        <w:t xml:space="preserve">; and (iii) </w:t>
      </w:r>
      <w:r w:rsidR="00DE186E">
        <w:rPr>
          <w:bCs/>
          <w:color w:val="000000"/>
        </w:rPr>
        <w:t>“</w:t>
      </w:r>
      <w:r>
        <w:rPr>
          <w:bCs/>
          <w:color w:val="000000"/>
        </w:rPr>
        <w:t>expand quality</w:t>
      </w:r>
      <w:r w:rsidR="00DE186E">
        <w:rPr>
          <w:bCs/>
          <w:color w:val="000000"/>
        </w:rPr>
        <w:t>”</w:t>
      </w:r>
      <w:r>
        <w:rPr>
          <w:bCs/>
          <w:color w:val="000000"/>
        </w:rPr>
        <w:t xml:space="preserve">. </w:t>
      </w:r>
      <w:r w:rsidR="004255FB">
        <w:rPr>
          <w:bCs/>
          <w:color w:val="000000"/>
        </w:rPr>
        <w:t xml:space="preserve">The revised PDO included two subparts: (i) </w:t>
      </w:r>
      <w:r w:rsidR="00DE186E">
        <w:rPr>
          <w:bCs/>
          <w:color w:val="000000"/>
        </w:rPr>
        <w:t>“</w:t>
      </w:r>
      <w:r w:rsidR="004255FB">
        <w:rPr>
          <w:bCs/>
          <w:color w:val="000000"/>
        </w:rPr>
        <w:t>expand cove</w:t>
      </w:r>
      <w:r w:rsidR="00396626">
        <w:rPr>
          <w:bCs/>
          <w:color w:val="000000"/>
        </w:rPr>
        <w:t>rage</w:t>
      </w:r>
      <w:r w:rsidR="00DE186E">
        <w:rPr>
          <w:bCs/>
          <w:color w:val="000000"/>
        </w:rPr>
        <w:t>”</w:t>
      </w:r>
      <w:r w:rsidR="00396626">
        <w:rPr>
          <w:bCs/>
          <w:color w:val="000000"/>
        </w:rPr>
        <w:t xml:space="preserve">; and (ii) </w:t>
      </w:r>
      <w:r w:rsidR="00DE186E">
        <w:rPr>
          <w:bCs/>
          <w:color w:val="000000"/>
        </w:rPr>
        <w:t>“</w:t>
      </w:r>
      <w:r w:rsidR="00396626">
        <w:rPr>
          <w:bCs/>
          <w:color w:val="000000"/>
        </w:rPr>
        <w:t>improve quality</w:t>
      </w:r>
      <w:r w:rsidR="00DE186E">
        <w:rPr>
          <w:bCs/>
          <w:color w:val="000000"/>
        </w:rPr>
        <w:t xml:space="preserve">”; </w:t>
      </w:r>
      <w:r w:rsidR="00396626">
        <w:rPr>
          <w:bCs/>
          <w:color w:val="000000"/>
        </w:rPr>
        <w:t xml:space="preserve">which indicate strong continuity with the original PDO. </w:t>
      </w:r>
      <w:r w:rsidR="008574EC">
        <w:rPr>
          <w:bCs/>
          <w:color w:val="000000"/>
        </w:rPr>
        <w:t xml:space="preserve"> </w:t>
      </w:r>
    </w:p>
    <w:p w14:paraId="0E54239B" w14:textId="5CA830D1" w:rsidR="00CC78F2" w:rsidRDefault="008574EC" w:rsidP="00523BDD">
      <w:pPr>
        <w:pStyle w:val="ListParagraph"/>
        <w:numPr>
          <w:ilvl w:val="0"/>
          <w:numId w:val="34"/>
        </w:numPr>
        <w:ind w:left="0" w:firstLine="270"/>
        <w:jc w:val="both"/>
        <w:rPr>
          <w:bCs/>
          <w:color w:val="000000"/>
        </w:rPr>
      </w:pPr>
      <w:r>
        <w:rPr>
          <w:bCs/>
          <w:color w:val="000000"/>
        </w:rPr>
        <w:t xml:space="preserve">In order to make the achievement story complete we present two sets of progress indicators. </w:t>
      </w:r>
      <w:r w:rsidRPr="008574EC">
        <w:rPr>
          <w:bCs/>
          <w:i/>
          <w:color w:val="000000"/>
        </w:rPr>
        <w:t>Table 3.1</w:t>
      </w:r>
      <w:r>
        <w:rPr>
          <w:bCs/>
          <w:color w:val="000000"/>
        </w:rPr>
        <w:t xml:space="preserve"> below presents </w:t>
      </w:r>
      <w:r w:rsidR="00DE186E">
        <w:rPr>
          <w:bCs/>
          <w:color w:val="000000"/>
        </w:rPr>
        <w:t>progress towards the achievement of these</w:t>
      </w:r>
      <w:r>
        <w:rPr>
          <w:bCs/>
          <w:color w:val="000000"/>
        </w:rPr>
        <w:t xml:space="preserve"> PDOs</w:t>
      </w:r>
      <w:r w:rsidR="00DE186E">
        <w:rPr>
          <w:bCs/>
          <w:color w:val="000000"/>
        </w:rPr>
        <w:t xml:space="preserve"> </w:t>
      </w:r>
      <w:r w:rsidR="00DE186E" w:rsidRPr="00DE186E">
        <w:rPr>
          <w:bCs/>
          <w:color w:val="000000"/>
          <w:u w:val="single"/>
        </w:rPr>
        <w:t xml:space="preserve">within </w:t>
      </w:r>
      <w:r w:rsidR="00DE186E">
        <w:rPr>
          <w:bCs/>
          <w:color w:val="000000"/>
          <w:u w:val="single"/>
        </w:rPr>
        <w:t xml:space="preserve">the time bounds of </w:t>
      </w:r>
      <w:r w:rsidR="00DE186E" w:rsidRPr="00DE186E">
        <w:rPr>
          <w:bCs/>
          <w:color w:val="000000"/>
          <w:u w:val="single"/>
        </w:rPr>
        <w:t>each</w:t>
      </w:r>
      <w:r w:rsidR="00DE186E">
        <w:rPr>
          <w:bCs/>
          <w:color w:val="000000"/>
        </w:rPr>
        <w:t xml:space="preserve"> of the phases. </w:t>
      </w:r>
      <w:r>
        <w:rPr>
          <w:bCs/>
          <w:color w:val="000000"/>
        </w:rPr>
        <w:t xml:space="preserve"> </w:t>
      </w:r>
      <w:r w:rsidRPr="008574EC">
        <w:rPr>
          <w:bCs/>
          <w:i/>
          <w:color w:val="000000"/>
        </w:rPr>
        <w:t>Table 3.2</w:t>
      </w:r>
      <w:r w:rsidR="00A902F7">
        <w:rPr>
          <w:bCs/>
          <w:i/>
          <w:color w:val="000000"/>
        </w:rPr>
        <w:t xml:space="preserve">, </w:t>
      </w:r>
      <w:r w:rsidR="00A902F7" w:rsidRPr="00A902F7">
        <w:rPr>
          <w:bCs/>
          <w:color w:val="000000"/>
        </w:rPr>
        <w:t>on the other hand,</w:t>
      </w:r>
      <w:r w:rsidR="00A902F7">
        <w:rPr>
          <w:bCs/>
          <w:i/>
          <w:color w:val="000000"/>
        </w:rPr>
        <w:t xml:space="preserve"> </w:t>
      </w:r>
      <w:r w:rsidR="00A902F7" w:rsidRPr="008574EC">
        <w:rPr>
          <w:bCs/>
          <w:color w:val="000000"/>
        </w:rPr>
        <w:t>presents</w:t>
      </w:r>
      <w:r w:rsidRPr="008574EC">
        <w:rPr>
          <w:bCs/>
          <w:color w:val="000000"/>
        </w:rPr>
        <w:t xml:space="preserve"> progress towar</w:t>
      </w:r>
      <w:r w:rsidR="00A902F7">
        <w:rPr>
          <w:bCs/>
          <w:color w:val="000000"/>
        </w:rPr>
        <w:t>ds the achievement of the PDOs</w:t>
      </w:r>
      <w:r w:rsidRPr="008574EC">
        <w:rPr>
          <w:bCs/>
          <w:color w:val="000000"/>
        </w:rPr>
        <w:t xml:space="preserve"> </w:t>
      </w:r>
      <w:r>
        <w:rPr>
          <w:bCs/>
          <w:color w:val="000000"/>
          <w:u w:val="single"/>
        </w:rPr>
        <w:t>at</w:t>
      </w:r>
      <w:r w:rsidRPr="008574EC">
        <w:rPr>
          <w:bCs/>
          <w:color w:val="000000"/>
          <w:u w:val="single"/>
        </w:rPr>
        <w:t xml:space="preserve"> the time of the evaluation</w:t>
      </w:r>
      <w:r>
        <w:rPr>
          <w:bCs/>
          <w:color w:val="000000"/>
        </w:rPr>
        <w:t xml:space="preserve">. </w:t>
      </w:r>
    </w:p>
    <w:p w14:paraId="3B65B491" w14:textId="77777777" w:rsidR="00CC78F2" w:rsidRDefault="00CC78F2">
      <w:pPr>
        <w:rPr>
          <w:bCs/>
          <w:color w:val="000000"/>
        </w:rPr>
      </w:pPr>
      <w:r>
        <w:rPr>
          <w:bCs/>
          <w:color w:val="000000"/>
        </w:rPr>
        <w:br w:type="page"/>
      </w:r>
    </w:p>
    <w:p w14:paraId="53902A00" w14:textId="77777777" w:rsidR="00FF201B" w:rsidRPr="00D55C60" w:rsidRDefault="00FF201B" w:rsidP="00CC78F2">
      <w:pPr>
        <w:pStyle w:val="ListParagraph"/>
        <w:ind w:left="270"/>
        <w:jc w:val="both"/>
        <w:rPr>
          <w:bCs/>
          <w:color w:val="000000"/>
        </w:rPr>
      </w:pPr>
    </w:p>
    <w:p w14:paraId="4CE697E5" w14:textId="77777777" w:rsidR="00506012" w:rsidRDefault="00506012" w:rsidP="00FF201B">
      <w:pPr>
        <w:jc w:val="both"/>
      </w:pPr>
    </w:p>
    <w:p w14:paraId="4054FD45" w14:textId="1C4D0666" w:rsidR="008574EC" w:rsidRPr="004F6075" w:rsidRDefault="008574EC" w:rsidP="00FF201B">
      <w:pPr>
        <w:jc w:val="both"/>
        <w:rPr>
          <w:b/>
        </w:rPr>
      </w:pPr>
      <w:r w:rsidRPr="004F6075">
        <w:rPr>
          <w:b/>
        </w:rPr>
        <w:t xml:space="preserve">Table 3.1 </w:t>
      </w:r>
      <w:r w:rsidR="004F6075" w:rsidRPr="004F6075">
        <w:rPr>
          <w:b/>
        </w:rPr>
        <w:t>Achievement of the PDOs within the time bounds of each Phase</w:t>
      </w:r>
    </w:p>
    <w:tbl>
      <w:tblPr>
        <w:tblStyle w:val="TableGrid"/>
        <w:tblW w:w="0" w:type="auto"/>
        <w:tblLook w:val="04A0" w:firstRow="1" w:lastRow="0" w:firstColumn="1" w:lastColumn="0" w:noHBand="0" w:noVBand="1"/>
      </w:tblPr>
      <w:tblGrid>
        <w:gridCol w:w="1997"/>
        <w:gridCol w:w="1834"/>
        <w:gridCol w:w="1430"/>
        <w:gridCol w:w="3369"/>
      </w:tblGrid>
      <w:tr w:rsidR="00FF201B" w:rsidRPr="00FF201B" w14:paraId="54CF2B2E" w14:textId="77777777" w:rsidTr="00A107F0">
        <w:trPr>
          <w:trHeight w:val="576"/>
        </w:trPr>
        <w:tc>
          <w:tcPr>
            <w:tcW w:w="1997" w:type="dxa"/>
            <w:noWrap/>
          </w:tcPr>
          <w:p w14:paraId="455E1AEF" w14:textId="77777777" w:rsidR="00FF201B" w:rsidRPr="00FF201B" w:rsidRDefault="00FF201B" w:rsidP="00FF201B">
            <w:pPr>
              <w:rPr>
                <w:b/>
                <w:bCs/>
              </w:rPr>
            </w:pPr>
          </w:p>
        </w:tc>
        <w:tc>
          <w:tcPr>
            <w:tcW w:w="1834" w:type="dxa"/>
          </w:tcPr>
          <w:p w14:paraId="2D2500FB" w14:textId="77777777" w:rsidR="00FF201B" w:rsidRDefault="00FF201B" w:rsidP="00F1357D">
            <w:pPr>
              <w:jc w:val="center"/>
              <w:rPr>
                <w:b/>
                <w:i/>
              </w:rPr>
            </w:pPr>
            <w:r w:rsidRPr="00F1357D">
              <w:rPr>
                <w:b/>
                <w:i/>
              </w:rPr>
              <w:t>Phase 1</w:t>
            </w:r>
          </w:p>
          <w:p w14:paraId="463C2E7F" w14:textId="52A4A02C" w:rsidR="00143C5E" w:rsidRPr="00010C31" w:rsidRDefault="00523BDD" w:rsidP="00523BDD">
            <w:pPr>
              <w:ind w:left="-40" w:firstLine="40"/>
              <w:jc w:val="center"/>
              <w:rPr>
                <w:i/>
                <w:sz w:val="22"/>
                <w:szCs w:val="22"/>
              </w:rPr>
            </w:pPr>
            <w:r w:rsidRPr="00010C31">
              <w:rPr>
                <w:i/>
                <w:sz w:val="22"/>
                <w:szCs w:val="22"/>
              </w:rPr>
              <w:t>(Jul</w:t>
            </w:r>
            <w:r w:rsidR="003B5802">
              <w:rPr>
                <w:i/>
                <w:sz w:val="22"/>
                <w:szCs w:val="22"/>
              </w:rPr>
              <w:t>y</w:t>
            </w:r>
            <w:r w:rsidRPr="00010C31">
              <w:rPr>
                <w:i/>
                <w:sz w:val="22"/>
                <w:szCs w:val="22"/>
              </w:rPr>
              <w:t xml:space="preserve"> 2008- Jun</w:t>
            </w:r>
            <w:r w:rsidR="003B5802">
              <w:rPr>
                <w:i/>
                <w:sz w:val="22"/>
                <w:szCs w:val="22"/>
              </w:rPr>
              <w:t>e</w:t>
            </w:r>
            <w:r w:rsidRPr="00010C31">
              <w:rPr>
                <w:i/>
                <w:sz w:val="22"/>
                <w:szCs w:val="22"/>
              </w:rPr>
              <w:t xml:space="preserve"> 2011) </w:t>
            </w:r>
          </w:p>
        </w:tc>
        <w:tc>
          <w:tcPr>
            <w:tcW w:w="1430" w:type="dxa"/>
          </w:tcPr>
          <w:p w14:paraId="52811347" w14:textId="77777777" w:rsidR="00FF201B" w:rsidRDefault="00FF201B" w:rsidP="00F1357D">
            <w:pPr>
              <w:jc w:val="center"/>
              <w:rPr>
                <w:b/>
                <w:i/>
              </w:rPr>
            </w:pPr>
            <w:r w:rsidRPr="00F1357D">
              <w:rPr>
                <w:b/>
                <w:i/>
              </w:rPr>
              <w:t>Phase 2</w:t>
            </w:r>
          </w:p>
          <w:p w14:paraId="0DD098A7" w14:textId="6EBA36B1" w:rsidR="00523BDD" w:rsidRPr="00F1357D" w:rsidRDefault="007672BA" w:rsidP="00F1357D">
            <w:pPr>
              <w:jc w:val="center"/>
              <w:rPr>
                <w:b/>
                <w:i/>
              </w:rPr>
            </w:pPr>
            <w:r>
              <w:rPr>
                <w:i/>
                <w:sz w:val="22"/>
                <w:szCs w:val="22"/>
              </w:rPr>
              <w:t>(July</w:t>
            </w:r>
            <w:r w:rsidR="00523BDD" w:rsidRPr="00010C31">
              <w:rPr>
                <w:i/>
                <w:sz w:val="22"/>
                <w:szCs w:val="22"/>
              </w:rPr>
              <w:t xml:space="preserve"> 2011-Dec 2013</w:t>
            </w:r>
            <w:r w:rsidR="00523BDD" w:rsidRPr="00010C31">
              <w:rPr>
                <w:i/>
              </w:rPr>
              <w:t>)</w:t>
            </w:r>
          </w:p>
        </w:tc>
        <w:tc>
          <w:tcPr>
            <w:tcW w:w="3369" w:type="dxa"/>
          </w:tcPr>
          <w:p w14:paraId="2E35D10D" w14:textId="77777777" w:rsidR="00FF201B" w:rsidRDefault="00FF201B" w:rsidP="00F1357D">
            <w:pPr>
              <w:jc w:val="center"/>
              <w:rPr>
                <w:b/>
                <w:i/>
              </w:rPr>
            </w:pPr>
            <w:r w:rsidRPr="00F1357D">
              <w:rPr>
                <w:b/>
                <w:i/>
              </w:rPr>
              <w:t>Phase 3</w:t>
            </w:r>
          </w:p>
          <w:p w14:paraId="167D0255" w14:textId="3F1A6D35" w:rsidR="00523BDD" w:rsidRPr="00010C31" w:rsidRDefault="007672BA" w:rsidP="00F1357D">
            <w:pPr>
              <w:jc w:val="center"/>
              <w:rPr>
                <w:i/>
              </w:rPr>
            </w:pPr>
            <w:r>
              <w:rPr>
                <w:i/>
              </w:rPr>
              <w:t>(Jan 2014</w:t>
            </w:r>
            <w:r w:rsidR="00523BDD" w:rsidRPr="00010C31">
              <w:rPr>
                <w:i/>
              </w:rPr>
              <w:t xml:space="preserve">-June 2016) </w:t>
            </w:r>
          </w:p>
        </w:tc>
      </w:tr>
      <w:tr w:rsidR="00FF201B" w:rsidRPr="00FF201B" w14:paraId="0582BF19" w14:textId="77777777" w:rsidTr="00A107F0">
        <w:trPr>
          <w:trHeight w:val="576"/>
        </w:trPr>
        <w:tc>
          <w:tcPr>
            <w:tcW w:w="1997" w:type="dxa"/>
            <w:noWrap/>
            <w:hideMark/>
          </w:tcPr>
          <w:p w14:paraId="2AB8554F" w14:textId="77777777" w:rsidR="00FF201B" w:rsidRPr="00FF201B" w:rsidRDefault="00FF201B" w:rsidP="00FF201B">
            <w:pPr>
              <w:rPr>
                <w:b/>
                <w:bCs/>
              </w:rPr>
            </w:pPr>
            <w:bookmarkStart w:id="133" w:name="SEC82"/>
            <w:bookmarkEnd w:id="133"/>
            <w:r w:rsidRPr="00FF201B">
              <w:rPr>
                <w:b/>
                <w:bCs/>
              </w:rPr>
              <w:t xml:space="preserve">PDO indicators </w:t>
            </w:r>
          </w:p>
        </w:tc>
        <w:tc>
          <w:tcPr>
            <w:tcW w:w="1834" w:type="dxa"/>
            <w:hideMark/>
          </w:tcPr>
          <w:p w14:paraId="7CAD8A1E" w14:textId="77777777" w:rsidR="00FF201B" w:rsidRPr="00FF201B" w:rsidRDefault="00F1357D" w:rsidP="00F1357D">
            <w:pPr>
              <w:jc w:val="center"/>
            </w:pPr>
            <w:r>
              <w:t>O</w:t>
            </w:r>
            <w:r w:rsidR="00FF201B" w:rsidRPr="00FF201B">
              <w:t>riginal indicators</w:t>
            </w:r>
          </w:p>
        </w:tc>
        <w:tc>
          <w:tcPr>
            <w:tcW w:w="1430" w:type="dxa"/>
            <w:hideMark/>
          </w:tcPr>
          <w:p w14:paraId="2898999C" w14:textId="77777777" w:rsidR="00FF201B" w:rsidRPr="00FF201B" w:rsidRDefault="00F1357D" w:rsidP="00F1357D">
            <w:pPr>
              <w:jc w:val="center"/>
            </w:pPr>
            <w:r>
              <w:t>O</w:t>
            </w:r>
            <w:r w:rsidR="00FF201B" w:rsidRPr="00FF201B">
              <w:t>riginal and May 2011</w:t>
            </w:r>
          </w:p>
        </w:tc>
        <w:tc>
          <w:tcPr>
            <w:tcW w:w="3369" w:type="dxa"/>
            <w:hideMark/>
          </w:tcPr>
          <w:p w14:paraId="0149C121" w14:textId="77777777" w:rsidR="00FF201B" w:rsidRPr="00FF201B" w:rsidRDefault="00F1357D" w:rsidP="00F1357D">
            <w:pPr>
              <w:jc w:val="center"/>
            </w:pPr>
            <w:r>
              <w:t>O</w:t>
            </w:r>
            <w:r w:rsidR="00FF201B" w:rsidRPr="00FF201B">
              <w:t>riginal, 2011, 2013</w:t>
            </w:r>
          </w:p>
        </w:tc>
      </w:tr>
      <w:tr w:rsidR="00FF201B" w:rsidRPr="00FF201B" w14:paraId="7A2F1E7C" w14:textId="77777777" w:rsidTr="00A107F0">
        <w:trPr>
          <w:trHeight w:val="576"/>
        </w:trPr>
        <w:tc>
          <w:tcPr>
            <w:tcW w:w="1997" w:type="dxa"/>
            <w:noWrap/>
            <w:hideMark/>
          </w:tcPr>
          <w:p w14:paraId="03E9C6BA" w14:textId="77777777" w:rsidR="00FF201B" w:rsidRPr="00FF201B" w:rsidRDefault="00FF201B">
            <w:r w:rsidRPr="00FF201B">
              <w:t>Surpassed</w:t>
            </w:r>
          </w:p>
        </w:tc>
        <w:tc>
          <w:tcPr>
            <w:tcW w:w="1834" w:type="dxa"/>
            <w:noWrap/>
            <w:hideMark/>
          </w:tcPr>
          <w:p w14:paraId="3A7985BA" w14:textId="77777777" w:rsidR="00FF201B" w:rsidRPr="00FF201B" w:rsidRDefault="00FF201B" w:rsidP="00F1357D">
            <w:pPr>
              <w:jc w:val="center"/>
            </w:pPr>
            <w:r w:rsidRPr="00FF201B">
              <w:t>0</w:t>
            </w:r>
          </w:p>
        </w:tc>
        <w:tc>
          <w:tcPr>
            <w:tcW w:w="1430" w:type="dxa"/>
            <w:noWrap/>
            <w:hideMark/>
          </w:tcPr>
          <w:p w14:paraId="630BF4F4" w14:textId="21E92A5C" w:rsidR="00FF201B" w:rsidRPr="00FF201B" w:rsidRDefault="00300F3A" w:rsidP="00F1357D">
            <w:pPr>
              <w:jc w:val="center"/>
            </w:pPr>
            <w:r>
              <w:rPr>
                <w:b/>
                <w:bCs/>
              </w:rPr>
              <w:t>2</w:t>
            </w:r>
            <w:r w:rsidR="00FF201B" w:rsidRPr="00FF201B">
              <w:t xml:space="preserve"> (new)</w:t>
            </w:r>
          </w:p>
        </w:tc>
        <w:tc>
          <w:tcPr>
            <w:tcW w:w="3369" w:type="dxa"/>
            <w:hideMark/>
          </w:tcPr>
          <w:p w14:paraId="5CC12ED9" w14:textId="77777777" w:rsidR="00FF201B" w:rsidRPr="00FF201B" w:rsidRDefault="00FF201B" w:rsidP="00F1357D">
            <w:pPr>
              <w:jc w:val="center"/>
            </w:pPr>
            <w:r w:rsidRPr="00FF201B">
              <w:rPr>
                <w:b/>
                <w:bCs/>
              </w:rPr>
              <w:t>4</w:t>
            </w:r>
            <w:r w:rsidRPr="00FF201B">
              <w:t xml:space="preserve"> revised, </w:t>
            </w:r>
            <w:r w:rsidRPr="00FF201B">
              <w:rPr>
                <w:b/>
                <w:bCs/>
              </w:rPr>
              <w:t>3</w:t>
            </w:r>
            <w:r w:rsidRPr="00FF201B">
              <w:t xml:space="preserve"> new (</w:t>
            </w:r>
            <w:r w:rsidR="00B515D9" w:rsidRPr="00FF201B">
              <w:t>including</w:t>
            </w:r>
            <w:r w:rsidRPr="00FF201B">
              <w:t xml:space="preserve"> 1  new core, </w:t>
            </w:r>
            <w:r w:rsidRPr="00FF201B">
              <w:rPr>
                <w:b/>
                <w:bCs/>
              </w:rPr>
              <w:t>1</w:t>
            </w:r>
            <w:r w:rsidRPr="00FF201B">
              <w:t xml:space="preserve"> new core supplement)</w:t>
            </w:r>
          </w:p>
        </w:tc>
      </w:tr>
      <w:tr w:rsidR="00FF201B" w:rsidRPr="00FF201B" w14:paraId="44EF5F14" w14:textId="77777777" w:rsidTr="00A107F0">
        <w:trPr>
          <w:trHeight w:val="288"/>
        </w:trPr>
        <w:tc>
          <w:tcPr>
            <w:tcW w:w="1997" w:type="dxa"/>
            <w:noWrap/>
            <w:hideMark/>
          </w:tcPr>
          <w:p w14:paraId="7CB16B36" w14:textId="77777777" w:rsidR="00FF201B" w:rsidRPr="00FF201B" w:rsidRDefault="00FF201B">
            <w:r w:rsidRPr="00FF201B">
              <w:t xml:space="preserve">Achieved </w:t>
            </w:r>
          </w:p>
        </w:tc>
        <w:tc>
          <w:tcPr>
            <w:tcW w:w="1834" w:type="dxa"/>
            <w:noWrap/>
            <w:hideMark/>
          </w:tcPr>
          <w:p w14:paraId="3D6AF3AC" w14:textId="77777777" w:rsidR="00FF201B" w:rsidRPr="00FF201B" w:rsidRDefault="00FF201B" w:rsidP="00F1357D">
            <w:pPr>
              <w:jc w:val="center"/>
            </w:pPr>
            <w:r w:rsidRPr="00FF201B">
              <w:t>0</w:t>
            </w:r>
          </w:p>
        </w:tc>
        <w:tc>
          <w:tcPr>
            <w:tcW w:w="1430" w:type="dxa"/>
            <w:noWrap/>
            <w:hideMark/>
          </w:tcPr>
          <w:p w14:paraId="4B12ED78" w14:textId="0171B3DF" w:rsidR="00FF201B" w:rsidRPr="00FF201B" w:rsidRDefault="00300F3A" w:rsidP="00F1357D">
            <w:pPr>
              <w:jc w:val="center"/>
            </w:pPr>
            <w:r>
              <w:rPr>
                <w:b/>
                <w:bCs/>
              </w:rPr>
              <w:t>3</w:t>
            </w:r>
            <w:r w:rsidR="00FF201B" w:rsidRPr="00FF201B">
              <w:t xml:space="preserve"> (new)</w:t>
            </w:r>
          </w:p>
        </w:tc>
        <w:tc>
          <w:tcPr>
            <w:tcW w:w="3369" w:type="dxa"/>
            <w:noWrap/>
            <w:hideMark/>
          </w:tcPr>
          <w:p w14:paraId="302CE239" w14:textId="77777777" w:rsidR="00FF201B" w:rsidRPr="00FF201B" w:rsidRDefault="00FF201B" w:rsidP="00F1357D">
            <w:pPr>
              <w:jc w:val="center"/>
            </w:pPr>
            <w:r w:rsidRPr="00FF201B">
              <w:t>1 (May 2011)</w:t>
            </w:r>
          </w:p>
        </w:tc>
      </w:tr>
      <w:tr w:rsidR="00FF201B" w:rsidRPr="00FF201B" w14:paraId="5765335F" w14:textId="77777777" w:rsidTr="00A107F0">
        <w:trPr>
          <w:trHeight w:val="288"/>
        </w:trPr>
        <w:tc>
          <w:tcPr>
            <w:tcW w:w="1997" w:type="dxa"/>
            <w:noWrap/>
            <w:hideMark/>
          </w:tcPr>
          <w:p w14:paraId="2E1F48D9" w14:textId="77777777" w:rsidR="00FF201B" w:rsidRPr="00FF201B" w:rsidRDefault="00FF201B">
            <w:r w:rsidRPr="00FF201B">
              <w:t xml:space="preserve">Partially achieved </w:t>
            </w:r>
          </w:p>
        </w:tc>
        <w:tc>
          <w:tcPr>
            <w:tcW w:w="1834" w:type="dxa"/>
            <w:noWrap/>
            <w:hideMark/>
          </w:tcPr>
          <w:p w14:paraId="013A8AB9" w14:textId="77777777" w:rsidR="00FF201B" w:rsidRPr="00FF201B" w:rsidRDefault="00FF201B" w:rsidP="00F1357D">
            <w:pPr>
              <w:jc w:val="center"/>
            </w:pPr>
            <w:r w:rsidRPr="00FF201B">
              <w:t>0</w:t>
            </w:r>
          </w:p>
        </w:tc>
        <w:tc>
          <w:tcPr>
            <w:tcW w:w="1430" w:type="dxa"/>
            <w:noWrap/>
            <w:hideMark/>
          </w:tcPr>
          <w:p w14:paraId="3DE87F2C" w14:textId="77777777" w:rsidR="00FF201B" w:rsidRPr="00FF201B" w:rsidRDefault="00FF201B" w:rsidP="00F1357D">
            <w:pPr>
              <w:jc w:val="center"/>
            </w:pPr>
            <w:r w:rsidRPr="00FF201B">
              <w:t>0</w:t>
            </w:r>
          </w:p>
        </w:tc>
        <w:tc>
          <w:tcPr>
            <w:tcW w:w="3369" w:type="dxa"/>
            <w:noWrap/>
            <w:hideMark/>
          </w:tcPr>
          <w:p w14:paraId="1B639C05" w14:textId="77777777" w:rsidR="00FF201B" w:rsidRPr="00FF201B" w:rsidRDefault="00FF201B" w:rsidP="00F1357D">
            <w:pPr>
              <w:jc w:val="center"/>
            </w:pPr>
            <w:r w:rsidRPr="00FF201B">
              <w:t>1 (new)</w:t>
            </w:r>
          </w:p>
        </w:tc>
      </w:tr>
      <w:tr w:rsidR="00FF201B" w:rsidRPr="00FF201B" w14:paraId="23FD0C5E" w14:textId="77777777" w:rsidTr="00A107F0">
        <w:trPr>
          <w:trHeight w:val="288"/>
        </w:trPr>
        <w:tc>
          <w:tcPr>
            <w:tcW w:w="1997" w:type="dxa"/>
            <w:noWrap/>
            <w:hideMark/>
          </w:tcPr>
          <w:p w14:paraId="6070AF42" w14:textId="77777777" w:rsidR="00FF201B" w:rsidRPr="00FF201B" w:rsidRDefault="00FF201B">
            <w:r w:rsidRPr="00FF201B">
              <w:t xml:space="preserve">Not achieved </w:t>
            </w:r>
          </w:p>
        </w:tc>
        <w:tc>
          <w:tcPr>
            <w:tcW w:w="1834" w:type="dxa"/>
            <w:noWrap/>
            <w:hideMark/>
          </w:tcPr>
          <w:p w14:paraId="5E005875" w14:textId="77777777" w:rsidR="00FF201B" w:rsidRPr="00FF201B" w:rsidRDefault="00FF201B" w:rsidP="00F1357D">
            <w:pPr>
              <w:jc w:val="center"/>
            </w:pPr>
            <w:r w:rsidRPr="00FF201B">
              <w:t>4</w:t>
            </w:r>
          </w:p>
        </w:tc>
        <w:tc>
          <w:tcPr>
            <w:tcW w:w="1430" w:type="dxa"/>
            <w:noWrap/>
            <w:hideMark/>
          </w:tcPr>
          <w:p w14:paraId="4E4E6668" w14:textId="77777777" w:rsidR="00FF201B" w:rsidRPr="00FF201B" w:rsidRDefault="00FF201B" w:rsidP="00F1357D">
            <w:pPr>
              <w:jc w:val="center"/>
            </w:pPr>
            <w:r w:rsidRPr="00FF201B">
              <w:t>0</w:t>
            </w:r>
          </w:p>
        </w:tc>
        <w:tc>
          <w:tcPr>
            <w:tcW w:w="3369" w:type="dxa"/>
            <w:noWrap/>
            <w:hideMark/>
          </w:tcPr>
          <w:p w14:paraId="30BB7ED2" w14:textId="77777777" w:rsidR="00FF201B" w:rsidRPr="00FF201B" w:rsidRDefault="00FF201B" w:rsidP="00F1357D">
            <w:pPr>
              <w:jc w:val="center"/>
            </w:pPr>
            <w:r w:rsidRPr="00FF201B">
              <w:t>0</w:t>
            </w:r>
          </w:p>
        </w:tc>
      </w:tr>
      <w:tr w:rsidR="00FF201B" w:rsidRPr="00FF201B" w14:paraId="6D1D5F1D" w14:textId="77777777" w:rsidTr="00A107F0">
        <w:trPr>
          <w:trHeight w:val="288"/>
        </w:trPr>
        <w:tc>
          <w:tcPr>
            <w:tcW w:w="1997" w:type="dxa"/>
            <w:noWrap/>
            <w:hideMark/>
          </w:tcPr>
          <w:p w14:paraId="3DD02FF7" w14:textId="77777777" w:rsidR="00FF201B" w:rsidRPr="00FF201B" w:rsidRDefault="00FF201B">
            <w:r w:rsidRPr="00FF201B">
              <w:t xml:space="preserve">Total </w:t>
            </w:r>
          </w:p>
        </w:tc>
        <w:tc>
          <w:tcPr>
            <w:tcW w:w="1834" w:type="dxa"/>
            <w:noWrap/>
            <w:hideMark/>
          </w:tcPr>
          <w:p w14:paraId="76CCEAF2" w14:textId="77777777" w:rsidR="00FF201B" w:rsidRPr="00FF201B" w:rsidRDefault="00FF201B" w:rsidP="00F1357D">
            <w:pPr>
              <w:jc w:val="center"/>
            </w:pPr>
            <w:r w:rsidRPr="00FF201B">
              <w:t>4</w:t>
            </w:r>
          </w:p>
        </w:tc>
        <w:tc>
          <w:tcPr>
            <w:tcW w:w="1430" w:type="dxa"/>
            <w:noWrap/>
            <w:hideMark/>
          </w:tcPr>
          <w:p w14:paraId="2E5E4C69" w14:textId="77777777" w:rsidR="00FF201B" w:rsidRPr="00FF201B" w:rsidRDefault="00FF201B" w:rsidP="00F1357D">
            <w:pPr>
              <w:jc w:val="center"/>
            </w:pPr>
            <w:r w:rsidRPr="00FF201B">
              <w:rPr>
                <w:b/>
                <w:bCs/>
              </w:rPr>
              <w:t>5</w:t>
            </w:r>
            <w:r w:rsidRPr="00FF201B">
              <w:t xml:space="preserve"> (new)</w:t>
            </w:r>
          </w:p>
        </w:tc>
        <w:tc>
          <w:tcPr>
            <w:tcW w:w="3369" w:type="dxa"/>
            <w:noWrap/>
            <w:hideMark/>
          </w:tcPr>
          <w:p w14:paraId="72A633C7" w14:textId="77777777" w:rsidR="00FF201B" w:rsidRPr="00FF201B" w:rsidRDefault="00FF201B" w:rsidP="00F1357D">
            <w:pPr>
              <w:jc w:val="center"/>
            </w:pPr>
            <w:r w:rsidRPr="00FF201B">
              <w:rPr>
                <w:b/>
                <w:bCs/>
              </w:rPr>
              <w:t>9</w:t>
            </w:r>
            <w:r w:rsidRPr="00FF201B">
              <w:t xml:space="preserve"> (</w:t>
            </w:r>
            <w:r w:rsidRPr="00FF201B">
              <w:rPr>
                <w:b/>
                <w:bCs/>
              </w:rPr>
              <w:t xml:space="preserve"> 4</w:t>
            </w:r>
            <w:r w:rsidRPr="00FF201B">
              <w:t xml:space="preserve"> revised; </w:t>
            </w:r>
            <w:r w:rsidRPr="00FF201B">
              <w:rPr>
                <w:b/>
                <w:bCs/>
              </w:rPr>
              <w:t>1</w:t>
            </w:r>
            <w:r w:rsidRPr="00FF201B">
              <w:t xml:space="preserve"> May 2011;</w:t>
            </w:r>
            <w:r w:rsidRPr="00FF201B">
              <w:rPr>
                <w:b/>
                <w:bCs/>
              </w:rPr>
              <w:t xml:space="preserve"> 4</w:t>
            </w:r>
            <w:r w:rsidRPr="00FF201B">
              <w:t xml:space="preserve"> new)</w:t>
            </w:r>
          </w:p>
        </w:tc>
      </w:tr>
      <w:tr w:rsidR="00FF201B" w:rsidRPr="00FF201B" w14:paraId="4916AC94" w14:textId="77777777" w:rsidTr="00A107F0">
        <w:trPr>
          <w:trHeight w:val="288"/>
        </w:trPr>
        <w:tc>
          <w:tcPr>
            <w:tcW w:w="1997" w:type="dxa"/>
            <w:noWrap/>
            <w:hideMark/>
          </w:tcPr>
          <w:p w14:paraId="1AD6C543" w14:textId="77777777" w:rsidR="00FF201B" w:rsidRPr="00FF201B" w:rsidRDefault="00FF201B">
            <w:r w:rsidRPr="00FF201B">
              <w:t xml:space="preserve">Total surpassed </w:t>
            </w:r>
          </w:p>
        </w:tc>
        <w:tc>
          <w:tcPr>
            <w:tcW w:w="1834" w:type="dxa"/>
            <w:noWrap/>
            <w:hideMark/>
          </w:tcPr>
          <w:p w14:paraId="3C5A5A35" w14:textId="77777777" w:rsidR="00FF201B" w:rsidRPr="00FF201B" w:rsidRDefault="00FF201B" w:rsidP="00F1357D">
            <w:pPr>
              <w:jc w:val="center"/>
            </w:pPr>
            <w:r w:rsidRPr="00FF201B">
              <w:t>0</w:t>
            </w:r>
          </w:p>
        </w:tc>
        <w:tc>
          <w:tcPr>
            <w:tcW w:w="1430" w:type="dxa"/>
            <w:noWrap/>
            <w:hideMark/>
          </w:tcPr>
          <w:p w14:paraId="714365F0" w14:textId="71EC7329" w:rsidR="00FF201B" w:rsidRPr="00FF201B" w:rsidRDefault="00300F3A" w:rsidP="00F1357D">
            <w:pPr>
              <w:jc w:val="center"/>
            </w:pPr>
            <w:r>
              <w:rPr>
                <w:b/>
                <w:bCs/>
              </w:rPr>
              <w:t xml:space="preserve">2 </w:t>
            </w:r>
            <w:r w:rsidR="00FF201B" w:rsidRPr="00FF201B">
              <w:t xml:space="preserve"> (new)</w:t>
            </w:r>
          </w:p>
        </w:tc>
        <w:tc>
          <w:tcPr>
            <w:tcW w:w="3369" w:type="dxa"/>
            <w:noWrap/>
            <w:hideMark/>
          </w:tcPr>
          <w:p w14:paraId="41AA9B5A" w14:textId="77777777" w:rsidR="00FF201B" w:rsidRPr="00FF201B" w:rsidRDefault="00FF201B" w:rsidP="00F1357D">
            <w:pPr>
              <w:jc w:val="center"/>
            </w:pPr>
            <w:r w:rsidRPr="00FF201B">
              <w:rPr>
                <w:b/>
                <w:bCs/>
              </w:rPr>
              <w:t>7</w:t>
            </w:r>
            <w:r w:rsidRPr="00FF201B">
              <w:t xml:space="preserve"> (</w:t>
            </w:r>
            <w:r w:rsidRPr="00FF201B">
              <w:rPr>
                <w:b/>
                <w:bCs/>
              </w:rPr>
              <w:t>5</w:t>
            </w:r>
            <w:r w:rsidRPr="00FF201B">
              <w:t xml:space="preserve"> revised, </w:t>
            </w:r>
            <w:r w:rsidRPr="00FF201B">
              <w:rPr>
                <w:b/>
                <w:bCs/>
              </w:rPr>
              <w:t>2</w:t>
            </w:r>
            <w:r w:rsidRPr="00FF201B">
              <w:t xml:space="preserve"> new)</w:t>
            </w:r>
          </w:p>
        </w:tc>
      </w:tr>
      <w:tr w:rsidR="00404962" w:rsidRPr="00FF201B" w14:paraId="3ACB8952" w14:textId="77777777" w:rsidTr="00A107F0">
        <w:trPr>
          <w:trHeight w:val="288"/>
        </w:trPr>
        <w:tc>
          <w:tcPr>
            <w:tcW w:w="1997" w:type="dxa"/>
            <w:noWrap/>
          </w:tcPr>
          <w:p w14:paraId="6FCC4C00" w14:textId="2D5FD6B9" w:rsidR="00404962" w:rsidRPr="00404962" w:rsidRDefault="00404962">
            <w:pPr>
              <w:rPr>
                <w:b/>
              </w:rPr>
            </w:pPr>
            <w:r w:rsidRPr="00404962">
              <w:rPr>
                <w:b/>
              </w:rPr>
              <w:t>PDO 1: expand coverage</w:t>
            </w:r>
          </w:p>
        </w:tc>
        <w:tc>
          <w:tcPr>
            <w:tcW w:w="1834" w:type="dxa"/>
            <w:noWrap/>
          </w:tcPr>
          <w:p w14:paraId="0B8C8F3E" w14:textId="42975516" w:rsidR="00404962" w:rsidRPr="00FF201B" w:rsidRDefault="000F655F" w:rsidP="00F1357D">
            <w:pPr>
              <w:jc w:val="center"/>
            </w:pPr>
            <w:r>
              <w:t xml:space="preserve">0 </w:t>
            </w:r>
          </w:p>
        </w:tc>
        <w:tc>
          <w:tcPr>
            <w:tcW w:w="1430" w:type="dxa"/>
            <w:noWrap/>
          </w:tcPr>
          <w:p w14:paraId="153C5F48" w14:textId="77777777" w:rsidR="00404962" w:rsidRDefault="00300F3A" w:rsidP="00F1357D">
            <w:pPr>
              <w:jc w:val="center"/>
              <w:rPr>
                <w:b/>
                <w:bCs/>
              </w:rPr>
            </w:pPr>
            <w:r>
              <w:rPr>
                <w:b/>
                <w:bCs/>
              </w:rPr>
              <w:t>1 surpassed</w:t>
            </w:r>
          </w:p>
          <w:p w14:paraId="2A5FFF16" w14:textId="17E6B340" w:rsidR="00300F3A" w:rsidRPr="00FF201B" w:rsidRDefault="00300F3A" w:rsidP="00F1357D">
            <w:pPr>
              <w:jc w:val="center"/>
              <w:rPr>
                <w:b/>
                <w:bCs/>
              </w:rPr>
            </w:pPr>
            <w:r>
              <w:rPr>
                <w:b/>
                <w:bCs/>
              </w:rPr>
              <w:t>2 achieved</w:t>
            </w:r>
          </w:p>
        </w:tc>
        <w:tc>
          <w:tcPr>
            <w:tcW w:w="3369" w:type="dxa"/>
            <w:noWrap/>
          </w:tcPr>
          <w:p w14:paraId="3FC9C65C" w14:textId="00C80123" w:rsidR="00404962" w:rsidRPr="00FF201B" w:rsidRDefault="006362C9" w:rsidP="00F1357D">
            <w:pPr>
              <w:jc w:val="center"/>
              <w:rPr>
                <w:b/>
                <w:bCs/>
              </w:rPr>
            </w:pPr>
            <w:r>
              <w:rPr>
                <w:b/>
                <w:bCs/>
              </w:rPr>
              <w:t>5 surpassed</w:t>
            </w:r>
          </w:p>
        </w:tc>
      </w:tr>
      <w:tr w:rsidR="00404962" w:rsidRPr="00FF201B" w14:paraId="1E899DAB" w14:textId="77777777" w:rsidTr="00A107F0">
        <w:trPr>
          <w:trHeight w:val="288"/>
        </w:trPr>
        <w:tc>
          <w:tcPr>
            <w:tcW w:w="1997" w:type="dxa"/>
            <w:noWrap/>
          </w:tcPr>
          <w:p w14:paraId="34F2176B" w14:textId="482010BE" w:rsidR="00404962" w:rsidRPr="00404962" w:rsidRDefault="00404962">
            <w:pPr>
              <w:rPr>
                <w:b/>
              </w:rPr>
            </w:pPr>
            <w:r w:rsidRPr="00404962">
              <w:rPr>
                <w:b/>
              </w:rPr>
              <w:t xml:space="preserve">PDO 2: expand use </w:t>
            </w:r>
          </w:p>
        </w:tc>
        <w:tc>
          <w:tcPr>
            <w:tcW w:w="1834" w:type="dxa"/>
            <w:noWrap/>
          </w:tcPr>
          <w:p w14:paraId="46792B0E" w14:textId="264F53BC" w:rsidR="00404962" w:rsidRPr="00FF201B" w:rsidRDefault="00404962" w:rsidP="00F1357D">
            <w:pPr>
              <w:jc w:val="center"/>
            </w:pPr>
            <w:r>
              <w:t>N/A</w:t>
            </w:r>
          </w:p>
        </w:tc>
        <w:tc>
          <w:tcPr>
            <w:tcW w:w="1430" w:type="dxa"/>
            <w:noWrap/>
          </w:tcPr>
          <w:p w14:paraId="290DE0B8" w14:textId="77777777" w:rsidR="00404962" w:rsidRDefault="00E913F7" w:rsidP="00E913F7">
            <w:pPr>
              <w:rPr>
                <w:b/>
                <w:bCs/>
              </w:rPr>
            </w:pPr>
            <w:r>
              <w:rPr>
                <w:b/>
                <w:bCs/>
              </w:rPr>
              <w:t xml:space="preserve">1 surpassed </w:t>
            </w:r>
          </w:p>
          <w:p w14:paraId="317580FE" w14:textId="0F8590E4" w:rsidR="00E913F7" w:rsidRPr="00FF201B" w:rsidRDefault="00E913F7" w:rsidP="00E913F7">
            <w:pPr>
              <w:rPr>
                <w:b/>
                <w:bCs/>
              </w:rPr>
            </w:pPr>
            <w:r>
              <w:rPr>
                <w:b/>
                <w:bCs/>
              </w:rPr>
              <w:t xml:space="preserve">1 achieved </w:t>
            </w:r>
          </w:p>
        </w:tc>
        <w:tc>
          <w:tcPr>
            <w:tcW w:w="3369" w:type="dxa"/>
            <w:noWrap/>
          </w:tcPr>
          <w:p w14:paraId="03E26000" w14:textId="1745CF25" w:rsidR="00404962" w:rsidRPr="00FF201B" w:rsidRDefault="00E913F7" w:rsidP="00F1357D">
            <w:pPr>
              <w:jc w:val="center"/>
              <w:rPr>
                <w:b/>
                <w:bCs/>
              </w:rPr>
            </w:pPr>
            <w:r>
              <w:rPr>
                <w:b/>
                <w:bCs/>
              </w:rPr>
              <w:t>3 out of 3 surpassed</w:t>
            </w:r>
          </w:p>
        </w:tc>
      </w:tr>
      <w:tr w:rsidR="00404962" w:rsidRPr="00FF201B" w14:paraId="75FF3F45" w14:textId="77777777" w:rsidTr="00300F3A">
        <w:trPr>
          <w:trHeight w:val="863"/>
        </w:trPr>
        <w:tc>
          <w:tcPr>
            <w:tcW w:w="1997" w:type="dxa"/>
            <w:noWrap/>
          </w:tcPr>
          <w:p w14:paraId="5846A04D" w14:textId="1472B48F" w:rsidR="00404962" w:rsidRPr="00404962" w:rsidRDefault="00404962">
            <w:pPr>
              <w:rPr>
                <w:b/>
              </w:rPr>
            </w:pPr>
            <w:r w:rsidRPr="00404962">
              <w:rPr>
                <w:b/>
              </w:rPr>
              <w:t xml:space="preserve">PDO 3: expand/improve quality </w:t>
            </w:r>
          </w:p>
        </w:tc>
        <w:tc>
          <w:tcPr>
            <w:tcW w:w="1834" w:type="dxa"/>
            <w:noWrap/>
          </w:tcPr>
          <w:p w14:paraId="2880840A" w14:textId="65DE00C7" w:rsidR="00404962" w:rsidRPr="005E509A" w:rsidRDefault="000F655F" w:rsidP="00F1357D">
            <w:pPr>
              <w:jc w:val="center"/>
              <w:rPr>
                <w:b/>
              </w:rPr>
            </w:pPr>
            <w:r w:rsidRPr="005E509A">
              <w:rPr>
                <w:b/>
              </w:rPr>
              <w:t xml:space="preserve">0 </w:t>
            </w:r>
            <w:r w:rsidR="005E509A" w:rsidRPr="005E509A">
              <w:rPr>
                <w:b/>
              </w:rPr>
              <w:t xml:space="preserve"> out 2</w:t>
            </w:r>
          </w:p>
        </w:tc>
        <w:tc>
          <w:tcPr>
            <w:tcW w:w="1430" w:type="dxa"/>
            <w:noWrap/>
          </w:tcPr>
          <w:p w14:paraId="655633D8" w14:textId="08776955" w:rsidR="00404962" w:rsidRPr="00FF201B" w:rsidRDefault="00300F3A" w:rsidP="00F1357D">
            <w:pPr>
              <w:jc w:val="center"/>
              <w:rPr>
                <w:b/>
                <w:bCs/>
              </w:rPr>
            </w:pPr>
            <w:r>
              <w:rPr>
                <w:b/>
                <w:bCs/>
              </w:rPr>
              <w:t xml:space="preserve">1 surpassed, 1 achieved </w:t>
            </w:r>
          </w:p>
        </w:tc>
        <w:tc>
          <w:tcPr>
            <w:tcW w:w="3369" w:type="dxa"/>
            <w:noWrap/>
          </w:tcPr>
          <w:p w14:paraId="370FD8DC" w14:textId="0D241F7C" w:rsidR="00404962" w:rsidRPr="00FF201B" w:rsidRDefault="004D6615" w:rsidP="00F1357D">
            <w:pPr>
              <w:jc w:val="center"/>
              <w:rPr>
                <w:b/>
                <w:bCs/>
              </w:rPr>
            </w:pPr>
            <w:r>
              <w:rPr>
                <w:b/>
                <w:bCs/>
              </w:rPr>
              <w:t>2 surpassed, 1 achieved, 1 partially achieved</w:t>
            </w:r>
          </w:p>
        </w:tc>
      </w:tr>
      <w:tr w:rsidR="00FF201B" w:rsidRPr="00FF201B" w14:paraId="0A8E620C" w14:textId="77777777" w:rsidTr="00A107F0">
        <w:trPr>
          <w:trHeight w:val="576"/>
        </w:trPr>
        <w:tc>
          <w:tcPr>
            <w:tcW w:w="1997" w:type="dxa"/>
            <w:hideMark/>
          </w:tcPr>
          <w:p w14:paraId="05E77E4A" w14:textId="77777777" w:rsidR="00FF201B" w:rsidRPr="00FF201B" w:rsidRDefault="00FF201B">
            <w:pPr>
              <w:rPr>
                <w:b/>
                <w:bCs/>
              </w:rPr>
            </w:pPr>
            <w:r w:rsidRPr="00FF201B">
              <w:rPr>
                <w:b/>
                <w:bCs/>
              </w:rPr>
              <w:t xml:space="preserve">Total surpassed, achieved and partially achieved </w:t>
            </w:r>
          </w:p>
        </w:tc>
        <w:tc>
          <w:tcPr>
            <w:tcW w:w="1834" w:type="dxa"/>
            <w:noWrap/>
            <w:hideMark/>
          </w:tcPr>
          <w:p w14:paraId="1CE48C2A" w14:textId="4E353FB3" w:rsidR="00FF201B" w:rsidRPr="00FF201B" w:rsidRDefault="00FF201B" w:rsidP="00F1357D">
            <w:pPr>
              <w:jc w:val="center"/>
            </w:pPr>
            <w:r w:rsidRPr="00FF201B">
              <w:t>0 (</w:t>
            </w:r>
            <w:r w:rsidR="004255FB">
              <w:t>H</w:t>
            </w:r>
            <w:r w:rsidRPr="00FF201B">
              <w:t>U)</w:t>
            </w:r>
          </w:p>
        </w:tc>
        <w:tc>
          <w:tcPr>
            <w:tcW w:w="1430" w:type="dxa"/>
            <w:noWrap/>
            <w:hideMark/>
          </w:tcPr>
          <w:p w14:paraId="06E1F257" w14:textId="77777777" w:rsidR="00FF201B" w:rsidRPr="00FF201B" w:rsidRDefault="00FF201B" w:rsidP="00F1357D">
            <w:pPr>
              <w:jc w:val="center"/>
            </w:pPr>
            <w:r w:rsidRPr="00FF201B">
              <w:rPr>
                <w:b/>
                <w:bCs/>
              </w:rPr>
              <w:t>5</w:t>
            </w:r>
            <w:r w:rsidRPr="00FF201B">
              <w:t xml:space="preserve"> (100%)  (S)</w:t>
            </w:r>
          </w:p>
        </w:tc>
        <w:tc>
          <w:tcPr>
            <w:tcW w:w="3369" w:type="dxa"/>
            <w:noWrap/>
            <w:hideMark/>
          </w:tcPr>
          <w:p w14:paraId="251AA73C" w14:textId="77777777" w:rsidR="00FF201B" w:rsidRPr="00FF201B" w:rsidRDefault="00FF201B" w:rsidP="00F1357D">
            <w:pPr>
              <w:jc w:val="center"/>
            </w:pPr>
            <w:r w:rsidRPr="00FF201B">
              <w:rPr>
                <w:b/>
                <w:bCs/>
              </w:rPr>
              <w:t>9</w:t>
            </w:r>
            <w:r w:rsidRPr="00FF201B">
              <w:t xml:space="preserve"> (100%)  (S)</w:t>
            </w:r>
          </w:p>
        </w:tc>
      </w:tr>
      <w:tr w:rsidR="00686C3E" w:rsidRPr="00FF201B" w14:paraId="7340E99A" w14:textId="77777777" w:rsidTr="004F6075">
        <w:trPr>
          <w:trHeight w:val="288"/>
        </w:trPr>
        <w:tc>
          <w:tcPr>
            <w:tcW w:w="8630" w:type="dxa"/>
            <w:gridSpan w:val="4"/>
            <w:noWrap/>
            <w:hideMark/>
          </w:tcPr>
          <w:p w14:paraId="3FCE9542" w14:textId="5A054FED" w:rsidR="00686C3E" w:rsidRPr="00FF201B" w:rsidRDefault="00686C3E" w:rsidP="00F1357D">
            <w:pPr>
              <w:jc w:val="center"/>
            </w:pPr>
            <w:r w:rsidRPr="00FF201B">
              <w:rPr>
                <w:b/>
                <w:bCs/>
              </w:rPr>
              <w:t xml:space="preserve">IO indicators </w:t>
            </w:r>
          </w:p>
        </w:tc>
      </w:tr>
      <w:tr w:rsidR="00FF201B" w:rsidRPr="00FF201B" w14:paraId="7737FB6C" w14:textId="77777777" w:rsidTr="00A107F0">
        <w:trPr>
          <w:trHeight w:val="288"/>
        </w:trPr>
        <w:tc>
          <w:tcPr>
            <w:tcW w:w="1997" w:type="dxa"/>
            <w:noWrap/>
            <w:hideMark/>
          </w:tcPr>
          <w:p w14:paraId="1C4EB6FA" w14:textId="77777777" w:rsidR="00FF201B" w:rsidRPr="00FF201B" w:rsidRDefault="00FF201B">
            <w:r w:rsidRPr="00FF201B">
              <w:t>Surpassed</w:t>
            </w:r>
          </w:p>
        </w:tc>
        <w:tc>
          <w:tcPr>
            <w:tcW w:w="1834" w:type="dxa"/>
            <w:noWrap/>
            <w:hideMark/>
          </w:tcPr>
          <w:p w14:paraId="12CE5C61" w14:textId="77777777" w:rsidR="00FF201B" w:rsidRPr="00FF201B" w:rsidRDefault="00FF201B" w:rsidP="00F1357D">
            <w:pPr>
              <w:jc w:val="center"/>
            </w:pPr>
            <w:r w:rsidRPr="00FF201B">
              <w:t>0</w:t>
            </w:r>
          </w:p>
        </w:tc>
        <w:tc>
          <w:tcPr>
            <w:tcW w:w="1430" w:type="dxa"/>
            <w:noWrap/>
            <w:hideMark/>
          </w:tcPr>
          <w:p w14:paraId="11BABAA0" w14:textId="77777777" w:rsidR="00FF201B" w:rsidRPr="00FF201B" w:rsidRDefault="00FF201B" w:rsidP="00F1357D">
            <w:pPr>
              <w:jc w:val="center"/>
            </w:pPr>
            <w:r w:rsidRPr="00FF201B">
              <w:t>0</w:t>
            </w:r>
          </w:p>
        </w:tc>
        <w:tc>
          <w:tcPr>
            <w:tcW w:w="3369" w:type="dxa"/>
            <w:noWrap/>
            <w:hideMark/>
          </w:tcPr>
          <w:p w14:paraId="4396473E" w14:textId="77777777" w:rsidR="00FF201B" w:rsidRPr="00FF201B" w:rsidRDefault="00FF201B" w:rsidP="00F1357D">
            <w:pPr>
              <w:jc w:val="center"/>
            </w:pPr>
            <w:r w:rsidRPr="00FF201B">
              <w:rPr>
                <w:b/>
                <w:bCs/>
              </w:rPr>
              <w:t>3</w:t>
            </w:r>
            <w:r w:rsidRPr="00FF201B">
              <w:t xml:space="preserve"> (1 new, 2 revised)</w:t>
            </w:r>
          </w:p>
        </w:tc>
      </w:tr>
      <w:tr w:rsidR="00FF201B" w:rsidRPr="00FF201B" w14:paraId="29C4FDFC" w14:textId="77777777" w:rsidTr="00A107F0">
        <w:trPr>
          <w:trHeight w:val="288"/>
        </w:trPr>
        <w:tc>
          <w:tcPr>
            <w:tcW w:w="1997" w:type="dxa"/>
            <w:noWrap/>
            <w:hideMark/>
          </w:tcPr>
          <w:p w14:paraId="39B55FA3" w14:textId="77777777" w:rsidR="00FF201B" w:rsidRPr="00FF201B" w:rsidRDefault="00FF201B">
            <w:r w:rsidRPr="00FF201B">
              <w:t xml:space="preserve">Achieved </w:t>
            </w:r>
          </w:p>
        </w:tc>
        <w:tc>
          <w:tcPr>
            <w:tcW w:w="1834" w:type="dxa"/>
            <w:noWrap/>
            <w:hideMark/>
          </w:tcPr>
          <w:p w14:paraId="7E22BE5D" w14:textId="77777777" w:rsidR="00FF201B" w:rsidRPr="00FF201B" w:rsidRDefault="00FF201B" w:rsidP="00F1357D">
            <w:pPr>
              <w:jc w:val="center"/>
            </w:pPr>
            <w:r w:rsidRPr="00FF201B">
              <w:t>0</w:t>
            </w:r>
          </w:p>
        </w:tc>
        <w:tc>
          <w:tcPr>
            <w:tcW w:w="1430" w:type="dxa"/>
            <w:noWrap/>
            <w:hideMark/>
          </w:tcPr>
          <w:p w14:paraId="15EDE0EF" w14:textId="77777777" w:rsidR="00FF201B" w:rsidRPr="00FF201B" w:rsidRDefault="00FF201B" w:rsidP="00F1357D">
            <w:pPr>
              <w:jc w:val="center"/>
            </w:pPr>
            <w:r w:rsidRPr="00FF201B">
              <w:t>2 (new)</w:t>
            </w:r>
          </w:p>
        </w:tc>
        <w:tc>
          <w:tcPr>
            <w:tcW w:w="3369" w:type="dxa"/>
            <w:noWrap/>
            <w:hideMark/>
          </w:tcPr>
          <w:p w14:paraId="61DB0112" w14:textId="77777777" w:rsidR="00FF201B" w:rsidRPr="00FF201B" w:rsidRDefault="00FF201B" w:rsidP="00F1357D">
            <w:pPr>
              <w:jc w:val="center"/>
            </w:pPr>
            <w:r w:rsidRPr="00FF201B">
              <w:rPr>
                <w:b/>
                <w:bCs/>
              </w:rPr>
              <w:t>4</w:t>
            </w:r>
            <w:r w:rsidRPr="00FF201B">
              <w:t xml:space="preserve"> (1 new, 2 revised, 1 May 2011)</w:t>
            </w:r>
          </w:p>
        </w:tc>
      </w:tr>
      <w:tr w:rsidR="00FF201B" w:rsidRPr="00FF201B" w14:paraId="2AD5FF06" w14:textId="77777777" w:rsidTr="00A107F0">
        <w:trPr>
          <w:trHeight w:val="288"/>
        </w:trPr>
        <w:tc>
          <w:tcPr>
            <w:tcW w:w="1997" w:type="dxa"/>
            <w:noWrap/>
            <w:hideMark/>
          </w:tcPr>
          <w:p w14:paraId="05507C59" w14:textId="77777777" w:rsidR="00FF201B" w:rsidRPr="00FF201B" w:rsidRDefault="00FF201B">
            <w:r w:rsidRPr="00FF201B">
              <w:t xml:space="preserve">Partially achieved </w:t>
            </w:r>
          </w:p>
        </w:tc>
        <w:tc>
          <w:tcPr>
            <w:tcW w:w="1834" w:type="dxa"/>
            <w:noWrap/>
            <w:hideMark/>
          </w:tcPr>
          <w:p w14:paraId="7BBF26F7" w14:textId="77777777" w:rsidR="00FF201B" w:rsidRPr="00FF201B" w:rsidRDefault="00FF201B" w:rsidP="00F1357D">
            <w:pPr>
              <w:jc w:val="center"/>
            </w:pPr>
            <w:r w:rsidRPr="00FF201B">
              <w:t>0</w:t>
            </w:r>
          </w:p>
        </w:tc>
        <w:tc>
          <w:tcPr>
            <w:tcW w:w="1430" w:type="dxa"/>
            <w:noWrap/>
            <w:hideMark/>
          </w:tcPr>
          <w:p w14:paraId="6F46BA41" w14:textId="77777777" w:rsidR="00FF201B" w:rsidRPr="00FF201B" w:rsidRDefault="00FF201B" w:rsidP="00F1357D">
            <w:pPr>
              <w:jc w:val="center"/>
            </w:pPr>
            <w:r w:rsidRPr="00FF201B">
              <w:t>1 (new)</w:t>
            </w:r>
          </w:p>
        </w:tc>
        <w:tc>
          <w:tcPr>
            <w:tcW w:w="3369" w:type="dxa"/>
            <w:noWrap/>
            <w:hideMark/>
          </w:tcPr>
          <w:p w14:paraId="07643871" w14:textId="77777777" w:rsidR="00FF201B" w:rsidRPr="00FF201B" w:rsidRDefault="00FF201B" w:rsidP="00F1357D">
            <w:pPr>
              <w:jc w:val="center"/>
            </w:pPr>
            <w:r w:rsidRPr="00FF201B">
              <w:rPr>
                <w:b/>
                <w:bCs/>
              </w:rPr>
              <w:t>2</w:t>
            </w:r>
            <w:r w:rsidRPr="00FF201B">
              <w:t xml:space="preserve"> (new)</w:t>
            </w:r>
          </w:p>
        </w:tc>
      </w:tr>
      <w:tr w:rsidR="00FF201B" w:rsidRPr="00FF201B" w14:paraId="1E702044" w14:textId="77777777" w:rsidTr="00A107F0">
        <w:trPr>
          <w:trHeight w:val="288"/>
        </w:trPr>
        <w:tc>
          <w:tcPr>
            <w:tcW w:w="1997" w:type="dxa"/>
            <w:noWrap/>
            <w:hideMark/>
          </w:tcPr>
          <w:p w14:paraId="6EA556F4" w14:textId="77777777" w:rsidR="00FF201B" w:rsidRPr="00FF201B" w:rsidRDefault="00FF201B">
            <w:r w:rsidRPr="00FF201B">
              <w:t xml:space="preserve">Not achieved </w:t>
            </w:r>
          </w:p>
        </w:tc>
        <w:tc>
          <w:tcPr>
            <w:tcW w:w="1834" w:type="dxa"/>
            <w:noWrap/>
            <w:hideMark/>
          </w:tcPr>
          <w:p w14:paraId="5805BD4F" w14:textId="77777777" w:rsidR="00FF201B" w:rsidRPr="00FF201B" w:rsidRDefault="00FF201B" w:rsidP="00F1357D">
            <w:pPr>
              <w:jc w:val="center"/>
            </w:pPr>
            <w:r w:rsidRPr="00FF201B">
              <w:t>10</w:t>
            </w:r>
          </w:p>
        </w:tc>
        <w:tc>
          <w:tcPr>
            <w:tcW w:w="1430" w:type="dxa"/>
            <w:noWrap/>
            <w:hideMark/>
          </w:tcPr>
          <w:p w14:paraId="6F3C647A" w14:textId="77777777" w:rsidR="00FF201B" w:rsidRPr="00FF201B" w:rsidRDefault="00FF201B" w:rsidP="00F1357D">
            <w:pPr>
              <w:jc w:val="center"/>
            </w:pPr>
            <w:r w:rsidRPr="00FF201B">
              <w:t>5 (new)</w:t>
            </w:r>
          </w:p>
        </w:tc>
        <w:tc>
          <w:tcPr>
            <w:tcW w:w="3369" w:type="dxa"/>
            <w:noWrap/>
            <w:hideMark/>
          </w:tcPr>
          <w:p w14:paraId="7AE781EB" w14:textId="77777777" w:rsidR="00FF201B" w:rsidRPr="00FF201B" w:rsidRDefault="00FF201B" w:rsidP="00F1357D">
            <w:pPr>
              <w:jc w:val="center"/>
              <w:rPr>
                <w:b/>
                <w:bCs/>
              </w:rPr>
            </w:pPr>
            <w:r w:rsidRPr="00FF201B">
              <w:rPr>
                <w:b/>
                <w:bCs/>
              </w:rPr>
              <w:t>0</w:t>
            </w:r>
          </w:p>
        </w:tc>
      </w:tr>
      <w:tr w:rsidR="00FF201B" w:rsidRPr="00FF201B" w14:paraId="4E1691DE" w14:textId="77777777" w:rsidTr="00A107F0">
        <w:trPr>
          <w:trHeight w:val="288"/>
        </w:trPr>
        <w:tc>
          <w:tcPr>
            <w:tcW w:w="1997" w:type="dxa"/>
            <w:noWrap/>
            <w:hideMark/>
          </w:tcPr>
          <w:p w14:paraId="4E9288F9" w14:textId="77777777" w:rsidR="00FF201B" w:rsidRPr="00FF201B" w:rsidRDefault="00FF201B">
            <w:r w:rsidRPr="00FF201B">
              <w:t xml:space="preserve">Total </w:t>
            </w:r>
          </w:p>
        </w:tc>
        <w:tc>
          <w:tcPr>
            <w:tcW w:w="1834" w:type="dxa"/>
            <w:noWrap/>
            <w:hideMark/>
          </w:tcPr>
          <w:p w14:paraId="669DA21B" w14:textId="77777777" w:rsidR="00FF201B" w:rsidRPr="00FF201B" w:rsidRDefault="00FF201B" w:rsidP="00F1357D">
            <w:pPr>
              <w:jc w:val="center"/>
            </w:pPr>
            <w:r w:rsidRPr="00FF201B">
              <w:t>10</w:t>
            </w:r>
          </w:p>
        </w:tc>
        <w:tc>
          <w:tcPr>
            <w:tcW w:w="1430" w:type="dxa"/>
            <w:noWrap/>
            <w:hideMark/>
          </w:tcPr>
          <w:p w14:paraId="4860C3FE" w14:textId="77777777" w:rsidR="00FF201B" w:rsidRPr="00FF201B" w:rsidRDefault="00FF201B" w:rsidP="00F1357D">
            <w:pPr>
              <w:jc w:val="center"/>
            </w:pPr>
            <w:r w:rsidRPr="00FF201B">
              <w:t>8 (new)</w:t>
            </w:r>
          </w:p>
        </w:tc>
        <w:tc>
          <w:tcPr>
            <w:tcW w:w="3369" w:type="dxa"/>
            <w:noWrap/>
            <w:hideMark/>
          </w:tcPr>
          <w:p w14:paraId="434BCD7A" w14:textId="77777777" w:rsidR="00FF201B" w:rsidRPr="00FF201B" w:rsidRDefault="00FF201B" w:rsidP="00F1357D">
            <w:pPr>
              <w:jc w:val="center"/>
            </w:pPr>
            <w:r w:rsidRPr="00FF201B">
              <w:rPr>
                <w:b/>
                <w:bCs/>
              </w:rPr>
              <w:t>9</w:t>
            </w:r>
            <w:r w:rsidRPr="00FF201B">
              <w:t xml:space="preserve"> (4 new; 4 revised;  1 May 2011)</w:t>
            </w:r>
          </w:p>
        </w:tc>
      </w:tr>
      <w:tr w:rsidR="00FF201B" w:rsidRPr="00FF201B" w14:paraId="0F914D91" w14:textId="77777777" w:rsidTr="00A107F0">
        <w:trPr>
          <w:trHeight w:val="288"/>
        </w:trPr>
        <w:tc>
          <w:tcPr>
            <w:tcW w:w="1997" w:type="dxa"/>
            <w:noWrap/>
            <w:hideMark/>
          </w:tcPr>
          <w:p w14:paraId="52E6D59A" w14:textId="77777777" w:rsidR="00FF201B" w:rsidRPr="00FF201B" w:rsidRDefault="00FF201B">
            <w:r w:rsidRPr="00FF201B">
              <w:t xml:space="preserve">Total surpassed </w:t>
            </w:r>
          </w:p>
        </w:tc>
        <w:tc>
          <w:tcPr>
            <w:tcW w:w="1834" w:type="dxa"/>
            <w:noWrap/>
            <w:hideMark/>
          </w:tcPr>
          <w:p w14:paraId="7C9D5A9F" w14:textId="77777777" w:rsidR="00FF201B" w:rsidRPr="00FF201B" w:rsidRDefault="00FF201B" w:rsidP="00F1357D">
            <w:pPr>
              <w:jc w:val="center"/>
            </w:pPr>
            <w:r w:rsidRPr="00FF201B">
              <w:t>0</w:t>
            </w:r>
          </w:p>
        </w:tc>
        <w:tc>
          <w:tcPr>
            <w:tcW w:w="1430" w:type="dxa"/>
            <w:noWrap/>
            <w:hideMark/>
          </w:tcPr>
          <w:p w14:paraId="3BAA7242" w14:textId="77777777" w:rsidR="00FF201B" w:rsidRPr="00FF201B" w:rsidRDefault="00FF201B" w:rsidP="00F1357D">
            <w:pPr>
              <w:jc w:val="center"/>
            </w:pPr>
            <w:r w:rsidRPr="00FF201B">
              <w:t>0</w:t>
            </w:r>
          </w:p>
        </w:tc>
        <w:tc>
          <w:tcPr>
            <w:tcW w:w="3369" w:type="dxa"/>
            <w:noWrap/>
            <w:hideMark/>
          </w:tcPr>
          <w:p w14:paraId="14EE286B" w14:textId="77777777" w:rsidR="00FF201B" w:rsidRPr="00FF201B" w:rsidRDefault="00FF201B" w:rsidP="00F1357D">
            <w:pPr>
              <w:jc w:val="center"/>
            </w:pPr>
            <w:r w:rsidRPr="00FF201B">
              <w:t>3</w:t>
            </w:r>
          </w:p>
        </w:tc>
      </w:tr>
      <w:tr w:rsidR="00FF201B" w:rsidRPr="00FF201B" w14:paraId="4BA9BCE4" w14:textId="77777777" w:rsidTr="00A107F0">
        <w:trPr>
          <w:trHeight w:val="576"/>
        </w:trPr>
        <w:tc>
          <w:tcPr>
            <w:tcW w:w="1997" w:type="dxa"/>
            <w:hideMark/>
          </w:tcPr>
          <w:p w14:paraId="54596C19" w14:textId="77777777" w:rsidR="00FF201B" w:rsidRPr="00FF201B" w:rsidRDefault="00FF201B">
            <w:pPr>
              <w:rPr>
                <w:b/>
                <w:bCs/>
              </w:rPr>
            </w:pPr>
            <w:r w:rsidRPr="00FF201B">
              <w:rPr>
                <w:b/>
                <w:bCs/>
              </w:rPr>
              <w:t xml:space="preserve">Total surpassed, achieved and partially achieved </w:t>
            </w:r>
          </w:p>
        </w:tc>
        <w:tc>
          <w:tcPr>
            <w:tcW w:w="1834" w:type="dxa"/>
            <w:noWrap/>
            <w:hideMark/>
          </w:tcPr>
          <w:p w14:paraId="0594CC4F" w14:textId="77777777" w:rsidR="00FF201B" w:rsidRPr="00FF201B" w:rsidRDefault="00FF201B" w:rsidP="00F1357D">
            <w:pPr>
              <w:jc w:val="center"/>
            </w:pPr>
            <w:r w:rsidRPr="00FF201B">
              <w:t>0%</w:t>
            </w:r>
          </w:p>
        </w:tc>
        <w:tc>
          <w:tcPr>
            <w:tcW w:w="1430" w:type="dxa"/>
            <w:hideMark/>
          </w:tcPr>
          <w:p w14:paraId="386EA248" w14:textId="77777777" w:rsidR="00FF201B" w:rsidRPr="00FF201B" w:rsidRDefault="00FF201B" w:rsidP="00F1357D">
            <w:pPr>
              <w:jc w:val="center"/>
            </w:pPr>
            <w:r w:rsidRPr="00FF201B">
              <w:t xml:space="preserve">3 (new) </w:t>
            </w:r>
            <w:r w:rsidRPr="00FF201B">
              <w:br/>
              <w:t>37.5%</w:t>
            </w:r>
          </w:p>
        </w:tc>
        <w:tc>
          <w:tcPr>
            <w:tcW w:w="3369" w:type="dxa"/>
            <w:hideMark/>
          </w:tcPr>
          <w:p w14:paraId="075464C0" w14:textId="77777777" w:rsidR="00FF201B" w:rsidRPr="00FF201B" w:rsidRDefault="00FF201B" w:rsidP="00F1357D">
            <w:pPr>
              <w:jc w:val="center"/>
              <w:rPr>
                <w:b/>
                <w:bCs/>
              </w:rPr>
            </w:pPr>
            <w:r w:rsidRPr="00FF201B">
              <w:rPr>
                <w:b/>
                <w:bCs/>
              </w:rPr>
              <w:t>9</w:t>
            </w:r>
            <w:r w:rsidRPr="00FF201B">
              <w:rPr>
                <w:b/>
                <w:bCs/>
              </w:rPr>
              <w:br/>
              <w:t>(100%)</w:t>
            </w:r>
          </w:p>
        </w:tc>
      </w:tr>
      <w:tr w:rsidR="00FF201B" w:rsidRPr="00FF201B" w14:paraId="764DC4B6" w14:textId="77777777" w:rsidTr="00A107F0">
        <w:trPr>
          <w:trHeight w:val="288"/>
        </w:trPr>
        <w:tc>
          <w:tcPr>
            <w:tcW w:w="1997" w:type="dxa"/>
            <w:noWrap/>
            <w:hideMark/>
          </w:tcPr>
          <w:p w14:paraId="49C057EF" w14:textId="77777777" w:rsidR="00FF201B" w:rsidRPr="00FF201B" w:rsidRDefault="00FF201B">
            <w:pPr>
              <w:rPr>
                <w:b/>
                <w:bCs/>
              </w:rPr>
            </w:pPr>
            <w:r w:rsidRPr="00FF201B">
              <w:rPr>
                <w:b/>
                <w:bCs/>
              </w:rPr>
              <w:t xml:space="preserve">Weighted Average </w:t>
            </w:r>
          </w:p>
        </w:tc>
        <w:tc>
          <w:tcPr>
            <w:tcW w:w="1834" w:type="dxa"/>
            <w:noWrap/>
            <w:hideMark/>
          </w:tcPr>
          <w:p w14:paraId="72FA553F" w14:textId="26249E6A" w:rsidR="00FF201B" w:rsidRPr="00E90C08" w:rsidRDefault="005E509A" w:rsidP="00F1357D">
            <w:pPr>
              <w:jc w:val="center"/>
              <w:rPr>
                <w:b/>
              </w:rPr>
            </w:pPr>
            <w:r>
              <w:rPr>
                <w:b/>
              </w:rPr>
              <w:t>0%</w:t>
            </w:r>
          </w:p>
          <w:p w14:paraId="08A54189" w14:textId="276F0FEB" w:rsidR="00A107F0" w:rsidRPr="00E90C08" w:rsidRDefault="008D7F5E" w:rsidP="00F1357D">
            <w:pPr>
              <w:jc w:val="center"/>
              <w:rPr>
                <w:b/>
              </w:rPr>
            </w:pPr>
            <w:r>
              <w:rPr>
                <w:b/>
              </w:rPr>
              <w:t>H</w:t>
            </w:r>
            <w:r w:rsidR="00A107F0" w:rsidRPr="00E90C08">
              <w:rPr>
                <w:b/>
              </w:rPr>
              <w:t>U</w:t>
            </w:r>
          </w:p>
        </w:tc>
        <w:tc>
          <w:tcPr>
            <w:tcW w:w="1430" w:type="dxa"/>
            <w:noWrap/>
            <w:hideMark/>
          </w:tcPr>
          <w:p w14:paraId="46CFCAC2" w14:textId="77777777" w:rsidR="00FF201B" w:rsidRPr="00E90C08" w:rsidRDefault="00FF201B" w:rsidP="00F1357D">
            <w:pPr>
              <w:jc w:val="center"/>
              <w:rPr>
                <w:b/>
              </w:rPr>
            </w:pPr>
            <w:r w:rsidRPr="00E90C08">
              <w:rPr>
                <w:b/>
              </w:rPr>
              <w:t>71%</w:t>
            </w:r>
          </w:p>
          <w:p w14:paraId="2CA251D7" w14:textId="77777777" w:rsidR="00A107F0" w:rsidRPr="00E90C08" w:rsidRDefault="00A107F0" w:rsidP="00F1357D">
            <w:pPr>
              <w:jc w:val="center"/>
              <w:rPr>
                <w:b/>
              </w:rPr>
            </w:pPr>
            <w:r w:rsidRPr="00E90C08">
              <w:rPr>
                <w:b/>
              </w:rPr>
              <w:t>MS</w:t>
            </w:r>
          </w:p>
        </w:tc>
        <w:tc>
          <w:tcPr>
            <w:tcW w:w="3369" w:type="dxa"/>
            <w:noWrap/>
            <w:hideMark/>
          </w:tcPr>
          <w:p w14:paraId="6A2A6504" w14:textId="77777777" w:rsidR="00FF201B" w:rsidRPr="00E90C08" w:rsidRDefault="00FF201B" w:rsidP="00F1357D">
            <w:pPr>
              <w:jc w:val="center"/>
              <w:rPr>
                <w:b/>
              </w:rPr>
            </w:pPr>
            <w:r w:rsidRPr="00E90C08">
              <w:rPr>
                <w:b/>
              </w:rPr>
              <w:t>124%</w:t>
            </w:r>
          </w:p>
          <w:p w14:paraId="77724854" w14:textId="77777777" w:rsidR="00A107F0" w:rsidRPr="00E90C08" w:rsidRDefault="00A107F0" w:rsidP="00F1357D">
            <w:pPr>
              <w:jc w:val="center"/>
              <w:rPr>
                <w:b/>
              </w:rPr>
            </w:pPr>
            <w:r w:rsidRPr="00E90C08">
              <w:rPr>
                <w:b/>
              </w:rPr>
              <w:t>HS</w:t>
            </w:r>
          </w:p>
        </w:tc>
      </w:tr>
    </w:tbl>
    <w:p w14:paraId="2080603F" w14:textId="1A5766B4" w:rsidR="00C67D43" w:rsidRPr="00FF201B" w:rsidRDefault="00FF201B" w:rsidP="00C67D43">
      <w:pPr>
        <w:rPr>
          <w:sz w:val="20"/>
          <w:szCs w:val="20"/>
        </w:rPr>
      </w:pPr>
      <w:r w:rsidRPr="00057165">
        <w:rPr>
          <w:b/>
          <w:i/>
          <w:sz w:val="20"/>
          <w:szCs w:val="20"/>
        </w:rPr>
        <w:t>Rating scale</w:t>
      </w:r>
      <w:r w:rsidRPr="00057165">
        <w:rPr>
          <w:i/>
          <w:sz w:val="20"/>
          <w:szCs w:val="20"/>
        </w:rPr>
        <w:t>:</w:t>
      </w:r>
      <w:r w:rsidRPr="00FF201B">
        <w:rPr>
          <w:sz w:val="20"/>
          <w:szCs w:val="20"/>
        </w:rPr>
        <w:t xml:space="preserve"> HU/U (0-40%)</w:t>
      </w:r>
      <w:r w:rsidR="00057165">
        <w:rPr>
          <w:sz w:val="20"/>
          <w:szCs w:val="20"/>
        </w:rPr>
        <w:t xml:space="preserve">; </w:t>
      </w:r>
      <w:r w:rsidRPr="00FF201B">
        <w:rPr>
          <w:sz w:val="20"/>
          <w:szCs w:val="20"/>
        </w:rPr>
        <w:t>MU</w:t>
      </w:r>
      <w:r w:rsidR="00220E38">
        <w:rPr>
          <w:sz w:val="20"/>
          <w:szCs w:val="20"/>
        </w:rPr>
        <w:t xml:space="preserve"> </w:t>
      </w:r>
      <w:r w:rsidRPr="00FF201B">
        <w:rPr>
          <w:sz w:val="20"/>
          <w:szCs w:val="20"/>
        </w:rPr>
        <w:t>(41-64%); MS (65-79%); S (80-94%); HS (95-100%)</w:t>
      </w:r>
    </w:p>
    <w:p w14:paraId="77F91A8A" w14:textId="77777777" w:rsidR="00FF201B" w:rsidRPr="00057165" w:rsidRDefault="00057165" w:rsidP="00C67D43">
      <w:pPr>
        <w:rPr>
          <w:sz w:val="20"/>
          <w:szCs w:val="20"/>
        </w:rPr>
      </w:pPr>
      <w:r w:rsidRPr="00057165">
        <w:rPr>
          <w:i/>
          <w:sz w:val="20"/>
          <w:szCs w:val="20"/>
        </w:rPr>
        <w:t>Note:</w:t>
      </w:r>
      <w:r w:rsidRPr="00057165">
        <w:rPr>
          <w:sz w:val="20"/>
          <w:szCs w:val="20"/>
        </w:rPr>
        <w:t xml:space="preserve"> A weighted average was calculated using the following</w:t>
      </w:r>
      <w:r w:rsidR="00195295">
        <w:rPr>
          <w:sz w:val="20"/>
          <w:szCs w:val="20"/>
        </w:rPr>
        <w:t xml:space="preserve"> scale: surpassed=1.5x; achieved</w:t>
      </w:r>
      <w:r w:rsidRPr="00057165">
        <w:rPr>
          <w:sz w:val="20"/>
          <w:szCs w:val="20"/>
        </w:rPr>
        <w:t xml:space="preserve">=1x; partially achieved=0.75x.  </w:t>
      </w:r>
    </w:p>
    <w:p w14:paraId="2A7C0F2E" w14:textId="77777777" w:rsidR="00057165" w:rsidRDefault="00057165" w:rsidP="00C67D43"/>
    <w:p w14:paraId="3FCEB865" w14:textId="371ED313" w:rsidR="004F6075" w:rsidRDefault="00A04CBE" w:rsidP="00C67D43">
      <w:r>
        <w:rPr>
          <w:b/>
        </w:rPr>
        <w:t>Table 3.2</w:t>
      </w:r>
      <w:r w:rsidR="005E509A" w:rsidRPr="004F6075">
        <w:rPr>
          <w:b/>
        </w:rPr>
        <w:t xml:space="preserve"> Achievement of the PDOs </w:t>
      </w:r>
      <w:r w:rsidR="005E509A">
        <w:rPr>
          <w:b/>
        </w:rPr>
        <w:t>by the time of evaluation</w:t>
      </w:r>
    </w:p>
    <w:tbl>
      <w:tblPr>
        <w:tblStyle w:val="TableGrid"/>
        <w:tblW w:w="0" w:type="auto"/>
        <w:tblLook w:val="04A0" w:firstRow="1" w:lastRow="0" w:firstColumn="1" w:lastColumn="0" w:noHBand="0" w:noVBand="1"/>
      </w:tblPr>
      <w:tblGrid>
        <w:gridCol w:w="1997"/>
        <w:gridCol w:w="1834"/>
        <w:gridCol w:w="1430"/>
        <w:gridCol w:w="3369"/>
      </w:tblGrid>
      <w:tr w:rsidR="005E509A" w:rsidRPr="00FF201B" w14:paraId="6E9F66E8" w14:textId="77777777" w:rsidTr="00CB6D01">
        <w:trPr>
          <w:trHeight w:val="576"/>
        </w:trPr>
        <w:tc>
          <w:tcPr>
            <w:tcW w:w="1997" w:type="dxa"/>
            <w:noWrap/>
          </w:tcPr>
          <w:p w14:paraId="243CFCC8" w14:textId="77777777" w:rsidR="005E509A" w:rsidRPr="00FF201B" w:rsidRDefault="005E509A" w:rsidP="00CB6D01">
            <w:pPr>
              <w:rPr>
                <w:b/>
                <w:bCs/>
              </w:rPr>
            </w:pPr>
          </w:p>
        </w:tc>
        <w:tc>
          <w:tcPr>
            <w:tcW w:w="1834" w:type="dxa"/>
          </w:tcPr>
          <w:p w14:paraId="52BA58CD" w14:textId="77777777" w:rsidR="005E509A" w:rsidRDefault="005E509A" w:rsidP="00CB6D01">
            <w:pPr>
              <w:jc w:val="center"/>
              <w:rPr>
                <w:b/>
                <w:i/>
              </w:rPr>
            </w:pPr>
            <w:r w:rsidRPr="00F1357D">
              <w:rPr>
                <w:b/>
                <w:i/>
              </w:rPr>
              <w:t>Phase 1</w:t>
            </w:r>
          </w:p>
          <w:p w14:paraId="51ED89A3" w14:textId="77777777" w:rsidR="005E509A" w:rsidRPr="00010C31" w:rsidRDefault="005E509A" w:rsidP="00CB6D01">
            <w:pPr>
              <w:ind w:left="-40" w:firstLine="40"/>
              <w:jc w:val="center"/>
              <w:rPr>
                <w:i/>
                <w:sz w:val="22"/>
                <w:szCs w:val="22"/>
              </w:rPr>
            </w:pPr>
            <w:r w:rsidRPr="00010C31">
              <w:rPr>
                <w:i/>
                <w:sz w:val="22"/>
                <w:szCs w:val="22"/>
              </w:rPr>
              <w:t>(Jul</w:t>
            </w:r>
            <w:r>
              <w:rPr>
                <w:i/>
                <w:sz w:val="22"/>
                <w:szCs w:val="22"/>
              </w:rPr>
              <w:t>y</w:t>
            </w:r>
            <w:r w:rsidRPr="00010C31">
              <w:rPr>
                <w:i/>
                <w:sz w:val="22"/>
                <w:szCs w:val="22"/>
              </w:rPr>
              <w:t xml:space="preserve"> 2008- Jun</w:t>
            </w:r>
            <w:r>
              <w:rPr>
                <w:i/>
                <w:sz w:val="22"/>
                <w:szCs w:val="22"/>
              </w:rPr>
              <w:t>e</w:t>
            </w:r>
            <w:r w:rsidRPr="00010C31">
              <w:rPr>
                <w:i/>
                <w:sz w:val="22"/>
                <w:szCs w:val="22"/>
              </w:rPr>
              <w:t xml:space="preserve"> 2011) </w:t>
            </w:r>
          </w:p>
        </w:tc>
        <w:tc>
          <w:tcPr>
            <w:tcW w:w="1430" w:type="dxa"/>
          </w:tcPr>
          <w:p w14:paraId="20C611E7" w14:textId="77777777" w:rsidR="005E509A" w:rsidRDefault="005E509A" w:rsidP="00CB6D01">
            <w:pPr>
              <w:jc w:val="center"/>
              <w:rPr>
                <w:b/>
                <w:i/>
              </w:rPr>
            </w:pPr>
            <w:r w:rsidRPr="00F1357D">
              <w:rPr>
                <w:b/>
                <w:i/>
              </w:rPr>
              <w:t>Phase 2</w:t>
            </w:r>
          </w:p>
          <w:p w14:paraId="69A97CAB" w14:textId="15AF0A60" w:rsidR="005E509A" w:rsidRPr="00F1357D" w:rsidRDefault="007672BA" w:rsidP="00CB6D01">
            <w:pPr>
              <w:jc w:val="center"/>
              <w:rPr>
                <w:b/>
                <w:i/>
              </w:rPr>
            </w:pPr>
            <w:r>
              <w:rPr>
                <w:i/>
                <w:sz w:val="22"/>
                <w:szCs w:val="22"/>
              </w:rPr>
              <w:t>(July</w:t>
            </w:r>
            <w:r w:rsidR="005E509A" w:rsidRPr="00010C31">
              <w:rPr>
                <w:i/>
                <w:sz w:val="22"/>
                <w:szCs w:val="22"/>
              </w:rPr>
              <w:t xml:space="preserve"> 2011-Dec 2013</w:t>
            </w:r>
            <w:r w:rsidR="005E509A" w:rsidRPr="00010C31">
              <w:rPr>
                <w:i/>
              </w:rPr>
              <w:t>)</w:t>
            </w:r>
          </w:p>
        </w:tc>
        <w:tc>
          <w:tcPr>
            <w:tcW w:w="3369" w:type="dxa"/>
          </w:tcPr>
          <w:p w14:paraId="26209D57" w14:textId="77777777" w:rsidR="005E509A" w:rsidRDefault="005E509A" w:rsidP="00CB6D01">
            <w:pPr>
              <w:jc w:val="center"/>
              <w:rPr>
                <w:b/>
                <w:i/>
              </w:rPr>
            </w:pPr>
            <w:r w:rsidRPr="00F1357D">
              <w:rPr>
                <w:b/>
                <w:i/>
              </w:rPr>
              <w:t>Phase 3</w:t>
            </w:r>
          </w:p>
          <w:p w14:paraId="4C40D7B0" w14:textId="2BB025FC" w:rsidR="005E509A" w:rsidRPr="00010C31" w:rsidRDefault="007672BA" w:rsidP="00CB6D01">
            <w:pPr>
              <w:jc w:val="center"/>
              <w:rPr>
                <w:i/>
              </w:rPr>
            </w:pPr>
            <w:r>
              <w:rPr>
                <w:i/>
              </w:rPr>
              <w:t>(Jan</w:t>
            </w:r>
            <w:r w:rsidR="005E509A" w:rsidRPr="00010C31">
              <w:rPr>
                <w:i/>
              </w:rPr>
              <w:t xml:space="preserve"> </w:t>
            </w:r>
            <w:r>
              <w:rPr>
                <w:i/>
              </w:rPr>
              <w:t>2014</w:t>
            </w:r>
            <w:r w:rsidR="005E509A" w:rsidRPr="00010C31">
              <w:rPr>
                <w:i/>
              </w:rPr>
              <w:t xml:space="preserve">-June 2016) </w:t>
            </w:r>
          </w:p>
        </w:tc>
      </w:tr>
      <w:tr w:rsidR="005E509A" w:rsidRPr="00FF201B" w14:paraId="4E533E7C" w14:textId="77777777" w:rsidTr="00CB6D01">
        <w:trPr>
          <w:trHeight w:val="576"/>
        </w:trPr>
        <w:tc>
          <w:tcPr>
            <w:tcW w:w="1997" w:type="dxa"/>
            <w:noWrap/>
            <w:hideMark/>
          </w:tcPr>
          <w:p w14:paraId="743BC8AA" w14:textId="77777777" w:rsidR="005E509A" w:rsidRPr="00FF201B" w:rsidRDefault="005E509A" w:rsidP="00CB6D01">
            <w:pPr>
              <w:rPr>
                <w:b/>
                <w:bCs/>
              </w:rPr>
            </w:pPr>
            <w:r w:rsidRPr="00FF201B">
              <w:rPr>
                <w:b/>
                <w:bCs/>
              </w:rPr>
              <w:t xml:space="preserve">PDO indicators </w:t>
            </w:r>
          </w:p>
        </w:tc>
        <w:tc>
          <w:tcPr>
            <w:tcW w:w="1834" w:type="dxa"/>
            <w:hideMark/>
          </w:tcPr>
          <w:p w14:paraId="348E21A9" w14:textId="77777777" w:rsidR="005E509A" w:rsidRPr="00FF201B" w:rsidRDefault="005E509A" w:rsidP="00CB6D01">
            <w:pPr>
              <w:jc w:val="center"/>
            </w:pPr>
            <w:r>
              <w:t>O</w:t>
            </w:r>
            <w:r w:rsidRPr="00FF201B">
              <w:t>riginal indicators</w:t>
            </w:r>
          </w:p>
        </w:tc>
        <w:tc>
          <w:tcPr>
            <w:tcW w:w="1430" w:type="dxa"/>
            <w:hideMark/>
          </w:tcPr>
          <w:p w14:paraId="4BAE2CA2" w14:textId="77777777" w:rsidR="005E509A" w:rsidRPr="00FF201B" w:rsidRDefault="005E509A" w:rsidP="00CB6D01">
            <w:pPr>
              <w:jc w:val="center"/>
            </w:pPr>
            <w:r>
              <w:t>O</w:t>
            </w:r>
            <w:r w:rsidRPr="00FF201B">
              <w:t>riginal and May 2011</w:t>
            </w:r>
          </w:p>
        </w:tc>
        <w:tc>
          <w:tcPr>
            <w:tcW w:w="3369" w:type="dxa"/>
            <w:hideMark/>
          </w:tcPr>
          <w:p w14:paraId="73F30D54" w14:textId="77777777" w:rsidR="005E509A" w:rsidRPr="00FF201B" w:rsidRDefault="005E509A" w:rsidP="00CB6D01">
            <w:pPr>
              <w:jc w:val="center"/>
            </w:pPr>
            <w:r>
              <w:t>O</w:t>
            </w:r>
            <w:r w:rsidRPr="00FF201B">
              <w:t>riginal, 2011, 2013</w:t>
            </w:r>
          </w:p>
        </w:tc>
      </w:tr>
      <w:tr w:rsidR="005E509A" w:rsidRPr="00FF201B" w14:paraId="70D89D3C" w14:textId="77777777" w:rsidTr="00CB6D01">
        <w:trPr>
          <w:trHeight w:val="576"/>
        </w:trPr>
        <w:tc>
          <w:tcPr>
            <w:tcW w:w="1997" w:type="dxa"/>
            <w:noWrap/>
            <w:hideMark/>
          </w:tcPr>
          <w:p w14:paraId="6A90F555" w14:textId="77777777" w:rsidR="005E509A" w:rsidRPr="00FF201B" w:rsidRDefault="005E509A" w:rsidP="00CB6D01">
            <w:r w:rsidRPr="00FF201B">
              <w:t>Surpassed</w:t>
            </w:r>
          </w:p>
        </w:tc>
        <w:tc>
          <w:tcPr>
            <w:tcW w:w="1834" w:type="dxa"/>
            <w:noWrap/>
            <w:hideMark/>
          </w:tcPr>
          <w:p w14:paraId="5620B95C" w14:textId="77777777" w:rsidR="005E509A" w:rsidRPr="00FF201B" w:rsidRDefault="005E509A" w:rsidP="00CB6D01">
            <w:pPr>
              <w:jc w:val="center"/>
            </w:pPr>
            <w:r>
              <w:t>1</w:t>
            </w:r>
          </w:p>
        </w:tc>
        <w:tc>
          <w:tcPr>
            <w:tcW w:w="1430" w:type="dxa"/>
            <w:noWrap/>
            <w:hideMark/>
          </w:tcPr>
          <w:p w14:paraId="4073E573" w14:textId="77777777" w:rsidR="005E509A" w:rsidRPr="00FF201B" w:rsidRDefault="005E509A" w:rsidP="00CB6D01">
            <w:pPr>
              <w:jc w:val="center"/>
            </w:pPr>
            <w:r>
              <w:rPr>
                <w:b/>
                <w:bCs/>
              </w:rPr>
              <w:t>4</w:t>
            </w:r>
            <w:r w:rsidRPr="00FF201B">
              <w:t xml:space="preserve"> (new)</w:t>
            </w:r>
          </w:p>
        </w:tc>
        <w:tc>
          <w:tcPr>
            <w:tcW w:w="3369" w:type="dxa"/>
            <w:hideMark/>
          </w:tcPr>
          <w:p w14:paraId="39363D40" w14:textId="77777777" w:rsidR="005E509A" w:rsidRPr="00FF201B" w:rsidRDefault="005E509A" w:rsidP="00CB6D01">
            <w:pPr>
              <w:jc w:val="center"/>
            </w:pPr>
            <w:r w:rsidRPr="00FF201B">
              <w:rPr>
                <w:b/>
                <w:bCs/>
              </w:rPr>
              <w:t>4</w:t>
            </w:r>
            <w:r w:rsidRPr="00FF201B">
              <w:t xml:space="preserve"> revised, </w:t>
            </w:r>
            <w:r w:rsidRPr="00FF201B">
              <w:rPr>
                <w:b/>
                <w:bCs/>
              </w:rPr>
              <w:t>3</w:t>
            </w:r>
            <w:r w:rsidRPr="00FF201B">
              <w:t xml:space="preserve"> new (including 1  new core, </w:t>
            </w:r>
            <w:r w:rsidRPr="00FF201B">
              <w:rPr>
                <w:b/>
                <w:bCs/>
              </w:rPr>
              <w:t>1</w:t>
            </w:r>
            <w:r w:rsidRPr="00FF201B">
              <w:t xml:space="preserve"> new core supplement)</w:t>
            </w:r>
          </w:p>
        </w:tc>
      </w:tr>
      <w:tr w:rsidR="005E509A" w:rsidRPr="00FF201B" w14:paraId="5A747A5E" w14:textId="77777777" w:rsidTr="00CB6D01">
        <w:trPr>
          <w:trHeight w:val="288"/>
        </w:trPr>
        <w:tc>
          <w:tcPr>
            <w:tcW w:w="1997" w:type="dxa"/>
            <w:noWrap/>
            <w:hideMark/>
          </w:tcPr>
          <w:p w14:paraId="4114F099" w14:textId="77777777" w:rsidR="005E509A" w:rsidRPr="00FF201B" w:rsidRDefault="005E509A" w:rsidP="00CB6D01">
            <w:r w:rsidRPr="00FF201B">
              <w:t xml:space="preserve">Achieved </w:t>
            </w:r>
          </w:p>
        </w:tc>
        <w:tc>
          <w:tcPr>
            <w:tcW w:w="1834" w:type="dxa"/>
            <w:noWrap/>
            <w:hideMark/>
          </w:tcPr>
          <w:p w14:paraId="5B5EE357" w14:textId="77777777" w:rsidR="005E509A" w:rsidRPr="00FF201B" w:rsidRDefault="005E509A" w:rsidP="00CB6D01">
            <w:pPr>
              <w:jc w:val="center"/>
            </w:pPr>
            <w:r w:rsidRPr="00FF201B">
              <w:t>0</w:t>
            </w:r>
          </w:p>
        </w:tc>
        <w:tc>
          <w:tcPr>
            <w:tcW w:w="1430" w:type="dxa"/>
            <w:noWrap/>
            <w:hideMark/>
          </w:tcPr>
          <w:p w14:paraId="62445E90" w14:textId="77777777" w:rsidR="005E509A" w:rsidRPr="00FF201B" w:rsidRDefault="005E509A" w:rsidP="00CB6D01">
            <w:pPr>
              <w:jc w:val="center"/>
            </w:pPr>
            <w:r>
              <w:rPr>
                <w:b/>
                <w:bCs/>
              </w:rPr>
              <w:t>1</w:t>
            </w:r>
            <w:r w:rsidRPr="00FF201B">
              <w:t xml:space="preserve"> (new)</w:t>
            </w:r>
          </w:p>
        </w:tc>
        <w:tc>
          <w:tcPr>
            <w:tcW w:w="3369" w:type="dxa"/>
            <w:noWrap/>
            <w:hideMark/>
          </w:tcPr>
          <w:p w14:paraId="73ECB1F8" w14:textId="77777777" w:rsidR="005E509A" w:rsidRPr="00FF201B" w:rsidRDefault="005E509A" w:rsidP="00CB6D01">
            <w:pPr>
              <w:jc w:val="center"/>
            </w:pPr>
            <w:r w:rsidRPr="00FF201B">
              <w:t>1 (May 2011)</w:t>
            </w:r>
          </w:p>
        </w:tc>
      </w:tr>
      <w:tr w:rsidR="005E509A" w:rsidRPr="00FF201B" w14:paraId="1CD5CD67" w14:textId="77777777" w:rsidTr="00CB6D01">
        <w:trPr>
          <w:trHeight w:val="288"/>
        </w:trPr>
        <w:tc>
          <w:tcPr>
            <w:tcW w:w="1997" w:type="dxa"/>
            <w:noWrap/>
            <w:hideMark/>
          </w:tcPr>
          <w:p w14:paraId="41874AFB" w14:textId="77777777" w:rsidR="005E509A" w:rsidRPr="00FF201B" w:rsidRDefault="005E509A" w:rsidP="00CB6D01">
            <w:r w:rsidRPr="00FF201B">
              <w:t xml:space="preserve">Partially achieved </w:t>
            </w:r>
          </w:p>
        </w:tc>
        <w:tc>
          <w:tcPr>
            <w:tcW w:w="1834" w:type="dxa"/>
            <w:noWrap/>
            <w:hideMark/>
          </w:tcPr>
          <w:p w14:paraId="7E54490F" w14:textId="77777777" w:rsidR="005E509A" w:rsidRPr="00FF201B" w:rsidRDefault="005E509A" w:rsidP="00CB6D01">
            <w:pPr>
              <w:jc w:val="center"/>
            </w:pPr>
            <w:r>
              <w:t>1</w:t>
            </w:r>
          </w:p>
        </w:tc>
        <w:tc>
          <w:tcPr>
            <w:tcW w:w="1430" w:type="dxa"/>
            <w:noWrap/>
            <w:hideMark/>
          </w:tcPr>
          <w:p w14:paraId="0283C867" w14:textId="77777777" w:rsidR="005E509A" w:rsidRPr="00FF201B" w:rsidRDefault="005E509A" w:rsidP="00CB6D01">
            <w:pPr>
              <w:jc w:val="center"/>
            </w:pPr>
            <w:r w:rsidRPr="00FF201B">
              <w:t>0</w:t>
            </w:r>
          </w:p>
        </w:tc>
        <w:tc>
          <w:tcPr>
            <w:tcW w:w="3369" w:type="dxa"/>
            <w:noWrap/>
            <w:hideMark/>
          </w:tcPr>
          <w:p w14:paraId="14ABC5F4" w14:textId="77777777" w:rsidR="005E509A" w:rsidRPr="00FF201B" w:rsidRDefault="005E509A" w:rsidP="00CB6D01">
            <w:pPr>
              <w:jc w:val="center"/>
            </w:pPr>
            <w:r w:rsidRPr="00FF201B">
              <w:t>1 (new)</w:t>
            </w:r>
          </w:p>
        </w:tc>
      </w:tr>
      <w:tr w:rsidR="005E509A" w:rsidRPr="00FF201B" w14:paraId="61F5A4C5" w14:textId="77777777" w:rsidTr="00CB6D01">
        <w:trPr>
          <w:trHeight w:val="288"/>
        </w:trPr>
        <w:tc>
          <w:tcPr>
            <w:tcW w:w="1997" w:type="dxa"/>
            <w:noWrap/>
            <w:hideMark/>
          </w:tcPr>
          <w:p w14:paraId="5135B5E5" w14:textId="77777777" w:rsidR="005E509A" w:rsidRPr="00FF201B" w:rsidRDefault="005E509A" w:rsidP="00CB6D01">
            <w:r w:rsidRPr="00FF201B">
              <w:t xml:space="preserve">Not achieved </w:t>
            </w:r>
          </w:p>
        </w:tc>
        <w:tc>
          <w:tcPr>
            <w:tcW w:w="1834" w:type="dxa"/>
            <w:noWrap/>
            <w:hideMark/>
          </w:tcPr>
          <w:p w14:paraId="148FE4FD" w14:textId="77777777" w:rsidR="005E509A" w:rsidRPr="00FF201B" w:rsidRDefault="005E509A" w:rsidP="00CB6D01">
            <w:pPr>
              <w:jc w:val="center"/>
            </w:pPr>
            <w:r>
              <w:t>2</w:t>
            </w:r>
          </w:p>
        </w:tc>
        <w:tc>
          <w:tcPr>
            <w:tcW w:w="1430" w:type="dxa"/>
            <w:noWrap/>
            <w:hideMark/>
          </w:tcPr>
          <w:p w14:paraId="6F508CBB" w14:textId="77777777" w:rsidR="005E509A" w:rsidRPr="00FF201B" w:rsidRDefault="005E509A" w:rsidP="00CB6D01">
            <w:pPr>
              <w:jc w:val="center"/>
            </w:pPr>
            <w:r w:rsidRPr="00FF201B">
              <w:t>0</w:t>
            </w:r>
          </w:p>
        </w:tc>
        <w:tc>
          <w:tcPr>
            <w:tcW w:w="3369" w:type="dxa"/>
            <w:noWrap/>
            <w:hideMark/>
          </w:tcPr>
          <w:p w14:paraId="0033E570" w14:textId="77777777" w:rsidR="005E509A" w:rsidRPr="00FF201B" w:rsidRDefault="005E509A" w:rsidP="00CB6D01">
            <w:pPr>
              <w:jc w:val="center"/>
            </w:pPr>
            <w:r w:rsidRPr="00FF201B">
              <w:t>0</w:t>
            </w:r>
          </w:p>
        </w:tc>
      </w:tr>
      <w:tr w:rsidR="005E509A" w:rsidRPr="00FF201B" w14:paraId="2202FE60" w14:textId="77777777" w:rsidTr="00CB6D01">
        <w:trPr>
          <w:trHeight w:val="288"/>
        </w:trPr>
        <w:tc>
          <w:tcPr>
            <w:tcW w:w="1997" w:type="dxa"/>
            <w:noWrap/>
            <w:hideMark/>
          </w:tcPr>
          <w:p w14:paraId="27BF046B" w14:textId="77777777" w:rsidR="005E509A" w:rsidRPr="00FF201B" w:rsidRDefault="005E509A" w:rsidP="00CB6D01">
            <w:r w:rsidRPr="00FF201B">
              <w:t xml:space="preserve">Total </w:t>
            </w:r>
          </w:p>
        </w:tc>
        <w:tc>
          <w:tcPr>
            <w:tcW w:w="1834" w:type="dxa"/>
            <w:noWrap/>
            <w:hideMark/>
          </w:tcPr>
          <w:p w14:paraId="66193F7B" w14:textId="77777777" w:rsidR="005E509A" w:rsidRPr="00FF201B" w:rsidRDefault="005E509A" w:rsidP="00CB6D01">
            <w:pPr>
              <w:jc w:val="center"/>
            </w:pPr>
            <w:r w:rsidRPr="00FF201B">
              <w:t>4</w:t>
            </w:r>
          </w:p>
        </w:tc>
        <w:tc>
          <w:tcPr>
            <w:tcW w:w="1430" w:type="dxa"/>
            <w:noWrap/>
            <w:hideMark/>
          </w:tcPr>
          <w:p w14:paraId="71A53DE1" w14:textId="77777777" w:rsidR="005E509A" w:rsidRPr="00FF201B" w:rsidRDefault="005E509A" w:rsidP="00CB6D01">
            <w:pPr>
              <w:jc w:val="center"/>
            </w:pPr>
            <w:r w:rsidRPr="00FF201B">
              <w:rPr>
                <w:b/>
                <w:bCs/>
              </w:rPr>
              <w:t>5</w:t>
            </w:r>
            <w:r w:rsidRPr="00FF201B">
              <w:t xml:space="preserve"> (new)</w:t>
            </w:r>
          </w:p>
        </w:tc>
        <w:tc>
          <w:tcPr>
            <w:tcW w:w="3369" w:type="dxa"/>
            <w:noWrap/>
            <w:hideMark/>
          </w:tcPr>
          <w:p w14:paraId="6B43C5AA" w14:textId="77777777" w:rsidR="005E509A" w:rsidRPr="00FF201B" w:rsidRDefault="005E509A" w:rsidP="00CB6D01">
            <w:pPr>
              <w:jc w:val="center"/>
            </w:pPr>
            <w:r w:rsidRPr="00FF201B">
              <w:rPr>
                <w:b/>
                <w:bCs/>
              </w:rPr>
              <w:t>9</w:t>
            </w:r>
            <w:r w:rsidRPr="00FF201B">
              <w:t xml:space="preserve"> (</w:t>
            </w:r>
            <w:r w:rsidRPr="00FF201B">
              <w:rPr>
                <w:b/>
                <w:bCs/>
              </w:rPr>
              <w:t xml:space="preserve"> 4</w:t>
            </w:r>
            <w:r w:rsidRPr="00FF201B">
              <w:t xml:space="preserve"> revised; </w:t>
            </w:r>
            <w:r w:rsidRPr="00FF201B">
              <w:rPr>
                <w:b/>
                <w:bCs/>
              </w:rPr>
              <w:t>1</w:t>
            </w:r>
            <w:r w:rsidRPr="00FF201B">
              <w:t xml:space="preserve"> May 2011;</w:t>
            </w:r>
            <w:r w:rsidRPr="00FF201B">
              <w:rPr>
                <w:b/>
                <w:bCs/>
              </w:rPr>
              <w:t xml:space="preserve"> 4</w:t>
            </w:r>
            <w:r w:rsidRPr="00FF201B">
              <w:t xml:space="preserve"> new)</w:t>
            </w:r>
          </w:p>
        </w:tc>
      </w:tr>
      <w:tr w:rsidR="005E509A" w:rsidRPr="00FF201B" w14:paraId="02F2B1D6" w14:textId="77777777" w:rsidTr="00CB6D01">
        <w:trPr>
          <w:trHeight w:val="288"/>
        </w:trPr>
        <w:tc>
          <w:tcPr>
            <w:tcW w:w="1997" w:type="dxa"/>
            <w:noWrap/>
            <w:hideMark/>
          </w:tcPr>
          <w:p w14:paraId="67E566D7" w14:textId="77777777" w:rsidR="005E509A" w:rsidRPr="00FF201B" w:rsidRDefault="005E509A" w:rsidP="00CB6D01">
            <w:r w:rsidRPr="00FF201B">
              <w:t xml:space="preserve">Total surpassed </w:t>
            </w:r>
          </w:p>
        </w:tc>
        <w:tc>
          <w:tcPr>
            <w:tcW w:w="1834" w:type="dxa"/>
            <w:noWrap/>
            <w:hideMark/>
          </w:tcPr>
          <w:p w14:paraId="66A72842" w14:textId="77777777" w:rsidR="005E509A" w:rsidRPr="00FF201B" w:rsidRDefault="005E509A" w:rsidP="00CB6D01">
            <w:pPr>
              <w:jc w:val="center"/>
            </w:pPr>
            <w:r>
              <w:t>1</w:t>
            </w:r>
          </w:p>
        </w:tc>
        <w:tc>
          <w:tcPr>
            <w:tcW w:w="1430" w:type="dxa"/>
            <w:noWrap/>
            <w:hideMark/>
          </w:tcPr>
          <w:p w14:paraId="35C06A3B" w14:textId="77777777" w:rsidR="005E509A" w:rsidRPr="00FF201B" w:rsidRDefault="005E509A" w:rsidP="00CB6D01">
            <w:pPr>
              <w:jc w:val="center"/>
            </w:pPr>
            <w:r>
              <w:rPr>
                <w:b/>
                <w:bCs/>
              </w:rPr>
              <w:t xml:space="preserve">2 </w:t>
            </w:r>
            <w:r w:rsidRPr="00FF201B">
              <w:t xml:space="preserve"> (new)</w:t>
            </w:r>
          </w:p>
        </w:tc>
        <w:tc>
          <w:tcPr>
            <w:tcW w:w="3369" w:type="dxa"/>
            <w:noWrap/>
            <w:hideMark/>
          </w:tcPr>
          <w:p w14:paraId="31B835BF" w14:textId="77777777" w:rsidR="005E509A" w:rsidRPr="00FF201B" w:rsidRDefault="005E509A" w:rsidP="00CB6D01">
            <w:pPr>
              <w:jc w:val="center"/>
            </w:pPr>
            <w:r w:rsidRPr="00FF201B">
              <w:rPr>
                <w:b/>
                <w:bCs/>
              </w:rPr>
              <w:t>7</w:t>
            </w:r>
            <w:r w:rsidRPr="00FF201B">
              <w:t xml:space="preserve"> (</w:t>
            </w:r>
            <w:r w:rsidRPr="00FF201B">
              <w:rPr>
                <w:b/>
                <w:bCs/>
              </w:rPr>
              <w:t>5</w:t>
            </w:r>
            <w:r w:rsidRPr="00FF201B">
              <w:t xml:space="preserve"> revised, </w:t>
            </w:r>
            <w:r w:rsidRPr="00FF201B">
              <w:rPr>
                <w:b/>
                <w:bCs/>
              </w:rPr>
              <w:t>2</w:t>
            </w:r>
            <w:r w:rsidRPr="00FF201B">
              <w:t xml:space="preserve"> new)</w:t>
            </w:r>
          </w:p>
        </w:tc>
      </w:tr>
      <w:tr w:rsidR="005E509A" w:rsidRPr="00FF201B" w14:paraId="37F4AB9D" w14:textId="77777777" w:rsidTr="00CB6D01">
        <w:trPr>
          <w:trHeight w:val="288"/>
        </w:trPr>
        <w:tc>
          <w:tcPr>
            <w:tcW w:w="1997" w:type="dxa"/>
            <w:noWrap/>
          </w:tcPr>
          <w:p w14:paraId="339D233A" w14:textId="77777777" w:rsidR="005E509A" w:rsidRPr="00404962" w:rsidRDefault="005E509A" w:rsidP="00CB6D01">
            <w:pPr>
              <w:rPr>
                <w:b/>
              </w:rPr>
            </w:pPr>
            <w:r w:rsidRPr="00404962">
              <w:rPr>
                <w:b/>
              </w:rPr>
              <w:t>PDO 1: expand coverage</w:t>
            </w:r>
          </w:p>
        </w:tc>
        <w:tc>
          <w:tcPr>
            <w:tcW w:w="1834" w:type="dxa"/>
            <w:noWrap/>
          </w:tcPr>
          <w:p w14:paraId="2E5D42AA" w14:textId="77777777" w:rsidR="005E509A" w:rsidRPr="00B76A15" w:rsidRDefault="005E509A" w:rsidP="00CB6D01">
            <w:pPr>
              <w:jc w:val="center"/>
              <w:rPr>
                <w:b/>
              </w:rPr>
            </w:pPr>
            <w:r w:rsidRPr="00B76A15">
              <w:rPr>
                <w:b/>
              </w:rPr>
              <w:t>1</w:t>
            </w:r>
          </w:p>
        </w:tc>
        <w:tc>
          <w:tcPr>
            <w:tcW w:w="1430" w:type="dxa"/>
            <w:noWrap/>
          </w:tcPr>
          <w:p w14:paraId="4AD32F07" w14:textId="77777777" w:rsidR="005E509A" w:rsidRPr="00FF201B" w:rsidRDefault="005E509A" w:rsidP="00CB6D01">
            <w:pPr>
              <w:jc w:val="center"/>
              <w:rPr>
                <w:b/>
                <w:bCs/>
              </w:rPr>
            </w:pPr>
            <w:r>
              <w:rPr>
                <w:b/>
                <w:bCs/>
              </w:rPr>
              <w:t>3 out of 3 surpassed</w:t>
            </w:r>
          </w:p>
        </w:tc>
        <w:tc>
          <w:tcPr>
            <w:tcW w:w="3369" w:type="dxa"/>
            <w:noWrap/>
          </w:tcPr>
          <w:p w14:paraId="22BFED05" w14:textId="77777777" w:rsidR="005E509A" w:rsidRPr="00FF201B" w:rsidRDefault="005E509A" w:rsidP="00CB6D01">
            <w:pPr>
              <w:jc w:val="center"/>
              <w:rPr>
                <w:b/>
                <w:bCs/>
              </w:rPr>
            </w:pPr>
            <w:r>
              <w:rPr>
                <w:b/>
                <w:bCs/>
              </w:rPr>
              <w:t>5 surpassed</w:t>
            </w:r>
          </w:p>
        </w:tc>
      </w:tr>
      <w:tr w:rsidR="005E509A" w:rsidRPr="00FF201B" w14:paraId="76FC886A" w14:textId="77777777" w:rsidTr="00CB6D01">
        <w:trPr>
          <w:trHeight w:val="288"/>
        </w:trPr>
        <w:tc>
          <w:tcPr>
            <w:tcW w:w="1997" w:type="dxa"/>
            <w:noWrap/>
          </w:tcPr>
          <w:p w14:paraId="406874DC" w14:textId="77777777" w:rsidR="005E509A" w:rsidRPr="00404962" w:rsidRDefault="005E509A" w:rsidP="00CB6D01">
            <w:pPr>
              <w:rPr>
                <w:b/>
              </w:rPr>
            </w:pPr>
            <w:r w:rsidRPr="00404962">
              <w:rPr>
                <w:b/>
              </w:rPr>
              <w:t xml:space="preserve">PDO 2: expand use </w:t>
            </w:r>
          </w:p>
        </w:tc>
        <w:tc>
          <w:tcPr>
            <w:tcW w:w="1834" w:type="dxa"/>
            <w:noWrap/>
          </w:tcPr>
          <w:p w14:paraId="0257F910" w14:textId="77777777" w:rsidR="005E509A" w:rsidRPr="00B76A15" w:rsidRDefault="005E509A" w:rsidP="00CB6D01">
            <w:pPr>
              <w:jc w:val="center"/>
              <w:rPr>
                <w:b/>
              </w:rPr>
            </w:pPr>
            <w:r w:rsidRPr="00B76A15">
              <w:rPr>
                <w:b/>
              </w:rPr>
              <w:t>N/A</w:t>
            </w:r>
          </w:p>
        </w:tc>
        <w:tc>
          <w:tcPr>
            <w:tcW w:w="1430" w:type="dxa"/>
            <w:noWrap/>
          </w:tcPr>
          <w:p w14:paraId="03FA85D3" w14:textId="77777777" w:rsidR="005E509A" w:rsidRPr="00FF201B" w:rsidRDefault="005E509A" w:rsidP="00CB6D01">
            <w:pPr>
              <w:jc w:val="center"/>
              <w:rPr>
                <w:b/>
                <w:bCs/>
              </w:rPr>
            </w:pPr>
            <w:r>
              <w:rPr>
                <w:b/>
                <w:bCs/>
              </w:rPr>
              <w:t>2 out 2 surpassed</w:t>
            </w:r>
          </w:p>
        </w:tc>
        <w:tc>
          <w:tcPr>
            <w:tcW w:w="3369" w:type="dxa"/>
            <w:noWrap/>
          </w:tcPr>
          <w:p w14:paraId="3CECAD2C" w14:textId="77777777" w:rsidR="005E509A" w:rsidRDefault="005E509A" w:rsidP="00CB6D01">
            <w:pPr>
              <w:jc w:val="center"/>
              <w:rPr>
                <w:b/>
                <w:bCs/>
              </w:rPr>
            </w:pPr>
            <w:r>
              <w:rPr>
                <w:b/>
                <w:bCs/>
              </w:rPr>
              <w:t>3 out of 3 surpassed</w:t>
            </w:r>
          </w:p>
          <w:p w14:paraId="5EBC4053" w14:textId="77777777" w:rsidR="005E509A" w:rsidRPr="00FF201B" w:rsidRDefault="005E509A" w:rsidP="00CB6D01">
            <w:pPr>
              <w:rPr>
                <w:b/>
                <w:bCs/>
              </w:rPr>
            </w:pPr>
          </w:p>
        </w:tc>
      </w:tr>
      <w:tr w:rsidR="005E509A" w:rsidRPr="00FF201B" w14:paraId="017DF62E" w14:textId="77777777" w:rsidTr="00CB6D01">
        <w:trPr>
          <w:trHeight w:val="863"/>
        </w:trPr>
        <w:tc>
          <w:tcPr>
            <w:tcW w:w="1997" w:type="dxa"/>
            <w:noWrap/>
          </w:tcPr>
          <w:p w14:paraId="510A49A9" w14:textId="77777777" w:rsidR="005E509A" w:rsidRPr="00404962" w:rsidRDefault="005E509A" w:rsidP="00CB6D01">
            <w:pPr>
              <w:rPr>
                <w:b/>
              </w:rPr>
            </w:pPr>
            <w:r w:rsidRPr="00404962">
              <w:rPr>
                <w:b/>
              </w:rPr>
              <w:t xml:space="preserve">PDO 3: expand/improve quality </w:t>
            </w:r>
          </w:p>
        </w:tc>
        <w:tc>
          <w:tcPr>
            <w:tcW w:w="1834" w:type="dxa"/>
            <w:noWrap/>
          </w:tcPr>
          <w:p w14:paraId="12B8BBAD" w14:textId="77777777" w:rsidR="005E509A" w:rsidRPr="00B76A15" w:rsidRDefault="005E509A" w:rsidP="00CB6D01">
            <w:pPr>
              <w:jc w:val="center"/>
              <w:rPr>
                <w:b/>
              </w:rPr>
            </w:pPr>
            <w:r>
              <w:rPr>
                <w:b/>
              </w:rPr>
              <w:t>0 out of 2 achieved</w:t>
            </w:r>
          </w:p>
        </w:tc>
        <w:tc>
          <w:tcPr>
            <w:tcW w:w="1430" w:type="dxa"/>
            <w:noWrap/>
          </w:tcPr>
          <w:p w14:paraId="5404A92C" w14:textId="77777777" w:rsidR="005E509A" w:rsidRDefault="005E509A" w:rsidP="00CB6D01">
            <w:pPr>
              <w:jc w:val="center"/>
              <w:rPr>
                <w:b/>
                <w:bCs/>
              </w:rPr>
            </w:pPr>
            <w:r>
              <w:rPr>
                <w:b/>
                <w:bCs/>
              </w:rPr>
              <w:t>1 achieved</w:t>
            </w:r>
          </w:p>
          <w:p w14:paraId="51DAE835" w14:textId="77777777" w:rsidR="005E509A" w:rsidRPr="00FF201B" w:rsidRDefault="005E509A" w:rsidP="00CB6D01">
            <w:pPr>
              <w:jc w:val="center"/>
              <w:rPr>
                <w:b/>
                <w:bCs/>
              </w:rPr>
            </w:pPr>
            <w:r>
              <w:rPr>
                <w:b/>
                <w:bCs/>
              </w:rPr>
              <w:t>1 surpassed</w:t>
            </w:r>
          </w:p>
        </w:tc>
        <w:tc>
          <w:tcPr>
            <w:tcW w:w="3369" w:type="dxa"/>
            <w:noWrap/>
          </w:tcPr>
          <w:p w14:paraId="560B1052" w14:textId="77777777" w:rsidR="005E509A" w:rsidRPr="00FF201B" w:rsidRDefault="005E509A" w:rsidP="00CB6D01">
            <w:pPr>
              <w:jc w:val="center"/>
              <w:rPr>
                <w:b/>
                <w:bCs/>
              </w:rPr>
            </w:pPr>
            <w:r>
              <w:rPr>
                <w:b/>
                <w:bCs/>
              </w:rPr>
              <w:t>2 surpassed, 1 achieved, 1 partially achieved</w:t>
            </w:r>
          </w:p>
        </w:tc>
      </w:tr>
      <w:tr w:rsidR="005E509A" w:rsidRPr="00FF201B" w14:paraId="3BF8E925" w14:textId="77777777" w:rsidTr="00CB6D01">
        <w:trPr>
          <w:trHeight w:val="576"/>
        </w:trPr>
        <w:tc>
          <w:tcPr>
            <w:tcW w:w="1997" w:type="dxa"/>
            <w:hideMark/>
          </w:tcPr>
          <w:p w14:paraId="5859F4C3" w14:textId="77777777" w:rsidR="005E509A" w:rsidRPr="00FF201B" w:rsidRDefault="005E509A" w:rsidP="00CB6D01">
            <w:pPr>
              <w:rPr>
                <w:b/>
                <w:bCs/>
              </w:rPr>
            </w:pPr>
            <w:r w:rsidRPr="00FF201B">
              <w:rPr>
                <w:b/>
                <w:bCs/>
              </w:rPr>
              <w:t xml:space="preserve">Total surpassed, achieved and partially achieved </w:t>
            </w:r>
          </w:p>
        </w:tc>
        <w:tc>
          <w:tcPr>
            <w:tcW w:w="1834" w:type="dxa"/>
            <w:noWrap/>
            <w:hideMark/>
          </w:tcPr>
          <w:p w14:paraId="0E0FC392" w14:textId="77777777" w:rsidR="005E509A" w:rsidRPr="00FF201B" w:rsidRDefault="005E509A" w:rsidP="00CB6D01">
            <w:pPr>
              <w:jc w:val="center"/>
            </w:pPr>
            <w:r>
              <w:t xml:space="preserve">2 </w:t>
            </w:r>
            <w:r w:rsidRPr="00FF201B">
              <w:t>(</w:t>
            </w:r>
            <w:r>
              <w:t>50%)</w:t>
            </w:r>
          </w:p>
        </w:tc>
        <w:tc>
          <w:tcPr>
            <w:tcW w:w="1430" w:type="dxa"/>
            <w:noWrap/>
            <w:hideMark/>
          </w:tcPr>
          <w:p w14:paraId="0DCE781B" w14:textId="77777777" w:rsidR="005E509A" w:rsidRPr="00FF201B" w:rsidRDefault="005E509A" w:rsidP="00CB6D01">
            <w:pPr>
              <w:jc w:val="center"/>
            </w:pPr>
            <w:r w:rsidRPr="00FF201B">
              <w:rPr>
                <w:b/>
                <w:bCs/>
              </w:rPr>
              <w:t>5</w:t>
            </w:r>
            <w:r>
              <w:t xml:space="preserve"> (100%)  </w:t>
            </w:r>
          </w:p>
        </w:tc>
        <w:tc>
          <w:tcPr>
            <w:tcW w:w="3369" w:type="dxa"/>
            <w:noWrap/>
            <w:hideMark/>
          </w:tcPr>
          <w:p w14:paraId="44E262E6" w14:textId="77777777" w:rsidR="005E509A" w:rsidRPr="00FF201B" w:rsidRDefault="005E509A" w:rsidP="00CB6D01">
            <w:pPr>
              <w:jc w:val="center"/>
            </w:pPr>
            <w:r w:rsidRPr="00FF201B">
              <w:rPr>
                <w:b/>
                <w:bCs/>
              </w:rPr>
              <w:t>9</w:t>
            </w:r>
            <w:r>
              <w:t xml:space="preserve"> (100%)  </w:t>
            </w:r>
          </w:p>
        </w:tc>
      </w:tr>
      <w:tr w:rsidR="005E509A" w:rsidRPr="00FF201B" w14:paraId="5F298774" w14:textId="77777777" w:rsidTr="00CB6D01">
        <w:trPr>
          <w:trHeight w:val="288"/>
        </w:trPr>
        <w:tc>
          <w:tcPr>
            <w:tcW w:w="8630" w:type="dxa"/>
            <w:gridSpan w:val="4"/>
            <w:noWrap/>
            <w:hideMark/>
          </w:tcPr>
          <w:p w14:paraId="5715173E" w14:textId="77777777" w:rsidR="005E509A" w:rsidRPr="00FF201B" w:rsidRDefault="005E509A" w:rsidP="00CB6D01">
            <w:pPr>
              <w:jc w:val="center"/>
            </w:pPr>
            <w:r w:rsidRPr="00FF201B">
              <w:rPr>
                <w:b/>
                <w:bCs/>
              </w:rPr>
              <w:t xml:space="preserve">IO indicators </w:t>
            </w:r>
          </w:p>
        </w:tc>
      </w:tr>
      <w:tr w:rsidR="005E509A" w:rsidRPr="00FF201B" w14:paraId="29A96400" w14:textId="77777777" w:rsidTr="00CB6D01">
        <w:trPr>
          <w:trHeight w:val="288"/>
        </w:trPr>
        <w:tc>
          <w:tcPr>
            <w:tcW w:w="1997" w:type="dxa"/>
            <w:noWrap/>
            <w:hideMark/>
          </w:tcPr>
          <w:p w14:paraId="573E567D" w14:textId="77777777" w:rsidR="005E509A" w:rsidRPr="00FF201B" w:rsidRDefault="005E509A" w:rsidP="00CB6D01">
            <w:r w:rsidRPr="00FF201B">
              <w:t>Surpassed</w:t>
            </w:r>
          </w:p>
        </w:tc>
        <w:tc>
          <w:tcPr>
            <w:tcW w:w="1834" w:type="dxa"/>
            <w:noWrap/>
            <w:hideMark/>
          </w:tcPr>
          <w:p w14:paraId="0D88E217" w14:textId="77777777" w:rsidR="005E509A" w:rsidRPr="00FF201B" w:rsidRDefault="005E509A" w:rsidP="00CB6D01">
            <w:pPr>
              <w:jc w:val="center"/>
            </w:pPr>
            <w:r w:rsidRPr="00FF201B">
              <w:t>0</w:t>
            </w:r>
          </w:p>
        </w:tc>
        <w:tc>
          <w:tcPr>
            <w:tcW w:w="1430" w:type="dxa"/>
            <w:noWrap/>
            <w:hideMark/>
          </w:tcPr>
          <w:p w14:paraId="57563650" w14:textId="77777777" w:rsidR="005E509A" w:rsidRPr="00FF201B" w:rsidRDefault="005E509A" w:rsidP="00CB6D01">
            <w:pPr>
              <w:jc w:val="center"/>
            </w:pPr>
            <w:r>
              <w:t>1(new)</w:t>
            </w:r>
          </w:p>
        </w:tc>
        <w:tc>
          <w:tcPr>
            <w:tcW w:w="3369" w:type="dxa"/>
            <w:noWrap/>
            <w:hideMark/>
          </w:tcPr>
          <w:p w14:paraId="216E907A" w14:textId="77777777" w:rsidR="005E509A" w:rsidRPr="00FF201B" w:rsidRDefault="005E509A" w:rsidP="00CB6D01">
            <w:pPr>
              <w:jc w:val="center"/>
            </w:pPr>
            <w:r w:rsidRPr="00FF201B">
              <w:rPr>
                <w:b/>
                <w:bCs/>
              </w:rPr>
              <w:t>3</w:t>
            </w:r>
            <w:r w:rsidRPr="00FF201B">
              <w:t xml:space="preserve"> (1 new, 2 revised)</w:t>
            </w:r>
          </w:p>
        </w:tc>
      </w:tr>
      <w:tr w:rsidR="005E509A" w:rsidRPr="00FF201B" w14:paraId="6C6F5BA4" w14:textId="77777777" w:rsidTr="00CB6D01">
        <w:trPr>
          <w:trHeight w:val="288"/>
        </w:trPr>
        <w:tc>
          <w:tcPr>
            <w:tcW w:w="1997" w:type="dxa"/>
            <w:noWrap/>
            <w:hideMark/>
          </w:tcPr>
          <w:p w14:paraId="626E1902" w14:textId="77777777" w:rsidR="005E509A" w:rsidRPr="00FF201B" w:rsidRDefault="005E509A" w:rsidP="00CB6D01">
            <w:r w:rsidRPr="00FF201B">
              <w:t xml:space="preserve">Achieved </w:t>
            </w:r>
          </w:p>
        </w:tc>
        <w:tc>
          <w:tcPr>
            <w:tcW w:w="1834" w:type="dxa"/>
            <w:noWrap/>
            <w:hideMark/>
          </w:tcPr>
          <w:p w14:paraId="34C246BB" w14:textId="77777777" w:rsidR="005E509A" w:rsidRPr="00FF201B" w:rsidRDefault="005E509A" w:rsidP="00CB6D01">
            <w:pPr>
              <w:jc w:val="center"/>
            </w:pPr>
            <w:r>
              <w:t>3</w:t>
            </w:r>
          </w:p>
        </w:tc>
        <w:tc>
          <w:tcPr>
            <w:tcW w:w="1430" w:type="dxa"/>
            <w:noWrap/>
            <w:hideMark/>
          </w:tcPr>
          <w:p w14:paraId="1C204815" w14:textId="77777777" w:rsidR="005E509A" w:rsidRPr="00FF201B" w:rsidRDefault="005E509A" w:rsidP="00CB6D01">
            <w:pPr>
              <w:jc w:val="center"/>
            </w:pPr>
            <w:r>
              <w:t>3</w:t>
            </w:r>
            <w:r w:rsidRPr="00FF201B">
              <w:t xml:space="preserve"> (new)</w:t>
            </w:r>
          </w:p>
        </w:tc>
        <w:tc>
          <w:tcPr>
            <w:tcW w:w="3369" w:type="dxa"/>
            <w:noWrap/>
            <w:hideMark/>
          </w:tcPr>
          <w:p w14:paraId="1D7A006F" w14:textId="77777777" w:rsidR="005E509A" w:rsidRPr="00FF201B" w:rsidRDefault="005E509A" w:rsidP="00CB6D01">
            <w:pPr>
              <w:jc w:val="center"/>
            </w:pPr>
            <w:r w:rsidRPr="00FF201B">
              <w:rPr>
                <w:b/>
                <w:bCs/>
              </w:rPr>
              <w:t>4</w:t>
            </w:r>
            <w:r w:rsidRPr="00FF201B">
              <w:t xml:space="preserve"> (1 new, 2 revised, 1 May 2011)</w:t>
            </w:r>
          </w:p>
        </w:tc>
      </w:tr>
      <w:tr w:rsidR="005E509A" w:rsidRPr="00FF201B" w14:paraId="70EF527D" w14:textId="77777777" w:rsidTr="00CB6D01">
        <w:trPr>
          <w:trHeight w:val="288"/>
        </w:trPr>
        <w:tc>
          <w:tcPr>
            <w:tcW w:w="1997" w:type="dxa"/>
            <w:noWrap/>
            <w:hideMark/>
          </w:tcPr>
          <w:p w14:paraId="071BA110" w14:textId="77777777" w:rsidR="005E509A" w:rsidRPr="00FF201B" w:rsidRDefault="005E509A" w:rsidP="00CB6D01">
            <w:r w:rsidRPr="00FF201B">
              <w:t xml:space="preserve">Partially achieved </w:t>
            </w:r>
          </w:p>
        </w:tc>
        <w:tc>
          <w:tcPr>
            <w:tcW w:w="1834" w:type="dxa"/>
            <w:noWrap/>
            <w:hideMark/>
          </w:tcPr>
          <w:p w14:paraId="49FE874D" w14:textId="77777777" w:rsidR="005E509A" w:rsidRPr="00FF201B" w:rsidRDefault="005E509A" w:rsidP="00CB6D01">
            <w:pPr>
              <w:jc w:val="center"/>
            </w:pPr>
            <w:r>
              <w:t>2</w:t>
            </w:r>
          </w:p>
        </w:tc>
        <w:tc>
          <w:tcPr>
            <w:tcW w:w="1430" w:type="dxa"/>
            <w:noWrap/>
            <w:hideMark/>
          </w:tcPr>
          <w:p w14:paraId="4499806B" w14:textId="77777777" w:rsidR="005E509A" w:rsidRPr="00FF201B" w:rsidRDefault="005E509A" w:rsidP="00CB6D01">
            <w:pPr>
              <w:jc w:val="center"/>
            </w:pPr>
            <w:r>
              <w:t>0</w:t>
            </w:r>
          </w:p>
        </w:tc>
        <w:tc>
          <w:tcPr>
            <w:tcW w:w="3369" w:type="dxa"/>
            <w:noWrap/>
            <w:hideMark/>
          </w:tcPr>
          <w:p w14:paraId="4FE074D8" w14:textId="77777777" w:rsidR="005E509A" w:rsidRPr="00FF201B" w:rsidRDefault="005E509A" w:rsidP="00CB6D01">
            <w:pPr>
              <w:jc w:val="center"/>
            </w:pPr>
            <w:r w:rsidRPr="00FF201B">
              <w:rPr>
                <w:b/>
                <w:bCs/>
              </w:rPr>
              <w:t>2</w:t>
            </w:r>
            <w:r w:rsidRPr="00FF201B">
              <w:t xml:space="preserve"> (new)</w:t>
            </w:r>
          </w:p>
        </w:tc>
      </w:tr>
      <w:tr w:rsidR="005E509A" w:rsidRPr="00FF201B" w14:paraId="76688199" w14:textId="77777777" w:rsidTr="00CB6D01">
        <w:trPr>
          <w:trHeight w:val="288"/>
        </w:trPr>
        <w:tc>
          <w:tcPr>
            <w:tcW w:w="1997" w:type="dxa"/>
            <w:noWrap/>
            <w:hideMark/>
          </w:tcPr>
          <w:p w14:paraId="283C8551" w14:textId="77777777" w:rsidR="005E509A" w:rsidRPr="00FF201B" w:rsidRDefault="005E509A" w:rsidP="00CB6D01">
            <w:r w:rsidRPr="00FF201B">
              <w:t xml:space="preserve">Not achieved </w:t>
            </w:r>
          </w:p>
        </w:tc>
        <w:tc>
          <w:tcPr>
            <w:tcW w:w="1834" w:type="dxa"/>
            <w:noWrap/>
            <w:hideMark/>
          </w:tcPr>
          <w:p w14:paraId="34D32A4D" w14:textId="77777777" w:rsidR="005E509A" w:rsidRPr="00FF201B" w:rsidRDefault="005E509A" w:rsidP="00CB6D01">
            <w:pPr>
              <w:jc w:val="center"/>
            </w:pPr>
            <w:r>
              <w:t>5</w:t>
            </w:r>
          </w:p>
        </w:tc>
        <w:tc>
          <w:tcPr>
            <w:tcW w:w="1430" w:type="dxa"/>
            <w:noWrap/>
            <w:hideMark/>
          </w:tcPr>
          <w:p w14:paraId="240A9674" w14:textId="77777777" w:rsidR="005E509A" w:rsidRPr="00FF201B" w:rsidRDefault="005E509A" w:rsidP="00CB6D01">
            <w:pPr>
              <w:jc w:val="center"/>
            </w:pPr>
            <w:r w:rsidRPr="00FF201B">
              <w:t>5 (new)</w:t>
            </w:r>
          </w:p>
        </w:tc>
        <w:tc>
          <w:tcPr>
            <w:tcW w:w="3369" w:type="dxa"/>
            <w:noWrap/>
            <w:hideMark/>
          </w:tcPr>
          <w:p w14:paraId="453AA8BF" w14:textId="77777777" w:rsidR="005E509A" w:rsidRPr="00FF201B" w:rsidRDefault="005E509A" w:rsidP="00CB6D01">
            <w:pPr>
              <w:jc w:val="center"/>
              <w:rPr>
                <w:b/>
                <w:bCs/>
              </w:rPr>
            </w:pPr>
            <w:r w:rsidRPr="00FF201B">
              <w:rPr>
                <w:b/>
                <w:bCs/>
              </w:rPr>
              <w:t>0</w:t>
            </w:r>
          </w:p>
        </w:tc>
      </w:tr>
      <w:tr w:rsidR="005E509A" w:rsidRPr="00FF201B" w14:paraId="37B9CE70" w14:textId="77777777" w:rsidTr="00CB6D01">
        <w:trPr>
          <w:trHeight w:val="288"/>
        </w:trPr>
        <w:tc>
          <w:tcPr>
            <w:tcW w:w="1997" w:type="dxa"/>
            <w:noWrap/>
            <w:hideMark/>
          </w:tcPr>
          <w:p w14:paraId="2240BF19" w14:textId="77777777" w:rsidR="005E509A" w:rsidRPr="00FF201B" w:rsidRDefault="005E509A" w:rsidP="00CB6D01">
            <w:r w:rsidRPr="00FF201B">
              <w:t xml:space="preserve">Total </w:t>
            </w:r>
          </w:p>
        </w:tc>
        <w:tc>
          <w:tcPr>
            <w:tcW w:w="1834" w:type="dxa"/>
            <w:noWrap/>
            <w:hideMark/>
          </w:tcPr>
          <w:p w14:paraId="28EFE6F1" w14:textId="77777777" w:rsidR="005E509A" w:rsidRPr="00FF201B" w:rsidRDefault="005E509A" w:rsidP="00CB6D01">
            <w:pPr>
              <w:jc w:val="center"/>
            </w:pPr>
            <w:r w:rsidRPr="00FF201B">
              <w:t>10</w:t>
            </w:r>
          </w:p>
        </w:tc>
        <w:tc>
          <w:tcPr>
            <w:tcW w:w="1430" w:type="dxa"/>
            <w:noWrap/>
            <w:hideMark/>
          </w:tcPr>
          <w:p w14:paraId="167B829F" w14:textId="77777777" w:rsidR="005E509A" w:rsidRPr="00FF201B" w:rsidRDefault="005E509A" w:rsidP="00CB6D01">
            <w:pPr>
              <w:jc w:val="center"/>
            </w:pPr>
            <w:r w:rsidRPr="00FF201B">
              <w:t>8 (new)</w:t>
            </w:r>
          </w:p>
        </w:tc>
        <w:tc>
          <w:tcPr>
            <w:tcW w:w="3369" w:type="dxa"/>
            <w:noWrap/>
            <w:hideMark/>
          </w:tcPr>
          <w:p w14:paraId="1B4EC3CA" w14:textId="77777777" w:rsidR="005E509A" w:rsidRPr="00FF201B" w:rsidRDefault="005E509A" w:rsidP="00CB6D01">
            <w:pPr>
              <w:jc w:val="center"/>
            </w:pPr>
            <w:r w:rsidRPr="00FF201B">
              <w:rPr>
                <w:b/>
                <w:bCs/>
              </w:rPr>
              <w:t>9</w:t>
            </w:r>
            <w:r w:rsidRPr="00FF201B">
              <w:t xml:space="preserve"> (4 new; 4 revised;  1 May 2011)</w:t>
            </w:r>
          </w:p>
        </w:tc>
      </w:tr>
      <w:tr w:rsidR="005E509A" w:rsidRPr="00FF201B" w14:paraId="0987B02F" w14:textId="77777777" w:rsidTr="00CB6D01">
        <w:trPr>
          <w:trHeight w:val="288"/>
        </w:trPr>
        <w:tc>
          <w:tcPr>
            <w:tcW w:w="1997" w:type="dxa"/>
            <w:noWrap/>
            <w:hideMark/>
          </w:tcPr>
          <w:p w14:paraId="6E315F0C" w14:textId="77777777" w:rsidR="005E509A" w:rsidRPr="00FF201B" w:rsidRDefault="005E509A" w:rsidP="00CB6D01">
            <w:r w:rsidRPr="00FF201B">
              <w:t xml:space="preserve">Total surpassed </w:t>
            </w:r>
          </w:p>
        </w:tc>
        <w:tc>
          <w:tcPr>
            <w:tcW w:w="1834" w:type="dxa"/>
            <w:noWrap/>
            <w:hideMark/>
          </w:tcPr>
          <w:p w14:paraId="771850AF" w14:textId="77777777" w:rsidR="005E509A" w:rsidRPr="00FF201B" w:rsidRDefault="005E509A" w:rsidP="00CB6D01">
            <w:pPr>
              <w:jc w:val="center"/>
            </w:pPr>
            <w:r w:rsidRPr="00FF201B">
              <w:t>0</w:t>
            </w:r>
          </w:p>
        </w:tc>
        <w:tc>
          <w:tcPr>
            <w:tcW w:w="1430" w:type="dxa"/>
            <w:noWrap/>
            <w:hideMark/>
          </w:tcPr>
          <w:p w14:paraId="7ADC3731" w14:textId="77777777" w:rsidR="005E509A" w:rsidRPr="00FF201B" w:rsidRDefault="005E509A" w:rsidP="00CB6D01">
            <w:pPr>
              <w:jc w:val="center"/>
            </w:pPr>
            <w:r w:rsidRPr="00FF201B">
              <w:t>0</w:t>
            </w:r>
          </w:p>
        </w:tc>
        <w:tc>
          <w:tcPr>
            <w:tcW w:w="3369" w:type="dxa"/>
            <w:noWrap/>
            <w:hideMark/>
          </w:tcPr>
          <w:p w14:paraId="6D3E491C" w14:textId="77777777" w:rsidR="005E509A" w:rsidRPr="00FF201B" w:rsidRDefault="005E509A" w:rsidP="00CB6D01">
            <w:pPr>
              <w:jc w:val="center"/>
            </w:pPr>
            <w:r w:rsidRPr="00FF201B">
              <w:t>3</w:t>
            </w:r>
          </w:p>
        </w:tc>
      </w:tr>
      <w:tr w:rsidR="005E509A" w:rsidRPr="00FF201B" w14:paraId="449024B3" w14:textId="77777777" w:rsidTr="00CB6D01">
        <w:trPr>
          <w:trHeight w:val="576"/>
        </w:trPr>
        <w:tc>
          <w:tcPr>
            <w:tcW w:w="1997" w:type="dxa"/>
            <w:hideMark/>
          </w:tcPr>
          <w:p w14:paraId="357EBC0A" w14:textId="77777777" w:rsidR="005E509A" w:rsidRPr="00FF201B" w:rsidRDefault="005E509A" w:rsidP="00CB6D01">
            <w:pPr>
              <w:rPr>
                <w:b/>
                <w:bCs/>
              </w:rPr>
            </w:pPr>
            <w:r w:rsidRPr="00FF201B">
              <w:rPr>
                <w:b/>
                <w:bCs/>
              </w:rPr>
              <w:t xml:space="preserve">Total surpassed, achieved and partially achieved </w:t>
            </w:r>
          </w:p>
        </w:tc>
        <w:tc>
          <w:tcPr>
            <w:tcW w:w="1834" w:type="dxa"/>
            <w:noWrap/>
            <w:hideMark/>
          </w:tcPr>
          <w:p w14:paraId="5A00919D" w14:textId="77777777" w:rsidR="005E509A" w:rsidRDefault="005E509A" w:rsidP="00CB6D01">
            <w:pPr>
              <w:jc w:val="center"/>
            </w:pPr>
            <w:r>
              <w:t>5 (50%)</w:t>
            </w:r>
          </w:p>
          <w:p w14:paraId="62DF26E6" w14:textId="77777777" w:rsidR="005E509A" w:rsidRPr="00FF201B" w:rsidRDefault="005E509A" w:rsidP="00CB6D01">
            <w:pPr>
              <w:jc w:val="center"/>
            </w:pPr>
          </w:p>
        </w:tc>
        <w:tc>
          <w:tcPr>
            <w:tcW w:w="1430" w:type="dxa"/>
            <w:hideMark/>
          </w:tcPr>
          <w:p w14:paraId="25E430DB" w14:textId="77777777" w:rsidR="005E509A" w:rsidRPr="00FF201B" w:rsidRDefault="005E509A" w:rsidP="00CB6D01">
            <w:pPr>
              <w:jc w:val="center"/>
            </w:pPr>
            <w:r>
              <w:t xml:space="preserve">4 (50%) </w:t>
            </w:r>
            <w:r>
              <w:br/>
            </w:r>
          </w:p>
        </w:tc>
        <w:tc>
          <w:tcPr>
            <w:tcW w:w="3369" w:type="dxa"/>
            <w:hideMark/>
          </w:tcPr>
          <w:p w14:paraId="3E32F93B" w14:textId="77777777" w:rsidR="005E509A" w:rsidRPr="00B76A15" w:rsidRDefault="005E509A" w:rsidP="00CB6D01">
            <w:pPr>
              <w:jc w:val="center"/>
              <w:rPr>
                <w:bCs/>
              </w:rPr>
            </w:pPr>
            <w:r w:rsidRPr="00B76A15">
              <w:rPr>
                <w:bCs/>
              </w:rPr>
              <w:t>9</w:t>
            </w:r>
            <w:r>
              <w:rPr>
                <w:bCs/>
              </w:rPr>
              <w:t xml:space="preserve"> </w:t>
            </w:r>
            <w:r w:rsidRPr="00B76A15">
              <w:rPr>
                <w:bCs/>
              </w:rPr>
              <w:t>(100%)</w:t>
            </w:r>
            <w:r w:rsidRPr="00B76A15">
              <w:rPr>
                <w:bCs/>
              </w:rPr>
              <w:br/>
            </w:r>
          </w:p>
        </w:tc>
      </w:tr>
      <w:tr w:rsidR="005E509A" w:rsidRPr="00FF201B" w14:paraId="7C55E40F" w14:textId="77777777" w:rsidTr="00CB6D01">
        <w:trPr>
          <w:trHeight w:val="288"/>
        </w:trPr>
        <w:tc>
          <w:tcPr>
            <w:tcW w:w="1997" w:type="dxa"/>
            <w:noWrap/>
            <w:hideMark/>
          </w:tcPr>
          <w:p w14:paraId="68DCBFD1" w14:textId="77777777" w:rsidR="005E509A" w:rsidRPr="00FF201B" w:rsidRDefault="005E509A" w:rsidP="00CB6D01">
            <w:pPr>
              <w:rPr>
                <w:b/>
                <w:bCs/>
              </w:rPr>
            </w:pPr>
            <w:r w:rsidRPr="00FF201B">
              <w:rPr>
                <w:b/>
                <w:bCs/>
              </w:rPr>
              <w:t xml:space="preserve">Weighted Average </w:t>
            </w:r>
          </w:p>
        </w:tc>
        <w:tc>
          <w:tcPr>
            <w:tcW w:w="1834" w:type="dxa"/>
            <w:noWrap/>
            <w:hideMark/>
          </w:tcPr>
          <w:p w14:paraId="77B79821" w14:textId="77777777" w:rsidR="005E509A" w:rsidRPr="00E90C08" w:rsidRDefault="005E509A" w:rsidP="00CB6D01">
            <w:pPr>
              <w:jc w:val="center"/>
              <w:rPr>
                <w:b/>
              </w:rPr>
            </w:pPr>
            <w:r>
              <w:rPr>
                <w:b/>
              </w:rPr>
              <w:t>57%</w:t>
            </w:r>
          </w:p>
          <w:p w14:paraId="595416B5" w14:textId="77777777" w:rsidR="005E509A" w:rsidRPr="00E90C08" w:rsidRDefault="005E509A" w:rsidP="00CB6D01">
            <w:pPr>
              <w:jc w:val="center"/>
              <w:rPr>
                <w:b/>
              </w:rPr>
            </w:pPr>
            <w:r>
              <w:rPr>
                <w:b/>
              </w:rPr>
              <w:t>M</w:t>
            </w:r>
            <w:r w:rsidRPr="00E90C08">
              <w:rPr>
                <w:b/>
              </w:rPr>
              <w:t>U</w:t>
            </w:r>
          </w:p>
        </w:tc>
        <w:tc>
          <w:tcPr>
            <w:tcW w:w="1430" w:type="dxa"/>
            <w:noWrap/>
            <w:hideMark/>
          </w:tcPr>
          <w:p w14:paraId="09F80D2D" w14:textId="77777777" w:rsidR="005E509A" w:rsidRPr="00E90C08" w:rsidRDefault="005E509A" w:rsidP="00CB6D01">
            <w:pPr>
              <w:jc w:val="center"/>
              <w:rPr>
                <w:b/>
              </w:rPr>
            </w:pPr>
            <w:r>
              <w:rPr>
                <w:b/>
              </w:rPr>
              <w:t>88</w:t>
            </w:r>
            <w:r w:rsidRPr="00E90C08">
              <w:rPr>
                <w:b/>
              </w:rPr>
              <w:t>%</w:t>
            </w:r>
          </w:p>
          <w:p w14:paraId="0C1E2EA6" w14:textId="77777777" w:rsidR="005E509A" w:rsidRPr="00E90C08" w:rsidRDefault="005E509A" w:rsidP="00CB6D01">
            <w:pPr>
              <w:jc w:val="center"/>
              <w:rPr>
                <w:b/>
              </w:rPr>
            </w:pPr>
            <w:r w:rsidRPr="00E90C08">
              <w:rPr>
                <w:b/>
              </w:rPr>
              <w:t>S</w:t>
            </w:r>
          </w:p>
        </w:tc>
        <w:tc>
          <w:tcPr>
            <w:tcW w:w="3369" w:type="dxa"/>
            <w:noWrap/>
            <w:hideMark/>
          </w:tcPr>
          <w:p w14:paraId="7CF04BBA" w14:textId="77777777" w:rsidR="005E509A" w:rsidRPr="00E90C08" w:rsidRDefault="005E509A" w:rsidP="00CB6D01">
            <w:pPr>
              <w:jc w:val="center"/>
              <w:rPr>
                <w:b/>
              </w:rPr>
            </w:pPr>
            <w:r w:rsidRPr="00E90C08">
              <w:rPr>
                <w:b/>
              </w:rPr>
              <w:t>124%</w:t>
            </w:r>
          </w:p>
          <w:p w14:paraId="29960BF8" w14:textId="77777777" w:rsidR="005E509A" w:rsidRPr="00E90C08" w:rsidRDefault="005E509A" w:rsidP="00CB6D01">
            <w:pPr>
              <w:jc w:val="center"/>
              <w:rPr>
                <w:b/>
              </w:rPr>
            </w:pPr>
            <w:r w:rsidRPr="00E90C08">
              <w:rPr>
                <w:b/>
              </w:rPr>
              <w:t>HS</w:t>
            </w:r>
          </w:p>
        </w:tc>
      </w:tr>
    </w:tbl>
    <w:p w14:paraId="529B2338" w14:textId="77777777" w:rsidR="005E509A" w:rsidRPr="00FF201B" w:rsidRDefault="005E509A" w:rsidP="005E509A">
      <w:pPr>
        <w:rPr>
          <w:sz w:val="20"/>
          <w:szCs w:val="20"/>
        </w:rPr>
      </w:pPr>
      <w:r w:rsidRPr="00057165">
        <w:rPr>
          <w:b/>
          <w:i/>
          <w:sz w:val="20"/>
          <w:szCs w:val="20"/>
        </w:rPr>
        <w:t>Rating scale</w:t>
      </w:r>
      <w:r w:rsidRPr="00057165">
        <w:rPr>
          <w:i/>
          <w:sz w:val="20"/>
          <w:szCs w:val="20"/>
        </w:rPr>
        <w:t>:</w:t>
      </w:r>
      <w:r w:rsidRPr="00FF201B">
        <w:rPr>
          <w:sz w:val="20"/>
          <w:szCs w:val="20"/>
        </w:rPr>
        <w:t xml:space="preserve"> HU/U (0-40%)</w:t>
      </w:r>
      <w:r>
        <w:rPr>
          <w:sz w:val="20"/>
          <w:szCs w:val="20"/>
        </w:rPr>
        <w:t xml:space="preserve">; </w:t>
      </w:r>
      <w:r w:rsidRPr="00FF201B">
        <w:rPr>
          <w:sz w:val="20"/>
          <w:szCs w:val="20"/>
        </w:rPr>
        <w:t>MU</w:t>
      </w:r>
      <w:r>
        <w:rPr>
          <w:sz w:val="20"/>
          <w:szCs w:val="20"/>
        </w:rPr>
        <w:t xml:space="preserve"> </w:t>
      </w:r>
      <w:r w:rsidRPr="00FF201B">
        <w:rPr>
          <w:sz w:val="20"/>
          <w:szCs w:val="20"/>
        </w:rPr>
        <w:t>(41-64%); MS (65-79%); S (80-94%); HS (95-100%)</w:t>
      </w:r>
    </w:p>
    <w:p w14:paraId="24A2F0B0" w14:textId="77777777" w:rsidR="005E509A" w:rsidRPr="00057165" w:rsidRDefault="005E509A" w:rsidP="005E509A">
      <w:pPr>
        <w:rPr>
          <w:sz w:val="20"/>
          <w:szCs w:val="20"/>
        </w:rPr>
      </w:pPr>
      <w:r w:rsidRPr="00057165">
        <w:rPr>
          <w:i/>
          <w:sz w:val="20"/>
          <w:szCs w:val="20"/>
        </w:rPr>
        <w:t>Note:</w:t>
      </w:r>
      <w:r w:rsidRPr="00057165">
        <w:rPr>
          <w:sz w:val="20"/>
          <w:szCs w:val="20"/>
        </w:rPr>
        <w:t xml:space="preserve"> A weighted average was calculated using the following</w:t>
      </w:r>
      <w:r>
        <w:rPr>
          <w:sz w:val="20"/>
          <w:szCs w:val="20"/>
        </w:rPr>
        <w:t xml:space="preserve"> scale: surpassed=1.5x; achieved</w:t>
      </w:r>
      <w:r w:rsidRPr="00057165">
        <w:rPr>
          <w:sz w:val="20"/>
          <w:szCs w:val="20"/>
        </w:rPr>
        <w:t xml:space="preserve">=1x; partially achieved=0.75x.  </w:t>
      </w:r>
    </w:p>
    <w:p w14:paraId="3862E879" w14:textId="77777777" w:rsidR="005E509A" w:rsidRDefault="005E509A" w:rsidP="00C67D43"/>
    <w:p w14:paraId="51FB2FA0" w14:textId="77777777" w:rsidR="004F6075" w:rsidRDefault="004F6075" w:rsidP="00C67D43"/>
    <w:p w14:paraId="0B8952F7" w14:textId="06810D22" w:rsidR="00835540" w:rsidRPr="00881FAF" w:rsidRDefault="001424A7" w:rsidP="00CB6D01">
      <w:pPr>
        <w:pStyle w:val="ListParagraph"/>
        <w:numPr>
          <w:ilvl w:val="0"/>
          <w:numId w:val="34"/>
        </w:numPr>
        <w:ind w:left="0" w:firstLine="360"/>
        <w:jc w:val="both"/>
        <w:rPr>
          <w:b/>
          <w:i/>
        </w:rPr>
      </w:pPr>
      <w:r w:rsidRPr="001424A7">
        <w:rPr>
          <w:b/>
          <w:i/>
        </w:rPr>
        <w:t>PDO 1 “Expand coverage”</w:t>
      </w:r>
      <w:r w:rsidR="00C47D57" w:rsidRPr="001424A7">
        <w:rPr>
          <w:b/>
          <w:i/>
        </w:rPr>
        <w:t>:</w:t>
      </w:r>
      <w:r w:rsidR="00C47D57">
        <w:t xml:space="preserve"> </w:t>
      </w:r>
      <w:r>
        <w:t xml:space="preserve"> The first subpart of both original and revised PDOs is the objective to “expand coverage.”  In </w:t>
      </w:r>
      <w:r w:rsidRPr="001424A7">
        <w:rPr>
          <w:i/>
        </w:rPr>
        <w:t>Phase 1</w:t>
      </w:r>
      <w:r>
        <w:t xml:space="preserve"> only one (“10% increase in the coverage of disabled population by JPUF”) out of four PDO indicators measured the achievement towards this PDO. </w:t>
      </w:r>
      <w:r w:rsidR="00835540">
        <w:t xml:space="preserve">Furthermore, it touched only on coverage of services for PWDs and not for children-at-risk. </w:t>
      </w:r>
      <w:r>
        <w:t xml:space="preserve">Given implementation delays no progress was made towards this indicator during </w:t>
      </w:r>
      <w:r w:rsidRPr="00B202B0">
        <w:rPr>
          <w:i/>
        </w:rPr>
        <w:t>Phase 1</w:t>
      </w:r>
      <w:r>
        <w:t xml:space="preserve"> itself (see Table 3.1), but by the close of the project the in</w:t>
      </w:r>
      <w:r w:rsidR="00835540">
        <w:t>dicator was surpassed quite significantly as even using the original baseline the coverage increased by 140% as opposed to 10%.  Nonetheless, given implementation hurdles and poor</w:t>
      </w:r>
      <w:r w:rsidR="00EA4A83">
        <w:t xml:space="preserve"> design of</w:t>
      </w:r>
      <w:r w:rsidR="00835540">
        <w:t xml:space="preserve"> </w:t>
      </w:r>
      <w:r w:rsidR="00FC466B">
        <w:t xml:space="preserve">the initial </w:t>
      </w:r>
      <w:r w:rsidR="00835540">
        <w:t>results framework</w:t>
      </w:r>
      <w:r w:rsidR="00FC466B">
        <w:t xml:space="preserve"> </w:t>
      </w:r>
      <w:r w:rsidR="002118AD">
        <w:t>the efficacy</w:t>
      </w:r>
      <w:r w:rsidR="00835540">
        <w:t xml:space="preserve"> of the project with regards to this PDO </w:t>
      </w:r>
      <w:r w:rsidR="00EA4A83">
        <w:t xml:space="preserve">in Phase 1 </w:t>
      </w:r>
      <w:r w:rsidR="00835540">
        <w:t xml:space="preserve">can only be rated as </w:t>
      </w:r>
      <w:r w:rsidR="00835540" w:rsidRPr="00835540">
        <w:rPr>
          <w:i/>
        </w:rPr>
        <w:t>Negligible</w:t>
      </w:r>
      <w:r w:rsidR="00835540">
        <w:t xml:space="preserve">. </w:t>
      </w:r>
    </w:p>
    <w:p w14:paraId="4618B1CE" w14:textId="77777777" w:rsidR="00881FAF" w:rsidRPr="00835540" w:rsidRDefault="00881FAF" w:rsidP="00881FAF">
      <w:pPr>
        <w:pStyle w:val="ListParagraph"/>
        <w:ind w:left="360"/>
        <w:jc w:val="both"/>
        <w:rPr>
          <w:b/>
          <w:i/>
        </w:rPr>
      </w:pPr>
    </w:p>
    <w:p w14:paraId="7E5C752C" w14:textId="2EE8CF04" w:rsidR="00B40B74" w:rsidRPr="00B16E77" w:rsidRDefault="00835540" w:rsidP="00CB6D01">
      <w:pPr>
        <w:pStyle w:val="ListParagraph"/>
        <w:numPr>
          <w:ilvl w:val="0"/>
          <w:numId w:val="34"/>
        </w:numPr>
        <w:ind w:left="0" w:firstLine="360"/>
        <w:jc w:val="both"/>
        <w:rPr>
          <w:b/>
          <w:i/>
        </w:rPr>
      </w:pPr>
      <w:r>
        <w:t>As the results framework improved after the first restructuring three out of four indicators tracked achievement towards this PDO and included both services for PWDs and children-at-risk: (i) increase in number of PWD receiving services; (ii) increase in number of children-at-risk receiving child protection services; and (iii) increased awareness and positive change in attitudes towards PWD and children-at-risk where services are provided. By the time of the second restructuring December 31</w:t>
      </w:r>
      <w:r w:rsidRPr="00FB6BEA">
        <w:rPr>
          <w:vertAlign w:val="superscript"/>
        </w:rPr>
        <w:t>st</w:t>
      </w:r>
      <w:r>
        <w:t>, 2013 the project had already reached close to 1,700 children at risk and close to 53,000 clients at DSCs</w:t>
      </w:r>
      <w:r>
        <w:rPr>
          <w:rStyle w:val="FootnoteReference"/>
        </w:rPr>
        <w:footnoteReference w:id="19"/>
      </w:r>
      <w:r>
        <w:t xml:space="preserve"> (surpassing the goal of 25,000 for that period in implementation timeline).</w:t>
      </w:r>
      <w:r w:rsidR="00CA0B80">
        <w:t xml:space="preserve"> </w:t>
      </w:r>
      <w:r w:rsidR="00FC5646">
        <w:t xml:space="preserve">Associated IOs, such as number of IDSCs and ICPSCs, were also achieved both </w:t>
      </w:r>
      <w:r w:rsidR="001A7C98">
        <w:t xml:space="preserve">by the time of the evaluation and </w:t>
      </w:r>
      <w:r w:rsidR="00FC5646">
        <w:t xml:space="preserve">within the time bounds of </w:t>
      </w:r>
      <w:r w:rsidR="00FC5646" w:rsidRPr="00DD2F48">
        <w:rPr>
          <w:i/>
        </w:rPr>
        <w:t>Phase 2</w:t>
      </w:r>
      <w:r w:rsidR="00FC5646">
        <w:t xml:space="preserve">. </w:t>
      </w:r>
      <w:r w:rsidR="002118AD">
        <w:t>Thus efficacy</w:t>
      </w:r>
      <w:r w:rsidR="00FC5646">
        <w:t xml:space="preserve"> of the project with regards to the achievement of this PDO in </w:t>
      </w:r>
      <w:r w:rsidR="00FC5646" w:rsidRPr="006D7D29">
        <w:rPr>
          <w:i/>
        </w:rPr>
        <w:t>Phase 2</w:t>
      </w:r>
      <w:r w:rsidR="00FC5646">
        <w:t xml:space="preserve"> is ranked as </w:t>
      </w:r>
      <w:r w:rsidR="00FC5646" w:rsidRPr="00FC5646">
        <w:rPr>
          <w:i/>
        </w:rPr>
        <w:t>Substantial</w:t>
      </w:r>
      <w:r w:rsidR="00FC5646">
        <w:t xml:space="preserve">. </w:t>
      </w:r>
    </w:p>
    <w:p w14:paraId="1757ADC2" w14:textId="77777777" w:rsidR="00B16E77" w:rsidRPr="00075212" w:rsidRDefault="00B16E77" w:rsidP="00B16E77">
      <w:pPr>
        <w:pStyle w:val="ListParagraph"/>
        <w:ind w:left="360"/>
        <w:jc w:val="both"/>
        <w:rPr>
          <w:b/>
          <w:i/>
        </w:rPr>
      </w:pPr>
    </w:p>
    <w:p w14:paraId="53B2FE05" w14:textId="2B16CC30" w:rsidR="00075212" w:rsidRPr="001424A7" w:rsidRDefault="00075212" w:rsidP="00CB6D01">
      <w:pPr>
        <w:pStyle w:val="ListParagraph"/>
        <w:numPr>
          <w:ilvl w:val="0"/>
          <w:numId w:val="34"/>
        </w:numPr>
        <w:ind w:left="0" w:firstLine="360"/>
        <w:jc w:val="both"/>
        <w:rPr>
          <w:b/>
          <w:i/>
        </w:rPr>
      </w:pPr>
      <w:r>
        <w:t xml:space="preserve">Lastly in </w:t>
      </w:r>
      <w:r w:rsidRPr="006D7D29">
        <w:rPr>
          <w:i/>
        </w:rPr>
        <w:t>Phase 3</w:t>
      </w:r>
      <w:r>
        <w:t xml:space="preserve"> measurement of the achievement towards this PDO was strengthened by refining indicators above and adding two core indicators: (i) Number of beneficiaries; and (ii) number of female beneficiaries.</w:t>
      </w:r>
      <w:r w:rsidR="00FC2E77" w:rsidRPr="00FC2E77">
        <w:t xml:space="preserve"> </w:t>
      </w:r>
      <w:r w:rsidR="00FC2E77">
        <w:t>By the close of the project in June 2016, the project surpassed key PDO indicators reaching more than 6,000 children at risk through ICPSCs with 70% of them reintegrated; and reaching more than 370,000 PWDs through DSCs</w:t>
      </w:r>
      <w:r w:rsidR="00065B89">
        <w:t>.</w:t>
      </w:r>
      <w:r w:rsidR="009F1E9D" w:rsidRPr="009F1E9D">
        <w:t xml:space="preserve"> </w:t>
      </w:r>
      <w:r w:rsidR="009F1E9D" w:rsidRPr="00165719">
        <w:t xml:space="preserve">Communities in the project locations were made aware of services available both for children at risk and for persons with disabilities resulting in almost two-threefold increase from the baseline. </w:t>
      </w:r>
      <w:r w:rsidR="00065B89">
        <w:t xml:space="preserve"> </w:t>
      </w:r>
      <w:r w:rsidR="0031441C">
        <w:t>Lastly</w:t>
      </w:r>
      <w:r>
        <w:t xml:space="preserve">, the second restructuring added the provision of mobile therapy </w:t>
      </w:r>
      <w:r w:rsidR="00EC0CAB">
        <w:t>vans to project activities</w:t>
      </w:r>
      <w:r w:rsidR="00891A2D">
        <w:t xml:space="preserve">, </w:t>
      </w:r>
      <w:r w:rsidR="00EC0CAB">
        <w:t xml:space="preserve">which </w:t>
      </w:r>
      <w:r>
        <w:t xml:space="preserve">definitely contributed to the increased coverage of services </w:t>
      </w:r>
      <w:r w:rsidR="00891A2D">
        <w:t>for PWDs (with 23% of beneficiaries being reached in this way)</w:t>
      </w:r>
      <w:r w:rsidR="00EC0CAB">
        <w:t>. Thus the</w:t>
      </w:r>
      <w:r w:rsidR="002118AD">
        <w:t xml:space="preserve"> efficacy</w:t>
      </w:r>
      <w:r w:rsidR="00DD2F48">
        <w:t xml:space="preserve"> of the project with regards to this PDO in Phase 3 is thus rated as </w:t>
      </w:r>
      <w:r w:rsidR="00DD2F48" w:rsidRPr="00DD2F48">
        <w:rPr>
          <w:i/>
        </w:rPr>
        <w:t>Substantial</w:t>
      </w:r>
      <w:r w:rsidR="00DD2F48">
        <w:t xml:space="preserve">. </w:t>
      </w:r>
      <w:r w:rsidR="00065B89">
        <w:t xml:space="preserve"> </w:t>
      </w:r>
    </w:p>
    <w:p w14:paraId="52659145" w14:textId="77777777" w:rsidR="001424A7" w:rsidRPr="001424A7" w:rsidRDefault="001424A7" w:rsidP="001424A7">
      <w:pPr>
        <w:pStyle w:val="ListParagraph"/>
        <w:ind w:left="360"/>
        <w:jc w:val="both"/>
        <w:rPr>
          <w:b/>
          <w:i/>
        </w:rPr>
      </w:pPr>
    </w:p>
    <w:p w14:paraId="488E44DC" w14:textId="286FAB1A" w:rsidR="00881FAF" w:rsidRDefault="004D15C5" w:rsidP="000A518E">
      <w:pPr>
        <w:pStyle w:val="ListParagraph"/>
        <w:numPr>
          <w:ilvl w:val="0"/>
          <w:numId w:val="34"/>
        </w:numPr>
        <w:ind w:left="0" w:firstLine="360"/>
        <w:jc w:val="both"/>
      </w:pPr>
      <w:r w:rsidRPr="000A518E">
        <w:rPr>
          <w:b/>
          <w:i/>
        </w:rPr>
        <w:t>P</w:t>
      </w:r>
      <w:r w:rsidR="00DD2F48">
        <w:rPr>
          <w:b/>
          <w:i/>
        </w:rPr>
        <w:t>DO 2 “expand use”</w:t>
      </w:r>
      <w:r w:rsidRPr="000A518E">
        <w:rPr>
          <w:b/>
          <w:i/>
        </w:rPr>
        <w:t xml:space="preserve">: </w:t>
      </w:r>
      <w:r w:rsidR="002118AD">
        <w:rPr>
          <w:b/>
          <w:i/>
        </w:rPr>
        <w:t xml:space="preserve"> </w:t>
      </w:r>
      <w:r w:rsidR="002118AD">
        <w:t xml:space="preserve">Even though one of the objectives of the initial PDO was to expand use of the services for PWD and children-at-risk there were no PDO or IO indicators that tracked this, which is a weakness </w:t>
      </w:r>
      <w:r w:rsidR="002118AD" w:rsidRPr="006258B2">
        <w:t xml:space="preserve">mentioned in </w:t>
      </w:r>
      <w:r w:rsidR="002118AD" w:rsidRPr="006258B2">
        <w:rPr>
          <w:i/>
        </w:rPr>
        <w:t>Section</w:t>
      </w:r>
      <w:r w:rsidR="002118AD" w:rsidRPr="00253898">
        <w:rPr>
          <w:i/>
        </w:rPr>
        <w:t xml:space="preserve"> 2.3</w:t>
      </w:r>
      <w:r w:rsidR="00B720E7">
        <w:t xml:space="preserve">. </w:t>
      </w:r>
      <w:r w:rsidR="002118AD">
        <w:t xml:space="preserve">Naturally the rating for efficacy </w:t>
      </w:r>
      <w:r w:rsidR="002D607D">
        <w:t>of</w:t>
      </w:r>
      <w:r w:rsidR="00881FAF">
        <w:t xml:space="preserve"> Phase 1 in regards to this PDO is </w:t>
      </w:r>
      <w:r w:rsidR="00881FAF" w:rsidRPr="00881FAF">
        <w:rPr>
          <w:i/>
        </w:rPr>
        <w:t>Negligible</w:t>
      </w:r>
      <w:r w:rsidR="00881FAF">
        <w:t xml:space="preserve">. </w:t>
      </w:r>
    </w:p>
    <w:p w14:paraId="0215CE87" w14:textId="77777777" w:rsidR="00881FAF" w:rsidRDefault="00881FAF" w:rsidP="00881FAF">
      <w:pPr>
        <w:pStyle w:val="ListParagraph"/>
      </w:pPr>
    </w:p>
    <w:p w14:paraId="55BDDA1C" w14:textId="1CE27794" w:rsidR="00881FAF" w:rsidRDefault="00881FAF" w:rsidP="00CB6D01">
      <w:pPr>
        <w:pStyle w:val="ListParagraph"/>
        <w:numPr>
          <w:ilvl w:val="0"/>
          <w:numId w:val="34"/>
        </w:numPr>
        <w:ind w:left="0" w:firstLine="360"/>
        <w:jc w:val="both"/>
      </w:pPr>
      <w:r>
        <w:t>The objective of expanded use was dropped from the revised PDO, while the objectives to expand coverage and improve quality remained. Nevertheless, some of the PDO indicators that were introduced to assess the success of the project with respect to the expansion of coverage can be used to assess the expansion of use of the services for PWDs, and the argument can be made that the project did achieve significant results in the expansion of the use of the services for its target groups.  In particular the number o</w:t>
      </w:r>
      <w:r w:rsidR="00CC78F2">
        <w:t xml:space="preserve">f people receiving services at </w:t>
      </w:r>
      <w:r>
        <w:t xml:space="preserve">DSCs and ICPSCs does represent the use of services and the project achieved and surpassed its targets with respect to those in Phases 2 and 3. Thus the efficacy with respect to this PDO in Phases 2 and 3 is rated as </w:t>
      </w:r>
      <w:r w:rsidRPr="00881FAF">
        <w:rPr>
          <w:i/>
        </w:rPr>
        <w:t>Substantial</w:t>
      </w:r>
      <w:r>
        <w:t xml:space="preserve">. </w:t>
      </w:r>
    </w:p>
    <w:p w14:paraId="3E98F904" w14:textId="77777777" w:rsidR="00881FAF" w:rsidRDefault="00881FAF" w:rsidP="00D57479">
      <w:pPr>
        <w:jc w:val="both"/>
      </w:pPr>
    </w:p>
    <w:p w14:paraId="09757038" w14:textId="6FB5CE7B" w:rsidR="004B1BC6" w:rsidRDefault="004B1BC6" w:rsidP="004B1BC6">
      <w:pPr>
        <w:pStyle w:val="ListParagraph"/>
        <w:numPr>
          <w:ilvl w:val="0"/>
          <w:numId w:val="34"/>
        </w:numPr>
        <w:ind w:left="0" w:firstLine="360"/>
        <w:jc w:val="both"/>
      </w:pPr>
      <w:r w:rsidRPr="004B1BC6">
        <w:rPr>
          <w:b/>
          <w:i/>
        </w:rPr>
        <w:t>PDO 3 “expand/improve qualit</w:t>
      </w:r>
      <w:r>
        <w:t xml:space="preserve">y”: From the very beginning the project set out to expand quality of services provides to PWDs and children-at-risk. The objective remained the same and became better worded as “improve quality” when the PDO was revised during the first restructuring. Somewhat similar to the PDO 2 the initial results framework could have definitely been improved in regards to the measurement of progress towards this PDO. Two indicators, one capturing the increase in early detection of disabilities and another capturing the percentage of children-at-risk that receive training, can be mapped to this PDO. During </w:t>
      </w:r>
      <w:r w:rsidRPr="003B50F6">
        <w:rPr>
          <w:i/>
        </w:rPr>
        <w:t>Phase 1</w:t>
      </w:r>
      <w:r>
        <w:t xml:space="preserve"> due to implementation difficulties no progress was made towards the targets set for those. However, by the time of the evaluation one of these initial indicators (capturing training for children-at-risk) could be considered to be partially achieved. Nonetheless, efficacy of the project with respect to this objective during </w:t>
      </w:r>
      <w:r w:rsidR="003B50F6">
        <w:t xml:space="preserve">Phase 1 is rated as </w:t>
      </w:r>
      <w:r w:rsidR="003B50F6" w:rsidRPr="003B50F6">
        <w:rPr>
          <w:i/>
        </w:rPr>
        <w:t>Negligible</w:t>
      </w:r>
      <w:r w:rsidR="003B50F6">
        <w:t xml:space="preserve">. </w:t>
      </w:r>
    </w:p>
    <w:p w14:paraId="79EC02D1" w14:textId="77777777" w:rsidR="004B1BC6" w:rsidRDefault="004B1BC6" w:rsidP="004B1BC6">
      <w:pPr>
        <w:pStyle w:val="ListParagraph"/>
        <w:ind w:left="360"/>
        <w:jc w:val="both"/>
      </w:pPr>
    </w:p>
    <w:p w14:paraId="772DA480" w14:textId="0BDF6E31" w:rsidR="00FC2E77" w:rsidRDefault="00FC2E77" w:rsidP="004B1BC6">
      <w:pPr>
        <w:pStyle w:val="ListParagraph"/>
        <w:numPr>
          <w:ilvl w:val="0"/>
          <w:numId w:val="34"/>
        </w:numPr>
        <w:ind w:left="0" w:firstLine="360"/>
        <w:jc w:val="both"/>
      </w:pPr>
      <w:r>
        <w:t xml:space="preserve">The revision of the results framework during the first restructuring in June 2011 made it much easier to track progress towards improvement of the quality of services in </w:t>
      </w:r>
      <w:r w:rsidRPr="00C05A7C">
        <w:rPr>
          <w:i/>
        </w:rPr>
        <w:t xml:space="preserve">Phases 2 </w:t>
      </w:r>
      <w:r w:rsidRPr="00C05A7C">
        <w:t>and</w:t>
      </w:r>
      <w:r w:rsidRPr="00C05A7C">
        <w:rPr>
          <w:i/>
        </w:rPr>
        <w:t xml:space="preserve"> 3</w:t>
      </w:r>
      <w:r>
        <w:t xml:space="preserve">.  In particular </w:t>
      </w:r>
      <w:r w:rsidR="00C05A7C">
        <w:t xml:space="preserve">the </w:t>
      </w:r>
      <w:r>
        <w:t xml:space="preserve">results framework introduced in Phase 2 included indicators that tracked beneficiary satisfaction and mandated review of performance of programs for PWD and children-at-risk.  By the end of </w:t>
      </w:r>
      <w:r w:rsidRPr="00FC2E77">
        <w:rPr>
          <w:i/>
        </w:rPr>
        <w:t>Phase 2</w:t>
      </w:r>
      <w:r>
        <w:t xml:space="preserve"> 54% of PWDs reported </w:t>
      </w:r>
      <w:r w:rsidR="0088186E">
        <w:t xml:space="preserve">to be fully satisfied with the services provided by DSCs (surpassing the </w:t>
      </w:r>
      <w:r w:rsidR="00760779">
        <w:t xml:space="preserve">goal of </w:t>
      </w:r>
      <w:r w:rsidR="0088186E">
        <w:t>50% goal</w:t>
      </w:r>
      <w:r w:rsidR="00760779">
        <w:t xml:space="preserve"> corresponding to that period in implementation timeline</w:t>
      </w:r>
      <w:r w:rsidR="00D23661">
        <w:t>)</w:t>
      </w:r>
      <w:r w:rsidR="00D52897">
        <w:t xml:space="preserve">, and by the time of this evaluation close to 94% of beneficiaries reported being fully satisfied with DSC services, equipment, staff behavior and competency. </w:t>
      </w:r>
      <w:r w:rsidR="001A47F4">
        <w:t xml:space="preserve">Furthermore, all clients’ records were being digitized and regular reports were produced. </w:t>
      </w:r>
      <w:r w:rsidR="00D52897">
        <w:t>Although there is no explicit PDO indicator that addresses the quality of services for children-at-risk during this Phase in same way as services for PWDs are assessed through beneficiary surveys,</w:t>
      </w:r>
      <w:r w:rsidR="00D52897" w:rsidRPr="00D52897">
        <w:t xml:space="preserve"> </w:t>
      </w:r>
      <w:r w:rsidR="00D52897">
        <w:t xml:space="preserve">the development of guidelines for minimum standards of care while working with children-at-risk is addressed by one of the IO indicators. Altogether this leads to the ranking of efficacy in regards to this PDO during Phase 2 as </w:t>
      </w:r>
      <w:r w:rsidR="00D52897" w:rsidRPr="00D52897">
        <w:rPr>
          <w:i/>
        </w:rPr>
        <w:t>Substantial</w:t>
      </w:r>
      <w:r w:rsidR="00D52897">
        <w:t xml:space="preserve">. </w:t>
      </w:r>
    </w:p>
    <w:p w14:paraId="2BE8F92F" w14:textId="77777777" w:rsidR="00D52897" w:rsidRDefault="00D52897" w:rsidP="00D52897">
      <w:pPr>
        <w:pStyle w:val="ListParagraph"/>
      </w:pPr>
    </w:p>
    <w:p w14:paraId="055B2CF1" w14:textId="77777777" w:rsidR="00165719" w:rsidRDefault="00D52897" w:rsidP="00165719">
      <w:pPr>
        <w:pStyle w:val="ListParagraph"/>
        <w:numPr>
          <w:ilvl w:val="0"/>
          <w:numId w:val="34"/>
        </w:numPr>
        <w:ind w:left="0" w:firstLine="360"/>
        <w:jc w:val="both"/>
      </w:pPr>
      <w:r>
        <w:t>Lastly, this PDO in particular benefitted from the revisions to the results framework introduced d</w:t>
      </w:r>
      <w:r w:rsidR="006C2A35">
        <w:t xml:space="preserve">uring Phase 3. Specifically, to balance quality assessment between the disability and children-at-risk components a new indicator to measure success of the services provided to children-at-risk through the percentage of children reintegrated was introduced. By the end of the project 70% of children receiving services at ICPSCs were re-integrated (greatly surpassing the target of 25%) and even though no longer tracked as a PDO indicator close to 25% of those who were not re-integrated received training that lead to their eventual employment and self-employment. </w:t>
      </w:r>
      <w:r w:rsidR="00725B70">
        <w:t xml:space="preserve">And while it might appear that this is the only PDO that does have a PDO indicator that is only partially achieved (“the percentage of DSC staff achieving minimum score on a technical skills assessment”) this is more likely explained by the shortcoming of the results framework that did not properly account for the possibility of multiple different certification processes with different levels of difficulty while setting the target. This oversight resulted in the need to harmonize and aggregate across multiple certifications resulting in a noisier measure than initially anticipated. </w:t>
      </w:r>
      <w:r w:rsidR="000462D8">
        <w:t xml:space="preserve">Thus overall the rating of the efficacy of the project with respect to this PDO in Phase 3 is </w:t>
      </w:r>
      <w:r w:rsidR="000462D8" w:rsidRPr="000462D8">
        <w:rPr>
          <w:i/>
        </w:rPr>
        <w:t>Substantial</w:t>
      </w:r>
      <w:r w:rsidR="000462D8">
        <w:t xml:space="preserve">. </w:t>
      </w:r>
    </w:p>
    <w:p w14:paraId="12239FC1" w14:textId="77777777" w:rsidR="00165719" w:rsidRDefault="00165719" w:rsidP="00165719">
      <w:pPr>
        <w:pStyle w:val="ListParagraph"/>
        <w:ind w:left="360"/>
        <w:jc w:val="both"/>
      </w:pPr>
    </w:p>
    <w:p w14:paraId="4FC8F6C5" w14:textId="1925EB5B" w:rsidR="00AC42BB" w:rsidRPr="009F3CDE" w:rsidRDefault="00165719" w:rsidP="00135FF0">
      <w:pPr>
        <w:pStyle w:val="ListParagraph"/>
        <w:numPr>
          <w:ilvl w:val="0"/>
          <w:numId w:val="34"/>
        </w:numPr>
        <w:ind w:left="0" w:firstLine="360"/>
        <w:jc w:val="both"/>
      </w:pPr>
      <w:r>
        <w:t>“</w:t>
      </w:r>
      <w:r w:rsidRPr="00165719">
        <w:rPr>
          <w:b/>
          <w:i/>
        </w:rPr>
        <w:t>Strengthening and scaling up of government service delivery mechanisms</w:t>
      </w:r>
      <w:r>
        <w:t xml:space="preserve">”: Lastly while strengthening and scaling up of government service delivery mechanisms outlined as the means through which the above objectives of expanded coverage and improve quality of services for PWD and children-at-risk are achieved might not be considered a PDO in itself the project did spend a significant amount of effort on ensuring that this happens. </w:t>
      </w:r>
      <w:r w:rsidRPr="00165719">
        <w:t>From restructuring in May 2011, the project set out to strengthen government’s capacity to delivery service to PWDs and children at risk. The project contributed to this objective by: (i) supporting service provision directly through DSCs and ICPSCs</w:t>
      </w:r>
      <w:r w:rsidR="00283469">
        <w:rPr>
          <w:rStyle w:val="FootnoteReference"/>
        </w:rPr>
        <w:footnoteReference w:id="20"/>
      </w:r>
      <w:r w:rsidR="00283469">
        <w:t xml:space="preserve"> ; </w:t>
      </w:r>
      <w:r w:rsidRPr="00165719">
        <w:t>(ii) training of concerned government officials and personnel; (iii) establishing MIS for increased efficiency of resource management at JPUF and DSS; (iv) creating institutional guidelines for child protection; and (v) allowing for an increased budgetary allocation for child protection and provision of services to PWDs. In the course of the project government operated centers for disability services and children at risk were established and made operational. More than 3,000 government officials were trained on the rights of PWDs and available services; more than 500 government officials were trained on child protection issues and available services and more than 800 officials were trained on the use of MIS</w:t>
      </w:r>
      <w:r>
        <w:rPr>
          <w:rStyle w:val="FootnoteReference"/>
        </w:rPr>
        <w:footnoteReference w:id="21"/>
      </w:r>
      <w:r w:rsidRPr="00165719">
        <w:t xml:space="preserve">. Institutional guidelines on standards of services for child protection were established. </w:t>
      </w:r>
    </w:p>
    <w:p w14:paraId="6D01BD61" w14:textId="77777777" w:rsidR="00F51ED7" w:rsidRDefault="00F51ED7" w:rsidP="00506012">
      <w:pPr>
        <w:jc w:val="both"/>
      </w:pPr>
    </w:p>
    <w:p w14:paraId="76CB2E51" w14:textId="77777777" w:rsidR="00C67D43" w:rsidRDefault="00C67D43">
      <w:pPr>
        <w:pStyle w:val="Heading3"/>
      </w:pPr>
      <w:r>
        <w:t>3.3 Efficiency</w:t>
      </w:r>
    </w:p>
    <w:p w14:paraId="6BBCD1D5" w14:textId="77777777" w:rsidR="00F51ED7" w:rsidRDefault="00F51ED7">
      <w:pPr>
        <w:rPr>
          <w:iCs/>
          <w:color w:val="000000"/>
          <w:sz w:val="22"/>
          <w:szCs w:val="22"/>
        </w:rPr>
      </w:pPr>
    </w:p>
    <w:p w14:paraId="114E249B" w14:textId="52217577" w:rsidR="00195295" w:rsidRDefault="00B720E7" w:rsidP="00E439C9">
      <w:pPr>
        <w:pStyle w:val="ListParagraph"/>
        <w:numPr>
          <w:ilvl w:val="0"/>
          <w:numId w:val="34"/>
        </w:numPr>
        <w:ind w:left="0" w:firstLine="360"/>
        <w:jc w:val="both"/>
        <w:rPr>
          <w:iCs/>
          <w:color w:val="000000"/>
        </w:rPr>
      </w:pPr>
      <w:r>
        <w:rPr>
          <w:iCs/>
          <w:color w:val="000000"/>
        </w:rPr>
        <w:t xml:space="preserve">At the outset of the project the Economic and Finance analysis using </w:t>
      </w:r>
      <w:r w:rsidR="009A3D5C">
        <w:rPr>
          <w:iCs/>
          <w:color w:val="000000"/>
        </w:rPr>
        <w:t xml:space="preserve">a </w:t>
      </w:r>
      <w:r w:rsidR="005B1BC4">
        <w:rPr>
          <w:iCs/>
          <w:color w:val="000000"/>
        </w:rPr>
        <w:t xml:space="preserve">set of </w:t>
      </w:r>
      <w:r>
        <w:rPr>
          <w:iCs/>
          <w:color w:val="000000"/>
        </w:rPr>
        <w:t xml:space="preserve">assumptions and </w:t>
      </w:r>
      <w:r w:rsidR="009A3D5C">
        <w:rPr>
          <w:iCs/>
          <w:color w:val="000000"/>
        </w:rPr>
        <w:t xml:space="preserve">national level </w:t>
      </w:r>
      <w:r>
        <w:rPr>
          <w:iCs/>
          <w:color w:val="000000"/>
        </w:rPr>
        <w:t>data on PWD and children-at-risk established that</w:t>
      </w:r>
      <w:r w:rsidR="003708BB">
        <w:rPr>
          <w:iCs/>
          <w:color w:val="000000"/>
        </w:rPr>
        <w:t xml:space="preserve"> not properly integrating PWD and children-at-risk costed Bangladesh</w:t>
      </w:r>
      <w:r w:rsidR="003708BB" w:rsidRPr="003708BB">
        <w:t xml:space="preserve"> </w:t>
      </w:r>
      <w:r w:rsidR="003708BB">
        <w:t xml:space="preserve">US$1.2-$1.8 billion and US$9 million per annum respectively. </w:t>
      </w:r>
      <w:r w:rsidR="00952A1F">
        <w:t xml:space="preserve"> The studies find that disability often leads to a vicious cycle of human capital accumulation that results in continued poverty</w:t>
      </w:r>
      <w:r w:rsidR="000F359F">
        <w:rPr>
          <w:rStyle w:val="FootnoteReference"/>
        </w:rPr>
        <w:footnoteReference w:id="22"/>
      </w:r>
      <w:r w:rsidR="00952A1F">
        <w:t>. Thus provision of services to disabled does target an important economic shortcoming that can help alleviate poverty now and in future generations. Furthermore, there is some evidence that focus on service provision in addition or as opposed to focus on just provision of disability benefit payments is associated with a smaller negative effect of disability on workforce participation</w:t>
      </w:r>
      <w:r w:rsidR="00952A1F">
        <w:rPr>
          <w:rStyle w:val="FootnoteReference"/>
        </w:rPr>
        <w:footnoteReference w:id="23"/>
      </w:r>
      <w:r w:rsidR="00AE2D43">
        <w:t xml:space="preserve">. </w:t>
      </w:r>
      <w:r w:rsidR="00952A1F">
        <w:t>Similarly there is evidence that reintegration of children</w:t>
      </w:r>
      <w:r w:rsidR="0016093A">
        <w:t>-at-</w:t>
      </w:r>
      <w:r w:rsidR="00952A1F">
        <w:t>risk can be beneficial for</w:t>
      </w:r>
      <w:r w:rsidR="00D60D31">
        <w:t xml:space="preserve"> society. </w:t>
      </w:r>
      <w:r w:rsidR="00952A1F">
        <w:t>For example, a recent study based on US data finds that reintegration of at risk youth early in their life saves society about $2.6-$4.4 million</w:t>
      </w:r>
      <w:r w:rsidR="00952A1F">
        <w:rPr>
          <w:rStyle w:val="FootnoteReference"/>
        </w:rPr>
        <w:footnoteReference w:id="24"/>
      </w:r>
      <w:r w:rsidR="0016093A">
        <w:t xml:space="preserve">, and yet another study </w:t>
      </w:r>
      <w:r w:rsidR="000F359F">
        <w:t xml:space="preserve">based </w:t>
      </w:r>
      <w:r w:rsidR="00863384">
        <w:t>on US data presents evidence of quite significant societal gains (close to $2,000 per student annually)</w:t>
      </w:r>
      <w:r w:rsidR="0016093A">
        <w:t xml:space="preserve"> from investing in children-at-risk</w:t>
      </w:r>
      <w:r w:rsidR="0016093A">
        <w:rPr>
          <w:rStyle w:val="FootnoteReference"/>
        </w:rPr>
        <w:footnoteReference w:id="25"/>
      </w:r>
      <w:r w:rsidR="0016093A">
        <w:t xml:space="preserve">. </w:t>
      </w:r>
    </w:p>
    <w:p w14:paraId="72FCD902" w14:textId="77777777" w:rsidR="00E439C9" w:rsidRDefault="00E439C9" w:rsidP="00E439C9">
      <w:pPr>
        <w:pStyle w:val="ListParagraph"/>
        <w:ind w:left="360"/>
        <w:jc w:val="both"/>
        <w:rPr>
          <w:iCs/>
          <w:color w:val="000000"/>
        </w:rPr>
      </w:pPr>
    </w:p>
    <w:p w14:paraId="7DDEF86A" w14:textId="00E18517" w:rsidR="00195295" w:rsidRPr="00897BD5" w:rsidRDefault="00195295" w:rsidP="00897BD5">
      <w:pPr>
        <w:pStyle w:val="ListParagraph"/>
        <w:numPr>
          <w:ilvl w:val="0"/>
          <w:numId w:val="34"/>
        </w:numPr>
        <w:ind w:left="0" w:firstLine="360"/>
        <w:jc w:val="both"/>
        <w:rPr>
          <w:iCs/>
          <w:color w:val="000000"/>
        </w:rPr>
      </w:pPr>
      <w:r w:rsidRPr="00897BD5">
        <w:rPr>
          <w:iCs/>
          <w:color w:val="000000"/>
        </w:rPr>
        <w:t xml:space="preserve">The basic economic analysis </w:t>
      </w:r>
      <w:r w:rsidR="00A04898">
        <w:rPr>
          <w:iCs/>
          <w:color w:val="000000"/>
        </w:rPr>
        <w:t xml:space="preserve">in Annex 3 </w:t>
      </w:r>
      <w:r w:rsidRPr="00897BD5">
        <w:rPr>
          <w:iCs/>
          <w:color w:val="000000"/>
        </w:rPr>
        <w:t xml:space="preserve">concludes that the efficiency of the Project during Phase 1 was </w:t>
      </w:r>
      <w:r w:rsidRPr="00897BD5">
        <w:rPr>
          <w:i/>
          <w:iCs/>
          <w:color w:val="000000"/>
        </w:rPr>
        <w:t xml:space="preserve">Negligible </w:t>
      </w:r>
      <w:r w:rsidRPr="00897BD5">
        <w:rPr>
          <w:iCs/>
          <w:color w:val="000000"/>
        </w:rPr>
        <w:t xml:space="preserve">given lack of progress despite rather high </w:t>
      </w:r>
      <w:r w:rsidR="00A04898">
        <w:rPr>
          <w:iCs/>
          <w:color w:val="000000"/>
        </w:rPr>
        <w:t>transaction</w:t>
      </w:r>
      <w:r w:rsidRPr="00897BD5">
        <w:rPr>
          <w:iCs/>
          <w:color w:val="000000"/>
        </w:rPr>
        <w:t xml:space="preserve"> costs</w:t>
      </w:r>
      <w:r w:rsidR="00713BBA">
        <w:rPr>
          <w:iCs/>
          <w:color w:val="000000"/>
        </w:rPr>
        <w:t xml:space="preserve">, </w:t>
      </w:r>
      <w:r w:rsidRPr="00897BD5">
        <w:rPr>
          <w:i/>
          <w:iCs/>
          <w:color w:val="000000"/>
        </w:rPr>
        <w:t>Modest</w:t>
      </w:r>
      <w:r w:rsidRPr="00897BD5">
        <w:rPr>
          <w:iCs/>
          <w:color w:val="000000"/>
        </w:rPr>
        <w:t xml:space="preserve"> during Phase 2</w:t>
      </w:r>
      <w:r w:rsidR="00DF13F7">
        <w:rPr>
          <w:iCs/>
          <w:color w:val="000000"/>
        </w:rPr>
        <w:t xml:space="preserve"> as despite significant achievements the project could still find space for cost reduction and better projection of recurring expenditures, which were undertaken during restructuring in December 2013, </w:t>
      </w:r>
      <w:r w:rsidRPr="00897BD5">
        <w:rPr>
          <w:iCs/>
          <w:color w:val="000000"/>
        </w:rPr>
        <w:t xml:space="preserve"> and </w:t>
      </w:r>
      <w:r w:rsidRPr="00897BD5">
        <w:rPr>
          <w:i/>
          <w:iCs/>
          <w:color w:val="000000"/>
        </w:rPr>
        <w:t xml:space="preserve">Substantial </w:t>
      </w:r>
      <w:r w:rsidRPr="00897BD5">
        <w:rPr>
          <w:iCs/>
          <w:color w:val="000000"/>
        </w:rPr>
        <w:t xml:space="preserve">during Phase 3 </w:t>
      </w:r>
      <w:r w:rsidR="00713BBA">
        <w:rPr>
          <w:iCs/>
          <w:color w:val="000000"/>
        </w:rPr>
        <w:t xml:space="preserve">as </w:t>
      </w:r>
      <w:r w:rsidRPr="00897BD5">
        <w:rPr>
          <w:iCs/>
          <w:color w:val="000000"/>
        </w:rPr>
        <w:t>characterized by highest disbursement and</w:t>
      </w:r>
      <w:r w:rsidR="003378E3">
        <w:rPr>
          <w:iCs/>
          <w:color w:val="000000"/>
        </w:rPr>
        <w:t xml:space="preserve"> highest number of beneficiaries reached through quality service provision</w:t>
      </w:r>
      <w:r w:rsidRPr="00897BD5">
        <w:rPr>
          <w:iCs/>
          <w:color w:val="000000"/>
        </w:rPr>
        <w:t>. Furthermore, Phases 2 and 3 contributed to an improvement in efficiency by ensuring cancellation of funds no</w:t>
      </w:r>
      <w:r w:rsidR="0084462A">
        <w:rPr>
          <w:iCs/>
          <w:color w:val="000000"/>
        </w:rPr>
        <w:t xml:space="preserve"> longer</w:t>
      </w:r>
      <w:r w:rsidRPr="00897BD5">
        <w:rPr>
          <w:iCs/>
          <w:color w:val="000000"/>
        </w:rPr>
        <w:t xml:space="preserve"> required and adjust</w:t>
      </w:r>
      <w:r w:rsidR="0084462A">
        <w:rPr>
          <w:iCs/>
          <w:color w:val="000000"/>
        </w:rPr>
        <w:t>ment of</w:t>
      </w:r>
      <w:r w:rsidRPr="00897BD5">
        <w:rPr>
          <w:iCs/>
          <w:color w:val="000000"/>
        </w:rPr>
        <w:t xml:space="preserve"> the costings once information became available. </w:t>
      </w:r>
    </w:p>
    <w:p w14:paraId="6DECFDDB" w14:textId="77777777" w:rsidR="002E098A" w:rsidRDefault="002E098A" w:rsidP="00C67D43">
      <w:bookmarkStart w:id="134" w:name="SEC83"/>
      <w:bookmarkEnd w:id="134"/>
    </w:p>
    <w:p w14:paraId="37D3A46F" w14:textId="77777777" w:rsidR="00C67D43" w:rsidRDefault="00C67D43" w:rsidP="007A077F">
      <w:pPr>
        <w:pStyle w:val="Heading3"/>
        <w:keepNext/>
      </w:pPr>
      <w:r>
        <w:t>3.4 Justification of Overall Outcome Rating</w:t>
      </w:r>
    </w:p>
    <w:p w14:paraId="3712198B" w14:textId="4C6ACCDA" w:rsidR="00CC78F2" w:rsidRDefault="00CC78F2" w:rsidP="007A077F">
      <w:pPr>
        <w:pStyle w:val="Heading3"/>
        <w:keepNext/>
      </w:pPr>
      <w:r>
        <w:t>Table 3.3</w:t>
      </w:r>
    </w:p>
    <w:bookmarkStart w:id="135" w:name="SEC84"/>
    <w:bookmarkEnd w:id="135"/>
    <w:p w14:paraId="31D6F228" w14:textId="6A7B1585" w:rsidR="00F42214" w:rsidRDefault="001E4E6B" w:rsidP="000411CD">
      <w:pPr>
        <w:rPr>
          <w:sz w:val="20"/>
          <w:szCs w:val="20"/>
          <w:lang w:eastAsia="en-US"/>
        </w:rPr>
      </w:pPr>
      <w:r>
        <w:fldChar w:fldCharType="begin"/>
      </w:r>
      <w:r>
        <w:instrText xml:space="preserve"> LINK </w:instrText>
      </w:r>
      <w:r w:rsidR="00F42214">
        <w:instrText xml:space="preserve">Excel.Sheet.12 "C:\\Users\\wb393861\\Documents\\Bangladesh\\ICR document\\Weighting Matrix.xlsx" "PDO weighting!R1C1:R7C4" </w:instrText>
      </w:r>
      <w:r>
        <w:instrText xml:space="preserve">\a \f 5 \h  \* MERGEFORMAT </w:instrText>
      </w:r>
      <w:r>
        <w:fldChar w:fldCharType="separate"/>
      </w:r>
    </w:p>
    <w:tbl>
      <w:tblPr>
        <w:tblStyle w:val="TableGrid"/>
        <w:tblW w:w="8545" w:type="dxa"/>
        <w:tblLook w:val="04A0" w:firstRow="1" w:lastRow="0" w:firstColumn="1" w:lastColumn="0" w:noHBand="0" w:noVBand="1"/>
      </w:tblPr>
      <w:tblGrid>
        <w:gridCol w:w="2814"/>
        <w:gridCol w:w="1716"/>
        <w:gridCol w:w="1765"/>
        <w:gridCol w:w="2250"/>
      </w:tblGrid>
      <w:tr w:rsidR="00F42214" w:rsidRPr="00F42214" w14:paraId="43EEC4C7" w14:textId="77777777" w:rsidTr="00F42214">
        <w:trPr>
          <w:divId w:val="1786345570"/>
          <w:trHeight w:val="576"/>
        </w:trPr>
        <w:tc>
          <w:tcPr>
            <w:tcW w:w="2814" w:type="dxa"/>
            <w:noWrap/>
            <w:hideMark/>
          </w:tcPr>
          <w:p w14:paraId="7B37B6A7" w14:textId="77777777" w:rsidR="00F42214" w:rsidRPr="00F42214" w:rsidRDefault="00F42214" w:rsidP="00F42214"/>
        </w:tc>
        <w:tc>
          <w:tcPr>
            <w:tcW w:w="1716" w:type="dxa"/>
            <w:hideMark/>
          </w:tcPr>
          <w:p w14:paraId="236712BD" w14:textId="77777777" w:rsidR="00F42214" w:rsidRPr="00F42214" w:rsidRDefault="00F42214" w:rsidP="00F42214">
            <w:pPr>
              <w:jc w:val="center"/>
              <w:rPr>
                <w:i/>
                <w:sz w:val="22"/>
                <w:szCs w:val="22"/>
              </w:rPr>
            </w:pPr>
            <w:r w:rsidRPr="00F42214">
              <w:rPr>
                <w:b/>
                <w:i/>
              </w:rPr>
              <w:t xml:space="preserve">Phase 1 </w:t>
            </w:r>
            <w:r w:rsidRPr="00F42214">
              <w:rPr>
                <w:b/>
                <w:i/>
              </w:rPr>
              <w:br/>
            </w:r>
            <w:r w:rsidRPr="00F42214">
              <w:rPr>
                <w:i/>
                <w:sz w:val="22"/>
                <w:szCs w:val="22"/>
              </w:rPr>
              <w:t xml:space="preserve">(2008- May 2011) </w:t>
            </w:r>
          </w:p>
        </w:tc>
        <w:tc>
          <w:tcPr>
            <w:tcW w:w="1765" w:type="dxa"/>
            <w:hideMark/>
          </w:tcPr>
          <w:p w14:paraId="4446B00E" w14:textId="77777777" w:rsidR="00F42214" w:rsidRPr="00F42214" w:rsidRDefault="00F42214" w:rsidP="00F42214">
            <w:pPr>
              <w:jc w:val="center"/>
              <w:rPr>
                <w:i/>
                <w:sz w:val="22"/>
                <w:szCs w:val="22"/>
              </w:rPr>
            </w:pPr>
            <w:r w:rsidRPr="00F42214">
              <w:rPr>
                <w:b/>
                <w:i/>
              </w:rPr>
              <w:t>Phase 2</w:t>
            </w:r>
            <w:r w:rsidRPr="00F42214">
              <w:rPr>
                <w:b/>
                <w:i/>
              </w:rPr>
              <w:br/>
            </w:r>
            <w:r w:rsidRPr="00F42214">
              <w:rPr>
                <w:i/>
                <w:sz w:val="22"/>
                <w:szCs w:val="22"/>
              </w:rPr>
              <w:t xml:space="preserve">(2011 - Dec 2013) </w:t>
            </w:r>
          </w:p>
        </w:tc>
        <w:tc>
          <w:tcPr>
            <w:tcW w:w="2250" w:type="dxa"/>
            <w:hideMark/>
          </w:tcPr>
          <w:p w14:paraId="66DCE94B" w14:textId="77777777" w:rsidR="00F42214" w:rsidRPr="00F42214" w:rsidRDefault="00F42214" w:rsidP="00F42214">
            <w:pPr>
              <w:jc w:val="center"/>
              <w:rPr>
                <w:i/>
                <w:sz w:val="22"/>
                <w:szCs w:val="22"/>
              </w:rPr>
            </w:pPr>
            <w:r w:rsidRPr="00F42214">
              <w:rPr>
                <w:b/>
                <w:i/>
              </w:rPr>
              <w:t>Phase 3</w:t>
            </w:r>
            <w:r w:rsidRPr="00F42214">
              <w:t xml:space="preserve"> </w:t>
            </w:r>
            <w:r w:rsidRPr="00F42214">
              <w:br/>
            </w:r>
            <w:r w:rsidRPr="00F42214">
              <w:rPr>
                <w:i/>
                <w:sz w:val="22"/>
                <w:szCs w:val="22"/>
              </w:rPr>
              <w:t xml:space="preserve">(2014 - June 2016) </w:t>
            </w:r>
          </w:p>
        </w:tc>
      </w:tr>
      <w:tr w:rsidR="00F42214" w:rsidRPr="00F42214" w14:paraId="4ECA8E85" w14:textId="77777777" w:rsidTr="00F42214">
        <w:trPr>
          <w:divId w:val="1786345570"/>
          <w:trHeight w:val="288"/>
        </w:trPr>
        <w:tc>
          <w:tcPr>
            <w:tcW w:w="2814" w:type="dxa"/>
            <w:noWrap/>
            <w:hideMark/>
          </w:tcPr>
          <w:p w14:paraId="39FFDAAA" w14:textId="77777777" w:rsidR="00F42214" w:rsidRPr="00F42214" w:rsidRDefault="00F42214" w:rsidP="00F42214">
            <w:pPr>
              <w:rPr>
                <w:b/>
                <w:bCs/>
              </w:rPr>
            </w:pPr>
            <w:r w:rsidRPr="00F42214">
              <w:rPr>
                <w:b/>
                <w:bCs/>
              </w:rPr>
              <w:t xml:space="preserve">Relevance </w:t>
            </w:r>
          </w:p>
        </w:tc>
        <w:tc>
          <w:tcPr>
            <w:tcW w:w="1716" w:type="dxa"/>
            <w:noWrap/>
            <w:hideMark/>
          </w:tcPr>
          <w:p w14:paraId="27747377" w14:textId="77777777" w:rsidR="00F42214" w:rsidRPr="00F42214" w:rsidRDefault="00F42214" w:rsidP="00F42214">
            <w:pPr>
              <w:jc w:val="center"/>
            </w:pPr>
            <w:r w:rsidRPr="00F42214">
              <w:t>Modest</w:t>
            </w:r>
          </w:p>
        </w:tc>
        <w:tc>
          <w:tcPr>
            <w:tcW w:w="1765" w:type="dxa"/>
            <w:noWrap/>
            <w:hideMark/>
          </w:tcPr>
          <w:p w14:paraId="397E6F8D" w14:textId="77777777" w:rsidR="00F42214" w:rsidRPr="00F42214" w:rsidRDefault="00F42214" w:rsidP="00F42214">
            <w:pPr>
              <w:jc w:val="center"/>
              <w:rPr>
                <w:sz w:val="20"/>
                <w:szCs w:val="20"/>
                <w:lang w:eastAsia="en-US"/>
              </w:rPr>
            </w:pPr>
            <w:r w:rsidRPr="00F42214">
              <w:t xml:space="preserve">Substantial </w:t>
            </w:r>
          </w:p>
        </w:tc>
        <w:tc>
          <w:tcPr>
            <w:tcW w:w="2250" w:type="dxa"/>
            <w:noWrap/>
            <w:hideMark/>
          </w:tcPr>
          <w:p w14:paraId="428A4D76" w14:textId="77777777" w:rsidR="00F42214" w:rsidRPr="00F42214" w:rsidRDefault="00F42214" w:rsidP="00F42214">
            <w:pPr>
              <w:jc w:val="center"/>
              <w:rPr>
                <w:sz w:val="20"/>
                <w:szCs w:val="20"/>
                <w:lang w:eastAsia="en-US"/>
              </w:rPr>
            </w:pPr>
            <w:r w:rsidRPr="00F42214">
              <w:t xml:space="preserve">Substantial </w:t>
            </w:r>
          </w:p>
        </w:tc>
      </w:tr>
      <w:tr w:rsidR="00F42214" w:rsidRPr="00F42214" w14:paraId="006BA694" w14:textId="77777777" w:rsidTr="00F42214">
        <w:trPr>
          <w:divId w:val="1786345570"/>
          <w:trHeight w:val="288"/>
        </w:trPr>
        <w:tc>
          <w:tcPr>
            <w:tcW w:w="2814" w:type="dxa"/>
            <w:noWrap/>
            <w:hideMark/>
          </w:tcPr>
          <w:p w14:paraId="4BCA5850" w14:textId="77777777" w:rsidR="00F42214" w:rsidRPr="00F42214" w:rsidRDefault="00F42214" w:rsidP="00F42214">
            <w:r w:rsidRPr="00F42214">
              <w:t xml:space="preserve">Objective </w:t>
            </w:r>
          </w:p>
        </w:tc>
        <w:tc>
          <w:tcPr>
            <w:tcW w:w="1716" w:type="dxa"/>
            <w:noWrap/>
            <w:hideMark/>
          </w:tcPr>
          <w:p w14:paraId="2CAAC04B" w14:textId="77777777" w:rsidR="00F42214" w:rsidRPr="00F42214" w:rsidRDefault="00F42214" w:rsidP="00F42214">
            <w:pPr>
              <w:jc w:val="center"/>
              <w:rPr>
                <w:sz w:val="20"/>
                <w:szCs w:val="20"/>
                <w:lang w:eastAsia="en-US"/>
              </w:rPr>
            </w:pPr>
            <w:r w:rsidRPr="00F42214">
              <w:t xml:space="preserve">Substantial </w:t>
            </w:r>
          </w:p>
        </w:tc>
        <w:tc>
          <w:tcPr>
            <w:tcW w:w="1765" w:type="dxa"/>
            <w:noWrap/>
            <w:hideMark/>
          </w:tcPr>
          <w:p w14:paraId="2D9FBECF" w14:textId="77777777" w:rsidR="00F42214" w:rsidRPr="00F42214" w:rsidRDefault="00F42214" w:rsidP="00F42214">
            <w:pPr>
              <w:jc w:val="center"/>
              <w:rPr>
                <w:sz w:val="20"/>
                <w:szCs w:val="20"/>
                <w:lang w:eastAsia="en-US"/>
              </w:rPr>
            </w:pPr>
            <w:r w:rsidRPr="00F42214">
              <w:t xml:space="preserve">Substantial </w:t>
            </w:r>
          </w:p>
        </w:tc>
        <w:tc>
          <w:tcPr>
            <w:tcW w:w="2250" w:type="dxa"/>
            <w:noWrap/>
            <w:hideMark/>
          </w:tcPr>
          <w:p w14:paraId="6467E290" w14:textId="77777777" w:rsidR="00F42214" w:rsidRPr="00F42214" w:rsidRDefault="00F42214" w:rsidP="00F42214">
            <w:pPr>
              <w:jc w:val="center"/>
              <w:rPr>
                <w:sz w:val="20"/>
                <w:szCs w:val="20"/>
                <w:lang w:eastAsia="en-US"/>
              </w:rPr>
            </w:pPr>
            <w:r w:rsidRPr="00F42214">
              <w:t xml:space="preserve">Substantial </w:t>
            </w:r>
          </w:p>
        </w:tc>
      </w:tr>
      <w:tr w:rsidR="00F42214" w:rsidRPr="00F42214" w14:paraId="64AB0A65" w14:textId="77777777" w:rsidTr="00F42214">
        <w:trPr>
          <w:divId w:val="1786345570"/>
          <w:trHeight w:val="288"/>
        </w:trPr>
        <w:tc>
          <w:tcPr>
            <w:tcW w:w="2814" w:type="dxa"/>
            <w:noWrap/>
            <w:hideMark/>
          </w:tcPr>
          <w:p w14:paraId="3CE21D56" w14:textId="77777777" w:rsidR="00F42214" w:rsidRPr="00F42214" w:rsidRDefault="00F42214" w:rsidP="00F42214">
            <w:r w:rsidRPr="00F42214">
              <w:t xml:space="preserve">Design </w:t>
            </w:r>
          </w:p>
        </w:tc>
        <w:tc>
          <w:tcPr>
            <w:tcW w:w="1716" w:type="dxa"/>
            <w:noWrap/>
            <w:hideMark/>
          </w:tcPr>
          <w:p w14:paraId="498C2E1B" w14:textId="77777777" w:rsidR="00F42214" w:rsidRPr="00F42214" w:rsidRDefault="00F42214" w:rsidP="00F42214">
            <w:pPr>
              <w:jc w:val="center"/>
            </w:pPr>
            <w:r w:rsidRPr="00F42214">
              <w:t>Modest</w:t>
            </w:r>
          </w:p>
        </w:tc>
        <w:tc>
          <w:tcPr>
            <w:tcW w:w="1765" w:type="dxa"/>
            <w:noWrap/>
            <w:hideMark/>
          </w:tcPr>
          <w:p w14:paraId="21D19A27" w14:textId="77777777" w:rsidR="00F42214" w:rsidRPr="00F42214" w:rsidRDefault="00F42214" w:rsidP="00F42214">
            <w:pPr>
              <w:jc w:val="center"/>
              <w:rPr>
                <w:sz w:val="20"/>
                <w:szCs w:val="20"/>
                <w:lang w:eastAsia="en-US"/>
              </w:rPr>
            </w:pPr>
            <w:r w:rsidRPr="00F42214">
              <w:t>Substantial</w:t>
            </w:r>
            <w:r w:rsidRPr="00F42214">
              <w:rPr>
                <w:sz w:val="20"/>
                <w:szCs w:val="20"/>
                <w:lang w:eastAsia="en-US"/>
              </w:rPr>
              <w:t xml:space="preserve"> </w:t>
            </w:r>
          </w:p>
        </w:tc>
        <w:tc>
          <w:tcPr>
            <w:tcW w:w="2250" w:type="dxa"/>
            <w:noWrap/>
            <w:hideMark/>
          </w:tcPr>
          <w:p w14:paraId="01138391" w14:textId="77777777" w:rsidR="00F42214" w:rsidRPr="00F42214" w:rsidRDefault="00F42214" w:rsidP="00F42214">
            <w:pPr>
              <w:jc w:val="center"/>
              <w:rPr>
                <w:sz w:val="20"/>
                <w:szCs w:val="20"/>
                <w:lang w:eastAsia="en-US"/>
              </w:rPr>
            </w:pPr>
            <w:r w:rsidRPr="00F42214">
              <w:t xml:space="preserve">Substantial </w:t>
            </w:r>
          </w:p>
        </w:tc>
      </w:tr>
      <w:tr w:rsidR="00F42214" w:rsidRPr="00F42214" w14:paraId="538C9895" w14:textId="77777777" w:rsidTr="00F42214">
        <w:trPr>
          <w:divId w:val="1786345570"/>
          <w:trHeight w:val="288"/>
        </w:trPr>
        <w:tc>
          <w:tcPr>
            <w:tcW w:w="2814" w:type="dxa"/>
            <w:noWrap/>
            <w:hideMark/>
          </w:tcPr>
          <w:p w14:paraId="10BAB1CB" w14:textId="77777777" w:rsidR="00F42214" w:rsidRPr="00F42214" w:rsidRDefault="00F42214" w:rsidP="00F42214">
            <w:pPr>
              <w:rPr>
                <w:b/>
                <w:bCs/>
              </w:rPr>
            </w:pPr>
            <w:r w:rsidRPr="00F42214">
              <w:rPr>
                <w:b/>
                <w:bCs/>
              </w:rPr>
              <w:t xml:space="preserve">Efficacy </w:t>
            </w:r>
          </w:p>
        </w:tc>
        <w:tc>
          <w:tcPr>
            <w:tcW w:w="1716" w:type="dxa"/>
            <w:noWrap/>
            <w:hideMark/>
          </w:tcPr>
          <w:p w14:paraId="6543634E" w14:textId="77777777" w:rsidR="00F42214" w:rsidRPr="00F42214" w:rsidRDefault="00F42214" w:rsidP="00F42214">
            <w:pPr>
              <w:jc w:val="center"/>
            </w:pPr>
            <w:r w:rsidRPr="00F42214">
              <w:t>Neglible</w:t>
            </w:r>
          </w:p>
        </w:tc>
        <w:tc>
          <w:tcPr>
            <w:tcW w:w="1765" w:type="dxa"/>
            <w:noWrap/>
            <w:hideMark/>
          </w:tcPr>
          <w:p w14:paraId="654587C4" w14:textId="77777777" w:rsidR="00F42214" w:rsidRPr="00F42214" w:rsidRDefault="00F42214" w:rsidP="00F42214">
            <w:pPr>
              <w:jc w:val="center"/>
            </w:pPr>
            <w:r w:rsidRPr="00F42214">
              <w:t xml:space="preserve">Modest </w:t>
            </w:r>
          </w:p>
        </w:tc>
        <w:tc>
          <w:tcPr>
            <w:tcW w:w="2250" w:type="dxa"/>
            <w:noWrap/>
            <w:hideMark/>
          </w:tcPr>
          <w:p w14:paraId="377661A4" w14:textId="77777777" w:rsidR="00F42214" w:rsidRPr="00F42214" w:rsidRDefault="00F42214" w:rsidP="00F42214">
            <w:pPr>
              <w:jc w:val="center"/>
            </w:pPr>
            <w:r w:rsidRPr="00F42214">
              <w:t xml:space="preserve">Substantial </w:t>
            </w:r>
          </w:p>
        </w:tc>
      </w:tr>
      <w:tr w:rsidR="00F42214" w:rsidRPr="00F42214" w14:paraId="346425CC" w14:textId="77777777" w:rsidTr="00F42214">
        <w:trPr>
          <w:divId w:val="1786345570"/>
          <w:trHeight w:val="288"/>
        </w:trPr>
        <w:tc>
          <w:tcPr>
            <w:tcW w:w="2814" w:type="dxa"/>
            <w:noWrap/>
            <w:hideMark/>
          </w:tcPr>
          <w:p w14:paraId="53C67B52" w14:textId="77777777" w:rsidR="00F42214" w:rsidRPr="00F42214" w:rsidRDefault="00F42214" w:rsidP="00F42214">
            <w:pPr>
              <w:rPr>
                <w:sz w:val="22"/>
                <w:szCs w:val="22"/>
                <w:lang w:eastAsia="en-US"/>
              </w:rPr>
            </w:pPr>
            <w:r w:rsidRPr="00F42214">
              <w:rPr>
                <w:bCs/>
                <w:sz w:val="22"/>
                <w:szCs w:val="22"/>
              </w:rPr>
              <w:t xml:space="preserve">expand </w:t>
            </w:r>
            <w:r w:rsidRPr="00F42214">
              <w:rPr>
                <w:sz w:val="22"/>
                <w:szCs w:val="22"/>
                <w:lang w:eastAsia="en-US"/>
              </w:rPr>
              <w:t>coverage</w:t>
            </w:r>
          </w:p>
        </w:tc>
        <w:tc>
          <w:tcPr>
            <w:tcW w:w="1716" w:type="dxa"/>
            <w:noWrap/>
            <w:hideMark/>
          </w:tcPr>
          <w:p w14:paraId="0075E7E9" w14:textId="77777777" w:rsidR="00F42214" w:rsidRPr="00F42214" w:rsidRDefault="00F42214" w:rsidP="00F42214">
            <w:pPr>
              <w:jc w:val="center"/>
              <w:rPr>
                <w:sz w:val="20"/>
                <w:szCs w:val="20"/>
                <w:lang w:eastAsia="en-US"/>
              </w:rPr>
            </w:pPr>
            <w:r w:rsidRPr="00F42214">
              <w:t>Neglible</w:t>
            </w:r>
          </w:p>
        </w:tc>
        <w:tc>
          <w:tcPr>
            <w:tcW w:w="1765" w:type="dxa"/>
            <w:noWrap/>
            <w:hideMark/>
          </w:tcPr>
          <w:p w14:paraId="464E976E" w14:textId="77777777" w:rsidR="00F42214" w:rsidRPr="00F42214" w:rsidRDefault="00F42214" w:rsidP="00F42214">
            <w:pPr>
              <w:jc w:val="center"/>
              <w:rPr>
                <w:sz w:val="20"/>
                <w:szCs w:val="20"/>
                <w:lang w:eastAsia="en-US"/>
              </w:rPr>
            </w:pPr>
            <w:r w:rsidRPr="00F42214">
              <w:t>Substantial</w:t>
            </w:r>
            <w:r w:rsidRPr="00F42214">
              <w:rPr>
                <w:sz w:val="20"/>
                <w:szCs w:val="20"/>
                <w:lang w:eastAsia="en-US"/>
              </w:rPr>
              <w:t xml:space="preserve"> </w:t>
            </w:r>
          </w:p>
        </w:tc>
        <w:tc>
          <w:tcPr>
            <w:tcW w:w="2250" w:type="dxa"/>
            <w:noWrap/>
            <w:hideMark/>
          </w:tcPr>
          <w:p w14:paraId="5014433C" w14:textId="77777777" w:rsidR="00F42214" w:rsidRPr="00F42214" w:rsidRDefault="00F42214" w:rsidP="00F42214">
            <w:pPr>
              <w:jc w:val="center"/>
              <w:rPr>
                <w:sz w:val="20"/>
                <w:szCs w:val="20"/>
                <w:lang w:eastAsia="en-US"/>
              </w:rPr>
            </w:pPr>
            <w:r w:rsidRPr="00F42214">
              <w:t>Substantial</w:t>
            </w:r>
            <w:r w:rsidRPr="00F42214">
              <w:rPr>
                <w:sz w:val="20"/>
                <w:szCs w:val="20"/>
                <w:lang w:eastAsia="en-US"/>
              </w:rPr>
              <w:t xml:space="preserve"> </w:t>
            </w:r>
          </w:p>
        </w:tc>
      </w:tr>
      <w:tr w:rsidR="00F42214" w:rsidRPr="00F42214" w14:paraId="28BB3B19" w14:textId="77777777" w:rsidTr="00F42214">
        <w:trPr>
          <w:divId w:val="1786345570"/>
          <w:trHeight w:val="288"/>
        </w:trPr>
        <w:tc>
          <w:tcPr>
            <w:tcW w:w="2814" w:type="dxa"/>
            <w:noWrap/>
            <w:hideMark/>
          </w:tcPr>
          <w:p w14:paraId="010AC427" w14:textId="77777777" w:rsidR="00F42214" w:rsidRPr="00F42214" w:rsidRDefault="00F42214" w:rsidP="00F42214">
            <w:pPr>
              <w:rPr>
                <w:bCs/>
                <w:sz w:val="22"/>
                <w:szCs w:val="22"/>
              </w:rPr>
            </w:pPr>
            <w:r w:rsidRPr="00F42214">
              <w:rPr>
                <w:bCs/>
                <w:sz w:val="22"/>
                <w:szCs w:val="22"/>
              </w:rPr>
              <w:t>improve quality</w:t>
            </w:r>
          </w:p>
        </w:tc>
        <w:tc>
          <w:tcPr>
            <w:tcW w:w="1716" w:type="dxa"/>
            <w:noWrap/>
            <w:hideMark/>
          </w:tcPr>
          <w:p w14:paraId="1513B2C2" w14:textId="77777777" w:rsidR="00F42214" w:rsidRPr="00F42214" w:rsidRDefault="00F42214" w:rsidP="00F42214">
            <w:pPr>
              <w:jc w:val="center"/>
            </w:pPr>
            <w:r w:rsidRPr="00F42214">
              <w:t>Neglible</w:t>
            </w:r>
          </w:p>
        </w:tc>
        <w:tc>
          <w:tcPr>
            <w:tcW w:w="1765" w:type="dxa"/>
            <w:noWrap/>
            <w:hideMark/>
          </w:tcPr>
          <w:p w14:paraId="2FBD84DC" w14:textId="77777777" w:rsidR="00F42214" w:rsidRPr="00F42214" w:rsidRDefault="00F42214" w:rsidP="00F42214">
            <w:pPr>
              <w:jc w:val="center"/>
              <w:rPr>
                <w:sz w:val="20"/>
                <w:szCs w:val="20"/>
                <w:lang w:eastAsia="en-US"/>
              </w:rPr>
            </w:pPr>
            <w:r w:rsidRPr="00F42214">
              <w:t xml:space="preserve">Modest </w:t>
            </w:r>
          </w:p>
        </w:tc>
        <w:tc>
          <w:tcPr>
            <w:tcW w:w="2250" w:type="dxa"/>
            <w:noWrap/>
            <w:hideMark/>
          </w:tcPr>
          <w:p w14:paraId="149EBCBC" w14:textId="77777777" w:rsidR="00F42214" w:rsidRPr="00F42214" w:rsidRDefault="00F42214" w:rsidP="00F42214">
            <w:pPr>
              <w:jc w:val="center"/>
              <w:rPr>
                <w:sz w:val="20"/>
                <w:szCs w:val="20"/>
                <w:lang w:eastAsia="en-US"/>
              </w:rPr>
            </w:pPr>
            <w:r w:rsidRPr="00F42214">
              <w:t xml:space="preserve">Substantial </w:t>
            </w:r>
          </w:p>
        </w:tc>
      </w:tr>
    </w:tbl>
    <w:p w14:paraId="18D643FC" w14:textId="77777777" w:rsidR="00254477" w:rsidRDefault="001E4E6B" w:rsidP="000411CD">
      <w:r>
        <w:fldChar w:fldCharType="end"/>
      </w:r>
    </w:p>
    <w:p w14:paraId="6EFACB3F" w14:textId="6274B603" w:rsidR="0003626A" w:rsidRDefault="00524521" w:rsidP="00897BD5">
      <w:pPr>
        <w:pStyle w:val="ListParagraph"/>
        <w:numPr>
          <w:ilvl w:val="0"/>
          <w:numId w:val="34"/>
        </w:numPr>
        <w:ind w:left="0" w:firstLine="360"/>
        <w:jc w:val="both"/>
      </w:pPr>
      <w:r>
        <w:t>Based on the above assessment, and applying the Bank’s guidance on weighted rating for projects with formally revised objectives</w:t>
      </w:r>
      <w:r w:rsidR="00693E50">
        <w:t xml:space="preserve"> and outcome targets</w:t>
      </w:r>
      <w:r>
        <w:t xml:space="preserve">, the final outcome rating </w:t>
      </w:r>
      <w:r w:rsidR="00693E50">
        <w:t>is</w:t>
      </w:r>
      <w:r>
        <w:t xml:space="preserve"> subject to a split assessment, according to the three Phases</w:t>
      </w:r>
      <w:r w:rsidR="00693E50">
        <w:t>, against the disbursed amounts in each phase</w:t>
      </w:r>
      <w:r>
        <w:t xml:space="preserve">. </w:t>
      </w:r>
      <w:r w:rsidR="00282D76">
        <w:t>Following the split rating methodology</w:t>
      </w:r>
      <w:r w:rsidR="00693E50">
        <w:t>,</w:t>
      </w:r>
      <w:r w:rsidR="00282D76">
        <w:t xml:space="preserve"> the final outcome is rated as </w:t>
      </w:r>
      <w:r w:rsidR="00282D76" w:rsidRPr="00010C31">
        <w:rPr>
          <w:b/>
        </w:rPr>
        <w:t>Moderately Satisfactory</w:t>
      </w:r>
      <w:r w:rsidR="00282D76">
        <w:t xml:space="preserve">. </w:t>
      </w:r>
    </w:p>
    <w:p w14:paraId="31022264" w14:textId="77777777" w:rsidR="00282D76" w:rsidRDefault="00282D76" w:rsidP="00010C31">
      <w:pPr>
        <w:pStyle w:val="ListParagraph"/>
        <w:ind w:left="360"/>
        <w:jc w:val="both"/>
      </w:pPr>
    </w:p>
    <w:p w14:paraId="229E111E" w14:textId="48D56CB9" w:rsidR="00282D76" w:rsidRDefault="00282D76" w:rsidP="00282D76">
      <w:pPr>
        <w:pStyle w:val="ListParagraph"/>
        <w:numPr>
          <w:ilvl w:val="0"/>
          <w:numId w:val="34"/>
        </w:numPr>
        <w:ind w:left="0" w:firstLine="270"/>
        <w:jc w:val="both"/>
      </w:pPr>
      <w:r>
        <w:t>While justified, this might be an underestimation of the overall project outcome, as i</w:t>
      </w:r>
      <w:r w:rsidRPr="00282D76">
        <w:t>t is also important to note that the project has significantly contributed to the welfare of th</w:t>
      </w:r>
      <w:r>
        <w:t>e</w:t>
      </w:r>
      <w:r w:rsidRPr="00282D76">
        <w:t xml:space="preserve"> highly vulnerable population group in the coun</w:t>
      </w:r>
      <w:r>
        <w:t xml:space="preserve">try. </w:t>
      </w:r>
      <w:r w:rsidRPr="00282D76">
        <w:t xml:space="preserve">The Government’s allocation of budgetary resources for the services provided through the </w:t>
      </w:r>
      <w:r>
        <w:t xml:space="preserve">previously supported </w:t>
      </w:r>
      <w:r w:rsidRPr="00282D76">
        <w:t xml:space="preserve">project </w:t>
      </w:r>
      <w:r>
        <w:t>entities reflects</w:t>
      </w:r>
      <w:r w:rsidRPr="00282D76">
        <w:t xml:space="preserve"> the significance and the important contribution that the </w:t>
      </w:r>
      <w:r>
        <w:t>project</w:t>
      </w:r>
      <w:r w:rsidRPr="00282D76">
        <w:t xml:space="preserve"> has made towards thi</w:t>
      </w:r>
      <w:r>
        <w:t>s, which is even more impressive given initial low capacity of implementing agencies.</w:t>
      </w:r>
    </w:p>
    <w:p w14:paraId="7B004457" w14:textId="67A039C5" w:rsidR="00282D76" w:rsidRPr="00CC78F2" w:rsidRDefault="00CC78F2" w:rsidP="00010C31">
      <w:pPr>
        <w:pStyle w:val="ListParagraph"/>
        <w:ind w:left="360"/>
        <w:jc w:val="both"/>
        <w:rPr>
          <w:b/>
        </w:rPr>
      </w:pPr>
      <w:r w:rsidRPr="00CC78F2">
        <w:rPr>
          <w:b/>
        </w:rPr>
        <w:t>Table 3.4</w:t>
      </w:r>
    </w:p>
    <w:tbl>
      <w:tblPr>
        <w:tblStyle w:val="TableGrid"/>
        <w:tblW w:w="0" w:type="auto"/>
        <w:jc w:val="center"/>
        <w:tblLook w:val="04A0" w:firstRow="1" w:lastRow="0" w:firstColumn="1" w:lastColumn="0" w:noHBand="0" w:noVBand="1"/>
      </w:tblPr>
      <w:tblGrid>
        <w:gridCol w:w="3715"/>
        <w:gridCol w:w="1720"/>
        <w:gridCol w:w="1660"/>
        <w:gridCol w:w="1460"/>
      </w:tblGrid>
      <w:tr w:rsidR="0003626A" w:rsidRPr="0003626A" w14:paraId="6571BD39" w14:textId="77777777" w:rsidTr="00010C31">
        <w:trPr>
          <w:trHeight w:val="864"/>
          <w:jc w:val="center"/>
        </w:trPr>
        <w:tc>
          <w:tcPr>
            <w:tcW w:w="3715" w:type="dxa"/>
            <w:noWrap/>
            <w:hideMark/>
          </w:tcPr>
          <w:p w14:paraId="265432A3" w14:textId="77777777" w:rsidR="0003626A" w:rsidRPr="0003626A" w:rsidRDefault="0003626A" w:rsidP="00010C31">
            <w:r w:rsidRPr="0003626A">
              <w:t> </w:t>
            </w:r>
          </w:p>
        </w:tc>
        <w:tc>
          <w:tcPr>
            <w:tcW w:w="1720" w:type="dxa"/>
            <w:hideMark/>
          </w:tcPr>
          <w:p w14:paraId="07276FB5" w14:textId="3EB8CCE0" w:rsidR="0003626A" w:rsidRPr="0003626A" w:rsidRDefault="0003626A" w:rsidP="00010C31">
            <w:pPr>
              <w:jc w:val="center"/>
            </w:pPr>
            <w:r w:rsidRPr="00010C31">
              <w:rPr>
                <w:b/>
                <w:i/>
              </w:rPr>
              <w:t>Phase 1</w:t>
            </w:r>
            <w:r w:rsidRPr="0003626A">
              <w:t xml:space="preserve"> </w:t>
            </w:r>
            <w:r w:rsidRPr="0003626A">
              <w:br/>
            </w:r>
            <w:r w:rsidRPr="00010C31">
              <w:rPr>
                <w:i/>
                <w:sz w:val="22"/>
                <w:szCs w:val="22"/>
              </w:rPr>
              <w:t>(</w:t>
            </w:r>
            <w:r w:rsidR="00B26560" w:rsidRPr="00010C31">
              <w:rPr>
                <w:i/>
                <w:sz w:val="22"/>
                <w:szCs w:val="22"/>
              </w:rPr>
              <w:t xml:space="preserve">July </w:t>
            </w:r>
            <w:r w:rsidRPr="00010C31">
              <w:rPr>
                <w:i/>
                <w:sz w:val="22"/>
                <w:szCs w:val="22"/>
              </w:rPr>
              <w:t xml:space="preserve">2008- </w:t>
            </w:r>
            <w:r w:rsidR="00B26560" w:rsidRPr="00010C31">
              <w:rPr>
                <w:i/>
                <w:sz w:val="22"/>
                <w:szCs w:val="22"/>
              </w:rPr>
              <w:t>Jun</w:t>
            </w:r>
            <w:r w:rsidRPr="00010C31">
              <w:rPr>
                <w:i/>
                <w:sz w:val="22"/>
                <w:szCs w:val="22"/>
              </w:rPr>
              <w:t xml:space="preserve"> 2011)</w:t>
            </w:r>
          </w:p>
        </w:tc>
        <w:tc>
          <w:tcPr>
            <w:tcW w:w="1660" w:type="dxa"/>
            <w:hideMark/>
          </w:tcPr>
          <w:p w14:paraId="0EF53A17" w14:textId="592BF32C" w:rsidR="0003626A" w:rsidRPr="0003626A" w:rsidRDefault="0003626A" w:rsidP="00010C31">
            <w:pPr>
              <w:jc w:val="center"/>
            </w:pPr>
            <w:r w:rsidRPr="00010C31">
              <w:rPr>
                <w:b/>
                <w:i/>
              </w:rPr>
              <w:t>Phase 2</w:t>
            </w:r>
            <w:r w:rsidRPr="0003626A">
              <w:br/>
            </w:r>
            <w:r w:rsidRPr="00010C31">
              <w:rPr>
                <w:i/>
                <w:sz w:val="22"/>
                <w:szCs w:val="22"/>
              </w:rPr>
              <w:t>(</w:t>
            </w:r>
            <w:r w:rsidR="005868D4">
              <w:rPr>
                <w:i/>
                <w:sz w:val="22"/>
                <w:szCs w:val="22"/>
              </w:rPr>
              <w:t>July</w:t>
            </w:r>
            <w:r w:rsidR="00B26560" w:rsidRPr="00010C31">
              <w:rPr>
                <w:i/>
                <w:sz w:val="22"/>
                <w:szCs w:val="22"/>
              </w:rPr>
              <w:t xml:space="preserve"> </w:t>
            </w:r>
            <w:r w:rsidRPr="00010C31">
              <w:rPr>
                <w:i/>
                <w:sz w:val="22"/>
                <w:szCs w:val="22"/>
              </w:rPr>
              <w:t>2011 - Dec 2013)</w:t>
            </w:r>
          </w:p>
        </w:tc>
        <w:tc>
          <w:tcPr>
            <w:tcW w:w="1460" w:type="dxa"/>
            <w:hideMark/>
          </w:tcPr>
          <w:p w14:paraId="70C234D5" w14:textId="17194642" w:rsidR="0003626A" w:rsidRPr="0003626A" w:rsidRDefault="0003626A" w:rsidP="00010C31">
            <w:pPr>
              <w:jc w:val="center"/>
            </w:pPr>
            <w:r w:rsidRPr="00010C31">
              <w:rPr>
                <w:b/>
                <w:i/>
              </w:rPr>
              <w:t>Phase 3</w:t>
            </w:r>
            <w:r w:rsidRPr="0003626A">
              <w:t xml:space="preserve"> </w:t>
            </w:r>
            <w:r w:rsidRPr="0003626A">
              <w:br/>
            </w:r>
            <w:r w:rsidRPr="00010C31">
              <w:rPr>
                <w:i/>
                <w:sz w:val="22"/>
                <w:szCs w:val="22"/>
              </w:rPr>
              <w:t>(</w:t>
            </w:r>
            <w:r w:rsidR="005868D4">
              <w:rPr>
                <w:i/>
                <w:sz w:val="22"/>
                <w:szCs w:val="22"/>
              </w:rPr>
              <w:t>Jan 2014</w:t>
            </w:r>
            <w:r w:rsidRPr="00010C31">
              <w:rPr>
                <w:i/>
                <w:sz w:val="22"/>
                <w:szCs w:val="22"/>
              </w:rPr>
              <w:t xml:space="preserve"> - Jun</w:t>
            </w:r>
            <w:r w:rsidR="00B26560" w:rsidRPr="00010C31">
              <w:rPr>
                <w:i/>
                <w:sz w:val="22"/>
                <w:szCs w:val="22"/>
              </w:rPr>
              <w:t>e</w:t>
            </w:r>
            <w:r w:rsidRPr="00010C31">
              <w:rPr>
                <w:i/>
                <w:sz w:val="22"/>
                <w:szCs w:val="22"/>
              </w:rPr>
              <w:t xml:space="preserve"> 2016)</w:t>
            </w:r>
          </w:p>
        </w:tc>
      </w:tr>
      <w:tr w:rsidR="0003626A" w:rsidRPr="0003626A" w14:paraId="0BD4349C" w14:textId="77777777" w:rsidTr="00010C31">
        <w:trPr>
          <w:trHeight w:val="576"/>
          <w:jc w:val="center"/>
        </w:trPr>
        <w:tc>
          <w:tcPr>
            <w:tcW w:w="3715" w:type="dxa"/>
            <w:noWrap/>
            <w:hideMark/>
          </w:tcPr>
          <w:p w14:paraId="577518A2" w14:textId="77777777" w:rsidR="0003626A" w:rsidRPr="0003626A" w:rsidRDefault="0003626A" w:rsidP="00010C31">
            <w:pPr>
              <w:rPr>
                <w:b/>
                <w:bCs/>
              </w:rPr>
            </w:pPr>
            <w:r w:rsidRPr="0003626A">
              <w:rPr>
                <w:b/>
                <w:bCs/>
              </w:rPr>
              <w:t>(1) Rating value</w:t>
            </w:r>
          </w:p>
        </w:tc>
        <w:tc>
          <w:tcPr>
            <w:tcW w:w="1720" w:type="dxa"/>
            <w:hideMark/>
          </w:tcPr>
          <w:p w14:paraId="423EF264" w14:textId="77777777" w:rsidR="0003626A" w:rsidRPr="0003626A" w:rsidRDefault="0003626A" w:rsidP="00010C31">
            <w:pPr>
              <w:jc w:val="center"/>
            </w:pPr>
            <w:r w:rsidRPr="0003626A">
              <w:t xml:space="preserve">U </w:t>
            </w:r>
            <w:r w:rsidRPr="0003626A">
              <w:br/>
              <w:t>(2)</w:t>
            </w:r>
          </w:p>
        </w:tc>
        <w:tc>
          <w:tcPr>
            <w:tcW w:w="1660" w:type="dxa"/>
            <w:hideMark/>
          </w:tcPr>
          <w:p w14:paraId="03E5C39E" w14:textId="463FBE87" w:rsidR="0003626A" w:rsidRPr="0003626A" w:rsidRDefault="0003626A" w:rsidP="00010C31">
            <w:pPr>
              <w:jc w:val="center"/>
            </w:pPr>
            <w:r w:rsidRPr="0003626A">
              <w:t>M</w:t>
            </w:r>
            <w:r w:rsidR="00165719">
              <w:t>S</w:t>
            </w:r>
            <w:r w:rsidRPr="0003626A">
              <w:t xml:space="preserve"> </w:t>
            </w:r>
            <w:r w:rsidRPr="0003626A">
              <w:br/>
              <w:t>(3)</w:t>
            </w:r>
          </w:p>
        </w:tc>
        <w:tc>
          <w:tcPr>
            <w:tcW w:w="1460" w:type="dxa"/>
            <w:hideMark/>
          </w:tcPr>
          <w:p w14:paraId="208E3D59" w14:textId="77777777" w:rsidR="0003626A" w:rsidRPr="0003626A" w:rsidRDefault="0003626A" w:rsidP="00010C31">
            <w:pPr>
              <w:jc w:val="center"/>
            </w:pPr>
            <w:r w:rsidRPr="0003626A">
              <w:t>S</w:t>
            </w:r>
            <w:r w:rsidRPr="0003626A">
              <w:br/>
              <w:t>(5)</w:t>
            </w:r>
          </w:p>
        </w:tc>
      </w:tr>
      <w:tr w:rsidR="0003626A" w:rsidRPr="0003626A" w14:paraId="07674866" w14:textId="77777777" w:rsidTr="00010C31">
        <w:trPr>
          <w:trHeight w:val="576"/>
          <w:jc w:val="center"/>
        </w:trPr>
        <w:tc>
          <w:tcPr>
            <w:tcW w:w="3715" w:type="dxa"/>
            <w:hideMark/>
          </w:tcPr>
          <w:p w14:paraId="66F2FDC4" w14:textId="77777777" w:rsidR="0003626A" w:rsidRPr="0003626A" w:rsidRDefault="0003626A" w:rsidP="00010C31">
            <w:pPr>
              <w:rPr>
                <w:b/>
                <w:bCs/>
              </w:rPr>
            </w:pPr>
            <w:r w:rsidRPr="0003626A">
              <w:rPr>
                <w:b/>
                <w:bCs/>
              </w:rPr>
              <w:t xml:space="preserve">(2) Total disbursed </w:t>
            </w:r>
            <w:r w:rsidRPr="0003626A">
              <w:rPr>
                <w:b/>
                <w:bCs/>
              </w:rPr>
              <w:br/>
              <w:t xml:space="preserve">(US $million) </w:t>
            </w:r>
          </w:p>
        </w:tc>
        <w:tc>
          <w:tcPr>
            <w:tcW w:w="1720" w:type="dxa"/>
            <w:noWrap/>
            <w:hideMark/>
          </w:tcPr>
          <w:p w14:paraId="12FE31C8" w14:textId="77777777" w:rsidR="0003626A" w:rsidRPr="0003626A" w:rsidRDefault="0003626A" w:rsidP="00010C31">
            <w:pPr>
              <w:jc w:val="center"/>
            </w:pPr>
            <w:r w:rsidRPr="0003626A">
              <w:t>1.89</w:t>
            </w:r>
          </w:p>
        </w:tc>
        <w:tc>
          <w:tcPr>
            <w:tcW w:w="1660" w:type="dxa"/>
            <w:noWrap/>
            <w:hideMark/>
          </w:tcPr>
          <w:p w14:paraId="3CC87683" w14:textId="7A9ADDBE" w:rsidR="0003626A" w:rsidRPr="0003626A" w:rsidRDefault="00CC78F2" w:rsidP="00CC78F2">
            <w:pPr>
              <w:jc w:val="center"/>
            </w:pPr>
            <w:r>
              <w:t>2.40</w:t>
            </w:r>
          </w:p>
        </w:tc>
        <w:tc>
          <w:tcPr>
            <w:tcW w:w="1460" w:type="dxa"/>
            <w:noWrap/>
            <w:hideMark/>
          </w:tcPr>
          <w:p w14:paraId="7177438C" w14:textId="32777A37" w:rsidR="0003626A" w:rsidRPr="0003626A" w:rsidRDefault="0003626A" w:rsidP="00010C31">
            <w:pPr>
              <w:jc w:val="center"/>
            </w:pPr>
            <w:r w:rsidRPr="0003626A">
              <w:t>13.</w:t>
            </w:r>
            <w:r w:rsidR="00297BB6">
              <w:t>59</w:t>
            </w:r>
          </w:p>
        </w:tc>
      </w:tr>
      <w:tr w:rsidR="0003626A" w:rsidRPr="0003626A" w14:paraId="00E0A5A1" w14:textId="77777777" w:rsidTr="00010C31">
        <w:trPr>
          <w:trHeight w:val="576"/>
          <w:jc w:val="center"/>
        </w:trPr>
        <w:tc>
          <w:tcPr>
            <w:tcW w:w="3715" w:type="dxa"/>
            <w:hideMark/>
          </w:tcPr>
          <w:p w14:paraId="20513252" w14:textId="77777777" w:rsidR="0003626A" w:rsidRPr="0003626A" w:rsidRDefault="0003626A" w:rsidP="00010C31">
            <w:pPr>
              <w:rPr>
                <w:b/>
                <w:bCs/>
              </w:rPr>
            </w:pPr>
            <w:r w:rsidRPr="0003626A">
              <w:rPr>
                <w:b/>
                <w:bCs/>
              </w:rPr>
              <w:t xml:space="preserve">(3) Weight </w:t>
            </w:r>
            <w:r w:rsidRPr="0003626A">
              <w:rPr>
                <w:b/>
                <w:bCs/>
              </w:rPr>
              <w:br/>
              <w:t xml:space="preserve">(total disbursed/final disbursed amount of 17.88 USD) </w:t>
            </w:r>
          </w:p>
        </w:tc>
        <w:tc>
          <w:tcPr>
            <w:tcW w:w="1720" w:type="dxa"/>
            <w:noWrap/>
            <w:hideMark/>
          </w:tcPr>
          <w:p w14:paraId="66042F48" w14:textId="77777777" w:rsidR="0003626A" w:rsidRPr="0003626A" w:rsidRDefault="0003626A" w:rsidP="00010C31">
            <w:pPr>
              <w:jc w:val="center"/>
            </w:pPr>
            <w:r w:rsidRPr="0003626A">
              <w:t>10.6%</w:t>
            </w:r>
          </w:p>
        </w:tc>
        <w:tc>
          <w:tcPr>
            <w:tcW w:w="1660" w:type="dxa"/>
            <w:noWrap/>
            <w:hideMark/>
          </w:tcPr>
          <w:p w14:paraId="4996BF89" w14:textId="414C54D4" w:rsidR="0003626A" w:rsidRPr="0003626A" w:rsidRDefault="0003626A" w:rsidP="00CC78F2">
            <w:pPr>
              <w:jc w:val="center"/>
            </w:pPr>
            <w:r w:rsidRPr="0003626A">
              <w:t>1</w:t>
            </w:r>
            <w:r w:rsidR="00297BB6">
              <w:t>3.</w:t>
            </w:r>
            <w:r w:rsidR="00CC78F2">
              <w:t>4</w:t>
            </w:r>
            <w:r w:rsidRPr="0003626A">
              <w:t>%</w:t>
            </w:r>
          </w:p>
        </w:tc>
        <w:tc>
          <w:tcPr>
            <w:tcW w:w="1460" w:type="dxa"/>
            <w:noWrap/>
            <w:hideMark/>
          </w:tcPr>
          <w:p w14:paraId="373ED791" w14:textId="6D37996F" w:rsidR="0003626A" w:rsidRPr="0003626A" w:rsidRDefault="0003626A" w:rsidP="00010C31">
            <w:pPr>
              <w:jc w:val="center"/>
            </w:pPr>
            <w:r w:rsidRPr="0003626A">
              <w:t>7</w:t>
            </w:r>
            <w:r w:rsidR="00297BB6">
              <w:t>6</w:t>
            </w:r>
            <w:r w:rsidRPr="0003626A">
              <w:t>%</w:t>
            </w:r>
          </w:p>
        </w:tc>
      </w:tr>
      <w:tr w:rsidR="0003626A" w:rsidRPr="0003626A" w14:paraId="11562BD5" w14:textId="77777777" w:rsidTr="00010C31">
        <w:trPr>
          <w:trHeight w:val="576"/>
          <w:jc w:val="center"/>
        </w:trPr>
        <w:tc>
          <w:tcPr>
            <w:tcW w:w="3715" w:type="dxa"/>
            <w:hideMark/>
          </w:tcPr>
          <w:p w14:paraId="453EBDB2" w14:textId="77777777" w:rsidR="0003626A" w:rsidRPr="0003626A" w:rsidRDefault="0003626A" w:rsidP="00010C31">
            <w:pPr>
              <w:rPr>
                <w:b/>
                <w:bCs/>
              </w:rPr>
            </w:pPr>
            <w:r w:rsidRPr="0003626A">
              <w:rPr>
                <w:b/>
                <w:bCs/>
              </w:rPr>
              <w:t>(4) Weight value</w:t>
            </w:r>
            <w:r w:rsidRPr="0003626A">
              <w:rPr>
                <w:b/>
                <w:bCs/>
              </w:rPr>
              <w:br/>
              <w:t xml:space="preserve">((1)x(3)) </w:t>
            </w:r>
          </w:p>
        </w:tc>
        <w:tc>
          <w:tcPr>
            <w:tcW w:w="1720" w:type="dxa"/>
            <w:noWrap/>
            <w:hideMark/>
          </w:tcPr>
          <w:p w14:paraId="130035F3" w14:textId="77777777" w:rsidR="0003626A" w:rsidRPr="0003626A" w:rsidRDefault="0003626A" w:rsidP="00010C31">
            <w:pPr>
              <w:jc w:val="center"/>
            </w:pPr>
            <w:r w:rsidRPr="0003626A">
              <w:t>0.212</w:t>
            </w:r>
          </w:p>
        </w:tc>
        <w:tc>
          <w:tcPr>
            <w:tcW w:w="1660" w:type="dxa"/>
            <w:noWrap/>
            <w:hideMark/>
          </w:tcPr>
          <w:p w14:paraId="0A2279E1" w14:textId="34E88E2C" w:rsidR="0003626A" w:rsidRPr="0003626A" w:rsidRDefault="0003626A" w:rsidP="00CC78F2">
            <w:pPr>
              <w:jc w:val="center"/>
            </w:pPr>
            <w:r w:rsidRPr="0003626A">
              <w:t>0.</w:t>
            </w:r>
            <w:r w:rsidR="00CC78F2">
              <w:t>402</w:t>
            </w:r>
          </w:p>
        </w:tc>
        <w:tc>
          <w:tcPr>
            <w:tcW w:w="1460" w:type="dxa"/>
            <w:noWrap/>
            <w:hideMark/>
          </w:tcPr>
          <w:p w14:paraId="67AA74F8" w14:textId="4CC3FC47" w:rsidR="0003626A" w:rsidRPr="0003626A" w:rsidRDefault="0003626A" w:rsidP="00010C31">
            <w:pPr>
              <w:jc w:val="center"/>
            </w:pPr>
            <w:r w:rsidRPr="0003626A">
              <w:t>3.8</w:t>
            </w:r>
            <w:r w:rsidR="00297BB6">
              <w:t>0</w:t>
            </w:r>
          </w:p>
        </w:tc>
      </w:tr>
      <w:tr w:rsidR="0003626A" w:rsidRPr="0003626A" w14:paraId="458C05D0" w14:textId="77777777" w:rsidTr="00010C31">
        <w:trPr>
          <w:trHeight w:val="576"/>
          <w:jc w:val="center"/>
        </w:trPr>
        <w:tc>
          <w:tcPr>
            <w:tcW w:w="3715" w:type="dxa"/>
            <w:hideMark/>
          </w:tcPr>
          <w:p w14:paraId="31DC46C6" w14:textId="77777777" w:rsidR="0003626A" w:rsidRPr="0003626A" w:rsidRDefault="0003626A" w:rsidP="00010C31">
            <w:pPr>
              <w:rPr>
                <w:b/>
                <w:bCs/>
              </w:rPr>
            </w:pPr>
            <w:r w:rsidRPr="0003626A">
              <w:rPr>
                <w:b/>
                <w:bCs/>
              </w:rPr>
              <w:t xml:space="preserve">Final Outcome Rating </w:t>
            </w:r>
          </w:p>
        </w:tc>
        <w:tc>
          <w:tcPr>
            <w:tcW w:w="4840" w:type="dxa"/>
            <w:gridSpan w:val="3"/>
            <w:hideMark/>
          </w:tcPr>
          <w:p w14:paraId="6A93DCD7" w14:textId="15B20C42" w:rsidR="0003626A" w:rsidRPr="0003626A" w:rsidRDefault="0003626A" w:rsidP="00010C31">
            <w:pPr>
              <w:jc w:val="center"/>
            </w:pPr>
            <w:r w:rsidRPr="0003626A">
              <w:t xml:space="preserve">MS </w:t>
            </w:r>
            <w:r w:rsidRPr="0003626A">
              <w:br/>
              <w:t>(4.4)</w:t>
            </w:r>
          </w:p>
        </w:tc>
      </w:tr>
      <w:tr w:rsidR="0003626A" w:rsidRPr="0003626A" w14:paraId="37AA0867" w14:textId="77777777" w:rsidTr="00010C31">
        <w:trPr>
          <w:trHeight w:val="372"/>
          <w:jc w:val="center"/>
        </w:trPr>
        <w:tc>
          <w:tcPr>
            <w:tcW w:w="8555" w:type="dxa"/>
            <w:gridSpan w:val="4"/>
            <w:hideMark/>
          </w:tcPr>
          <w:p w14:paraId="27C7D102" w14:textId="77777777" w:rsidR="0003626A" w:rsidRPr="0003626A" w:rsidRDefault="0003626A" w:rsidP="00010C31">
            <w:pPr>
              <w:rPr>
                <w:i/>
                <w:iCs/>
              </w:rPr>
            </w:pPr>
            <w:r w:rsidRPr="0003626A">
              <w:rPr>
                <w:i/>
                <w:iCs/>
              </w:rPr>
              <w:t xml:space="preserve">Note: HU (1); U (2); MU (3); MS (4); S (5); HS (6) </w:t>
            </w:r>
          </w:p>
        </w:tc>
      </w:tr>
    </w:tbl>
    <w:p w14:paraId="12AF7804" w14:textId="48C990F4" w:rsidR="00D50DF4" w:rsidRDefault="00D50DF4" w:rsidP="000411CD"/>
    <w:p w14:paraId="709BE8F9" w14:textId="77777777" w:rsidR="00C67D43" w:rsidRDefault="00C67D43">
      <w:pPr>
        <w:pStyle w:val="Heading3"/>
      </w:pPr>
      <w:r>
        <w:t>3.5 Overarching Themes, Other Outcomes and Impacts</w:t>
      </w:r>
    </w:p>
    <w:p w14:paraId="0EAB57D7" w14:textId="5622F2DC" w:rsidR="00BD490A" w:rsidRPr="00674C18" w:rsidRDefault="00BC4C94" w:rsidP="00674C18">
      <w:pPr>
        <w:spacing w:line="200" w:lineRule="atLeast"/>
        <w:rPr>
          <w:color w:val="000000"/>
          <w:sz w:val="22"/>
          <w:szCs w:val="22"/>
        </w:rPr>
      </w:pPr>
      <w:r w:rsidDel="00BC4C94">
        <w:rPr>
          <w:i/>
          <w:iCs/>
          <w:color w:val="000000"/>
          <w:sz w:val="22"/>
          <w:szCs w:val="22"/>
        </w:rPr>
        <w:t xml:space="preserve"> </w:t>
      </w:r>
      <w:r w:rsidR="00C67D43">
        <w:rPr>
          <w:rStyle w:val="Strong"/>
          <w:color w:val="000000"/>
          <w:sz w:val="22"/>
          <w:szCs w:val="22"/>
        </w:rPr>
        <w:t>(a) Poverty Impacts, Gender Aspects, and Social Development</w:t>
      </w:r>
      <w:bookmarkStart w:id="136" w:name="SEC85A"/>
      <w:bookmarkEnd w:id="136"/>
    </w:p>
    <w:p w14:paraId="5E558F32" w14:textId="3A540269" w:rsidR="00C67D43" w:rsidRPr="00FB3CED" w:rsidRDefault="000C247D" w:rsidP="00BD490A">
      <w:pPr>
        <w:pStyle w:val="ListParagraph"/>
        <w:numPr>
          <w:ilvl w:val="0"/>
          <w:numId w:val="34"/>
        </w:numPr>
        <w:ind w:left="0" w:firstLine="360"/>
        <w:jc w:val="both"/>
      </w:pPr>
      <w:r>
        <w:t>The project targeted the most vulnerable of the poor: people with disabilities and children at risk</w:t>
      </w:r>
      <w:r w:rsidRPr="00FB3CED">
        <w:t xml:space="preserve">. Literature on disability indicates that people with disabilities tend to be </w:t>
      </w:r>
      <w:r w:rsidR="00FB3CED">
        <w:t>more likely to be poor. For example, analysis of household survey data from 14 countries shows that having a disability is associated with a 10 percentage point increase in likelihood to be in the two lowest income quintiles</w:t>
      </w:r>
      <w:r w:rsidR="00FB3CED">
        <w:rPr>
          <w:rStyle w:val="FootnoteReference"/>
        </w:rPr>
        <w:footnoteReference w:id="26"/>
      </w:r>
      <w:r w:rsidR="00FB3CED">
        <w:t xml:space="preserve">. </w:t>
      </w:r>
    </w:p>
    <w:p w14:paraId="136364EE" w14:textId="77777777" w:rsidR="00BD490A" w:rsidRDefault="00BD490A" w:rsidP="00BD490A">
      <w:pPr>
        <w:pStyle w:val="ListParagraph"/>
        <w:ind w:left="360"/>
        <w:jc w:val="both"/>
      </w:pPr>
    </w:p>
    <w:p w14:paraId="6723CA49" w14:textId="77777777" w:rsidR="000C247D" w:rsidRDefault="000C247D" w:rsidP="000C247D">
      <w:pPr>
        <w:pStyle w:val="ListParagraph"/>
        <w:numPr>
          <w:ilvl w:val="0"/>
          <w:numId w:val="34"/>
        </w:numPr>
        <w:ind w:left="0" w:firstLine="360"/>
        <w:jc w:val="both"/>
      </w:pPr>
      <w:r>
        <w:t xml:space="preserve">Similarly provision of child protection services can likely help children from the poorest families to re-integrate back into society and education system. According to the Government’s Project Completion report about 500 of children at ICPSCs have received training and were later engaged in wage and self-employment, which also could be considered as contributing to poverty alleviation. </w:t>
      </w:r>
    </w:p>
    <w:p w14:paraId="63144BD4" w14:textId="77777777" w:rsidR="000C247D" w:rsidRDefault="000C247D" w:rsidP="00C67D43"/>
    <w:p w14:paraId="1CADE0C8" w14:textId="557FD34C" w:rsidR="00C67D43" w:rsidRDefault="00C67D43">
      <w:pPr>
        <w:spacing w:line="200" w:lineRule="atLeast"/>
        <w:rPr>
          <w:color w:val="000000"/>
          <w:sz w:val="22"/>
          <w:szCs w:val="22"/>
        </w:rPr>
      </w:pPr>
      <w:r>
        <w:rPr>
          <w:rStyle w:val="Strong"/>
          <w:color w:val="000000"/>
          <w:sz w:val="22"/>
          <w:szCs w:val="22"/>
        </w:rPr>
        <w:t>(b) Institutional Change/Strengthening</w:t>
      </w:r>
      <w:r>
        <w:rPr>
          <w:b/>
          <w:bCs/>
          <w:color w:val="000000"/>
          <w:sz w:val="22"/>
          <w:szCs w:val="22"/>
        </w:rPr>
        <w:br/>
      </w:r>
      <w:r w:rsidR="00CB6D01">
        <w:rPr>
          <w:color w:val="000000"/>
          <w:sz w:val="22"/>
          <w:szCs w:val="22"/>
        </w:rPr>
        <w:t>See Section 3.2</w:t>
      </w:r>
    </w:p>
    <w:p w14:paraId="55950730" w14:textId="77777777" w:rsidR="006B322D" w:rsidRDefault="006B322D" w:rsidP="008A7E21">
      <w:pPr>
        <w:jc w:val="both"/>
      </w:pPr>
      <w:bookmarkStart w:id="137" w:name="SEC85B"/>
      <w:bookmarkEnd w:id="137"/>
    </w:p>
    <w:p w14:paraId="5B06E0C9" w14:textId="77777777" w:rsidR="008A7E21" w:rsidRDefault="008A7E21" w:rsidP="00C67D43"/>
    <w:p w14:paraId="31EA5AE2" w14:textId="77777777" w:rsidR="00C67D43" w:rsidRDefault="00C67D43">
      <w:pPr>
        <w:spacing w:line="200" w:lineRule="atLeast"/>
        <w:rPr>
          <w:color w:val="000000"/>
          <w:sz w:val="22"/>
          <w:szCs w:val="22"/>
        </w:rPr>
      </w:pPr>
      <w:r>
        <w:rPr>
          <w:rStyle w:val="Strong"/>
          <w:color w:val="000000"/>
          <w:sz w:val="22"/>
          <w:szCs w:val="22"/>
        </w:rPr>
        <w:t>(c) Other Unintended Outcomes and Impacts (positive or negative)</w:t>
      </w:r>
    </w:p>
    <w:p w14:paraId="06AD5E1B" w14:textId="77777777" w:rsidR="00C67D43" w:rsidRDefault="00C57AB9" w:rsidP="00C67D43">
      <w:bookmarkStart w:id="138" w:name="SEC85C"/>
      <w:bookmarkEnd w:id="138"/>
      <w:r>
        <w:t>N/A</w:t>
      </w:r>
    </w:p>
    <w:p w14:paraId="43FFE8A8" w14:textId="77777777" w:rsidR="00C67D43" w:rsidRDefault="00C67D43" w:rsidP="007A077F">
      <w:pPr>
        <w:pStyle w:val="Heading3"/>
        <w:keepNext/>
      </w:pPr>
      <w:r>
        <w:t>3.6 Summary of Findings of Beneficiary Survey and/or Stakeholder Workshops</w:t>
      </w:r>
    </w:p>
    <w:p w14:paraId="4B8D4D5F" w14:textId="77777777" w:rsidR="00C67D43" w:rsidRDefault="00C67D43">
      <w:pPr>
        <w:rPr>
          <w:i/>
          <w:iCs/>
          <w:color w:val="000000"/>
          <w:sz w:val="22"/>
          <w:szCs w:val="22"/>
        </w:rPr>
      </w:pPr>
      <w:r>
        <w:rPr>
          <w:i/>
          <w:iCs/>
          <w:color w:val="000000"/>
          <w:sz w:val="22"/>
          <w:szCs w:val="22"/>
        </w:rPr>
        <w:t xml:space="preserve">(optional for Core ICR, required for </w:t>
      </w:r>
      <w:smartTag w:uri="urn:schemas-microsoft-com:office:smarttags" w:element="place">
        <w:r>
          <w:rPr>
            <w:i/>
            <w:iCs/>
            <w:color w:val="000000"/>
            <w:sz w:val="22"/>
            <w:szCs w:val="22"/>
          </w:rPr>
          <w:t>ILI</w:t>
        </w:r>
      </w:smartTag>
      <w:r>
        <w:rPr>
          <w:i/>
          <w:iCs/>
          <w:color w:val="000000"/>
          <w:sz w:val="22"/>
          <w:szCs w:val="22"/>
        </w:rPr>
        <w:t>, details in annexes)</w:t>
      </w:r>
    </w:p>
    <w:p w14:paraId="70E62872" w14:textId="58A2F012" w:rsidR="00B41935" w:rsidRDefault="00B41935" w:rsidP="00B41935">
      <w:pPr>
        <w:pStyle w:val="ListParagraph"/>
        <w:numPr>
          <w:ilvl w:val="0"/>
          <w:numId w:val="34"/>
        </w:numPr>
        <w:ind w:left="0" w:firstLine="360"/>
        <w:jc w:val="both"/>
      </w:pPr>
      <w:r>
        <w:t xml:space="preserve">Third party spot </w:t>
      </w:r>
      <w:r w:rsidR="00063021">
        <w:t>checks were conducted for both C</w:t>
      </w:r>
      <w:r>
        <w:t xml:space="preserve">omponents 1 and 2 in 2014 and 2016. These checks assessed the functionality of service centers, staff skills, their satisfaction and motivation, beneficiary satisfaction. The checks reflected the high levels of beneficiary satisfaction as well as staff competency and satisfaction at the DSCs and the ICPSCs. </w:t>
      </w:r>
    </w:p>
    <w:p w14:paraId="551FC020" w14:textId="77777777" w:rsidR="00B41935" w:rsidRDefault="00B41935" w:rsidP="00B41935">
      <w:pPr>
        <w:pStyle w:val="ListParagraph"/>
        <w:ind w:left="360"/>
        <w:jc w:val="both"/>
      </w:pPr>
    </w:p>
    <w:p w14:paraId="35D2892E" w14:textId="77777777" w:rsidR="00B41935" w:rsidRDefault="00B41935" w:rsidP="00B41935">
      <w:pPr>
        <w:pStyle w:val="ListParagraph"/>
        <w:numPr>
          <w:ilvl w:val="0"/>
          <w:numId w:val="34"/>
        </w:numPr>
        <w:ind w:left="0" w:firstLine="360"/>
        <w:jc w:val="both"/>
      </w:pPr>
      <w:r>
        <w:t>In terms of infrastructure and facilities in DSCs, both rounds of spot checks showed high levels of functionality with over 80% of the centers having the infrastructure and facilities during both rounds of checks. Similarly, the DSCs scored about 80% in the overall equipment index both in 2014 and 2016. The ICPSCs showed remarkable improvement over the two survey periods. In 2016, all of them were functioning with basic infrastructure and facilities.</w:t>
      </w:r>
    </w:p>
    <w:p w14:paraId="4856457F" w14:textId="77777777" w:rsidR="00B41935" w:rsidRDefault="00B41935" w:rsidP="00B41935">
      <w:pPr>
        <w:pStyle w:val="ListParagraph"/>
      </w:pPr>
    </w:p>
    <w:p w14:paraId="2BF907DE" w14:textId="77777777" w:rsidR="00B41935" w:rsidRDefault="00B41935" w:rsidP="00B41935">
      <w:pPr>
        <w:pStyle w:val="ListParagraph"/>
        <w:numPr>
          <w:ilvl w:val="0"/>
          <w:numId w:val="34"/>
        </w:numPr>
        <w:ind w:left="0" w:firstLine="360"/>
        <w:jc w:val="both"/>
      </w:pPr>
      <w:r>
        <w:t>Staff competency showed a remarkable improvement between the two survey periods both in DSCs and ICPSCs. In DSCs, while in 2014 only 18% of staff had knowledge of disability act and rules, in 2016, 100% of the staff interviewed were aware of at least one act / law related to disability. In terms of job satisfaction, while in 2014 staff satisfaction was only 30%, staff who were fully satisfied or somewhat satisfied with their jobs increased to over 80% in 2016. Similarly, in ICPSCs in 2016 over 98% of the staff were knowledgeable about case assessment and management in comparison to only 46% in 2014. In 2016, all of the staff interviewed had knowledge about the role of ICPSCs for children at risk in comparison to only 61% in 2014. The average motivation of staff was assessed to be 78.9% in 2016. The overall staff competency in ICPSCs increased from 65% to 89.7% in 2016.</w:t>
      </w:r>
    </w:p>
    <w:p w14:paraId="6C147CF1" w14:textId="77777777" w:rsidR="00B41935" w:rsidRDefault="00B41935" w:rsidP="00B41935">
      <w:pPr>
        <w:pStyle w:val="ListParagraph"/>
      </w:pPr>
    </w:p>
    <w:p w14:paraId="3AB67E7C" w14:textId="7DE0C451" w:rsidR="00B41935" w:rsidRDefault="00B41935" w:rsidP="00B41935">
      <w:pPr>
        <w:pStyle w:val="ListParagraph"/>
        <w:numPr>
          <w:ilvl w:val="0"/>
          <w:numId w:val="34"/>
        </w:numPr>
        <w:ind w:left="0" w:firstLine="360"/>
        <w:jc w:val="both"/>
      </w:pPr>
      <w:r>
        <w:t xml:space="preserve">Overall beneficiary satisfaction levels in DSCs during both survey periods have been over 80%. Over 90% beneficiaries have been satisfied with the services at the DSC including the registration process, behavior of staff, among others. Similarly, during both survey periods over 90% children reported satisfaction with the services at the ICPSCs. In 2016, with the exception of beneficiary satisfaction with the rehabilitation / reintegration plan wherein 82.5% reported satisfaction, in 13 out of 16 parameters over 94% of the beneficiaries reported satisfaction. A summary of the third party spot checks conducted in 2014 and 2016 is given at </w:t>
      </w:r>
      <w:r w:rsidRPr="00763B52">
        <w:t>Annexure</w:t>
      </w:r>
      <w:r w:rsidR="00CC78F2" w:rsidRPr="00763B52">
        <w:t xml:space="preserve"> 5.</w:t>
      </w:r>
    </w:p>
    <w:p w14:paraId="06DE1546" w14:textId="2B7EB2B4" w:rsidR="00C67D43" w:rsidRDefault="00C67D43">
      <w:pPr>
        <w:pStyle w:val="Heading2"/>
      </w:pPr>
      <w:bookmarkStart w:id="139" w:name="SEC86"/>
      <w:bookmarkStart w:id="140" w:name="_IL9"/>
      <w:bookmarkStart w:id="141" w:name="_Toc158019373"/>
      <w:bookmarkEnd w:id="139"/>
      <w:r>
        <w:t>4. Assessment of Risk to Development Outcome</w:t>
      </w:r>
      <w:bookmarkEnd w:id="140"/>
      <w:bookmarkEnd w:id="141"/>
      <w:r>
        <w:t xml:space="preserve"> </w:t>
      </w:r>
    </w:p>
    <w:p w14:paraId="10E2D727" w14:textId="77777777" w:rsidR="000F1D83" w:rsidRDefault="000F1D83" w:rsidP="0026583D">
      <w:pPr>
        <w:jc w:val="both"/>
      </w:pPr>
    </w:p>
    <w:p w14:paraId="583C9860" w14:textId="7BEA9C75" w:rsidR="00C73227" w:rsidRDefault="000411CD" w:rsidP="00010C31">
      <w:pPr>
        <w:pStyle w:val="ListParagraph"/>
        <w:numPr>
          <w:ilvl w:val="0"/>
          <w:numId w:val="34"/>
        </w:numPr>
        <w:ind w:left="0" w:firstLine="360"/>
        <w:jc w:val="both"/>
      </w:pPr>
      <w:r>
        <w:t>R</w:t>
      </w:r>
      <w:bookmarkStart w:id="142" w:name="RAT4"/>
      <w:bookmarkEnd w:id="142"/>
      <w:r w:rsidR="00E13A32">
        <w:t xml:space="preserve">isk to development outcome is assessed as </w:t>
      </w:r>
      <w:r w:rsidR="00E13A32" w:rsidRPr="00010C31">
        <w:rPr>
          <w:i/>
        </w:rPr>
        <w:t>Mode</w:t>
      </w:r>
      <w:r w:rsidR="004D3A01" w:rsidRPr="00010C31">
        <w:rPr>
          <w:i/>
        </w:rPr>
        <w:t>rate</w:t>
      </w:r>
      <w:r w:rsidR="00E13A32">
        <w:t xml:space="preserve">. </w:t>
      </w:r>
      <w:r w:rsidR="00EB57E6">
        <w:t>As mentioned earlier b</w:t>
      </w:r>
      <w:r w:rsidR="0026583D">
        <w:t xml:space="preserve">y the end of the project there were: (i) </w:t>
      </w:r>
      <w:r w:rsidR="0026583D" w:rsidRPr="0026583D">
        <w:t>allocation of 503 million taka (USD 6.29 million) by MoSW to “Protibondhi Sheba O Shanhajji Kendro” Program under JPUF</w:t>
      </w:r>
      <w:r w:rsidR="0026583D">
        <w:t>;</w:t>
      </w:r>
      <w:r w:rsidR="0026583D" w:rsidRPr="0026583D">
        <w:t xml:space="preserve"> and </w:t>
      </w:r>
      <w:r w:rsidR="0026583D">
        <w:t xml:space="preserve">(ii) </w:t>
      </w:r>
      <w:r w:rsidR="0026583D" w:rsidRPr="0026583D">
        <w:t xml:space="preserve">allocation of 205 million taka (USD 2.56 million) by the Finance Division to the “Sheikh Russell Training and Rehabilitation Service Centers” under DSS.  </w:t>
      </w:r>
      <w:r w:rsidR="0026583D">
        <w:t xml:space="preserve">These </w:t>
      </w:r>
      <w:r w:rsidR="0068568D">
        <w:t xml:space="preserve">actions </w:t>
      </w:r>
      <w:r w:rsidR="0026583D">
        <w:t>serve as a commitment from the government to the continued provision of high quality services to people with disabilities and children at risk. Additionally, open commitment to this goal expressed in the 7</w:t>
      </w:r>
      <w:r w:rsidR="0026583D" w:rsidRPr="000F1D83">
        <w:rPr>
          <w:vertAlign w:val="superscript"/>
        </w:rPr>
        <w:t>th</w:t>
      </w:r>
      <w:r w:rsidR="0026583D">
        <w:t xml:space="preserve"> Five Year plan and active participation of Bangladesh in relevant UN committees provides further indications as to the same</w:t>
      </w:r>
      <w:r w:rsidR="00063021">
        <w:t xml:space="preserve">. However, </w:t>
      </w:r>
      <w:r w:rsidR="00063021" w:rsidRPr="00063021">
        <w:t>it needs to be seen if GOB can commit budgetary allocation in the long run, although provision of these services still remain a priority for GOB</w:t>
      </w:r>
      <w:r w:rsidR="00063021">
        <w:t>.</w:t>
      </w:r>
      <w:r w:rsidR="00063021" w:rsidRPr="00063021">
        <w:t xml:space="preserve"> </w:t>
      </w:r>
      <w:r w:rsidR="0026583D" w:rsidRPr="00010C31">
        <w:t>Thus</w:t>
      </w:r>
      <w:r w:rsidR="0068568D">
        <w:t>,</w:t>
      </w:r>
      <w:r w:rsidR="0026583D" w:rsidRPr="00010C31">
        <w:t xml:space="preserve"> be</w:t>
      </w:r>
      <w:r w:rsidR="0068568D">
        <w:t>ing</w:t>
      </w:r>
      <w:r w:rsidR="0026583D" w:rsidRPr="00010C31">
        <w:t xml:space="preserve"> conservative the risk is assessed as Mode</w:t>
      </w:r>
      <w:r w:rsidR="004D3A01" w:rsidRPr="00010C31">
        <w:t>rate</w:t>
      </w:r>
      <w:r w:rsidR="0026583D" w:rsidRPr="00010C31">
        <w:t xml:space="preserve">. </w:t>
      </w:r>
    </w:p>
    <w:p w14:paraId="6CF0E8EE" w14:textId="77777777" w:rsidR="00254477" w:rsidRDefault="00254477" w:rsidP="000411CD">
      <w:bookmarkStart w:id="143" w:name="SEC9"/>
      <w:bookmarkEnd w:id="143"/>
    </w:p>
    <w:p w14:paraId="7124F43C" w14:textId="2B36D343" w:rsidR="00C67D43" w:rsidRDefault="00C67D43" w:rsidP="007A077F">
      <w:pPr>
        <w:pStyle w:val="Heading2"/>
        <w:keepNext/>
      </w:pPr>
      <w:bookmarkStart w:id="144" w:name="_Toc158019374"/>
      <w:r>
        <w:t>5. Assessment of Bank and Borrower Performance</w:t>
      </w:r>
      <w:bookmarkEnd w:id="144"/>
      <w:r>
        <w:t xml:space="preserve"> </w:t>
      </w:r>
    </w:p>
    <w:p w14:paraId="31BA92B7" w14:textId="77777777" w:rsidR="00C67D43" w:rsidRDefault="00C67D43" w:rsidP="007A077F">
      <w:pPr>
        <w:keepNext/>
      </w:pPr>
      <w:r>
        <w:rPr>
          <w:i/>
          <w:iCs/>
          <w:color w:val="000000"/>
          <w:sz w:val="22"/>
          <w:szCs w:val="22"/>
        </w:rPr>
        <w:t>(relating to design, implementation and outcome issues)</w:t>
      </w:r>
    </w:p>
    <w:p w14:paraId="5D9B4621" w14:textId="77777777" w:rsidR="00C67D43" w:rsidRDefault="00C67D43" w:rsidP="007A077F">
      <w:pPr>
        <w:pStyle w:val="Heading3"/>
        <w:keepNext/>
      </w:pPr>
      <w:r>
        <w:t>5.1 Bank</w:t>
      </w:r>
      <w:r w:rsidR="00E07BAC">
        <w:t xml:space="preserve"> Performance </w:t>
      </w:r>
    </w:p>
    <w:p w14:paraId="28DE3D0D" w14:textId="77777777" w:rsidR="00C67D43" w:rsidRDefault="00C67D43" w:rsidP="007A077F">
      <w:pPr>
        <w:keepNext/>
        <w:spacing w:line="200" w:lineRule="atLeast"/>
        <w:rPr>
          <w:i/>
          <w:iCs/>
          <w:color w:val="000000"/>
          <w:sz w:val="22"/>
          <w:szCs w:val="22"/>
        </w:rPr>
      </w:pPr>
      <w:r>
        <w:rPr>
          <w:rStyle w:val="Strong"/>
          <w:color w:val="000000"/>
          <w:sz w:val="22"/>
          <w:szCs w:val="22"/>
        </w:rPr>
        <w:t>(a) Bank Performance in Ensuring Quality at Entry</w:t>
      </w:r>
      <w:r>
        <w:rPr>
          <w:color w:val="000000"/>
          <w:sz w:val="22"/>
          <w:szCs w:val="22"/>
        </w:rPr>
        <w:t xml:space="preserve"> </w:t>
      </w:r>
      <w:r>
        <w:rPr>
          <w:color w:val="000000"/>
          <w:sz w:val="22"/>
          <w:szCs w:val="22"/>
        </w:rPr>
        <w:br/>
      </w:r>
      <w:r>
        <w:rPr>
          <w:i/>
          <w:iCs/>
          <w:color w:val="000000"/>
          <w:sz w:val="22"/>
          <w:szCs w:val="22"/>
        </w:rPr>
        <w:t>(i.e., performance through lending phase)</w:t>
      </w:r>
    </w:p>
    <w:p w14:paraId="70D8E620" w14:textId="77777777" w:rsidR="00043D67" w:rsidRPr="00043D67" w:rsidRDefault="00043D67" w:rsidP="007A077F">
      <w:pPr>
        <w:keepNext/>
        <w:spacing w:line="200" w:lineRule="atLeast"/>
        <w:rPr>
          <w:b/>
          <w:color w:val="000000"/>
          <w:sz w:val="22"/>
          <w:szCs w:val="22"/>
        </w:rPr>
      </w:pPr>
      <w:r w:rsidRPr="00043D67">
        <w:rPr>
          <w:b/>
          <w:iCs/>
          <w:color w:val="000000"/>
          <w:sz w:val="22"/>
          <w:szCs w:val="22"/>
        </w:rPr>
        <w:t>Rating: Moderately Unsatisfactory</w:t>
      </w:r>
    </w:p>
    <w:p w14:paraId="4C0141A0" w14:textId="77777777" w:rsidR="00CF4BAC" w:rsidRDefault="00CF4BAC" w:rsidP="00782717">
      <w:pPr>
        <w:jc w:val="both"/>
      </w:pPr>
    </w:p>
    <w:p w14:paraId="673F7575" w14:textId="29D2B1C1" w:rsidR="00782717" w:rsidRDefault="003D68CC" w:rsidP="00CF4BAC">
      <w:pPr>
        <w:pStyle w:val="ListParagraph"/>
        <w:numPr>
          <w:ilvl w:val="0"/>
          <w:numId w:val="34"/>
        </w:numPr>
        <w:tabs>
          <w:tab w:val="left" w:pos="540"/>
        </w:tabs>
        <w:ind w:left="0" w:firstLine="360"/>
        <w:jc w:val="both"/>
      </w:pPr>
      <w:r>
        <w:t xml:space="preserve">In retrospect, the project in its original design and implementation arrangement though strongly desired by the then Government, could have recognized that (i) the arrangement for delivery of disability services was too complex given low capacity of both the implementing agency (JPUF) and disability NGOs/PDOs; and that (ii) there would have been at least a slowdown in implementation associated with the change of government post December 2008 elections, if not a larger scale change in government’s social welfare policy priorities (see Section 2.1).  Further, as it has been acknowledged in the risks that the capacity of both implementing agencies as well as that of MOSW was low, it may have been necessary to ensure capacity enhancement measures such as hiring of PIU staff, especially key fiduciary staff, as a project readiness condition. The need for hiring of core staff in both PIUs has been a key issue raised during 2010 early 2011, as reflected in the ISRs during this period. The change in government, the subsequent change in government’s social welfare policy priorities and lack of key staff in the PIU resulted in almost absent progress prior to the first restructuring. The quality at entry is therefore rated as </w:t>
      </w:r>
      <w:r>
        <w:rPr>
          <w:b/>
          <w:bCs/>
        </w:rPr>
        <w:t>Moderately</w:t>
      </w:r>
      <w:r>
        <w:t xml:space="preserve"> </w:t>
      </w:r>
      <w:r>
        <w:rPr>
          <w:b/>
          <w:bCs/>
        </w:rPr>
        <w:t xml:space="preserve">Unsatisfactory. </w:t>
      </w:r>
    </w:p>
    <w:p w14:paraId="0889FDA5" w14:textId="77777777" w:rsidR="008007D7" w:rsidRDefault="008007D7" w:rsidP="00782717">
      <w:pPr>
        <w:jc w:val="both"/>
      </w:pPr>
    </w:p>
    <w:p w14:paraId="41A5637D" w14:textId="1E349222" w:rsidR="00C67D43" w:rsidRDefault="00C67D43">
      <w:pPr>
        <w:spacing w:line="200" w:lineRule="atLeast"/>
        <w:rPr>
          <w:color w:val="000000"/>
          <w:sz w:val="22"/>
          <w:szCs w:val="22"/>
        </w:rPr>
      </w:pPr>
      <w:r>
        <w:rPr>
          <w:rStyle w:val="Strong"/>
          <w:color w:val="000000"/>
          <w:sz w:val="22"/>
          <w:szCs w:val="22"/>
        </w:rPr>
        <w:t>(b) Quality of Supervision</w:t>
      </w:r>
      <w:r>
        <w:rPr>
          <w:color w:val="000000"/>
          <w:sz w:val="22"/>
          <w:szCs w:val="22"/>
        </w:rPr>
        <w:t xml:space="preserve"> </w:t>
      </w:r>
      <w:r>
        <w:rPr>
          <w:color w:val="000000"/>
          <w:sz w:val="22"/>
          <w:szCs w:val="22"/>
        </w:rPr>
        <w:br/>
      </w:r>
    </w:p>
    <w:p w14:paraId="00E69C10" w14:textId="1DF7E458" w:rsidR="00043D67" w:rsidRPr="00043D67" w:rsidRDefault="00043D67">
      <w:pPr>
        <w:spacing w:line="200" w:lineRule="atLeast"/>
        <w:rPr>
          <w:b/>
          <w:color w:val="000000"/>
          <w:sz w:val="22"/>
          <w:szCs w:val="22"/>
        </w:rPr>
      </w:pPr>
      <w:r w:rsidRPr="00043D67">
        <w:rPr>
          <w:b/>
          <w:color w:val="000000"/>
          <w:sz w:val="22"/>
          <w:szCs w:val="22"/>
        </w:rPr>
        <w:t>Rating: Satisfactory</w:t>
      </w:r>
    </w:p>
    <w:p w14:paraId="29FDC9A3" w14:textId="77777777" w:rsidR="00043D67" w:rsidRDefault="00043D67" w:rsidP="005C7F45">
      <w:pPr>
        <w:jc w:val="both"/>
      </w:pPr>
    </w:p>
    <w:p w14:paraId="1B25F613" w14:textId="50D81B79" w:rsidR="00EB499E" w:rsidRDefault="003D68CC" w:rsidP="00EB499E">
      <w:pPr>
        <w:pStyle w:val="ListParagraph"/>
        <w:numPr>
          <w:ilvl w:val="0"/>
          <w:numId w:val="34"/>
        </w:numPr>
        <w:ind w:left="0" w:firstLine="360"/>
        <w:jc w:val="both"/>
      </w:pPr>
      <w:r w:rsidRPr="00EB499E">
        <w:rPr>
          <w:b/>
          <w:i/>
        </w:rPr>
        <w:t xml:space="preserve">Phase </w:t>
      </w:r>
      <w:r w:rsidR="005358D6">
        <w:rPr>
          <w:b/>
          <w:i/>
        </w:rPr>
        <w:t>1</w:t>
      </w:r>
      <w:r w:rsidRPr="00EB499E">
        <w:rPr>
          <w:b/>
          <w:i/>
        </w:rPr>
        <w:t xml:space="preserve"> (</w:t>
      </w:r>
      <w:r w:rsidR="0010567B">
        <w:rPr>
          <w:b/>
          <w:i/>
        </w:rPr>
        <w:t>July 2008 – June</w:t>
      </w:r>
      <w:r w:rsidRPr="00EB499E">
        <w:rPr>
          <w:b/>
          <w:i/>
        </w:rPr>
        <w:t xml:space="preserve"> 2011):</w:t>
      </w:r>
      <w:r>
        <w:t xml:space="preserve"> During this phase, the project was affected by the undergoing political process in the country resulting in delays. </w:t>
      </w:r>
      <w:r w:rsidR="00635BA0">
        <w:t xml:space="preserve">It was marked by changes on both the Government and the Bank side. On the Government side, one of the main implementing agencies was undergoing a reorganization in addition to the overall change in the government’s stance on social welfare policy. On the Bank side the TTL and most of the team changed quite soon after the project became effective. The Bank team nonetheless worked relentlessly on transitioning the dialogue and finding new grounds for consensus with the new counterpart given that both sides remained dedicated to the main objective of the project. They </w:t>
      </w:r>
      <w:r>
        <w:t xml:space="preserve">continuously engaged with the government in order to build trust and confidence followed by a discussion on the revised project design. </w:t>
      </w:r>
      <w:r w:rsidR="00635BA0">
        <w:t xml:space="preserve">Furthermore, the level of complication of the restructuring added to the already complicated and delicate process that precedes it. Hence the team for example, wasn’t willing to take a risk and push for cancellations at this time (even though it suspected they might be needed based on the capacity and implementation speed). Thus, it took 18 month for restructuring related discussion to conclude. </w:t>
      </w:r>
      <w:r>
        <w:t xml:space="preserve">And it </w:t>
      </w:r>
      <w:r w:rsidR="00635BA0">
        <w:t xml:space="preserve">was in </w:t>
      </w:r>
      <w:r>
        <w:t xml:space="preserve">April 2012 that the first restructuring was declared effective. Furthermore, in regards to the fiduciary issues in 2010, the task team took the initiative and organized orientations for Government and implementing agencies on Bank project cycle and procedures including that on procurement and financial management. </w:t>
      </w:r>
    </w:p>
    <w:p w14:paraId="2281DF8E" w14:textId="77777777" w:rsidR="00EB499E" w:rsidRDefault="00EB499E" w:rsidP="00EB499E">
      <w:pPr>
        <w:pStyle w:val="ListParagraph"/>
        <w:ind w:left="360"/>
        <w:jc w:val="both"/>
      </w:pPr>
    </w:p>
    <w:p w14:paraId="001BA783" w14:textId="1DA77BD7" w:rsidR="00EB499E" w:rsidRDefault="00EB499E" w:rsidP="00EB499E">
      <w:pPr>
        <w:pStyle w:val="ListParagraph"/>
        <w:numPr>
          <w:ilvl w:val="0"/>
          <w:numId w:val="34"/>
        </w:numPr>
        <w:ind w:left="0" w:firstLine="360"/>
        <w:jc w:val="both"/>
      </w:pPr>
      <w:r>
        <w:t xml:space="preserve"> </w:t>
      </w:r>
      <w:r w:rsidR="005358D6">
        <w:rPr>
          <w:b/>
          <w:i/>
        </w:rPr>
        <w:t>Phase 2</w:t>
      </w:r>
      <w:r w:rsidR="0010567B">
        <w:rPr>
          <w:b/>
          <w:i/>
        </w:rPr>
        <w:t xml:space="preserve"> (July</w:t>
      </w:r>
      <w:r w:rsidR="003D68CC" w:rsidRPr="00EB499E">
        <w:rPr>
          <w:b/>
          <w:i/>
        </w:rPr>
        <w:t xml:space="preserve"> 2011 – December 2013):</w:t>
      </w:r>
      <w:r w:rsidR="003D68CC">
        <w:t xml:space="preserve"> After the first restructuring, the project did not progress in the desired pace owing to delays in government clearances (DPP</w:t>
      </w:r>
      <w:r w:rsidR="004E2042">
        <w:t xml:space="preserve"> </w:t>
      </w:r>
      <w:r w:rsidR="003D68CC">
        <w:t>/</w:t>
      </w:r>
      <w:r w:rsidR="004E2042">
        <w:t xml:space="preserve"> </w:t>
      </w:r>
      <w:r w:rsidR="003D68CC">
        <w:t>R</w:t>
      </w:r>
      <w:r w:rsidR="004E2042">
        <w:t xml:space="preserve">evised </w:t>
      </w:r>
      <w:r w:rsidR="003D68CC">
        <w:t>DPP &amp; the Project Agreement) required after the restructuring. The task team worked closely with the implementing agencies in order to expedite work as soon as requisite government clearances were in pla</w:t>
      </w:r>
      <w:r w:rsidR="005974E2">
        <w:t>ce. As noted in the ISR approved</w:t>
      </w:r>
      <w:r w:rsidR="003D68CC">
        <w:t xml:space="preserve"> in April 2012, the project had made progress in setting up 10 DSCs and 7 ICPSCs. The Bank team during this phase also supported the counterparts by providing opportunities for sharing of international best practices and focusing on relevant staff training. This was also a period when the project finally started to disburse.  The task team encouraged by the progress (noted even in MTR from December 2012) but feeling the need to further improve efficiency of implementation undertook a second restructuring (Level 2) in June 2012 (approved by the Board in January 2014) with the goal to primarily focus on core activities and ensure adequate time for their completion. The task team during the second restructuring brought the core focus of the project primarily towards the service centers for persons with disabilities and children at risk, while dropping some activities. A careful assessment of cost savings by the task team due to the delay in project implementation as well as dropping of previously planned activities resulted in partial cancellation of USD 8.8 million in the second restructuring.</w:t>
      </w:r>
    </w:p>
    <w:p w14:paraId="4FC76035" w14:textId="3FF5FA12" w:rsidR="00EB499E" w:rsidRDefault="003D68CC" w:rsidP="00EB499E">
      <w:pPr>
        <w:pStyle w:val="ListParagraph"/>
        <w:ind w:left="360"/>
        <w:jc w:val="both"/>
      </w:pPr>
      <w:r>
        <w:t xml:space="preserve"> </w:t>
      </w:r>
    </w:p>
    <w:p w14:paraId="1FB6D0E9" w14:textId="041B8984" w:rsidR="00763B52" w:rsidRDefault="003D68CC" w:rsidP="00EB499E">
      <w:pPr>
        <w:pStyle w:val="ListParagraph"/>
        <w:numPr>
          <w:ilvl w:val="0"/>
          <w:numId w:val="34"/>
        </w:numPr>
        <w:ind w:left="0" w:firstLine="360"/>
        <w:jc w:val="both"/>
      </w:pPr>
      <w:r w:rsidRPr="00EB499E">
        <w:rPr>
          <w:b/>
          <w:i/>
        </w:rPr>
        <w:t xml:space="preserve">Phase </w:t>
      </w:r>
      <w:r w:rsidR="005358D6">
        <w:rPr>
          <w:b/>
          <w:i/>
        </w:rPr>
        <w:t>3</w:t>
      </w:r>
      <w:r w:rsidRPr="00EB499E">
        <w:rPr>
          <w:b/>
          <w:i/>
        </w:rPr>
        <w:t xml:space="preserve"> (January 2014 – June 2016): </w:t>
      </w:r>
      <w:r>
        <w:t xml:space="preserve">The third phase of the project was the most encouraging period wherein the project achieved most of the intended outcomes as well as disbursed funds. The task team’s efforts towards bringing the focus of the project to its core activity of service provision for the target population began to pay dividends. Since service provisions in the centers had commenced during the second phase, the task team commissioned two rounds of third party spot checks in order to assess the functionality of the service centers established under the project and the satisfaction levels of the beneficiaries and the staff engaged for service provision. </w:t>
      </w:r>
      <w:r w:rsidR="00BE16C2">
        <w:t xml:space="preserve">The team was proactive in improving efficiency and resource utilization by undertaking the third restructuring during this period. </w:t>
      </w:r>
      <w:r>
        <w:t>Furthermore, due to low level of procurement capacity as mentioned earlier, the task team provided close assistance in procurement related matters including hands-on training on bid/proposal evaluation etc. Additionally, the task team worked closely with the implementing agencies to sort out and resolve issues of ineligible expenditures. Lastly, the task team provided very close assistance in the matters of financial management whenever it could including attempts to prevent JPUF fund shortages prior to the closing of the project.</w:t>
      </w:r>
    </w:p>
    <w:p w14:paraId="72A596C3" w14:textId="77777777" w:rsidR="00763B52" w:rsidRDefault="00763B52">
      <w:r>
        <w:br w:type="page"/>
      </w:r>
    </w:p>
    <w:p w14:paraId="315A4C9C" w14:textId="77777777" w:rsidR="003D68CC" w:rsidRDefault="003D68CC" w:rsidP="00763B52">
      <w:pPr>
        <w:jc w:val="both"/>
      </w:pPr>
    </w:p>
    <w:p w14:paraId="125AE3A1" w14:textId="61D6F55F" w:rsidR="00647CC5" w:rsidRDefault="00416116" w:rsidP="00FA61E0">
      <w:pPr>
        <w:ind w:left="1710"/>
        <w:jc w:val="both"/>
      </w:pPr>
      <w:r>
        <w:t xml:space="preserve"> </w:t>
      </w:r>
    </w:p>
    <w:p w14:paraId="43DB560E" w14:textId="77777777" w:rsidR="00C67D43" w:rsidRDefault="00C67D43">
      <w:pPr>
        <w:spacing w:line="200" w:lineRule="atLeast"/>
        <w:rPr>
          <w:color w:val="000000"/>
          <w:sz w:val="22"/>
          <w:szCs w:val="22"/>
        </w:rPr>
      </w:pPr>
      <w:r>
        <w:rPr>
          <w:rStyle w:val="Strong"/>
          <w:color w:val="000000"/>
          <w:sz w:val="22"/>
          <w:szCs w:val="22"/>
        </w:rPr>
        <w:t>(c) Justification of Rating for Overall Bank Performance</w:t>
      </w:r>
    </w:p>
    <w:p w14:paraId="50812443" w14:textId="19D0881C" w:rsidR="00C67D43" w:rsidRPr="00763B52" w:rsidRDefault="000411CD" w:rsidP="00C67D43">
      <w:pPr>
        <w:adjustRightInd w:val="0"/>
        <w:rPr>
          <w:b/>
          <w:color w:val="000000"/>
          <w:sz w:val="22"/>
        </w:rPr>
      </w:pPr>
      <w:r w:rsidRPr="00763B52">
        <w:rPr>
          <w:b/>
          <w:color w:val="000000"/>
          <w:sz w:val="22"/>
        </w:rPr>
        <w:t xml:space="preserve">Rating: </w:t>
      </w:r>
      <w:bookmarkStart w:id="145" w:name="RAT51C"/>
      <w:bookmarkEnd w:id="145"/>
      <w:r w:rsidR="00043D67" w:rsidRPr="00763B52">
        <w:rPr>
          <w:b/>
          <w:color w:val="000000"/>
          <w:sz w:val="22"/>
        </w:rPr>
        <w:t xml:space="preserve">Moderately </w:t>
      </w:r>
      <w:r w:rsidR="003A62DA" w:rsidRPr="00763B52">
        <w:rPr>
          <w:b/>
          <w:color w:val="000000"/>
          <w:sz w:val="22"/>
        </w:rPr>
        <w:t>Satisfactory</w:t>
      </w:r>
    </w:p>
    <w:p w14:paraId="0558FBA1" w14:textId="5715CF58" w:rsidR="00254477" w:rsidRPr="0076315E" w:rsidRDefault="00043D67" w:rsidP="003A62DA">
      <w:pPr>
        <w:pStyle w:val="ListParagraph"/>
        <w:numPr>
          <w:ilvl w:val="0"/>
          <w:numId w:val="34"/>
        </w:numPr>
        <w:adjustRightInd w:val="0"/>
        <w:ind w:left="0" w:firstLine="270"/>
        <w:jc w:val="both"/>
        <w:rPr>
          <w:color w:val="000000"/>
        </w:rPr>
      </w:pPr>
      <w:bookmarkStart w:id="146" w:name="SEC101C"/>
      <w:bookmarkEnd w:id="146"/>
      <w:r w:rsidRPr="0076315E">
        <w:rPr>
          <w:color w:val="000000"/>
        </w:rPr>
        <w:t>The task team’s performance</w:t>
      </w:r>
      <w:r w:rsidR="0076315E">
        <w:rPr>
          <w:color w:val="000000"/>
        </w:rPr>
        <w:t xml:space="preserve"> during supervision</w:t>
      </w:r>
      <w:r w:rsidRPr="0076315E">
        <w:rPr>
          <w:color w:val="000000"/>
        </w:rPr>
        <w:t xml:space="preserve"> resulted in significant progress </w:t>
      </w:r>
      <w:r w:rsidR="003A62DA">
        <w:rPr>
          <w:color w:val="000000"/>
        </w:rPr>
        <w:t xml:space="preserve">with </w:t>
      </w:r>
      <w:r w:rsidR="006244DD" w:rsidRPr="0076315E">
        <w:rPr>
          <w:color w:val="000000"/>
        </w:rPr>
        <w:t>the project achieving</w:t>
      </w:r>
      <w:r w:rsidR="003A62DA">
        <w:rPr>
          <w:color w:val="000000"/>
        </w:rPr>
        <w:t xml:space="preserve"> and surpassing</w:t>
      </w:r>
      <w:r w:rsidR="006244DD" w:rsidRPr="0076315E">
        <w:rPr>
          <w:color w:val="000000"/>
        </w:rPr>
        <w:t xml:space="preserve"> its desired results and disbursement</w:t>
      </w:r>
      <w:r w:rsidR="0076315E">
        <w:rPr>
          <w:color w:val="000000"/>
        </w:rPr>
        <w:t xml:space="preserve"> despite</w:t>
      </w:r>
      <w:r w:rsidR="003A62DA">
        <w:rPr>
          <w:color w:val="000000"/>
        </w:rPr>
        <w:t xml:space="preserve"> the shortcomings of the initial project design</w:t>
      </w:r>
      <w:r w:rsidRPr="0076315E">
        <w:rPr>
          <w:color w:val="000000"/>
        </w:rPr>
        <w:t xml:space="preserve">. </w:t>
      </w:r>
      <w:r w:rsidR="003A62DA">
        <w:rPr>
          <w:color w:val="000000"/>
        </w:rPr>
        <w:t xml:space="preserve">As </w:t>
      </w:r>
      <w:r w:rsidR="003A62DA" w:rsidRPr="003A62DA">
        <w:rPr>
          <w:color w:val="000000"/>
        </w:rPr>
        <w:t xml:space="preserve">evident in sections </w:t>
      </w:r>
      <w:r w:rsidR="006258B2">
        <w:rPr>
          <w:color w:val="000000"/>
        </w:rPr>
        <w:t>2</w:t>
      </w:r>
      <w:r w:rsidR="003A62DA" w:rsidRPr="003A62DA">
        <w:rPr>
          <w:color w:val="000000"/>
        </w:rPr>
        <w:t xml:space="preserve"> and 3, it was the shortcoming in the project’s quality at entry that hindered the project’s ability to move in the intended pace and direction, and it was the impressive hard work of the bank team during supervision that turned the project around. </w:t>
      </w:r>
      <w:r w:rsidRPr="0076315E">
        <w:rPr>
          <w:color w:val="000000"/>
        </w:rPr>
        <w:t xml:space="preserve">The team had to work extensively with the implementing </w:t>
      </w:r>
      <w:r w:rsidR="0076315E">
        <w:rPr>
          <w:color w:val="000000"/>
        </w:rPr>
        <w:t xml:space="preserve">agencies to ensure progress. </w:t>
      </w:r>
    </w:p>
    <w:p w14:paraId="41BA086F" w14:textId="77777777" w:rsidR="00C67D43" w:rsidRDefault="00C67D43" w:rsidP="006244DD">
      <w:pPr>
        <w:pStyle w:val="Heading3"/>
        <w:keepNext/>
      </w:pPr>
      <w:r>
        <w:t>5.2 Borrower</w:t>
      </w:r>
      <w:r w:rsidR="00E07BAC">
        <w:t xml:space="preserve"> </w:t>
      </w:r>
      <w:r w:rsidR="00E07BAC" w:rsidRPr="006244DD">
        <w:t>Performance</w:t>
      </w:r>
    </w:p>
    <w:p w14:paraId="18E265F7" w14:textId="77777777" w:rsidR="00C67D43" w:rsidRDefault="00C67D43">
      <w:pPr>
        <w:spacing w:line="200" w:lineRule="atLeast"/>
        <w:rPr>
          <w:color w:val="000000"/>
          <w:sz w:val="22"/>
          <w:szCs w:val="22"/>
        </w:rPr>
      </w:pPr>
      <w:r>
        <w:rPr>
          <w:rStyle w:val="Strong"/>
          <w:color w:val="000000"/>
          <w:sz w:val="22"/>
          <w:szCs w:val="22"/>
        </w:rPr>
        <w:t>(a) Government Performance</w:t>
      </w:r>
    </w:p>
    <w:p w14:paraId="406E6DD3" w14:textId="77777777" w:rsidR="00C67D43" w:rsidRPr="00680241" w:rsidRDefault="000411CD" w:rsidP="00C67D43">
      <w:pPr>
        <w:rPr>
          <w:b/>
          <w:sz w:val="22"/>
        </w:rPr>
      </w:pPr>
      <w:r w:rsidRPr="00680241">
        <w:rPr>
          <w:b/>
          <w:sz w:val="22"/>
        </w:rPr>
        <w:t xml:space="preserve">Rating: </w:t>
      </w:r>
      <w:bookmarkStart w:id="147" w:name="RAT52A"/>
      <w:bookmarkEnd w:id="147"/>
      <w:r w:rsidR="006244DD" w:rsidRPr="00680241">
        <w:rPr>
          <w:b/>
          <w:sz w:val="22"/>
        </w:rPr>
        <w:t>Moderately Satisfactory</w:t>
      </w:r>
    </w:p>
    <w:p w14:paraId="67782139" w14:textId="77777777" w:rsidR="00CC2020" w:rsidRDefault="00CC2020" w:rsidP="00C67D43">
      <w:pPr>
        <w:rPr>
          <w:sz w:val="20"/>
          <w:szCs w:val="20"/>
        </w:rPr>
      </w:pPr>
      <w:bookmarkStart w:id="148" w:name="SEC102A"/>
      <w:bookmarkEnd w:id="148"/>
    </w:p>
    <w:p w14:paraId="069F854A" w14:textId="4C465B04" w:rsidR="00EA09E2" w:rsidRDefault="003A62DA" w:rsidP="002302D2">
      <w:pPr>
        <w:pStyle w:val="ListParagraph"/>
        <w:numPr>
          <w:ilvl w:val="0"/>
          <w:numId w:val="34"/>
        </w:numPr>
        <w:spacing w:line="200" w:lineRule="atLeast"/>
        <w:ind w:left="0" w:firstLine="360"/>
        <w:jc w:val="both"/>
        <w:rPr>
          <w:rStyle w:val="Strong"/>
          <w:b w:val="0"/>
          <w:bCs w:val="0"/>
          <w:color w:val="000000"/>
        </w:rPr>
      </w:pPr>
      <w:r>
        <w:rPr>
          <w:color w:val="000000"/>
        </w:rPr>
        <w:t xml:space="preserve"> </w:t>
      </w:r>
      <w:r w:rsidR="003E6846" w:rsidRPr="003440E4">
        <w:rPr>
          <w:b/>
          <w:i/>
        </w:rPr>
        <w:t xml:space="preserve">Phase </w:t>
      </w:r>
      <w:r w:rsidR="005358D6">
        <w:rPr>
          <w:b/>
          <w:i/>
        </w:rPr>
        <w:t>1</w:t>
      </w:r>
      <w:r w:rsidR="003E6846" w:rsidRPr="003440E4">
        <w:rPr>
          <w:b/>
          <w:i/>
        </w:rPr>
        <w:t xml:space="preserve"> (</w:t>
      </w:r>
      <w:r w:rsidR="00730997">
        <w:rPr>
          <w:b/>
          <w:i/>
        </w:rPr>
        <w:t xml:space="preserve">July </w:t>
      </w:r>
      <w:r w:rsidR="003E6846" w:rsidRPr="003440E4">
        <w:rPr>
          <w:b/>
          <w:i/>
        </w:rPr>
        <w:t xml:space="preserve">2008 – </w:t>
      </w:r>
      <w:r w:rsidR="003E6846">
        <w:rPr>
          <w:b/>
          <w:i/>
        </w:rPr>
        <w:t>June</w:t>
      </w:r>
      <w:r w:rsidR="003E6846" w:rsidRPr="003440E4">
        <w:rPr>
          <w:b/>
          <w:i/>
        </w:rPr>
        <w:t xml:space="preserve"> 2011):</w:t>
      </w:r>
      <w:r w:rsidR="003E6846">
        <w:rPr>
          <w:b/>
          <w:i/>
        </w:rPr>
        <w:t xml:space="preserve"> </w:t>
      </w:r>
      <w:r w:rsidR="003E6846" w:rsidRPr="002302D2">
        <w:rPr>
          <w:color w:val="000000"/>
        </w:rPr>
        <w:t xml:space="preserve">The Ministry of Social Welfare </w:t>
      </w:r>
      <w:r w:rsidR="003E6846">
        <w:rPr>
          <w:color w:val="000000"/>
        </w:rPr>
        <w:t xml:space="preserve">(MOSW) </w:t>
      </w:r>
      <w:r w:rsidR="003E6846" w:rsidRPr="002302D2">
        <w:rPr>
          <w:color w:val="000000"/>
        </w:rPr>
        <w:t xml:space="preserve">was the counterpart Ministry in the Government of Bangladesh responsible for implementing this project. The Ministry wanted to strengthen its capacity to develop policies, regulations and service standards, monitor compliance and evaluate outcomes and impact. </w:t>
      </w:r>
      <w:r w:rsidR="003E6846" w:rsidRPr="008F28D2">
        <w:rPr>
          <w:color w:val="000000"/>
        </w:rPr>
        <w:t xml:space="preserve">However, </w:t>
      </w:r>
      <w:r w:rsidR="003E6846">
        <w:rPr>
          <w:color w:val="000000"/>
        </w:rPr>
        <w:t xml:space="preserve">with the advent of a new government in 2009, </w:t>
      </w:r>
      <w:r w:rsidR="003E6846" w:rsidRPr="008F28D2">
        <w:rPr>
          <w:color w:val="000000"/>
        </w:rPr>
        <w:t xml:space="preserve">MOSW </w:t>
      </w:r>
      <w:r w:rsidR="003E6846">
        <w:rPr>
          <w:color w:val="000000"/>
        </w:rPr>
        <w:t xml:space="preserve">stance </w:t>
      </w:r>
      <w:r w:rsidR="003E6846" w:rsidRPr="008F28D2">
        <w:rPr>
          <w:color w:val="000000"/>
        </w:rPr>
        <w:t xml:space="preserve">shifted to the strengthening of government mechanisms for service delivery rather than a model </w:t>
      </w:r>
      <w:r w:rsidR="003E6846">
        <w:rPr>
          <w:color w:val="000000"/>
        </w:rPr>
        <w:t xml:space="preserve">that depended largely on </w:t>
      </w:r>
      <w:r w:rsidR="003E6846" w:rsidRPr="008F28D2">
        <w:rPr>
          <w:color w:val="000000"/>
        </w:rPr>
        <w:t>non-government</w:t>
      </w:r>
      <w:r w:rsidR="003E6846">
        <w:rPr>
          <w:color w:val="000000"/>
        </w:rPr>
        <w:t xml:space="preserve"> </w:t>
      </w:r>
      <w:r w:rsidR="003E6846" w:rsidRPr="008F28D2">
        <w:rPr>
          <w:color w:val="000000"/>
        </w:rPr>
        <w:t xml:space="preserve">entities. </w:t>
      </w:r>
      <w:r w:rsidR="003E6846">
        <w:rPr>
          <w:color w:val="000000"/>
        </w:rPr>
        <w:t>During this phase, t</w:t>
      </w:r>
      <w:r w:rsidR="003E6846" w:rsidRPr="008F28D2">
        <w:rPr>
          <w:color w:val="000000"/>
        </w:rPr>
        <w:t xml:space="preserve">he Ministry in coordination with the other relevant Ministries / Departments (ERD, Ministry of Finance) continuously engaged with the task team and worked towards revising the project in light of the new </w:t>
      </w:r>
      <w:r w:rsidR="003E6846">
        <w:rPr>
          <w:color w:val="000000"/>
        </w:rPr>
        <w:t>thinking</w:t>
      </w:r>
      <w:r w:rsidR="003E6846" w:rsidRPr="008F28D2">
        <w:rPr>
          <w:color w:val="000000"/>
        </w:rPr>
        <w:t>. It must be noted here that the Government’s commitment to provide necessary services to the target population remained the same through this period of change.</w:t>
      </w:r>
      <w:r w:rsidR="003E6846">
        <w:rPr>
          <w:color w:val="000000"/>
        </w:rPr>
        <w:t xml:space="preserve"> Most of the time during this phase was spent on relationship building followed by finalizing the revised design and implementation mechanism of the project.</w:t>
      </w:r>
    </w:p>
    <w:p w14:paraId="717BB441" w14:textId="77777777" w:rsidR="003A62DA" w:rsidRDefault="003A62DA" w:rsidP="00010C31">
      <w:pPr>
        <w:pStyle w:val="ListParagraph"/>
        <w:spacing w:line="200" w:lineRule="atLeast"/>
        <w:ind w:left="360"/>
        <w:jc w:val="both"/>
        <w:rPr>
          <w:rStyle w:val="Strong"/>
          <w:b w:val="0"/>
          <w:bCs w:val="0"/>
          <w:color w:val="000000"/>
        </w:rPr>
      </w:pPr>
    </w:p>
    <w:p w14:paraId="30C92BD8" w14:textId="7EF422AD" w:rsidR="006244DD" w:rsidRPr="003E6846" w:rsidRDefault="003A62DA" w:rsidP="002302D2">
      <w:pPr>
        <w:pStyle w:val="ListParagraph"/>
        <w:numPr>
          <w:ilvl w:val="0"/>
          <w:numId w:val="34"/>
        </w:numPr>
        <w:spacing w:line="200" w:lineRule="atLeast"/>
        <w:ind w:left="0" w:firstLine="360"/>
        <w:jc w:val="both"/>
        <w:rPr>
          <w:color w:val="000000"/>
        </w:rPr>
      </w:pPr>
      <w:r>
        <w:rPr>
          <w:rStyle w:val="Strong"/>
          <w:b w:val="0"/>
          <w:bCs w:val="0"/>
          <w:color w:val="000000"/>
        </w:rPr>
        <w:t xml:space="preserve"> </w:t>
      </w:r>
      <w:r w:rsidR="005358D6">
        <w:rPr>
          <w:b/>
          <w:i/>
        </w:rPr>
        <w:t>Phase 2</w:t>
      </w:r>
      <w:r w:rsidR="003E6846">
        <w:rPr>
          <w:b/>
          <w:i/>
        </w:rPr>
        <w:t xml:space="preserve"> (July 2011 – December 2013): </w:t>
      </w:r>
      <w:r w:rsidR="003E6846" w:rsidRPr="00997402">
        <w:t>During this period,</w:t>
      </w:r>
      <w:r w:rsidR="003E6846">
        <w:t xml:space="preserve"> the government worked with the task team to finalize the first restructuring. However, it is important to mention here that the delay in government </w:t>
      </w:r>
      <w:r w:rsidR="003E6846" w:rsidRPr="00BE16C2">
        <w:t>clearances (signing of Subsidiary Agreement and obtaining Legal Opinion)</w:t>
      </w:r>
      <w:r w:rsidR="003E6846">
        <w:t xml:space="preserve"> resulted in the first restructuring becoming effective only in end April 2012, while the board clearance came in June 2011. Despite the delays, this phase also witnessed the starting of operations in the DSCs and ICPSCs for both target populations. The government in consultation with the task team took key decisions pertaining to starting of additional centers due to cost savings, partial cancellation and the second restructuring of the project aimed at focusing activities to core areas. This phase thus became critical to the overall success and efficiency of the project.</w:t>
      </w:r>
    </w:p>
    <w:p w14:paraId="42B77C28" w14:textId="77777777" w:rsidR="003E6846" w:rsidRPr="003E6846" w:rsidRDefault="003E6846" w:rsidP="003E6846">
      <w:pPr>
        <w:pStyle w:val="ListParagraph"/>
        <w:rPr>
          <w:rStyle w:val="Strong"/>
          <w:b w:val="0"/>
          <w:bCs w:val="0"/>
          <w:color w:val="000000"/>
        </w:rPr>
      </w:pPr>
    </w:p>
    <w:p w14:paraId="009DD9C1" w14:textId="66152A7E" w:rsidR="003E6846" w:rsidRPr="003E6846" w:rsidRDefault="003E6846" w:rsidP="002302D2">
      <w:pPr>
        <w:pStyle w:val="ListParagraph"/>
        <w:numPr>
          <w:ilvl w:val="0"/>
          <w:numId w:val="34"/>
        </w:numPr>
        <w:spacing w:line="200" w:lineRule="atLeast"/>
        <w:ind w:left="0" w:firstLine="360"/>
        <w:jc w:val="both"/>
        <w:rPr>
          <w:color w:val="000000"/>
        </w:rPr>
      </w:pPr>
      <w:r w:rsidRPr="00E91188">
        <w:rPr>
          <w:b/>
          <w:i/>
        </w:rPr>
        <w:t xml:space="preserve">Phase </w:t>
      </w:r>
      <w:r w:rsidR="005358D6">
        <w:rPr>
          <w:b/>
          <w:i/>
        </w:rPr>
        <w:t>3</w:t>
      </w:r>
      <w:r w:rsidRPr="00E91188">
        <w:rPr>
          <w:b/>
          <w:i/>
        </w:rPr>
        <w:t xml:space="preserve"> (January 2014 – June 2016):</w:t>
      </w:r>
      <w:r>
        <w:t xml:space="preserve"> This phase was the culmination of the second restructuring and was significantly marked by the speedy government clearances and provision of services through the DSCs and ICPSCs. The government also worked with the task team towards finalization of the third restructuring that was primarily aimed at partial cancellation of project financing.</w:t>
      </w:r>
    </w:p>
    <w:p w14:paraId="1C566D95" w14:textId="77777777" w:rsidR="003E6846" w:rsidRPr="003E6846" w:rsidRDefault="003E6846" w:rsidP="003E6846">
      <w:pPr>
        <w:pStyle w:val="ListParagraph"/>
        <w:rPr>
          <w:rStyle w:val="Strong"/>
          <w:b w:val="0"/>
          <w:bCs w:val="0"/>
          <w:color w:val="000000"/>
        </w:rPr>
      </w:pPr>
    </w:p>
    <w:p w14:paraId="613DD663" w14:textId="6C42E0E6" w:rsidR="003E6846" w:rsidRPr="002302D2" w:rsidRDefault="003E6846" w:rsidP="002302D2">
      <w:pPr>
        <w:pStyle w:val="ListParagraph"/>
        <w:numPr>
          <w:ilvl w:val="0"/>
          <w:numId w:val="34"/>
        </w:numPr>
        <w:spacing w:line="200" w:lineRule="atLeast"/>
        <w:ind w:left="0" w:firstLine="360"/>
        <w:jc w:val="both"/>
        <w:rPr>
          <w:rStyle w:val="Strong"/>
          <w:b w:val="0"/>
          <w:bCs w:val="0"/>
          <w:color w:val="000000"/>
        </w:rPr>
      </w:pPr>
      <w:r>
        <w:rPr>
          <w:color w:val="000000"/>
        </w:rPr>
        <w:t xml:space="preserve">In conclusion, the </w:t>
      </w:r>
      <w:r w:rsidRPr="008F28D2">
        <w:rPr>
          <w:color w:val="000000"/>
        </w:rPr>
        <w:t xml:space="preserve">Government of Bangladesh through MOSW also established 53 disability service centers on its own apart from their work on the DCAR project, thereby displaying their intentions and commitment. Lastly, the allocation of budget for continuation of these services under Components 1 and 2 to the target population has ensured sustainability of the important initiative. Their performance could have further expedited project achievements, if clearances had been more efficient. The Government’s performance has therefore been rated as </w:t>
      </w:r>
      <w:r w:rsidRPr="00DE1961">
        <w:rPr>
          <w:b/>
          <w:color w:val="000000"/>
        </w:rPr>
        <w:t>Moderately Satisfactory</w:t>
      </w:r>
      <w:r w:rsidRPr="00DE1961">
        <w:rPr>
          <w:color w:val="000000"/>
        </w:rPr>
        <w:t>.</w:t>
      </w:r>
    </w:p>
    <w:p w14:paraId="30A3CDA5" w14:textId="77777777" w:rsidR="006244DD" w:rsidRDefault="006244DD">
      <w:pPr>
        <w:spacing w:line="200" w:lineRule="atLeast"/>
        <w:rPr>
          <w:rStyle w:val="Strong"/>
          <w:b w:val="0"/>
          <w:bCs w:val="0"/>
          <w:color w:val="000000"/>
        </w:rPr>
      </w:pPr>
    </w:p>
    <w:p w14:paraId="1714F40F" w14:textId="77777777" w:rsidR="00C67D43" w:rsidRDefault="00C67D43">
      <w:pPr>
        <w:spacing w:line="200" w:lineRule="atLeast"/>
        <w:rPr>
          <w:color w:val="000000"/>
          <w:sz w:val="22"/>
          <w:szCs w:val="22"/>
        </w:rPr>
      </w:pPr>
      <w:r>
        <w:rPr>
          <w:rStyle w:val="Strong"/>
          <w:color w:val="000000"/>
          <w:sz w:val="22"/>
          <w:szCs w:val="22"/>
        </w:rPr>
        <w:t>(b) Implementing Agency or Agencies Performance</w:t>
      </w:r>
    </w:p>
    <w:p w14:paraId="19E39102" w14:textId="77777777" w:rsidR="00992B9F" w:rsidRPr="00763B52" w:rsidRDefault="000411CD" w:rsidP="00992B9F">
      <w:pPr>
        <w:rPr>
          <w:b/>
          <w:color w:val="000000"/>
          <w:sz w:val="22"/>
        </w:rPr>
      </w:pPr>
      <w:r w:rsidRPr="00763B52">
        <w:rPr>
          <w:b/>
          <w:color w:val="000000"/>
          <w:sz w:val="22"/>
        </w:rPr>
        <w:t xml:space="preserve">Rating: </w:t>
      </w:r>
      <w:bookmarkStart w:id="149" w:name="RAT52B"/>
      <w:bookmarkEnd w:id="149"/>
      <w:r w:rsidR="00812F8D" w:rsidRPr="00763B52">
        <w:rPr>
          <w:b/>
          <w:color w:val="000000"/>
          <w:sz w:val="22"/>
        </w:rPr>
        <w:t>Moderately Satisfactory</w:t>
      </w:r>
    </w:p>
    <w:p w14:paraId="3EAD7EE9" w14:textId="650B68B4" w:rsidR="00C02E5A" w:rsidRPr="007E025F" w:rsidRDefault="003E6846" w:rsidP="007E025F">
      <w:pPr>
        <w:pStyle w:val="ListParagraph"/>
        <w:numPr>
          <w:ilvl w:val="0"/>
          <w:numId w:val="34"/>
        </w:numPr>
        <w:ind w:left="0" w:firstLine="270"/>
        <w:jc w:val="both"/>
        <w:rPr>
          <w:color w:val="000000"/>
        </w:rPr>
      </w:pPr>
      <w:r w:rsidRPr="00992B9F">
        <w:rPr>
          <w:color w:val="000000"/>
        </w:rPr>
        <w:t>The overall responsibility of project implementation was with the JPUF and DSS. While JPUF is an autonomous institution established under the MOSW, the DSS is a designated Department under the same Ministry. While the status of DSS did not change throughout the project period, JPUF underwent a significant change and restructuring i.e. transitioning from a</w:t>
      </w:r>
      <w:r>
        <w:rPr>
          <w:color w:val="000000"/>
        </w:rPr>
        <w:t xml:space="preserve"> non-government majority entity to one with majority government representation</w:t>
      </w:r>
      <w:r w:rsidRPr="00992B9F">
        <w:rPr>
          <w:color w:val="000000"/>
        </w:rPr>
        <w:t>.</w:t>
      </w:r>
      <w:r>
        <w:rPr>
          <w:color w:val="000000"/>
        </w:rPr>
        <w:t xml:space="preserve"> </w:t>
      </w:r>
    </w:p>
    <w:p w14:paraId="5D93ADF7" w14:textId="77777777" w:rsidR="00C02E5A" w:rsidRDefault="00C02E5A" w:rsidP="00010C31">
      <w:pPr>
        <w:pStyle w:val="ListParagraph"/>
        <w:ind w:left="360"/>
        <w:jc w:val="both"/>
        <w:rPr>
          <w:color w:val="000000"/>
        </w:rPr>
      </w:pPr>
    </w:p>
    <w:p w14:paraId="4A3EBDFC" w14:textId="4C9C4D33" w:rsidR="005F5006" w:rsidRPr="007E025F" w:rsidRDefault="00DB50BB" w:rsidP="003E6846">
      <w:pPr>
        <w:pStyle w:val="ListParagraph"/>
        <w:numPr>
          <w:ilvl w:val="0"/>
          <w:numId w:val="34"/>
        </w:numPr>
        <w:ind w:left="0" w:firstLine="360"/>
        <w:jc w:val="both"/>
        <w:rPr>
          <w:color w:val="000000"/>
        </w:rPr>
      </w:pPr>
      <w:r w:rsidRPr="00992B9F">
        <w:rPr>
          <w:color w:val="000000"/>
        </w:rPr>
        <w:t xml:space="preserve"> </w:t>
      </w:r>
      <w:r w:rsidR="005358D6">
        <w:rPr>
          <w:b/>
          <w:i/>
        </w:rPr>
        <w:t>Phase 1</w:t>
      </w:r>
      <w:r w:rsidR="007E025F" w:rsidRPr="003440E4">
        <w:rPr>
          <w:b/>
          <w:i/>
        </w:rPr>
        <w:t xml:space="preserve"> (</w:t>
      </w:r>
      <w:r w:rsidR="00B11CF8">
        <w:rPr>
          <w:b/>
          <w:i/>
        </w:rPr>
        <w:t xml:space="preserve">July </w:t>
      </w:r>
      <w:r w:rsidR="007E025F" w:rsidRPr="003440E4">
        <w:rPr>
          <w:b/>
          <w:i/>
        </w:rPr>
        <w:t xml:space="preserve">2008 – </w:t>
      </w:r>
      <w:r w:rsidR="007E025F">
        <w:rPr>
          <w:b/>
          <w:i/>
        </w:rPr>
        <w:t>June</w:t>
      </w:r>
      <w:r w:rsidR="007E025F" w:rsidRPr="003440E4">
        <w:rPr>
          <w:b/>
          <w:i/>
        </w:rPr>
        <w:t xml:space="preserve"> 2011):</w:t>
      </w:r>
      <w:r w:rsidR="007E025F">
        <w:rPr>
          <w:b/>
          <w:i/>
        </w:rPr>
        <w:t xml:space="preserve"> </w:t>
      </w:r>
      <w:r w:rsidR="007E025F">
        <w:t>The implementing agencies during this phase were affected by the project uncertainties</w:t>
      </w:r>
      <w:r w:rsidR="006A761E">
        <w:t xml:space="preserve"> in addition to their own reorganization (in case of JPUF)</w:t>
      </w:r>
      <w:r w:rsidR="007E025F">
        <w:t xml:space="preserve">. This was particularly </w:t>
      </w:r>
      <w:r w:rsidR="006A761E">
        <w:t xml:space="preserve">true </w:t>
      </w:r>
      <w:r w:rsidR="007E025F">
        <w:t xml:space="preserve">during the period when the Bank team was in discussions with the MOSW for redesigning the project in line with the revised stance of the then government. The implementing agencies </w:t>
      </w:r>
      <w:r w:rsidR="00BE16C2">
        <w:t xml:space="preserve">were also </w:t>
      </w:r>
      <w:r w:rsidR="007E025F">
        <w:t xml:space="preserve">engaged with the task team to finalize the first project restructuring (level 1). </w:t>
      </w:r>
      <w:r w:rsidR="006A761E">
        <w:t>Therefore v</w:t>
      </w:r>
      <w:r w:rsidR="007E025F">
        <w:t>ery little core project activity happened during this period.</w:t>
      </w:r>
    </w:p>
    <w:p w14:paraId="63131193" w14:textId="77777777" w:rsidR="007E025F" w:rsidRPr="007E025F" w:rsidRDefault="007E025F" w:rsidP="007E025F">
      <w:pPr>
        <w:pStyle w:val="ListParagraph"/>
        <w:rPr>
          <w:color w:val="000000"/>
        </w:rPr>
      </w:pPr>
    </w:p>
    <w:p w14:paraId="09F6D2B0" w14:textId="1F5E16B0" w:rsidR="007E025F" w:rsidRPr="007E025F" w:rsidRDefault="005358D6" w:rsidP="007E025F">
      <w:pPr>
        <w:pStyle w:val="ListParagraph"/>
        <w:numPr>
          <w:ilvl w:val="0"/>
          <w:numId w:val="34"/>
        </w:numPr>
        <w:ind w:left="0" w:firstLine="360"/>
        <w:jc w:val="both"/>
        <w:rPr>
          <w:color w:val="000000"/>
        </w:rPr>
      </w:pPr>
      <w:r>
        <w:rPr>
          <w:b/>
          <w:i/>
        </w:rPr>
        <w:t>Phase 2</w:t>
      </w:r>
      <w:r w:rsidR="007E025F">
        <w:rPr>
          <w:b/>
          <w:i/>
        </w:rPr>
        <w:t xml:space="preserve"> (July 2011 – December 2013):</w:t>
      </w:r>
      <w:r w:rsidR="007E025F">
        <w:t xml:space="preserve"> During this phase both implementing agencies began project operations. Staff recruitment for both the PIU as well as those for the service centers was conducted. The project became operational with the starting of 7 ICPSCs and 10 DSCs. In order to improve project efficiency and outcomes, the implementing agencies supported the task team in the second restructuring. This restructuring also brought focus on the core activities of the project.</w:t>
      </w:r>
    </w:p>
    <w:p w14:paraId="7F90B631" w14:textId="77777777" w:rsidR="007E025F" w:rsidRPr="007E025F" w:rsidRDefault="007E025F" w:rsidP="007E025F">
      <w:pPr>
        <w:pStyle w:val="ListParagraph"/>
        <w:rPr>
          <w:color w:val="000000"/>
        </w:rPr>
      </w:pPr>
    </w:p>
    <w:p w14:paraId="6358DC94" w14:textId="5DC77E48" w:rsidR="007E025F" w:rsidRDefault="007E025F" w:rsidP="003E6846">
      <w:pPr>
        <w:pStyle w:val="ListParagraph"/>
        <w:numPr>
          <w:ilvl w:val="0"/>
          <w:numId w:val="34"/>
        </w:numPr>
        <w:ind w:left="0" w:firstLine="360"/>
        <w:jc w:val="both"/>
        <w:rPr>
          <w:color w:val="000000"/>
        </w:rPr>
      </w:pPr>
      <w:r w:rsidRPr="00E91188">
        <w:rPr>
          <w:b/>
          <w:i/>
        </w:rPr>
        <w:t xml:space="preserve">Phase </w:t>
      </w:r>
      <w:r w:rsidR="005358D6">
        <w:rPr>
          <w:b/>
          <w:i/>
        </w:rPr>
        <w:t>3</w:t>
      </w:r>
      <w:r w:rsidRPr="00E91188">
        <w:rPr>
          <w:b/>
          <w:i/>
        </w:rPr>
        <w:t xml:space="preserve"> (January 2014 – June 2016):</w:t>
      </w:r>
      <w:r>
        <w:t xml:space="preserve"> </w:t>
      </w:r>
      <w:r w:rsidRPr="00992B9F">
        <w:rPr>
          <w:color w:val="000000"/>
        </w:rPr>
        <w:t xml:space="preserve">Despite the delay, </w:t>
      </w:r>
      <w:r>
        <w:rPr>
          <w:color w:val="000000"/>
        </w:rPr>
        <w:t>the third phase saw the pr</w:t>
      </w:r>
      <w:r w:rsidR="007A53F2">
        <w:rPr>
          <w:color w:val="000000"/>
        </w:rPr>
        <w:t>o</w:t>
      </w:r>
      <w:r>
        <w:rPr>
          <w:color w:val="000000"/>
        </w:rPr>
        <w:t xml:space="preserve">ject achieving most of its results. Both the implementing agencies - </w:t>
      </w:r>
      <w:r w:rsidRPr="00992B9F">
        <w:rPr>
          <w:color w:val="000000"/>
        </w:rPr>
        <w:t>JPUF and DSS successfully established 10</w:t>
      </w:r>
      <w:r>
        <w:rPr>
          <w:color w:val="000000"/>
        </w:rPr>
        <w:t>3</w:t>
      </w:r>
      <w:r w:rsidRPr="00992B9F">
        <w:rPr>
          <w:color w:val="000000"/>
        </w:rPr>
        <w:t xml:space="preserve"> centers (50 through project support) and 11 centers respectively for their target populations. Despite shortages of technical human resource</w:t>
      </w:r>
      <w:r>
        <w:rPr>
          <w:color w:val="000000"/>
        </w:rPr>
        <w:t>s</w:t>
      </w:r>
      <w:r w:rsidRPr="00992B9F">
        <w:rPr>
          <w:color w:val="000000"/>
        </w:rPr>
        <w:t>, the</w:t>
      </w:r>
      <w:r>
        <w:rPr>
          <w:color w:val="000000"/>
        </w:rPr>
        <w:t xml:space="preserve"> </w:t>
      </w:r>
      <w:r w:rsidRPr="00992B9F">
        <w:rPr>
          <w:color w:val="000000"/>
        </w:rPr>
        <w:t>JPUF has been able to hire 367 staff (in 50 project supported centers) and DSS has a staff strength of 219 in the PIU and the centers. As indicated by the third party spot checks conducted, beneficiary satisfaction with the services rendered has been high. Other results of the spot checks have also been encouraging.</w:t>
      </w:r>
    </w:p>
    <w:p w14:paraId="48236CDF" w14:textId="77777777" w:rsidR="007E025F" w:rsidRPr="007E025F" w:rsidRDefault="007E025F" w:rsidP="007E025F">
      <w:pPr>
        <w:pStyle w:val="ListParagraph"/>
        <w:rPr>
          <w:color w:val="000000"/>
        </w:rPr>
      </w:pPr>
    </w:p>
    <w:p w14:paraId="0632062C" w14:textId="2816D2CC" w:rsidR="007E025F" w:rsidRPr="00992B9F" w:rsidRDefault="007E025F" w:rsidP="003E6846">
      <w:pPr>
        <w:pStyle w:val="ListParagraph"/>
        <w:numPr>
          <w:ilvl w:val="0"/>
          <w:numId w:val="34"/>
        </w:numPr>
        <w:ind w:left="0" w:firstLine="360"/>
        <w:jc w:val="both"/>
        <w:rPr>
          <w:color w:val="000000"/>
        </w:rPr>
      </w:pPr>
      <w:r w:rsidRPr="00992B9F">
        <w:rPr>
          <w:color w:val="000000"/>
        </w:rPr>
        <w:t xml:space="preserve">Moreover, both agencies have achieved most of the outcomes as per the results framework. On fiduciary issues, both </w:t>
      </w:r>
      <w:r w:rsidR="00730997">
        <w:rPr>
          <w:color w:val="000000"/>
        </w:rPr>
        <w:t>agencies had capacity issues</w:t>
      </w:r>
      <w:r w:rsidR="00FD32B5">
        <w:rPr>
          <w:color w:val="000000"/>
        </w:rPr>
        <w:t xml:space="preserve">. However, by phase </w:t>
      </w:r>
      <w:r w:rsidR="005358D6">
        <w:rPr>
          <w:color w:val="000000"/>
        </w:rPr>
        <w:t>3</w:t>
      </w:r>
      <w:r w:rsidR="00FD32B5">
        <w:rPr>
          <w:color w:val="000000"/>
        </w:rPr>
        <w:t xml:space="preserve"> when the bulk of procurement was undertaken, the implementing agencies showed enhanced capacities. As discussed in the section on procurement, there were instances of mis-procurement during phases </w:t>
      </w:r>
      <w:r w:rsidR="005358D6">
        <w:rPr>
          <w:color w:val="000000"/>
        </w:rPr>
        <w:t>1</w:t>
      </w:r>
      <w:r w:rsidR="00FD32B5">
        <w:rPr>
          <w:color w:val="000000"/>
        </w:rPr>
        <w:t xml:space="preserve"> and </w:t>
      </w:r>
      <w:r w:rsidR="005358D6">
        <w:rPr>
          <w:color w:val="000000"/>
        </w:rPr>
        <w:t>2</w:t>
      </w:r>
      <w:r w:rsidR="00FD32B5">
        <w:rPr>
          <w:color w:val="000000"/>
        </w:rPr>
        <w:t xml:space="preserve"> that </w:t>
      </w:r>
      <w:r w:rsidR="00FD32B5" w:rsidRPr="00992B9F">
        <w:rPr>
          <w:color w:val="000000"/>
        </w:rPr>
        <w:t>were brought to notice by the task team</w:t>
      </w:r>
      <w:r w:rsidR="00FD32B5">
        <w:rPr>
          <w:color w:val="000000"/>
        </w:rPr>
        <w:t xml:space="preserve">. The implementing agencies on their part took </w:t>
      </w:r>
      <w:r w:rsidR="00FD32B5" w:rsidRPr="00992B9F">
        <w:rPr>
          <w:color w:val="000000"/>
        </w:rPr>
        <w:t>prompt corrective action.</w:t>
      </w:r>
      <w:r w:rsidR="00FD32B5">
        <w:rPr>
          <w:color w:val="000000"/>
        </w:rPr>
        <w:t xml:space="preserve"> </w:t>
      </w:r>
      <w:r w:rsidRPr="00992B9F">
        <w:rPr>
          <w:color w:val="000000"/>
        </w:rPr>
        <w:t xml:space="preserve">Lastly, in the final phase of the project, the agencies were able to perform </w:t>
      </w:r>
      <w:r w:rsidR="00FD32B5">
        <w:rPr>
          <w:color w:val="000000"/>
        </w:rPr>
        <w:t>well</w:t>
      </w:r>
      <w:r w:rsidRPr="00992B9F">
        <w:rPr>
          <w:color w:val="000000"/>
        </w:rPr>
        <w:t xml:space="preserve"> and show high levels of efficiency and effectiveness. The performance has therefore been rated as </w:t>
      </w:r>
      <w:r w:rsidRPr="00DE1961">
        <w:rPr>
          <w:b/>
          <w:i/>
          <w:color w:val="000000"/>
        </w:rPr>
        <w:t>Moderately Satisfactory</w:t>
      </w:r>
      <w:r w:rsidRPr="00992B9F">
        <w:rPr>
          <w:color w:val="000000"/>
        </w:rPr>
        <w:t>.</w:t>
      </w:r>
    </w:p>
    <w:p w14:paraId="640B5897" w14:textId="77777777" w:rsidR="005F5006" w:rsidRDefault="005F5006" w:rsidP="00DB50BB">
      <w:pPr>
        <w:jc w:val="both"/>
        <w:rPr>
          <w:color w:val="000000"/>
        </w:rPr>
      </w:pPr>
    </w:p>
    <w:p w14:paraId="22529636" w14:textId="77777777" w:rsidR="00C67D43" w:rsidRDefault="00C67D43">
      <w:pPr>
        <w:spacing w:line="200" w:lineRule="atLeast"/>
        <w:rPr>
          <w:color w:val="000000"/>
          <w:sz w:val="22"/>
          <w:szCs w:val="22"/>
        </w:rPr>
      </w:pPr>
      <w:bookmarkStart w:id="150" w:name="SEC102B"/>
      <w:bookmarkEnd w:id="150"/>
      <w:r>
        <w:rPr>
          <w:rStyle w:val="Strong"/>
          <w:color w:val="000000"/>
          <w:sz w:val="22"/>
          <w:szCs w:val="22"/>
        </w:rPr>
        <w:t>(c) Justification of Rating for Overall Borrower Performance</w:t>
      </w:r>
    </w:p>
    <w:p w14:paraId="55596B09" w14:textId="77777777" w:rsidR="00EA09E2" w:rsidRPr="00763B52" w:rsidRDefault="000411CD" w:rsidP="00EA09E2">
      <w:pPr>
        <w:rPr>
          <w:b/>
          <w:sz w:val="22"/>
        </w:rPr>
      </w:pPr>
      <w:r w:rsidRPr="00763B52">
        <w:rPr>
          <w:b/>
          <w:sz w:val="22"/>
        </w:rPr>
        <w:t xml:space="preserve">Rating: </w:t>
      </w:r>
      <w:bookmarkStart w:id="151" w:name="RAT52C"/>
      <w:bookmarkEnd w:id="151"/>
      <w:r w:rsidR="00507C6A" w:rsidRPr="00763B52">
        <w:rPr>
          <w:b/>
          <w:sz w:val="22"/>
        </w:rPr>
        <w:t>Moderately Satisfactor</w:t>
      </w:r>
      <w:bookmarkStart w:id="152" w:name="SEC102C"/>
      <w:bookmarkEnd w:id="152"/>
      <w:r w:rsidR="00EA09E2" w:rsidRPr="00763B52">
        <w:rPr>
          <w:b/>
          <w:sz w:val="22"/>
        </w:rPr>
        <w:t>y</w:t>
      </w:r>
    </w:p>
    <w:p w14:paraId="2127692B" w14:textId="6C523CF3" w:rsidR="007E025F" w:rsidRDefault="007E025F" w:rsidP="007E025F">
      <w:pPr>
        <w:pStyle w:val="ListParagraph"/>
        <w:numPr>
          <w:ilvl w:val="0"/>
          <w:numId w:val="34"/>
        </w:numPr>
        <w:ind w:left="0" w:firstLine="360"/>
        <w:jc w:val="both"/>
      </w:pPr>
      <w:bookmarkStart w:id="153" w:name="_IL11"/>
      <w:bookmarkStart w:id="154" w:name="_Toc158019375"/>
      <w:r>
        <w:t xml:space="preserve">Despite initial delays owing to change in Government priorities at the Project outset, the borrower has worked towards realigning the project without losing sight of the target population and its needs. The borrower initiated services for persons with disabilities and children at risk and supported expansion and delivery of services, thus ensuring sustainability of operations. The overall borrower performance has therefore been rated as </w:t>
      </w:r>
      <w:r w:rsidRPr="00DE1961">
        <w:rPr>
          <w:b/>
          <w:i/>
        </w:rPr>
        <w:t>Moderately Satisfactory</w:t>
      </w:r>
      <w:r>
        <w:t>.</w:t>
      </w:r>
    </w:p>
    <w:p w14:paraId="216C7FC1" w14:textId="77777777" w:rsidR="00054BCC" w:rsidRPr="00C67D43" w:rsidRDefault="00054BCC" w:rsidP="00054BCC">
      <w:pPr>
        <w:pStyle w:val="ListParagraph"/>
        <w:ind w:left="360"/>
        <w:jc w:val="both"/>
      </w:pPr>
    </w:p>
    <w:p w14:paraId="67670930" w14:textId="025DA6A5" w:rsidR="00C67D43" w:rsidRDefault="00C67D43">
      <w:pPr>
        <w:pStyle w:val="Heading2"/>
      </w:pPr>
      <w:r>
        <w:t>6. Lessons Learned</w:t>
      </w:r>
      <w:bookmarkEnd w:id="153"/>
      <w:bookmarkEnd w:id="154"/>
      <w:r>
        <w:t xml:space="preserve"> </w:t>
      </w:r>
    </w:p>
    <w:p w14:paraId="76D854EB" w14:textId="77777777" w:rsidR="00C67D43" w:rsidRDefault="00C67D43">
      <w:r>
        <w:rPr>
          <w:i/>
          <w:iCs/>
        </w:rPr>
        <w:t>(both project-specific and of wide general application)</w:t>
      </w:r>
    </w:p>
    <w:p w14:paraId="643EBD72" w14:textId="77777777" w:rsidR="00C06AB2" w:rsidRDefault="00C06AB2" w:rsidP="00C67D43">
      <w:bookmarkStart w:id="155" w:name="SEC11"/>
      <w:bookmarkEnd w:id="155"/>
    </w:p>
    <w:p w14:paraId="55F6A4D7" w14:textId="6792631F" w:rsidR="0068740B" w:rsidRPr="005521CB" w:rsidRDefault="00CB6D01" w:rsidP="007E025F">
      <w:pPr>
        <w:pStyle w:val="ListParagraph"/>
        <w:numPr>
          <w:ilvl w:val="0"/>
          <w:numId w:val="34"/>
        </w:numPr>
        <w:ind w:left="0" w:firstLine="360"/>
        <w:jc w:val="both"/>
        <w:rPr>
          <w:b/>
        </w:rPr>
      </w:pPr>
      <w:r w:rsidRPr="00CB6D01">
        <w:rPr>
          <w:b/>
        </w:rPr>
        <w:t>It is important for the project team to spend adequate time and resources on preparation to assure high quality at entry,</w:t>
      </w:r>
      <w:r>
        <w:t xml:space="preserve"> which will be more likely to result in smooth preparation. Furthermore, it might be even more important for projects that are first of a kind or are the first project in a portfolio of a given global practice</w:t>
      </w:r>
      <w:r w:rsidR="0068740B">
        <w:t xml:space="preserve">. </w:t>
      </w:r>
      <w:r>
        <w:t>For example, the relatively fast preparation of the DCAR project allowed for the first lending project in the SP portfolio in Bangladesh. Nonetheless, poor quality at entry resulted in the need for multiple restructurings and significantly slowed down the implementation for the first five years of the project. Furthermore, given implementation challenges this project posed reputation risks for the World Bank in social protection sector in Bangladesh diminishing the possible “foot in the door” gains.  Lastly</w:t>
      </w:r>
      <w:r w:rsidR="005521CB">
        <w:t>,</w:t>
      </w:r>
      <w:r>
        <w:t xml:space="preserve"> low quality at entry did not allow for the learning from this project </w:t>
      </w:r>
      <w:r w:rsidR="00DF3DAF">
        <w:t xml:space="preserve">to happen </w:t>
      </w:r>
      <w:r>
        <w:t>through impact</w:t>
      </w:r>
      <w:r w:rsidR="00DF3DAF">
        <w:t xml:space="preserve"> evaluation and other tools. </w:t>
      </w:r>
    </w:p>
    <w:p w14:paraId="31C82DD0" w14:textId="77777777" w:rsidR="005521CB" w:rsidRPr="00DF3DAF" w:rsidRDefault="005521CB" w:rsidP="005521CB">
      <w:pPr>
        <w:pStyle w:val="ListParagraph"/>
        <w:ind w:left="360"/>
        <w:jc w:val="both"/>
        <w:rPr>
          <w:b/>
        </w:rPr>
      </w:pPr>
    </w:p>
    <w:p w14:paraId="07EC531E" w14:textId="77777777" w:rsidR="002419E1" w:rsidRPr="005521CB" w:rsidRDefault="00DF3DAF" w:rsidP="002419E1">
      <w:pPr>
        <w:pStyle w:val="ListParagraph"/>
        <w:numPr>
          <w:ilvl w:val="0"/>
          <w:numId w:val="34"/>
        </w:numPr>
        <w:ind w:left="0" w:firstLine="360"/>
        <w:jc w:val="both"/>
        <w:rPr>
          <w:b/>
        </w:rPr>
      </w:pPr>
      <w:r>
        <w:rPr>
          <w:b/>
        </w:rPr>
        <w:t xml:space="preserve"> In low capacity environments it might be better to have simpler design. </w:t>
      </w:r>
      <w:r>
        <w:t xml:space="preserve">While the initial project design did build on evidence of successful and innovative interventions, it did not properly tailor them to the context of a very complex challenge (i.e. service deliver to PWD and children-at-risk) with a very low capacity implementing agency. The subsequent restructurings were all an exercise in simplification and streamlining of the design. </w:t>
      </w:r>
    </w:p>
    <w:p w14:paraId="4C9FC5DB" w14:textId="77777777" w:rsidR="005521CB" w:rsidRPr="005521CB" w:rsidRDefault="005521CB" w:rsidP="005521CB">
      <w:pPr>
        <w:pStyle w:val="ListParagraph"/>
        <w:rPr>
          <w:b/>
        </w:rPr>
      </w:pPr>
    </w:p>
    <w:p w14:paraId="6B2ABA30" w14:textId="77777777" w:rsidR="005521CB" w:rsidRPr="005521CB" w:rsidRDefault="005521CB" w:rsidP="005521CB">
      <w:pPr>
        <w:pStyle w:val="ListParagraph"/>
        <w:numPr>
          <w:ilvl w:val="0"/>
          <w:numId w:val="34"/>
        </w:numPr>
        <w:ind w:left="0" w:firstLine="270"/>
        <w:jc w:val="both"/>
        <w:rPr>
          <w:b/>
        </w:rPr>
      </w:pPr>
      <w:r>
        <w:rPr>
          <w:b/>
        </w:rPr>
        <w:t xml:space="preserve"> </w:t>
      </w:r>
      <w:r w:rsidR="00DF3DAF" w:rsidRPr="002419E1">
        <w:rPr>
          <w:b/>
        </w:rPr>
        <w:t xml:space="preserve">Spend time on political economy analysis. </w:t>
      </w:r>
      <w:r w:rsidR="00DF3DAF">
        <w:t xml:space="preserve">In </w:t>
      </w:r>
      <w:r>
        <w:t>a</w:t>
      </w:r>
      <w:r w:rsidR="00DF3DAF">
        <w:t xml:space="preserve"> situation where the project team knew that there would be election just after the appraisal</w:t>
      </w:r>
      <w:r>
        <w:t>,</w:t>
      </w:r>
      <w:r w:rsidR="00DF3DAF">
        <w:t xml:space="preserve"> it would have made sense to invest more heavily into a proper political economy analysis and risk assessment. It is unlikely that the team would have been able to foresee the major changes in the government’s stance on social welfare policy, but it is possible that there were signs that pointed </w:t>
      </w:r>
      <w:r w:rsidR="007B06F5">
        <w:t>to this possibility and proper political economy analysis could have allowed to assess this. At the very least</w:t>
      </w:r>
      <w:r>
        <w:t>,</w:t>
      </w:r>
      <w:r w:rsidR="007B06F5">
        <w:t xml:space="preserve"> it would have informed the project of necessary time to build in for implementation delay due to government transition, or would have identified how vulnerable the project design could be to the change of particular counterparts. </w:t>
      </w:r>
    </w:p>
    <w:p w14:paraId="664060AA" w14:textId="77777777" w:rsidR="005521CB" w:rsidRPr="005521CB" w:rsidRDefault="005521CB" w:rsidP="005521CB">
      <w:pPr>
        <w:pStyle w:val="ListParagraph"/>
        <w:rPr>
          <w:b/>
        </w:rPr>
      </w:pPr>
    </w:p>
    <w:p w14:paraId="0F9F5A76" w14:textId="77777777" w:rsidR="000006F9" w:rsidRPr="000006F9" w:rsidRDefault="007B06F5" w:rsidP="000006F9">
      <w:pPr>
        <w:pStyle w:val="ListParagraph"/>
        <w:numPr>
          <w:ilvl w:val="0"/>
          <w:numId w:val="34"/>
        </w:numPr>
        <w:ind w:left="0" w:firstLine="270"/>
        <w:jc w:val="both"/>
        <w:rPr>
          <w:b/>
        </w:rPr>
      </w:pPr>
      <w:r w:rsidRPr="005521CB">
        <w:rPr>
          <w:b/>
        </w:rPr>
        <w:t xml:space="preserve">Restructuring even though painful can be beneficial. </w:t>
      </w:r>
      <w:r>
        <w:t xml:space="preserve">Despite the fact that all the project restructurings, and in particular the first one, were associated with significant implementation delays and involved investment of time and effort from both the Government and Bank, they are the reason that the project did manage to achieve and surpass what it initially set out to do contributing to the cause of the most vulnerable segments of the society. The team should be applauded for its patience and willingness to persevere through all the complications that come with restructurings and for its use of this tool to make the project more efficient and effective. </w:t>
      </w:r>
    </w:p>
    <w:p w14:paraId="0768F3C5" w14:textId="77777777" w:rsidR="000006F9" w:rsidRPr="000006F9" w:rsidRDefault="000006F9" w:rsidP="000006F9">
      <w:pPr>
        <w:pStyle w:val="ListParagraph"/>
        <w:rPr>
          <w:b/>
        </w:rPr>
      </w:pPr>
    </w:p>
    <w:p w14:paraId="51931159" w14:textId="6400CBC1" w:rsidR="000006F9" w:rsidRPr="000006F9" w:rsidRDefault="000006F9" w:rsidP="000006F9">
      <w:pPr>
        <w:pStyle w:val="ListParagraph"/>
        <w:numPr>
          <w:ilvl w:val="0"/>
          <w:numId w:val="34"/>
        </w:numPr>
        <w:ind w:left="0" w:firstLine="270"/>
        <w:jc w:val="both"/>
        <w:rPr>
          <w:b/>
        </w:rPr>
      </w:pPr>
      <w:r>
        <w:rPr>
          <w:b/>
        </w:rPr>
        <w:t xml:space="preserve"> </w:t>
      </w:r>
      <w:r w:rsidR="007B06F5" w:rsidRPr="000006F9">
        <w:rPr>
          <w:b/>
        </w:rPr>
        <w:t xml:space="preserve">It pays off to stay </w:t>
      </w:r>
      <w:r>
        <w:rPr>
          <w:b/>
        </w:rPr>
        <w:t xml:space="preserve">on </w:t>
      </w:r>
      <w:r w:rsidR="007B06F5" w:rsidRPr="000006F9">
        <w:rPr>
          <w:b/>
        </w:rPr>
        <w:t xml:space="preserve">the course. </w:t>
      </w:r>
      <w:r w:rsidR="007B06F5">
        <w:t>The team started working with the low capacity government agency on a very complicated project. The implementation of the project was not easy, but it did follow an upward trajectory. Most importantly, through the years in which the project was implemented the capacity of DSS and JPUF increased and now both are cited in the NSSS 2015, with DSS playing a major role in the implementation of social security programs and being a counterpart to the new lending project on Safety Net Modernization</w:t>
      </w:r>
      <w:r>
        <w:t>.</w:t>
      </w:r>
    </w:p>
    <w:p w14:paraId="2412C5CC" w14:textId="77777777" w:rsidR="000006F9" w:rsidRPr="000006F9" w:rsidRDefault="000006F9" w:rsidP="000006F9">
      <w:pPr>
        <w:pStyle w:val="ListParagraph"/>
        <w:rPr>
          <w:b/>
        </w:rPr>
      </w:pPr>
    </w:p>
    <w:p w14:paraId="3A791159" w14:textId="31B96D66" w:rsidR="007B06F5" w:rsidRPr="000006F9" w:rsidRDefault="000006F9" w:rsidP="000006F9">
      <w:pPr>
        <w:pStyle w:val="ListParagraph"/>
        <w:numPr>
          <w:ilvl w:val="0"/>
          <w:numId w:val="34"/>
        </w:numPr>
        <w:ind w:left="0" w:firstLine="270"/>
        <w:jc w:val="both"/>
        <w:rPr>
          <w:b/>
        </w:rPr>
      </w:pPr>
      <w:r>
        <w:rPr>
          <w:b/>
        </w:rPr>
        <w:t xml:space="preserve"> </w:t>
      </w:r>
      <w:r w:rsidR="00565825" w:rsidRPr="000006F9">
        <w:rPr>
          <w:b/>
        </w:rPr>
        <w:t xml:space="preserve">Implementation efforts should be recognized. </w:t>
      </w:r>
      <w:r w:rsidR="00565825">
        <w:t xml:space="preserve">The project persevered and delivered only due to relentless efforts of the team leaders that came after the appraisal, who had to sustain multiple restructurings due to poor quality at entry. The efforts that go into supervision of successful implementation should be recognized in the same way as the ability to deliver a project to the Board. This would also show the increased commitment of the World Bank Group to results and to long term impacts of its work. </w:t>
      </w:r>
    </w:p>
    <w:p w14:paraId="721EB18E" w14:textId="77777777" w:rsidR="00674C18" w:rsidRPr="00C672CC" w:rsidRDefault="00674C18" w:rsidP="00674C18">
      <w:pPr>
        <w:pStyle w:val="ListParagraph"/>
        <w:ind w:left="360"/>
        <w:jc w:val="both"/>
        <w:rPr>
          <w:b/>
        </w:rPr>
      </w:pPr>
    </w:p>
    <w:p w14:paraId="1B4C20BF" w14:textId="77777777" w:rsidR="00674C18" w:rsidRPr="00010C31" w:rsidRDefault="00674C18" w:rsidP="00010C31">
      <w:pPr>
        <w:jc w:val="both"/>
        <w:rPr>
          <w:b/>
        </w:rPr>
      </w:pPr>
    </w:p>
    <w:p w14:paraId="21932DFD" w14:textId="77777777" w:rsidR="00674C18" w:rsidRPr="00674C18" w:rsidRDefault="00674C18" w:rsidP="00674C18">
      <w:pPr>
        <w:jc w:val="both"/>
        <w:rPr>
          <w:b/>
        </w:rPr>
      </w:pPr>
    </w:p>
    <w:p w14:paraId="7942B439" w14:textId="77777777" w:rsidR="00674C18" w:rsidRPr="006D429F" w:rsidRDefault="00674C18" w:rsidP="00674C18">
      <w:pPr>
        <w:pStyle w:val="ListParagraph"/>
        <w:ind w:left="360"/>
        <w:jc w:val="both"/>
        <w:rPr>
          <w:b/>
        </w:rPr>
      </w:pPr>
    </w:p>
    <w:p w14:paraId="6335843D" w14:textId="77777777" w:rsidR="00C67D43" w:rsidRDefault="00C67D43">
      <w:pPr>
        <w:pStyle w:val="Heading2"/>
      </w:pPr>
      <w:bookmarkStart w:id="156" w:name="_IL12"/>
      <w:bookmarkStart w:id="157" w:name="_Toc158019376"/>
      <w:r>
        <w:t xml:space="preserve">7. </w:t>
      </w:r>
      <w:bookmarkStart w:id="158" w:name="SECT_7_RE_LBL"/>
      <w:r>
        <w:t>Comments on Issues Raised by Borrower/Implementing Agencies/Partners</w:t>
      </w:r>
      <w:bookmarkEnd w:id="156"/>
      <w:bookmarkEnd w:id="157"/>
      <w:bookmarkEnd w:id="158"/>
      <w:r>
        <w:t xml:space="preserve"> </w:t>
      </w:r>
    </w:p>
    <w:p w14:paraId="171EF1C7" w14:textId="77777777" w:rsidR="00C67D43" w:rsidRDefault="00C67D43">
      <w:pPr>
        <w:spacing w:line="200" w:lineRule="atLeast"/>
        <w:rPr>
          <w:color w:val="000000"/>
          <w:sz w:val="22"/>
          <w:szCs w:val="22"/>
        </w:rPr>
      </w:pPr>
      <w:r>
        <w:rPr>
          <w:rStyle w:val="Strong"/>
          <w:color w:val="000000"/>
          <w:sz w:val="22"/>
          <w:szCs w:val="22"/>
        </w:rPr>
        <w:t xml:space="preserve">(a) </w:t>
      </w:r>
      <w:bookmarkStart w:id="159" w:name="SECT_7a_RE_LBL"/>
      <w:r>
        <w:rPr>
          <w:rStyle w:val="Strong"/>
          <w:color w:val="000000"/>
          <w:sz w:val="22"/>
          <w:szCs w:val="22"/>
        </w:rPr>
        <w:t>Borrower/implementing agencies</w:t>
      </w:r>
      <w:bookmarkEnd w:id="159"/>
    </w:p>
    <w:p w14:paraId="192E1C10" w14:textId="77777777" w:rsidR="00C67D43" w:rsidRDefault="00C67D43" w:rsidP="00C67D43">
      <w:bookmarkStart w:id="160" w:name="SEC12A"/>
      <w:bookmarkEnd w:id="160"/>
    </w:p>
    <w:p w14:paraId="18F75134" w14:textId="77777777" w:rsidR="00C67D43" w:rsidRDefault="00C67D43">
      <w:pPr>
        <w:spacing w:line="200" w:lineRule="atLeast"/>
        <w:rPr>
          <w:color w:val="000000"/>
          <w:sz w:val="22"/>
          <w:szCs w:val="22"/>
        </w:rPr>
      </w:pPr>
      <w:r>
        <w:rPr>
          <w:rStyle w:val="Strong"/>
          <w:color w:val="000000"/>
          <w:sz w:val="22"/>
          <w:szCs w:val="22"/>
        </w:rPr>
        <w:t xml:space="preserve">(b) </w:t>
      </w:r>
      <w:bookmarkStart w:id="161" w:name="SECT_7b_RE_LBL"/>
      <w:r>
        <w:rPr>
          <w:rStyle w:val="Strong"/>
          <w:color w:val="000000"/>
          <w:sz w:val="22"/>
          <w:szCs w:val="22"/>
        </w:rPr>
        <w:t>Cofinanciers</w:t>
      </w:r>
      <w:bookmarkEnd w:id="161"/>
    </w:p>
    <w:p w14:paraId="62F304FD" w14:textId="77777777" w:rsidR="00C67D43" w:rsidRDefault="00C67D43" w:rsidP="00C67D43">
      <w:bookmarkStart w:id="162" w:name="SEC12B"/>
      <w:bookmarkEnd w:id="162"/>
    </w:p>
    <w:p w14:paraId="20135A98" w14:textId="77777777" w:rsidR="00775151" w:rsidRDefault="00C67D43">
      <w:pPr>
        <w:spacing w:line="200" w:lineRule="atLeast"/>
        <w:rPr>
          <w:color w:val="000000"/>
          <w:sz w:val="22"/>
          <w:szCs w:val="22"/>
        </w:rPr>
      </w:pPr>
      <w:r>
        <w:rPr>
          <w:rStyle w:val="Strong"/>
          <w:color w:val="000000"/>
          <w:sz w:val="22"/>
          <w:szCs w:val="22"/>
        </w:rPr>
        <w:t>(c) Other partners and stakeholders</w:t>
      </w:r>
      <w:r>
        <w:rPr>
          <w:color w:val="000000"/>
          <w:sz w:val="22"/>
          <w:szCs w:val="22"/>
        </w:rPr>
        <w:t xml:space="preserve"> </w:t>
      </w:r>
    </w:p>
    <w:p w14:paraId="2187364A" w14:textId="77777777" w:rsidR="00C67D43" w:rsidRDefault="00C67D43">
      <w:pPr>
        <w:spacing w:line="200" w:lineRule="atLeast"/>
        <w:rPr>
          <w:color w:val="000000"/>
          <w:sz w:val="22"/>
          <w:szCs w:val="22"/>
        </w:rPr>
      </w:pPr>
      <w:r>
        <w:rPr>
          <w:i/>
          <w:iCs/>
          <w:color w:val="000000"/>
          <w:sz w:val="22"/>
          <w:szCs w:val="22"/>
        </w:rPr>
        <w:t>(e.g. NGOs/private sector/civil society)</w:t>
      </w:r>
    </w:p>
    <w:p w14:paraId="5B3A69C8" w14:textId="77777777" w:rsidR="00C67D43" w:rsidRDefault="00C67D43" w:rsidP="00C67D43">
      <w:bookmarkStart w:id="163" w:name="SEC12C"/>
      <w:bookmarkEnd w:id="163"/>
    </w:p>
    <w:p w14:paraId="6AF900A2" w14:textId="77777777" w:rsidR="0072795A" w:rsidRDefault="00E03DE1" w:rsidP="00981893">
      <w:pPr>
        <w:pStyle w:val="Heading2"/>
      </w:pPr>
      <w:r>
        <w:br w:type="page"/>
      </w:r>
      <w:bookmarkStart w:id="164" w:name="_IL15"/>
      <w:bookmarkStart w:id="165" w:name="_Toc158019377"/>
      <w:r w:rsidR="0072795A">
        <w:t>Annex 1. Project Costs and Financing</w:t>
      </w:r>
      <w:bookmarkEnd w:id="164"/>
      <w:bookmarkEnd w:id="165"/>
      <w:r w:rsidR="0072795A">
        <w:t xml:space="preserve"> </w:t>
      </w:r>
    </w:p>
    <w:p w14:paraId="6D9A4507" w14:textId="77777777" w:rsidR="0072795A" w:rsidRDefault="0072795A" w:rsidP="00CD3651">
      <w:pPr>
        <w:pStyle w:val="Heading3"/>
      </w:pPr>
      <w:r>
        <w:t>(a) Project Cost by Component (in USD Million equivalent)</w:t>
      </w:r>
    </w:p>
    <w:p w14:paraId="52571940" w14:textId="77777777" w:rsidR="0072795A" w:rsidRDefault="0072795A" w:rsidP="00CD3651">
      <w:pPr>
        <w:rPr>
          <w:vanish/>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058"/>
        <w:gridCol w:w="1857"/>
        <w:gridCol w:w="1857"/>
        <w:gridCol w:w="1858"/>
      </w:tblGrid>
      <w:tr w:rsidR="0072795A" w14:paraId="33E2BF98" w14:textId="77777777" w:rsidTr="008A3F84">
        <w:tc>
          <w:tcPr>
            <w:tcW w:w="307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727081E4" w14:textId="77777777" w:rsidR="0072795A" w:rsidRDefault="0072795A" w:rsidP="00CD3651">
            <w:pPr>
              <w:jc w:val="center"/>
              <w:rPr>
                <w:b/>
                <w:bCs/>
                <w:color w:val="606060"/>
                <w:sz w:val="22"/>
                <w:szCs w:val="22"/>
              </w:rPr>
            </w:pPr>
            <w:r>
              <w:rPr>
                <w:b/>
                <w:bCs/>
                <w:color w:val="606060"/>
                <w:sz w:val="22"/>
                <w:szCs w:val="22"/>
              </w:rPr>
              <w:t>Components</w:t>
            </w:r>
          </w:p>
        </w:tc>
        <w:tc>
          <w:tcPr>
            <w:tcW w:w="1863"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6133F945" w14:textId="77777777" w:rsidR="0072795A" w:rsidRDefault="0072795A" w:rsidP="00CD3651">
            <w:pPr>
              <w:jc w:val="center"/>
              <w:rPr>
                <w:b/>
                <w:bCs/>
                <w:color w:val="606060"/>
                <w:sz w:val="22"/>
                <w:szCs w:val="22"/>
              </w:rPr>
            </w:pPr>
            <w:r>
              <w:rPr>
                <w:b/>
                <w:bCs/>
                <w:color w:val="606060"/>
                <w:sz w:val="22"/>
                <w:szCs w:val="22"/>
              </w:rPr>
              <w:t xml:space="preserve">Appraisal Estimate (USD </w:t>
            </w:r>
            <w:r w:rsidR="000411CD">
              <w:rPr>
                <w:b/>
                <w:bCs/>
                <w:color w:val="606060"/>
                <w:sz w:val="22"/>
                <w:szCs w:val="22"/>
              </w:rPr>
              <w:t>millions</w:t>
            </w:r>
            <w:r>
              <w:rPr>
                <w:b/>
                <w:bCs/>
                <w:color w:val="606060"/>
                <w:sz w:val="22"/>
                <w:szCs w:val="22"/>
              </w:rPr>
              <w:t>)</w:t>
            </w:r>
          </w:p>
        </w:tc>
        <w:tc>
          <w:tcPr>
            <w:tcW w:w="1863"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21EEA635" w14:textId="77777777" w:rsidR="0072795A" w:rsidRDefault="0072795A" w:rsidP="00CD3651">
            <w:pPr>
              <w:jc w:val="center"/>
              <w:rPr>
                <w:b/>
                <w:bCs/>
                <w:color w:val="606060"/>
                <w:sz w:val="22"/>
                <w:szCs w:val="22"/>
              </w:rPr>
            </w:pPr>
            <w:r>
              <w:rPr>
                <w:b/>
                <w:bCs/>
                <w:color w:val="606060"/>
                <w:sz w:val="22"/>
                <w:szCs w:val="22"/>
              </w:rPr>
              <w:t xml:space="preserve">Actual/Latest Estimate (USD </w:t>
            </w:r>
            <w:r w:rsidR="000411CD">
              <w:rPr>
                <w:b/>
                <w:bCs/>
                <w:color w:val="606060"/>
                <w:sz w:val="22"/>
                <w:szCs w:val="22"/>
              </w:rPr>
              <w:t>millions</w:t>
            </w:r>
            <w:r>
              <w:rPr>
                <w:b/>
                <w:bCs/>
                <w:color w:val="606060"/>
                <w:sz w:val="22"/>
                <w:szCs w:val="22"/>
              </w:rPr>
              <w:t>)</w:t>
            </w:r>
          </w:p>
        </w:tc>
        <w:tc>
          <w:tcPr>
            <w:tcW w:w="1864"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5B6B066F" w14:textId="77777777" w:rsidR="0072795A" w:rsidRDefault="0072795A" w:rsidP="00CD3651">
            <w:pPr>
              <w:jc w:val="center"/>
              <w:rPr>
                <w:b/>
                <w:bCs/>
                <w:color w:val="606060"/>
                <w:sz w:val="22"/>
                <w:szCs w:val="22"/>
              </w:rPr>
            </w:pPr>
            <w:r>
              <w:rPr>
                <w:b/>
                <w:bCs/>
                <w:color w:val="606060"/>
                <w:sz w:val="22"/>
                <w:szCs w:val="22"/>
              </w:rPr>
              <w:t>Percentage of Appraisal</w:t>
            </w:r>
          </w:p>
        </w:tc>
      </w:tr>
    </w:tbl>
    <w:p w14:paraId="1CDCF9F2" w14:textId="77777777" w:rsidR="0072795A" w:rsidRPr="0072795A" w:rsidRDefault="0072795A" w:rsidP="0011054E">
      <w:pPr>
        <w:pBdr>
          <w:left w:val="single" w:sz="4" w:space="4" w:color="B1B1B1"/>
          <w:right w:val="single" w:sz="4" w:space="4" w:color="B1B1B1"/>
        </w:pBdr>
        <w:tabs>
          <w:tab w:val="left" w:pos="2140"/>
          <w:tab w:val="left" w:pos="4290"/>
          <w:tab w:val="left" w:pos="6782"/>
        </w:tabs>
        <w:ind w:left="90" w:right="108"/>
        <w:rPr>
          <w:color w:val="000000"/>
          <w:sz w:val="2"/>
          <w:szCs w:val="2"/>
        </w:rPr>
      </w:pPr>
      <w:bookmarkStart w:id="166" w:name="COMP"/>
      <w:bookmarkEnd w:id="166"/>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058"/>
        <w:gridCol w:w="1857"/>
        <w:gridCol w:w="1857"/>
        <w:gridCol w:w="1858"/>
      </w:tblGrid>
      <w:tr w:rsidR="008374D5" w14:paraId="48387286" w14:textId="77777777" w:rsidTr="00E24BEA">
        <w:tc>
          <w:tcPr>
            <w:tcW w:w="3058" w:type="dxa"/>
            <w:tcBorders>
              <w:left w:val="single" w:sz="4" w:space="0" w:color="B1B1B1"/>
              <w:bottom w:val="single" w:sz="4" w:space="0" w:color="B1B1B1"/>
              <w:right w:val="single" w:sz="4" w:space="0" w:color="B1B1B1"/>
            </w:tcBorders>
            <w:vAlign w:val="center"/>
          </w:tcPr>
          <w:p w14:paraId="646D7694" w14:textId="77777777" w:rsidR="008374D5" w:rsidRDefault="00E24BEA" w:rsidP="008374D5">
            <w:pPr>
              <w:spacing w:line="200" w:lineRule="atLeast"/>
              <w:rPr>
                <w:color w:val="000000"/>
                <w:sz w:val="22"/>
                <w:szCs w:val="22"/>
              </w:rPr>
            </w:pPr>
            <w:r>
              <w:rPr>
                <w:color w:val="000000"/>
                <w:sz w:val="22"/>
                <w:szCs w:val="22"/>
              </w:rPr>
              <w:t>Component 1</w:t>
            </w:r>
          </w:p>
        </w:tc>
        <w:tc>
          <w:tcPr>
            <w:tcW w:w="1857" w:type="dxa"/>
            <w:tcBorders>
              <w:left w:val="single" w:sz="4" w:space="0" w:color="B1B1B1"/>
              <w:bottom w:val="single" w:sz="4" w:space="0" w:color="B1B1B1"/>
              <w:right w:val="single" w:sz="4" w:space="0" w:color="B1B1B1"/>
            </w:tcBorders>
            <w:shd w:val="clear" w:color="auto" w:fill="auto"/>
            <w:vAlign w:val="center"/>
          </w:tcPr>
          <w:p w14:paraId="566AF869" w14:textId="77777777" w:rsidR="008374D5" w:rsidRDefault="00515840" w:rsidP="00E24BEA">
            <w:pPr>
              <w:tabs>
                <w:tab w:val="decimal" w:pos="977"/>
              </w:tabs>
              <w:spacing w:line="200" w:lineRule="atLeast"/>
              <w:rPr>
                <w:color w:val="000000"/>
                <w:sz w:val="22"/>
                <w:szCs w:val="22"/>
              </w:rPr>
            </w:pPr>
            <w:r>
              <w:rPr>
                <w:color w:val="000000"/>
                <w:sz w:val="22"/>
                <w:szCs w:val="22"/>
              </w:rPr>
              <w:t xml:space="preserve">   </w:t>
            </w:r>
            <w:r w:rsidR="00E24BEA">
              <w:rPr>
                <w:color w:val="000000"/>
                <w:sz w:val="22"/>
                <w:szCs w:val="22"/>
              </w:rPr>
              <w:t>21.6</w:t>
            </w:r>
          </w:p>
        </w:tc>
        <w:tc>
          <w:tcPr>
            <w:tcW w:w="1857" w:type="dxa"/>
            <w:tcBorders>
              <w:left w:val="single" w:sz="4" w:space="0" w:color="B1B1B1"/>
              <w:bottom w:val="single" w:sz="4" w:space="0" w:color="B1B1B1"/>
              <w:right w:val="single" w:sz="4" w:space="0" w:color="B1B1B1"/>
            </w:tcBorders>
            <w:shd w:val="clear" w:color="auto" w:fill="auto"/>
            <w:vAlign w:val="center"/>
          </w:tcPr>
          <w:p w14:paraId="60C8BC85" w14:textId="77777777" w:rsidR="008374D5" w:rsidRDefault="00515840" w:rsidP="008374D5">
            <w:pPr>
              <w:tabs>
                <w:tab w:val="decimal" w:pos="1091"/>
              </w:tabs>
              <w:spacing w:line="200" w:lineRule="atLeast"/>
              <w:rPr>
                <w:color w:val="000000"/>
                <w:sz w:val="22"/>
                <w:szCs w:val="22"/>
              </w:rPr>
            </w:pPr>
            <w:r>
              <w:rPr>
                <w:color w:val="000000"/>
                <w:sz w:val="22"/>
                <w:szCs w:val="22"/>
              </w:rPr>
              <w:t xml:space="preserve"> 11.5</w:t>
            </w:r>
          </w:p>
        </w:tc>
        <w:tc>
          <w:tcPr>
            <w:tcW w:w="1858" w:type="dxa"/>
            <w:tcBorders>
              <w:left w:val="single" w:sz="4" w:space="0" w:color="B1B1B1"/>
              <w:bottom w:val="single" w:sz="4" w:space="0" w:color="B1B1B1"/>
              <w:right w:val="single" w:sz="4" w:space="0" w:color="B1B1B1"/>
            </w:tcBorders>
            <w:shd w:val="clear" w:color="auto" w:fill="auto"/>
            <w:vAlign w:val="center"/>
          </w:tcPr>
          <w:p w14:paraId="0FF51522" w14:textId="77777777" w:rsidR="008374D5" w:rsidRDefault="00515840" w:rsidP="008374D5">
            <w:pPr>
              <w:spacing w:line="200" w:lineRule="atLeast"/>
              <w:jc w:val="center"/>
              <w:rPr>
                <w:color w:val="000000"/>
                <w:sz w:val="22"/>
                <w:szCs w:val="22"/>
              </w:rPr>
            </w:pPr>
            <w:r>
              <w:rPr>
                <w:color w:val="000000"/>
                <w:sz w:val="22"/>
                <w:szCs w:val="22"/>
              </w:rPr>
              <w:t>53%</w:t>
            </w:r>
          </w:p>
        </w:tc>
      </w:tr>
      <w:tr w:rsidR="00E24BEA" w14:paraId="73F8423B" w14:textId="77777777" w:rsidTr="00E24BEA">
        <w:tc>
          <w:tcPr>
            <w:tcW w:w="3058" w:type="dxa"/>
            <w:tcBorders>
              <w:left w:val="single" w:sz="4" w:space="0" w:color="B1B1B1"/>
              <w:bottom w:val="single" w:sz="4" w:space="0" w:color="B1B1B1"/>
              <w:right w:val="single" w:sz="4" w:space="0" w:color="B1B1B1"/>
            </w:tcBorders>
            <w:vAlign w:val="center"/>
          </w:tcPr>
          <w:p w14:paraId="388E48DC" w14:textId="77777777" w:rsidR="00E24BEA" w:rsidRDefault="00E24BEA" w:rsidP="008374D5">
            <w:pPr>
              <w:spacing w:line="200" w:lineRule="atLeast"/>
              <w:rPr>
                <w:color w:val="000000"/>
                <w:sz w:val="22"/>
                <w:szCs w:val="22"/>
              </w:rPr>
            </w:pPr>
            <w:r>
              <w:rPr>
                <w:color w:val="000000"/>
                <w:sz w:val="22"/>
                <w:szCs w:val="22"/>
              </w:rPr>
              <w:t>Component 2</w:t>
            </w:r>
          </w:p>
        </w:tc>
        <w:tc>
          <w:tcPr>
            <w:tcW w:w="1857" w:type="dxa"/>
            <w:tcBorders>
              <w:left w:val="single" w:sz="4" w:space="0" w:color="B1B1B1"/>
              <w:bottom w:val="single" w:sz="4" w:space="0" w:color="B1B1B1"/>
              <w:right w:val="single" w:sz="4" w:space="0" w:color="B1B1B1"/>
            </w:tcBorders>
            <w:shd w:val="clear" w:color="auto" w:fill="auto"/>
            <w:vAlign w:val="center"/>
          </w:tcPr>
          <w:p w14:paraId="458DF304" w14:textId="77777777" w:rsidR="00E24BEA" w:rsidRDefault="00E24BEA" w:rsidP="00E24BEA">
            <w:pPr>
              <w:tabs>
                <w:tab w:val="decimal" w:pos="977"/>
              </w:tabs>
              <w:spacing w:line="200" w:lineRule="atLeast"/>
              <w:rPr>
                <w:color w:val="000000"/>
                <w:sz w:val="22"/>
                <w:szCs w:val="22"/>
              </w:rPr>
            </w:pPr>
            <w:r>
              <w:rPr>
                <w:color w:val="000000"/>
                <w:sz w:val="22"/>
                <w:szCs w:val="22"/>
              </w:rPr>
              <w:t>9.14</w:t>
            </w:r>
          </w:p>
        </w:tc>
        <w:tc>
          <w:tcPr>
            <w:tcW w:w="1857" w:type="dxa"/>
            <w:tcBorders>
              <w:left w:val="single" w:sz="4" w:space="0" w:color="B1B1B1"/>
              <w:bottom w:val="single" w:sz="4" w:space="0" w:color="B1B1B1"/>
              <w:right w:val="single" w:sz="4" w:space="0" w:color="B1B1B1"/>
            </w:tcBorders>
            <w:shd w:val="clear" w:color="auto" w:fill="auto"/>
            <w:vAlign w:val="center"/>
          </w:tcPr>
          <w:p w14:paraId="71B0CB26" w14:textId="77777777" w:rsidR="00E24BEA" w:rsidRDefault="00515840" w:rsidP="008374D5">
            <w:pPr>
              <w:tabs>
                <w:tab w:val="decimal" w:pos="1091"/>
              </w:tabs>
              <w:spacing w:line="200" w:lineRule="atLeast"/>
              <w:rPr>
                <w:color w:val="000000"/>
                <w:sz w:val="22"/>
                <w:szCs w:val="22"/>
              </w:rPr>
            </w:pPr>
            <w:r>
              <w:rPr>
                <w:color w:val="000000"/>
                <w:sz w:val="22"/>
                <w:szCs w:val="22"/>
              </w:rPr>
              <w:t>5.7</w:t>
            </w:r>
          </w:p>
        </w:tc>
        <w:tc>
          <w:tcPr>
            <w:tcW w:w="1858" w:type="dxa"/>
            <w:tcBorders>
              <w:left w:val="single" w:sz="4" w:space="0" w:color="B1B1B1"/>
              <w:bottom w:val="single" w:sz="4" w:space="0" w:color="B1B1B1"/>
              <w:right w:val="single" w:sz="4" w:space="0" w:color="B1B1B1"/>
            </w:tcBorders>
            <w:shd w:val="clear" w:color="auto" w:fill="auto"/>
            <w:vAlign w:val="center"/>
          </w:tcPr>
          <w:p w14:paraId="266E63D2" w14:textId="77777777" w:rsidR="00E24BEA" w:rsidRDefault="00515840" w:rsidP="008374D5">
            <w:pPr>
              <w:spacing w:line="200" w:lineRule="atLeast"/>
              <w:jc w:val="center"/>
              <w:rPr>
                <w:color w:val="000000"/>
                <w:sz w:val="22"/>
                <w:szCs w:val="22"/>
              </w:rPr>
            </w:pPr>
            <w:r>
              <w:rPr>
                <w:color w:val="000000"/>
                <w:sz w:val="22"/>
                <w:szCs w:val="22"/>
              </w:rPr>
              <w:t>62%</w:t>
            </w:r>
          </w:p>
        </w:tc>
      </w:tr>
      <w:tr w:rsidR="00E24BEA" w14:paraId="27327992" w14:textId="77777777" w:rsidTr="00E24BEA">
        <w:tc>
          <w:tcPr>
            <w:tcW w:w="3058" w:type="dxa"/>
            <w:tcBorders>
              <w:left w:val="single" w:sz="4" w:space="0" w:color="B1B1B1"/>
              <w:bottom w:val="single" w:sz="4" w:space="0" w:color="B1B1B1"/>
              <w:right w:val="single" w:sz="4" w:space="0" w:color="B1B1B1"/>
            </w:tcBorders>
            <w:vAlign w:val="center"/>
          </w:tcPr>
          <w:p w14:paraId="1611D490" w14:textId="77777777" w:rsidR="00E24BEA" w:rsidRDefault="00E24BEA" w:rsidP="008374D5">
            <w:pPr>
              <w:spacing w:line="200" w:lineRule="atLeast"/>
              <w:rPr>
                <w:color w:val="000000"/>
                <w:sz w:val="22"/>
                <w:szCs w:val="22"/>
              </w:rPr>
            </w:pPr>
            <w:r>
              <w:rPr>
                <w:color w:val="000000"/>
                <w:sz w:val="22"/>
                <w:szCs w:val="22"/>
              </w:rPr>
              <w:t>Component 3</w:t>
            </w:r>
          </w:p>
        </w:tc>
        <w:tc>
          <w:tcPr>
            <w:tcW w:w="1857" w:type="dxa"/>
            <w:tcBorders>
              <w:left w:val="single" w:sz="4" w:space="0" w:color="B1B1B1"/>
              <w:bottom w:val="single" w:sz="4" w:space="0" w:color="B1B1B1"/>
              <w:right w:val="single" w:sz="4" w:space="0" w:color="B1B1B1"/>
            </w:tcBorders>
            <w:shd w:val="clear" w:color="auto" w:fill="auto"/>
            <w:vAlign w:val="center"/>
          </w:tcPr>
          <w:p w14:paraId="451446FE" w14:textId="77777777" w:rsidR="00E24BEA" w:rsidRDefault="00E24BEA" w:rsidP="00E24BEA">
            <w:pPr>
              <w:tabs>
                <w:tab w:val="decimal" w:pos="977"/>
              </w:tabs>
              <w:spacing w:line="200" w:lineRule="atLeast"/>
              <w:rPr>
                <w:color w:val="000000"/>
                <w:sz w:val="22"/>
                <w:szCs w:val="22"/>
              </w:rPr>
            </w:pPr>
            <w:r>
              <w:rPr>
                <w:color w:val="000000"/>
                <w:sz w:val="22"/>
                <w:szCs w:val="22"/>
              </w:rPr>
              <w:t>2.75</w:t>
            </w:r>
          </w:p>
        </w:tc>
        <w:tc>
          <w:tcPr>
            <w:tcW w:w="1857" w:type="dxa"/>
            <w:tcBorders>
              <w:left w:val="single" w:sz="4" w:space="0" w:color="B1B1B1"/>
              <w:bottom w:val="single" w:sz="4" w:space="0" w:color="B1B1B1"/>
              <w:right w:val="single" w:sz="4" w:space="0" w:color="B1B1B1"/>
            </w:tcBorders>
            <w:shd w:val="clear" w:color="auto" w:fill="auto"/>
            <w:vAlign w:val="center"/>
          </w:tcPr>
          <w:p w14:paraId="35F45E55" w14:textId="77777777" w:rsidR="00E24BEA" w:rsidRDefault="00515840" w:rsidP="008374D5">
            <w:pPr>
              <w:tabs>
                <w:tab w:val="decimal" w:pos="1091"/>
              </w:tabs>
              <w:spacing w:line="200" w:lineRule="atLeast"/>
              <w:rPr>
                <w:color w:val="000000"/>
                <w:sz w:val="22"/>
                <w:szCs w:val="22"/>
              </w:rPr>
            </w:pPr>
            <w:r>
              <w:rPr>
                <w:color w:val="000000"/>
                <w:sz w:val="22"/>
                <w:szCs w:val="22"/>
              </w:rPr>
              <w:t>0.00</w:t>
            </w:r>
          </w:p>
        </w:tc>
        <w:tc>
          <w:tcPr>
            <w:tcW w:w="1858" w:type="dxa"/>
            <w:tcBorders>
              <w:left w:val="single" w:sz="4" w:space="0" w:color="B1B1B1"/>
              <w:bottom w:val="single" w:sz="4" w:space="0" w:color="B1B1B1"/>
              <w:right w:val="single" w:sz="4" w:space="0" w:color="B1B1B1"/>
            </w:tcBorders>
            <w:shd w:val="clear" w:color="auto" w:fill="auto"/>
            <w:vAlign w:val="center"/>
          </w:tcPr>
          <w:p w14:paraId="7AD3B778" w14:textId="77777777" w:rsidR="00E24BEA" w:rsidRDefault="00515840" w:rsidP="008374D5">
            <w:pPr>
              <w:spacing w:line="200" w:lineRule="atLeast"/>
              <w:jc w:val="center"/>
              <w:rPr>
                <w:color w:val="000000"/>
                <w:sz w:val="22"/>
                <w:szCs w:val="22"/>
              </w:rPr>
            </w:pPr>
            <w:r>
              <w:rPr>
                <w:color w:val="000000"/>
                <w:sz w:val="22"/>
                <w:szCs w:val="22"/>
              </w:rPr>
              <w:t>0%</w:t>
            </w:r>
          </w:p>
        </w:tc>
      </w:tr>
      <w:tr w:rsidR="0072795A" w14:paraId="37C44B59" w14:textId="77777777" w:rsidTr="00E24BEA">
        <w:tc>
          <w:tcPr>
            <w:tcW w:w="3058" w:type="dxa"/>
            <w:tcBorders>
              <w:top w:val="single" w:sz="4" w:space="0" w:color="B1B1B1"/>
              <w:left w:val="single" w:sz="4" w:space="0" w:color="B1B1B1"/>
              <w:bottom w:val="single" w:sz="4" w:space="0" w:color="B1B1B1"/>
              <w:right w:val="single" w:sz="4" w:space="0" w:color="B1B1B1"/>
            </w:tcBorders>
            <w:vAlign w:val="center"/>
          </w:tcPr>
          <w:p w14:paraId="566E9CFF" w14:textId="77777777" w:rsidR="0072795A" w:rsidRDefault="0072795A" w:rsidP="00CD3651">
            <w:pPr>
              <w:spacing w:line="200" w:lineRule="atLeast"/>
              <w:jc w:val="right"/>
              <w:rPr>
                <w:color w:val="000000"/>
                <w:sz w:val="22"/>
                <w:szCs w:val="22"/>
              </w:rPr>
            </w:pPr>
            <w:r>
              <w:rPr>
                <w:rStyle w:val="Strong"/>
                <w:color w:val="000000"/>
                <w:sz w:val="22"/>
                <w:szCs w:val="22"/>
              </w:rPr>
              <w:t>Total Project Costs </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C89BCFF" w14:textId="77777777" w:rsidR="0072795A" w:rsidRPr="00F75A82" w:rsidRDefault="00E24BEA" w:rsidP="00E24BEA">
            <w:pPr>
              <w:tabs>
                <w:tab w:val="decimal" w:pos="977"/>
              </w:tabs>
              <w:spacing w:line="200" w:lineRule="atLeast"/>
              <w:rPr>
                <w:color w:val="000000"/>
                <w:sz w:val="22"/>
                <w:szCs w:val="22"/>
              </w:rPr>
            </w:pPr>
            <w:r>
              <w:rPr>
                <w:color w:val="000000"/>
                <w:sz w:val="22"/>
                <w:szCs w:val="22"/>
              </w:rPr>
              <w:t>33.49</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B248515" w14:textId="05DAFAE2" w:rsidR="0072795A" w:rsidRDefault="007743DB" w:rsidP="0072795A">
            <w:pPr>
              <w:tabs>
                <w:tab w:val="decimal" w:pos="1091"/>
              </w:tabs>
              <w:spacing w:line="200" w:lineRule="atLeast"/>
              <w:rPr>
                <w:color w:val="000000"/>
                <w:sz w:val="22"/>
                <w:szCs w:val="22"/>
              </w:rPr>
            </w:pPr>
            <w:r>
              <w:rPr>
                <w:color w:val="000000"/>
                <w:sz w:val="22"/>
                <w:szCs w:val="22"/>
              </w:rPr>
              <w:t>17.88</w:t>
            </w:r>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3127FF9" w14:textId="77777777" w:rsidR="0072795A" w:rsidRDefault="00515840" w:rsidP="0072795A">
            <w:pPr>
              <w:spacing w:line="200" w:lineRule="atLeast"/>
              <w:jc w:val="center"/>
              <w:rPr>
                <w:color w:val="000000"/>
                <w:sz w:val="22"/>
                <w:szCs w:val="22"/>
              </w:rPr>
            </w:pPr>
            <w:r>
              <w:rPr>
                <w:color w:val="000000"/>
                <w:sz w:val="22"/>
                <w:szCs w:val="22"/>
              </w:rPr>
              <w:t>52%</w:t>
            </w:r>
          </w:p>
        </w:tc>
      </w:tr>
    </w:tbl>
    <w:p w14:paraId="008B71A6" w14:textId="77777777" w:rsidR="0049537D" w:rsidRDefault="0049537D" w:rsidP="0049537D"/>
    <w:p w14:paraId="00939865" w14:textId="77777777" w:rsidR="0049537D" w:rsidRPr="0049537D" w:rsidRDefault="0049537D" w:rsidP="0049537D"/>
    <w:p w14:paraId="3949F8D1" w14:textId="77777777" w:rsidR="008A3F84" w:rsidRDefault="0049537D" w:rsidP="00CD3651">
      <w:pPr>
        <w:pStyle w:val="Heading3"/>
      </w:pPr>
      <w:r>
        <w:t xml:space="preserve"> </w:t>
      </w:r>
      <w:r w:rsidR="008A3F84">
        <w:t>(b) Financing</w:t>
      </w:r>
    </w:p>
    <w:p w14:paraId="65DB29A6" w14:textId="77777777" w:rsidR="0072795A" w:rsidRDefault="0072795A" w:rsidP="00CD3651">
      <w:pPr>
        <w:rPr>
          <w:vanish/>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417"/>
        <w:gridCol w:w="1304"/>
        <w:gridCol w:w="1303"/>
        <w:gridCol w:w="1303"/>
        <w:gridCol w:w="1303"/>
      </w:tblGrid>
      <w:tr w:rsidR="008A3F84" w14:paraId="0A9958E0" w14:textId="77777777" w:rsidTr="008A3F84">
        <w:tc>
          <w:tcPr>
            <w:tcW w:w="1979"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23D9ADFB" w14:textId="77777777" w:rsidR="0072795A" w:rsidRDefault="0072795A" w:rsidP="00CD3651">
            <w:pPr>
              <w:jc w:val="center"/>
              <w:rPr>
                <w:b/>
                <w:bCs/>
                <w:color w:val="606060"/>
                <w:sz w:val="22"/>
                <w:szCs w:val="22"/>
              </w:rPr>
            </w:pPr>
            <w:r>
              <w:rPr>
                <w:b/>
                <w:bCs/>
                <w:color w:val="606060"/>
                <w:sz w:val="22"/>
                <w:szCs w:val="22"/>
              </w:rPr>
              <w:t>Source of Funds</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70F44681" w14:textId="77777777" w:rsidR="0072795A" w:rsidRDefault="0072795A" w:rsidP="00CD3651">
            <w:pPr>
              <w:jc w:val="center"/>
              <w:rPr>
                <w:b/>
                <w:bCs/>
                <w:color w:val="606060"/>
                <w:sz w:val="22"/>
                <w:szCs w:val="22"/>
              </w:rPr>
            </w:pPr>
            <w:r>
              <w:rPr>
                <w:b/>
                <w:bCs/>
                <w:color w:val="606060"/>
                <w:sz w:val="22"/>
                <w:szCs w:val="22"/>
              </w:rPr>
              <w:t>Type of Cofinancing</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6641B846" w14:textId="77777777" w:rsidR="008A3F84" w:rsidRDefault="008A3F84" w:rsidP="00CD3651">
            <w:pPr>
              <w:jc w:val="center"/>
              <w:rPr>
                <w:b/>
                <w:bCs/>
                <w:color w:val="606060"/>
                <w:sz w:val="22"/>
                <w:szCs w:val="22"/>
              </w:rPr>
            </w:pPr>
            <w:r>
              <w:rPr>
                <w:b/>
                <w:bCs/>
                <w:color w:val="606060"/>
                <w:sz w:val="22"/>
                <w:szCs w:val="22"/>
              </w:rPr>
              <w:t>Appraisal Estimate</w:t>
            </w:r>
          </w:p>
          <w:p w14:paraId="0247478D" w14:textId="77777777" w:rsidR="0072795A" w:rsidRDefault="0072795A" w:rsidP="00CD3651">
            <w:pPr>
              <w:jc w:val="center"/>
              <w:rPr>
                <w:b/>
                <w:bCs/>
                <w:color w:val="606060"/>
                <w:sz w:val="22"/>
                <w:szCs w:val="22"/>
              </w:rPr>
            </w:pPr>
            <w:r>
              <w:rPr>
                <w:b/>
                <w:bCs/>
                <w:color w:val="606060"/>
                <w:sz w:val="22"/>
                <w:szCs w:val="22"/>
              </w:rPr>
              <w:t xml:space="preserve">(USD </w:t>
            </w:r>
            <w:r w:rsidR="000411CD">
              <w:rPr>
                <w:b/>
                <w:bCs/>
                <w:color w:val="606060"/>
                <w:sz w:val="22"/>
                <w:szCs w:val="22"/>
              </w:rPr>
              <w:t>millions</w:t>
            </w:r>
            <w:r>
              <w:rPr>
                <w:b/>
                <w:bCs/>
                <w:color w:val="606060"/>
                <w:sz w:val="22"/>
                <w:szCs w:val="22"/>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039091D7" w14:textId="77777777" w:rsidR="008A3F84" w:rsidRDefault="0072795A" w:rsidP="00CD3651">
            <w:pPr>
              <w:jc w:val="center"/>
              <w:rPr>
                <w:b/>
                <w:bCs/>
                <w:color w:val="606060"/>
                <w:sz w:val="22"/>
                <w:szCs w:val="22"/>
              </w:rPr>
            </w:pPr>
            <w:r>
              <w:rPr>
                <w:b/>
                <w:bCs/>
                <w:color w:val="606060"/>
                <w:sz w:val="22"/>
                <w:szCs w:val="22"/>
              </w:rPr>
              <w:t>Actual/Latest Estimate</w:t>
            </w:r>
          </w:p>
          <w:p w14:paraId="5C379FA0" w14:textId="77777777" w:rsidR="0072795A" w:rsidRDefault="0072795A" w:rsidP="00CD3651">
            <w:pPr>
              <w:jc w:val="center"/>
              <w:rPr>
                <w:b/>
                <w:bCs/>
                <w:color w:val="606060"/>
                <w:sz w:val="22"/>
                <w:szCs w:val="22"/>
              </w:rPr>
            </w:pPr>
            <w:r>
              <w:rPr>
                <w:b/>
                <w:bCs/>
                <w:color w:val="606060"/>
                <w:sz w:val="22"/>
                <w:szCs w:val="22"/>
              </w:rPr>
              <w:t xml:space="preserve">(USD </w:t>
            </w:r>
            <w:r w:rsidR="000411CD">
              <w:rPr>
                <w:b/>
                <w:bCs/>
                <w:color w:val="606060"/>
                <w:sz w:val="22"/>
                <w:szCs w:val="22"/>
              </w:rPr>
              <w:t>millions</w:t>
            </w:r>
            <w:r>
              <w:rPr>
                <w:b/>
                <w:bCs/>
                <w:color w:val="606060"/>
                <w:sz w:val="22"/>
                <w:szCs w:val="22"/>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5CF3A8A3" w14:textId="77777777" w:rsidR="0072795A" w:rsidRDefault="0072795A" w:rsidP="00CD3651">
            <w:pPr>
              <w:jc w:val="center"/>
              <w:rPr>
                <w:b/>
                <w:bCs/>
                <w:color w:val="606060"/>
                <w:sz w:val="22"/>
                <w:szCs w:val="22"/>
              </w:rPr>
            </w:pPr>
            <w:r>
              <w:rPr>
                <w:b/>
                <w:bCs/>
                <w:color w:val="606060"/>
                <w:sz w:val="22"/>
                <w:szCs w:val="22"/>
              </w:rPr>
              <w:t>Percentage of Appraisal</w:t>
            </w:r>
          </w:p>
        </w:tc>
      </w:tr>
      <w:tr w:rsidR="00AF426B" w14:paraId="7AEB74D8" w14:textId="77777777" w:rsidTr="001247CC">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7F32CD1" w14:textId="77777777" w:rsidR="00AF426B" w:rsidRDefault="00AF426B" w:rsidP="001247CC">
            <w:pPr>
              <w:spacing w:line="200" w:lineRule="atLeast"/>
              <w:rPr>
                <w:color w:val="000000"/>
                <w:sz w:val="22"/>
                <w:szCs w:val="22"/>
              </w:rPr>
            </w:pPr>
            <w:r>
              <w:rPr>
                <w:color w:val="000000"/>
                <w:sz w:val="22"/>
                <w:szCs w:val="22"/>
              </w:rPr>
              <w:t xml:space="preserve"> Borrower</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70B248C" w14:textId="77777777" w:rsidR="00AF426B" w:rsidRDefault="00AF426B" w:rsidP="001247CC">
            <w:pPr>
              <w:spacing w:line="200" w:lineRule="atLeast"/>
              <w:rPr>
                <w:color w:val="000000"/>
                <w:sz w:val="22"/>
                <w:szCs w:val="22"/>
              </w:rPr>
            </w:pP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185C16F" w14:textId="77777777" w:rsidR="00AF426B" w:rsidRDefault="00AF426B" w:rsidP="001247CC">
            <w:pPr>
              <w:spacing w:line="200" w:lineRule="atLeast"/>
              <w:rPr>
                <w:color w:val="000000"/>
                <w:sz w:val="22"/>
                <w:szCs w:val="22"/>
              </w:rPr>
            </w:pPr>
            <w:r>
              <w:rPr>
                <w:color w:val="000000"/>
                <w:sz w:val="22"/>
                <w:szCs w:val="22"/>
              </w:rPr>
              <w:t>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35AB078" w14:textId="77777777" w:rsidR="00AF426B" w:rsidRDefault="00AF426B" w:rsidP="001247CC">
            <w:pPr>
              <w:spacing w:line="200" w:lineRule="atLeast"/>
              <w:rPr>
                <w:color w:val="000000"/>
                <w:sz w:val="22"/>
                <w:szCs w:val="22"/>
              </w:rPr>
            </w:pPr>
            <w:r>
              <w:rPr>
                <w:color w:val="000000"/>
                <w:sz w:val="22"/>
                <w:szCs w:val="22"/>
              </w:rPr>
              <w:t>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930A9B6" w14:textId="77777777" w:rsidR="00AF426B" w:rsidRDefault="00515840" w:rsidP="001247CC">
            <w:pPr>
              <w:spacing w:line="200" w:lineRule="atLeast"/>
              <w:rPr>
                <w:color w:val="000000"/>
                <w:sz w:val="22"/>
                <w:szCs w:val="22"/>
              </w:rPr>
            </w:pPr>
            <w:r>
              <w:rPr>
                <w:color w:val="000000"/>
                <w:sz w:val="22"/>
                <w:szCs w:val="22"/>
              </w:rPr>
              <w:t>0</w:t>
            </w:r>
            <w:r w:rsidR="00AF426B">
              <w:rPr>
                <w:color w:val="000000"/>
                <w:sz w:val="22"/>
                <w:szCs w:val="22"/>
              </w:rPr>
              <w:t>.00</w:t>
            </w:r>
          </w:p>
        </w:tc>
      </w:tr>
      <w:tr w:rsidR="00AF426B" w14:paraId="00568A56" w14:textId="77777777" w:rsidTr="001247CC">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5EE787B" w14:textId="77777777" w:rsidR="00AF426B" w:rsidRDefault="00AF426B" w:rsidP="001247CC">
            <w:pPr>
              <w:spacing w:line="200" w:lineRule="atLeast"/>
              <w:rPr>
                <w:color w:val="000000"/>
                <w:sz w:val="22"/>
                <w:szCs w:val="22"/>
              </w:rPr>
            </w:pPr>
            <w:r>
              <w:rPr>
                <w:color w:val="000000"/>
                <w:sz w:val="22"/>
                <w:szCs w:val="22"/>
              </w:rPr>
              <w:t xml:space="preserve"> </w:t>
            </w:r>
            <w:bookmarkStart w:id="167" w:name="FIN_COL_1"/>
            <w:r>
              <w:rPr>
                <w:color w:val="000000"/>
                <w:sz w:val="22"/>
                <w:szCs w:val="22"/>
              </w:rPr>
              <w:t>International Development Association (IDA)</w:t>
            </w:r>
            <w:bookmarkEnd w:id="167"/>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890E3D2" w14:textId="77777777" w:rsidR="00AF426B" w:rsidRDefault="00AF426B" w:rsidP="001247CC">
            <w:pPr>
              <w:spacing w:line="200" w:lineRule="atLeast"/>
              <w:rPr>
                <w:color w:val="000000"/>
                <w:sz w:val="22"/>
                <w:szCs w:val="22"/>
              </w:rPr>
            </w:pPr>
            <w:bookmarkStart w:id="168" w:name="FIN_COL_2"/>
            <w:bookmarkEnd w:id="168"/>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980C0AA" w14:textId="77777777" w:rsidR="00AF426B" w:rsidRDefault="00AF426B" w:rsidP="001247CC">
            <w:pPr>
              <w:spacing w:line="200" w:lineRule="atLeast"/>
              <w:rPr>
                <w:color w:val="000000"/>
                <w:sz w:val="22"/>
                <w:szCs w:val="22"/>
              </w:rPr>
            </w:pPr>
            <w:bookmarkStart w:id="169" w:name="FIN_COL_3"/>
            <w:r>
              <w:rPr>
                <w:color w:val="000000"/>
                <w:sz w:val="22"/>
                <w:szCs w:val="22"/>
              </w:rPr>
              <w:t>3</w:t>
            </w:r>
            <w:bookmarkEnd w:id="169"/>
            <w:r w:rsidR="00515840">
              <w:rPr>
                <w:color w:val="000000"/>
                <w:sz w:val="22"/>
                <w:szCs w:val="22"/>
              </w:rPr>
              <w:t>3.49</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B6BF747" w14:textId="3CD76AFF" w:rsidR="00AF426B" w:rsidRDefault="00515840" w:rsidP="001247CC">
            <w:pPr>
              <w:spacing w:line="200" w:lineRule="atLeast"/>
              <w:rPr>
                <w:color w:val="000000"/>
                <w:sz w:val="22"/>
                <w:szCs w:val="22"/>
              </w:rPr>
            </w:pPr>
            <w:r>
              <w:rPr>
                <w:color w:val="000000"/>
                <w:sz w:val="22"/>
                <w:szCs w:val="22"/>
              </w:rPr>
              <w:t>17.</w:t>
            </w:r>
            <w:r w:rsidR="00D6442C">
              <w:rPr>
                <w:color w:val="000000"/>
                <w:sz w:val="22"/>
                <w:szCs w:val="22"/>
              </w:rPr>
              <w:t>88</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7FA1723" w14:textId="77777777" w:rsidR="00AF426B" w:rsidRDefault="00515840" w:rsidP="001247CC">
            <w:pPr>
              <w:spacing w:line="200" w:lineRule="atLeast"/>
              <w:rPr>
                <w:color w:val="000000"/>
                <w:sz w:val="22"/>
                <w:szCs w:val="22"/>
              </w:rPr>
            </w:pPr>
            <w:r>
              <w:rPr>
                <w:color w:val="000000"/>
                <w:sz w:val="22"/>
                <w:szCs w:val="22"/>
              </w:rPr>
              <w:t>52%</w:t>
            </w:r>
          </w:p>
        </w:tc>
      </w:tr>
    </w:tbl>
    <w:p w14:paraId="1305B8F2" w14:textId="77777777" w:rsidR="0072795A" w:rsidRDefault="0072795A" w:rsidP="00CD3651">
      <w:bookmarkStart w:id="170" w:name="FIN"/>
      <w:bookmarkEnd w:id="170"/>
    </w:p>
    <w:p w14:paraId="5D94DC21" w14:textId="77777777" w:rsidR="00E03DE1" w:rsidRDefault="00E03DE1">
      <w:pPr>
        <w:rPr>
          <w:vanish/>
        </w:rPr>
      </w:pPr>
    </w:p>
    <w:p w14:paraId="32CDB962" w14:textId="77777777" w:rsidR="006B724A" w:rsidRDefault="006B724A">
      <w:bookmarkStart w:id="171" w:name="_IL16"/>
      <w:r>
        <w:rPr>
          <w:b/>
          <w:bCs/>
        </w:rPr>
        <w:br w:type="page"/>
      </w:r>
    </w:p>
    <w:p w14:paraId="194DB706" w14:textId="77777777" w:rsidR="00C67D43" w:rsidRDefault="00C67D43">
      <w:pPr>
        <w:pStyle w:val="Heading2"/>
      </w:pPr>
      <w:bookmarkStart w:id="172" w:name="_Toc158019378"/>
      <w:bookmarkEnd w:id="171"/>
      <w:r>
        <w:t>Annex 2. Outputs by Component</w:t>
      </w:r>
      <w:bookmarkEnd w:id="172"/>
      <w:r>
        <w:t xml:space="preserve"> </w:t>
      </w:r>
    </w:p>
    <w:p w14:paraId="55733386" w14:textId="77777777" w:rsidR="00C67D43" w:rsidRDefault="00C67D43">
      <w:bookmarkStart w:id="173" w:name="ANN4"/>
      <w:bookmarkEnd w:id="173"/>
    </w:p>
    <w:p w14:paraId="3F8C8D6C" w14:textId="77777777" w:rsidR="00E0462B" w:rsidRPr="009266A1" w:rsidRDefault="00E0462B">
      <w:pPr>
        <w:rPr>
          <w:b/>
          <w:i/>
        </w:rPr>
      </w:pPr>
      <w:r w:rsidRPr="009266A1">
        <w:rPr>
          <w:b/>
          <w:i/>
        </w:rPr>
        <w:t xml:space="preserve">Component 1: </w:t>
      </w:r>
    </w:p>
    <w:p w14:paraId="780AE6E7" w14:textId="77777777" w:rsidR="009620DB" w:rsidRDefault="00E0462B" w:rsidP="009620DB">
      <w:r>
        <w:t xml:space="preserve"> </w:t>
      </w:r>
    </w:p>
    <w:p w14:paraId="27BC3519" w14:textId="751FBF52" w:rsidR="009620DB" w:rsidRPr="009620DB" w:rsidRDefault="009620DB" w:rsidP="00E81B5D">
      <w:pPr>
        <w:jc w:val="both"/>
        <w:rPr>
          <w:b/>
        </w:rPr>
      </w:pPr>
      <w:r w:rsidRPr="009620DB">
        <w:rPr>
          <w:b/>
        </w:rPr>
        <w:t xml:space="preserve">Fifty </w:t>
      </w:r>
      <w:r>
        <w:rPr>
          <w:b/>
        </w:rPr>
        <w:t>Integrated Disability Service Centers (I</w:t>
      </w:r>
      <w:r w:rsidRPr="009620DB">
        <w:rPr>
          <w:b/>
        </w:rPr>
        <w:t>D</w:t>
      </w:r>
      <w:r w:rsidR="00E0462B" w:rsidRPr="009620DB">
        <w:rPr>
          <w:b/>
        </w:rPr>
        <w:t>SCs</w:t>
      </w:r>
      <w:r>
        <w:rPr>
          <w:b/>
        </w:rPr>
        <w:t>)</w:t>
      </w:r>
      <w:r w:rsidR="00E0462B" w:rsidRPr="009620DB">
        <w:rPr>
          <w:b/>
        </w:rPr>
        <w:t xml:space="preserve"> were built and made operational </w:t>
      </w:r>
      <w:r>
        <w:rPr>
          <w:b/>
        </w:rPr>
        <w:t>and equipment was upgraded in addition fifty three IDSCs th</w:t>
      </w:r>
      <w:r w:rsidR="00C02142">
        <w:rPr>
          <w:b/>
        </w:rPr>
        <w:t xml:space="preserve">us reaching 103 IDSCs in total and covering every single district in Bangladesh. </w:t>
      </w:r>
    </w:p>
    <w:p w14:paraId="683E8125" w14:textId="1FB05E67" w:rsidR="003E6E8A" w:rsidRDefault="00190CF4" w:rsidP="00E81B5D">
      <w:pPr>
        <w:jc w:val="both"/>
      </w:pPr>
      <w:r>
        <w:t xml:space="preserve">Each IDSC provides a rich number of services including: (i) Identification </w:t>
      </w:r>
      <w:r w:rsidR="009620DB">
        <w:t xml:space="preserve">of </w:t>
      </w:r>
      <w:r>
        <w:t xml:space="preserve">different Types of </w:t>
      </w:r>
      <w:r w:rsidR="009620DB">
        <w:t xml:space="preserve">Disability; (ii) Psycho Social Counselling; (iii) Physiotherapy; (iv) Audio Level Test (Audiometry); (iv) Occupational Therapy; (v) Visual Level Test (Optometry); (vi) Speech &amp; Language Therapy; and (vi) Assistive Device Distribution.  Each center also has an Autism and Neuro Development Disability Corner (NDDC) with a toy library thus addressing needs of children with disabilities.  Furthermore, specifically for children with disabilities each center provides psycho social counseling, group therapy play and a number of other therapy services. </w:t>
      </w:r>
      <w:r w:rsidR="003E6E8A">
        <w:t>Overall through IDSCs the project has covered 235,883 people with 1,163,150 service transactions.</w:t>
      </w:r>
    </w:p>
    <w:p w14:paraId="388F3022" w14:textId="13D8ADDB" w:rsidR="009620DB" w:rsidRDefault="009620DB" w:rsidP="00E81B5D">
      <w:pPr>
        <w:tabs>
          <w:tab w:val="left" w:pos="2184"/>
        </w:tabs>
        <w:jc w:val="both"/>
      </w:pPr>
    </w:p>
    <w:p w14:paraId="53703081" w14:textId="236DEC9F" w:rsidR="009620DB" w:rsidRDefault="003E6E8A" w:rsidP="00E81B5D">
      <w:pPr>
        <w:jc w:val="both"/>
      </w:pPr>
      <w:r w:rsidRPr="003E6E8A">
        <w:rPr>
          <w:b/>
        </w:rPr>
        <w:t>Training:</w:t>
      </w:r>
      <w:r>
        <w:t xml:space="preserve"> </w:t>
      </w:r>
      <w:r w:rsidR="009620DB">
        <w:t xml:space="preserve">The project has also supported training for staff at </w:t>
      </w:r>
      <w:r>
        <w:t xml:space="preserve">JPUF and </w:t>
      </w:r>
      <w:r w:rsidR="009620DB">
        <w:t xml:space="preserve">project supported IDSCs through study tours, short training courses, and </w:t>
      </w:r>
      <w:r>
        <w:t>orientation training. Additionally 3,045 concerned government officials at union, upazilla and district levels trained on rights of persons with disabilities and available services</w:t>
      </w:r>
    </w:p>
    <w:p w14:paraId="1201A2FA" w14:textId="77777777" w:rsidR="009620DB" w:rsidRDefault="009620DB" w:rsidP="00E81B5D">
      <w:pPr>
        <w:jc w:val="both"/>
      </w:pPr>
    </w:p>
    <w:p w14:paraId="5133E903" w14:textId="77777777" w:rsidR="009620DB" w:rsidRDefault="009620DB" w:rsidP="00E81B5D">
      <w:pPr>
        <w:jc w:val="both"/>
      </w:pPr>
      <w:r w:rsidRPr="009620DB">
        <w:rPr>
          <w:b/>
        </w:rPr>
        <w:t>Assistive Devices:</w:t>
      </w:r>
      <w:r>
        <w:t xml:space="preserve"> JPUF through the Integrated Disability Service Centre (IDSC) is also providing assistive devices like wheel chair, standing frame, crutch, elbow crutch, tricycle, artificial limb, hearing aid etc. among the PWDs.</w:t>
      </w:r>
    </w:p>
    <w:p w14:paraId="4B1B71CD" w14:textId="77777777" w:rsidR="009620DB" w:rsidRDefault="009620DB" w:rsidP="00E81B5D">
      <w:pPr>
        <w:jc w:val="both"/>
      </w:pPr>
    </w:p>
    <w:p w14:paraId="19A64A23" w14:textId="06BD7C8C" w:rsidR="003E6E8A" w:rsidRDefault="009620DB" w:rsidP="00E81B5D">
      <w:pPr>
        <w:jc w:val="both"/>
      </w:pPr>
      <w:r>
        <w:rPr>
          <w:b/>
        </w:rPr>
        <w:t xml:space="preserve">Thirty Two </w:t>
      </w:r>
      <w:r w:rsidRPr="009620DB">
        <w:rPr>
          <w:b/>
        </w:rPr>
        <w:t xml:space="preserve">Mobile Therapy Vans: </w:t>
      </w:r>
      <w:r w:rsidR="003E6E8A">
        <w:t xml:space="preserve">The project has also financed thirty mobile therapy vans, which expanded the coverage of JPUF in particular in rural areas. By July 2016 the project reached </w:t>
      </w:r>
      <w:r w:rsidR="00E81B5D">
        <w:t xml:space="preserve">more than 91,000 beneficiaries through MTVRs with 124,133 transactions. </w:t>
      </w:r>
    </w:p>
    <w:p w14:paraId="4B1B5093" w14:textId="77777777" w:rsidR="003E6E8A" w:rsidRDefault="003E6E8A" w:rsidP="00E81B5D">
      <w:pPr>
        <w:jc w:val="both"/>
      </w:pPr>
    </w:p>
    <w:p w14:paraId="71EEF5CF" w14:textId="7BA067AD" w:rsidR="003E6E8A" w:rsidRPr="003E6E8A" w:rsidRDefault="003E6E8A" w:rsidP="00E81B5D">
      <w:pPr>
        <w:jc w:val="both"/>
        <w:rPr>
          <w:b/>
        </w:rPr>
      </w:pPr>
      <w:r w:rsidRPr="003E6E8A">
        <w:rPr>
          <w:b/>
        </w:rPr>
        <w:t>MIS:</w:t>
      </w:r>
      <w:r>
        <w:t xml:space="preserve"> </w:t>
      </w:r>
      <w:r w:rsidRPr="00FB2F48">
        <w:rPr>
          <w:bCs/>
          <w:szCs w:val="22"/>
        </w:rPr>
        <w:t xml:space="preserve">MIS for managing </w:t>
      </w:r>
      <w:r w:rsidR="00E81B5D">
        <w:rPr>
          <w:bCs/>
          <w:szCs w:val="22"/>
        </w:rPr>
        <w:t xml:space="preserve">transactions at JPUF </w:t>
      </w:r>
      <w:r>
        <w:rPr>
          <w:bCs/>
          <w:szCs w:val="22"/>
        </w:rPr>
        <w:t>has</w:t>
      </w:r>
      <w:r w:rsidR="00E81B5D">
        <w:rPr>
          <w:bCs/>
          <w:szCs w:val="22"/>
        </w:rPr>
        <w:t xml:space="preserve"> been</w:t>
      </w:r>
      <w:r>
        <w:rPr>
          <w:bCs/>
          <w:szCs w:val="22"/>
        </w:rPr>
        <w:t xml:space="preserve"> developed by DCAR project. Data has been is currently being entered</w:t>
      </w:r>
      <w:r w:rsidRPr="00FB2F48">
        <w:rPr>
          <w:bCs/>
          <w:szCs w:val="22"/>
        </w:rPr>
        <w:t xml:space="preserve"> into the system by</w:t>
      </w:r>
      <w:r w:rsidR="00E81B5D">
        <w:rPr>
          <w:bCs/>
          <w:szCs w:val="22"/>
        </w:rPr>
        <w:t xml:space="preserve"> JPUF</w:t>
      </w:r>
      <w:r w:rsidRPr="00FB2F48">
        <w:rPr>
          <w:bCs/>
          <w:szCs w:val="22"/>
        </w:rPr>
        <w:t xml:space="preserve">. </w:t>
      </w:r>
      <w:r w:rsidR="00E81B5D">
        <w:rPr>
          <w:bCs/>
          <w:szCs w:val="22"/>
        </w:rPr>
        <w:t xml:space="preserve">More than 800 staff between JPUF and DSS has been trained on the use of the MIS (see Component 2). </w:t>
      </w:r>
    </w:p>
    <w:p w14:paraId="68FB0381" w14:textId="77777777" w:rsidR="00E0462B" w:rsidRDefault="00E0462B"/>
    <w:p w14:paraId="00C256CA" w14:textId="77777777" w:rsidR="00E43A82" w:rsidRPr="009266A1" w:rsidRDefault="00E43A82">
      <w:pPr>
        <w:rPr>
          <w:b/>
          <w:i/>
        </w:rPr>
      </w:pPr>
      <w:r w:rsidRPr="009266A1">
        <w:rPr>
          <w:b/>
          <w:i/>
        </w:rPr>
        <w:t xml:space="preserve">Component 2: </w:t>
      </w:r>
    </w:p>
    <w:p w14:paraId="3A883E94" w14:textId="77777777" w:rsidR="00E43A82" w:rsidRDefault="00E43A82"/>
    <w:p w14:paraId="17D57A47" w14:textId="77777777" w:rsidR="00E43A82" w:rsidRDefault="00D66544" w:rsidP="00E81B5D">
      <w:pPr>
        <w:jc w:val="both"/>
      </w:pPr>
      <w:r w:rsidRPr="00D66544">
        <w:rPr>
          <w:b/>
        </w:rPr>
        <w:t xml:space="preserve">Eleven ICPSCs established and made operational: </w:t>
      </w:r>
      <w:r w:rsidR="00E43A82">
        <w:t xml:space="preserve">Under component two 11 ICPSCs were build. </w:t>
      </w:r>
      <w:r>
        <w:t>Then</w:t>
      </w:r>
      <w:r w:rsidR="00E43A82">
        <w:t xml:space="preserve"> during the second restructuring in 2013 additional four ICPSCs were build </w:t>
      </w:r>
      <w:r w:rsidR="00E43A82" w:rsidRPr="00E43A82">
        <w:t>and operated at Faridpur, Kushtia, Barguna and Cox’s Bazar districts for more coverage and protect</w:t>
      </w:r>
      <w:r w:rsidR="00E43A82">
        <w:t>i</w:t>
      </w:r>
      <w:r w:rsidR="00E43A82" w:rsidRPr="00E43A82">
        <w:t xml:space="preserve">on of children at risks.  </w:t>
      </w:r>
    </w:p>
    <w:p w14:paraId="73C0B1CF" w14:textId="77777777" w:rsidR="00BE006D" w:rsidRDefault="00BE006D"/>
    <w:p w14:paraId="42723EFF" w14:textId="77777777" w:rsidR="00666AA0" w:rsidRDefault="00BE006D" w:rsidP="00BE006D">
      <w:pPr>
        <w:jc w:val="both"/>
      </w:pPr>
      <w:r w:rsidRPr="00BE006D">
        <w:t>For safe envi</w:t>
      </w:r>
      <w:r>
        <w:t>ronment for children at risks, DCAR project provided services to</w:t>
      </w:r>
      <w:r w:rsidRPr="00BE006D">
        <w:t xml:space="preserve"> </w:t>
      </w:r>
      <w:r w:rsidRPr="00E72AFF">
        <w:t>15</w:t>
      </w:r>
      <w:r w:rsidRPr="00BE006D">
        <w:t xml:space="preserve"> categories </w:t>
      </w:r>
      <w:r>
        <w:t>of children at risk</w:t>
      </w:r>
      <w:r w:rsidRPr="00BE006D">
        <w:t xml:space="preserve"> and provided them shelter, food, clothing, medical faciliti</w:t>
      </w:r>
      <w:r w:rsidR="00F920FD">
        <w:t>es with psychosocial protection</w:t>
      </w:r>
      <w:r w:rsidRPr="00BE006D">
        <w:t xml:space="preserve">, and education. </w:t>
      </w:r>
      <w:r>
        <w:t xml:space="preserve"> </w:t>
      </w:r>
      <w:r w:rsidR="00666AA0">
        <w:t xml:space="preserve">Each ICPSC comprised of two houses: one for boys and one for girls. </w:t>
      </w:r>
      <w:r>
        <w:t>According to Government documents each center</w:t>
      </w:r>
      <w:r w:rsidRPr="00BE006D">
        <w:t xml:space="preserve"> was operated by a dedicated </w:t>
      </w:r>
      <w:r>
        <w:t>team of 20-24 staff who were</w:t>
      </w:r>
      <w:r w:rsidRPr="00BE006D">
        <w:t xml:space="preserve"> educated and trained in their respective field. </w:t>
      </w:r>
      <w:r>
        <w:t xml:space="preserve">Furthermore, </w:t>
      </w:r>
      <w:r>
        <w:rPr>
          <w:bCs/>
          <w:szCs w:val="22"/>
        </w:rPr>
        <w:t>to ensure psycho-social protection of residential children two psychologists were appointed for each ICPSC. In addition one Child Protection Policy Specialist was appointed for ensuring child protection issues</w:t>
      </w:r>
      <w:r w:rsidR="00D810CB">
        <w:rPr>
          <w:bCs/>
          <w:szCs w:val="22"/>
        </w:rPr>
        <w:t xml:space="preserve"> were adequately addressed</w:t>
      </w:r>
      <w:r>
        <w:rPr>
          <w:bCs/>
          <w:szCs w:val="22"/>
        </w:rPr>
        <w:t>.</w:t>
      </w:r>
      <w:r w:rsidR="00666AA0" w:rsidRPr="00666AA0">
        <w:t xml:space="preserve"> </w:t>
      </w:r>
    </w:p>
    <w:p w14:paraId="33E78C96" w14:textId="77777777" w:rsidR="00666AA0" w:rsidRDefault="00666AA0" w:rsidP="00BE006D">
      <w:pPr>
        <w:jc w:val="both"/>
      </w:pPr>
    </w:p>
    <w:p w14:paraId="55092910" w14:textId="77777777" w:rsidR="00BE006D" w:rsidRDefault="00666AA0" w:rsidP="00BE006D">
      <w:pPr>
        <w:jc w:val="both"/>
        <w:rPr>
          <w:bCs/>
          <w:szCs w:val="22"/>
        </w:rPr>
      </w:pPr>
      <w:r w:rsidRPr="00666AA0">
        <w:rPr>
          <w:b/>
        </w:rPr>
        <w:t>Operational guidelines on child protection issues established:</w:t>
      </w:r>
      <w:r>
        <w:t xml:space="preserve"> </w:t>
      </w:r>
      <w:r w:rsidRPr="00666AA0">
        <w:rPr>
          <w:bCs/>
          <w:szCs w:val="22"/>
        </w:rPr>
        <w:t>To strengthening the existing Child Protection and development programs, a separate chapter was included in the operational guidelines regarding child protection issues. In addition, a code of conduct has been developed for those who nurture the</w:t>
      </w:r>
      <w:r>
        <w:rPr>
          <w:bCs/>
          <w:szCs w:val="22"/>
        </w:rPr>
        <w:t xml:space="preserve"> children under the custody of DCAR project.</w:t>
      </w:r>
      <w:r w:rsidR="001C2E66">
        <w:rPr>
          <w:bCs/>
          <w:szCs w:val="22"/>
        </w:rPr>
        <w:t xml:space="preserve"> </w:t>
      </w:r>
      <w:r>
        <w:rPr>
          <w:bCs/>
          <w:szCs w:val="22"/>
        </w:rPr>
        <w:t>The</w:t>
      </w:r>
      <w:r w:rsidRPr="00666AA0">
        <w:rPr>
          <w:bCs/>
          <w:szCs w:val="22"/>
        </w:rPr>
        <w:t xml:space="preserve"> operational guidelines and code of condu</w:t>
      </w:r>
      <w:r>
        <w:rPr>
          <w:bCs/>
          <w:szCs w:val="22"/>
        </w:rPr>
        <w:t>ct were developed not only for D</w:t>
      </w:r>
      <w:r w:rsidRPr="00666AA0">
        <w:rPr>
          <w:bCs/>
          <w:szCs w:val="22"/>
        </w:rPr>
        <w:t>CAR project but also for other similar projects and programs of DSS.</w:t>
      </w:r>
    </w:p>
    <w:p w14:paraId="5B792B18" w14:textId="77777777" w:rsidR="001C2E66" w:rsidRDefault="001C2E66" w:rsidP="00BE006D">
      <w:pPr>
        <w:jc w:val="both"/>
        <w:rPr>
          <w:bCs/>
          <w:szCs w:val="22"/>
        </w:rPr>
      </w:pPr>
    </w:p>
    <w:p w14:paraId="52772138" w14:textId="77777777" w:rsidR="00666AA0" w:rsidRDefault="001C2E66" w:rsidP="00BE006D">
      <w:pPr>
        <w:jc w:val="both"/>
        <w:rPr>
          <w:bCs/>
          <w:szCs w:val="22"/>
        </w:rPr>
      </w:pPr>
      <w:r w:rsidRPr="001C2E66">
        <w:rPr>
          <w:b/>
          <w:bCs/>
          <w:szCs w:val="22"/>
        </w:rPr>
        <w:t>Training on child protection services and on use of MIS:</w:t>
      </w:r>
      <w:r>
        <w:rPr>
          <w:bCs/>
          <w:szCs w:val="22"/>
        </w:rPr>
        <w:t xml:space="preserve">  </w:t>
      </w:r>
      <w:r w:rsidRPr="001C2E66">
        <w:rPr>
          <w:bCs/>
          <w:szCs w:val="22"/>
        </w:rPr>
        <w:t>For institutional capacity building, tra</w:t>
      </w:r>
      <w:r>
        <w:rPr>
          <w:bCs/>
          <w:szCs w:val="22"/>
        </w:rPr>
        <w:t>ining on MIS man</w:t>
      </w:r>
      <w:r w:rsidRPr="001C2E66">
        <w:rPr>
          <w:bCs/>
          <w:szCs w:val="22"/>
        </w:rPr>
        <w:t>agement had been provided to officials from upazila and zila so</w:t>
      </w:r>
      <w:r>
        <w:rPr>
          <w:bCs/>
          <w:szCs w:val="22"/>
        </w:rPr>
        <w:t>cial services offices, DSS head</w:t>
      </w:r>
      <w:r w:rsidRPr="001C2E66">
        <w:rPr>
          <w:bCs/>
          <w:szCs w:val="22"/>
        </w:rPr>
        <w:t>quarters, MoSW</w:t>
      </w:r>
      <w:r>
        <w:rPr>
          <w:bCs/>
          <w:szCs w:val="22"/>
        </w:rPr>
        <w:t xml:space="preserve"> (approximately 800 staff trained)</w:t>
      </w:r>
      <w:r w:rsidRPr="001C2E66">
        <w:rPr>
          <w:bCs/>
          <w:szCs w:val="22"/>
        </w:rPr>
        <w:t>. Furthermore, other child protection related training had been c</w:t>
      </w:r>
      <w:r>
        <w:rPr>
          <w:bCs/>
          <w:szCs w:val="22"/>
        </w:rPr>
        <w:t>onducted for DSS officials and D</w:t>
      </w:r>
      <w:r w:rsidRPr="001C2E66">
        <w:rPr>
          <w:bCs/>
          <w:szCs w:val="22"/>
        </w:rPr>
        <w:t>CAR project staff</w:t>
      </w:r>
      <w:r>
        <w:rPr>
          <w:bCs/>
          <w:szCs w:val="22"/>
        </w:rPr>
        <w:t xml:space="preserve"> (approximately 900 staff trained according to the Government’s project completion report)</w:t>
      </w:r>
      <w:r w:rsidRPr="001C2E66">
        <w:rPr>
          <w:bCs/>
          <w:szCs w:val="22"/>
        </w:rPr>
        <w:t>.</w:t>
      </w:r>
    </w:p>
    <w:p w14:paraId="3F423198" w14:textId="77777777" w:rsidR="00FB2F48" w:rsidRDefault="00FB2F48" w:rsidP="00BE006D">
      <w:pPr>
        <w:jc w:val="both"/>
        <w:rPr>
          <w:bCs/>
          <w:szCs w:val="22"/>
        </w:rPr>
      </w:pPr>
    </w:p>
    <w:p w14:paraId="5662C5C5" w14:textId="7A9270D7" w:rsidR="00666AA0" w:rsidRDefault="00FB2F48" w:rsidP="00BE006D">
      <w:pPr>
        <w:jc w:val="both"/>
        <w:rPr>
          <w:bCs/>
          <w:szCs w:val="22"/>
        </w:rPr>
      </w:pPr>
      <w:r w:rsidRPr="00FB2F48">
        <w:rPr>
          <w:b/>
          <w:bCs/>
          <w:szCs w:val="22"/>
        </w:rPr>
        <w:t>MIS:</w:t>
      </w:r>
      <w:r>
        <w:rPr>
          <w:bCs/>
          <w:szCs w:val="22"/>
        </w:rPr>
        <w:t xml:space="preserve"> </w:t>
      </w:r>
      <w:r w:rsidRPr="00FB2F48">
        <w:rPr>
          <w:bCs/>
          <w:szCs w:val="22"/>
        </w:rPr>
        <w:t>MIS for managing vario</w:t>
      </w:r>
      <w:r>
        <w:rPr>
          <w:bCs/>
          <w:szCs w:val="22"/>
        </w:rPr>
        <w:t>us allowances has</w:t>
      </w:r>
      <w:r w:rsidR="00E81B5D">
        <w:rPr>
          <w:bCs/>
          <w:szCs w:val="22"/>
        </w:rPr>
        <w:t xml:space="preserve"> been</w:t>
      </w:r>
      <w:r>
        <w:rPr>
          <w:bCs/>
          <w:szCs w:val="22"/>
        </w:rPr>
        <w:t xml:space="preserve"> developed by DCAR project. Data has been is currently being entered</w:t>
      </w:r>
      <w:r w:rsidRPr="00FB2F48">
        <w:rPr>
          <w:bCs/>
          <w:szCs w:val="22"/>
        </w:rPr>
        <w:t xml:space="preserve"> into the system by DSS authority. After completi</w:t>
      </w:r>
      <w:r>
        <w:rPr>
          <w:bCs/>
          <w:szCs w:val="22"/>
        </w:rPr>
        <w:t>on of data entry every official</w:t>
      </w:r>
      <w:r w:rsidRPr="00FB2F48">
        <w:rPr>
          <w:bCs/>
          <w:szCs w:val="22"/>
        </w:rPr>
        <w:t xml:space="preserve"> will be able to monitor the allowances distri</w:t>
      </w:r>
      <w:r>
        <w:rPr>
          <w:bCs/>
          <w:szCs w:val="22"/>
        </w:rPr>
        <w:t xml:space="preserve">bution and utilization, </w:t>
      </w:r>
      <w:r w:rsidRPr="00FB2F48">
        <w:rPr>
          <w:bCs/>
          <w:szCs w:val="22"/>
        </w:rPr>
        <w:t>which will in</w:t>
      </w:r>
      <w:r>
        <w:rPr>
          <w:bCs/>
          <w:szCs w:val="22"/>
        </w:rPr>
        <w:t>crease the management capacity</w:t>
      </w:r>
      <w:r w:rsidRPr="00FB2F48">
        <w:rPr>
          <w:bCs/>
          <w:szCs w:val="22"/>
        </w:rPr>
        <w:t xml:space="preserve"> of DSS.</w:t>
      </w:r>
    </w:p>
    <w:p w14:paraId="264A0191" w14:textId="77777777" w:rsidR="00666AA0" w:rsidRPr="004D6252" w:rsidRDefault="00666AA0" w:rsidP="00BE006D">
      <w:pPr>
        <w:jc w:val="both"/>
        <w:rPr>
          <w:bCs/>
          <w:szCs w:val="22"/>
        </w:rPr>
      </w:pPr>
    </w:p>
    <w:p w14:paraId="002AD9D7" w14:textId="77777777" w:rsidR="00BE006D" w:rsidRDefault="001C2E66" w:rsidP="00BE006D">
      <w:pPr>
        <w:jc w:val="both"/>
      </w:pPr>
      <w:r>
        <w:t xml:space="preserve"> </w:t>
      </w:r>
    </w:p>
    <w:p w14:paraId="06F3CF7F" w14:textId="77777777" w:rsidR="00BE006D" w:rsidRDefault="00BE006D"/>
    <w:p w14:paraId="526BEC11" w14:textId="77777777" w:rsidR="00E03DE1" w:rsidRDefault="00E03DE1">
      <w:pPr>
        <w:rPr>
          <w:vanish/>
        </w:rPr>
      </w:pPr>
      <w:r>
        <w:br w:type="page"/>
      </w:r>
    </w:p>
    <w:p w14:paraId="114C217C" w14:textId="77777777" w:rsidR="00E07BAC" w:rsidRDefault="00C67D43">
      <w:pPr>
        <w:pStyle w:val="Heading2"/>
      </w:pPr>
      <w:bookmarkStart w:id="174" w:name="_Toc158019379"/>
      <w:bookmarkStart w:id="175" w:name="_IL17"/>
      <w:r>
        <w:t>Annex 3. Economic and Financial Analysis</w:t>
      </w:r>
      <w:bookmarkEnd w:id="174"/>
      <w:r w:rsidR="00E07BAC">
        <w:t xml:space="preserve"> </w:t>
      </w:r>
    </w:p>
    <w:p w14:paraId="4FAEE286" w14:textId="77777777" w:rsidR="00CA517C" w:rsidRDefault="00CA517C" w:rsidP="00215ABA">
      <w:pPr>
        <w:jc w:val="both"/>
      </w:pPr>
      <w:bookmarkStart w:id="176" w:name="ANN5"/>
      <w:bookmarkEnd w:id="175"/>
      <w:bookmarkEnd w:id="176"/>
    </w:p>
    <w:p w14:paraId="5552B011" w14:textId="68D52EF7" w:rsidR="009A3D5C" w:rsidRDefault="00DB6448" w:rsidP="00215ABA">
      <w:pPr>
        <w:jc w:val="both"/>
      </w:pPr>
      <w:r>
        <w:t xml:space="preserve">The project increased coverage and quality of services provided both to children at risk and people with disabilities. </w:t>
      </w:r>
      <w:r w:rsidR="009A3D5C">
        <w:t xml:space="preserve"> </w:t>
      </w:r>
      <w:r w:rsidR="009A3D5C" w:rsidRPr="009A3D5C">
        <w:t>At the outset of the project the Economic and Finance analysis using a set of assumptions and national level data on PWD and children-at-risk established that not properly integrating PWD and children-at-risk costed Bangladesh US$1.2-$1.8 billion and US$9 million per annum respectively.  The studies find that disability often leads to a vicious cycle of human capital accumulation that results in</w:t>
      </w:r>
      <w:r w:rsidR="009A3D5C">
        <w:t xml:space="preserve"> continued poverty</w:t>
      </w:r>
      <w:r w:rsidR="009A3D5C">
        <w:rPr>
          <w:rStyle w:val="FootnoteReference"/>
        </w:rPr>
        <w:footnoteReference w:id="27"/>
      </w:r>
      <w:r w:rsidR="009A3D5C" w:rsidRPr="009A3D5C">
        <w:t>. Thus provision of services to disabled does target an important economic shortcoming that can help alleviate poverty now and in future generations. Furthermore, there is some evidence that focus on service provision in addition or as opposed to focus on just provision of disability benefit payments is associated with a smaller negative effect of disabi</w:t>
      </w:r>
      <w:r w:rsidR="009A3D5C">
        <w:t>lity on workforce participation</w:t>
      </w:r>
      <w:r w:rsidR="009A3D5C">
        <w:rPr>
          <w:rStyle w:val="FootnoteReference"/>
        </w:rPr>
        <w:footnoteReference w:id="28"/>
      </w:r>
      <w:r w:rsidR="009A3D5C" w:rsidRPr="009A3D5C">
        <w:t xml:space="preserve">. Similarly there is evidence that reintegration of children-at-risk can be beneficial for society. For example, a recent study based on US data finds that reintegration of at risk youth early in their life saves </w:t>
      </w:r>
      <w:r w:rsidR="009A3D5C">
        <w:t>society about $2.6-$4.4 million</w:t>
      </w:r>
      <w:r w:rsidR="008601AD">
        <w:rPr>
          <w:rStyle w:val="FootnoteReference"/>
        </w:rPr>
        <w:footnoteReference w:id="29"/>
      </w:r>
      <w:r w:rsidR="009A3D5C" w:rsidRPr="009A3D5C">
        <w:t xml:space="preserve">, and yet another study based on US data presents quite </w:t>
      </w:r>
      <w:r w:rsidR="008601AD">
        <w:t xml:space="preserve">significant societal </w:t>
      </w:r>
      <w:r w:rsidR="009A3D5C" w:rsidRPr="009A3D5C">
        <w:t>gains</w:t>
      </w:r>
      <w:r w:rsidR="008601AD">
        <w:t xml:space="preserve"> (close to $2,000 per student)</w:t>
      </w:r>
      <w:r w:rsidR="009A3D5C" w:rsidRPr="009A3D5C">
        <w:t xml:space="preserve"> from</w:t>
      </w:r>
      <w:r w:rsidR="009A3D5C">
        <w:t xml:space="preserve"> investing in children-at-risk</w:t>
      </w:r>
      <w:r w:rsidR="00BA6E33">
        <w:rPr>
          <w:rStyle w:val="FootnoteReference"/>
        </w:rPr>
        <w:footnoteReference w:id="30"/>
      </w:r>
      <w:r w:rsidR="009A3D5C">
        <w:t xml:space="preserve">. </w:t>
      </w:r>
    </w:p>
    <w:p w14:paraId="3E014444" w14:textId="77777777" w:rsidR="009A3D5C" w:rsidRDefault="009A3D5C" w:rsidP="00215ABA">
      <w:pPr>
        <w:jc w:val="both"/>
      </w:pPr>
    </w:p>
    <w:p w14:paraId="51A4BFBE" w14:textId="18D6078E" w:rsidR="009A3D5C" w:rsidRDefault="009A3D5C" w:rsidP="00215ABA">
      <w:pPr>
        <w:jc w:val="both"/>
      </w:pPr>
      <w:r w:rsidRPr="009A3D5C">
        <w:t>While a full economic and financial analysis was done during preparation building on it was not possible at the ICR stage. The analysis did not follow any of the methodologies outlined in the ICR and instead presented the gains from incorporating people with disabilities into employment and getting children at risk into education. While these are noble goals the project as initially designed and after restructuring cannot claim credit for either of the outcomes as the project did not link PWDs to jobs and neither did it link children at risk to education.</w:t>
      </w:r>
      <w:r>
        <w:t xml:space="preserve"> Output based </w:t>
      </w:r>
      <w:r w:rsidR="00BA6E33">
        <w:t xml:space="preserve">nature of the project and lack of impact evaluation limit the ability to properly assess gains from the project and in term conduct a meaningful quantitative assessment of its efficiency. </w:t>
      </w:r>
    </w:p>
    <w:p w14:paraId="26358C3E" w14:textId="77777777" w:rsidR="00B038EE" w:rsidRDefault="00B038EE" w:rsidP="00215ABA">
      <w:pPr>
        <w:jc w:val="both"/>
      </w:pPr>
    </w:p>
    <w:p w14:paraId="6F51E0BE" w14:textId="77777777" w:rsidR="00FA148C" w:rsidRDefault="00CA517C" w:rsidP="00215ABA">
      <w:pPr>
        <w:jc w:val="both"/>
      </w:pPr>
      <w:r>
        <w:t>No</w:t>
      </w:r>
      <w:r w:rsidR="00FA148C">
        <w:t>netheless the ICR will present</w:t>
      </w:r>
      <w:r>
        <w:t xml:space="preserve"> basic economic analysis that could allow for an assessment of project’s efficiency. The analysis looks separately at three project implementation p</w:t>
      </w:r>
      <w:r w:rsidR="00B038EE">
        <w:t>has</w:t>
      </w:r>
      <w:r>
        <w:t>es</w:t>
      </w:r>
      <w:r w:rsidR="00B038EE">
        <w:t xml:space="preserve">: (i) Phase 1: </w:t>
      </w:r>
      <w:r>
        <w:t xml:space="preserve">July </w:t>
      </w:r>
      <w:r w:rsidR="00B038EE">
        <w:t xml:space="preserve">2008 – restructuring in May 2011; (ii) Phase 2: restructuring in May 2011 – December 2013; (iii) Phase 3: December 2013- project closing. </w:t>
      </w:r>
    </w:p>
    <w:p w14:paraId="3327CF09" w14:textId="77777777" w:rsidR="00B038EE" w:rsidRDefault="00FA148C" w:rsidP="00215ABA">
      <w:pPr>
        <w:jc w:val="both"/>
        <w:rPr>
          <w:i/>
        </w:rPr>
      </w:pPr>
      <w:r>
        <w:t xml:space="preserve">The ratings for these three respective phases are: </w:t>
      </w:r>
      <w:r w:rsidRPr="001F48BE">
        <w:rPr>
          <w:i/>
        </w:rPr>
        <w:t>(i) Negligible, (ii) Modest, and (iii) Substantial.</w:t>
      </w:r>
      <w:r w:rsidR="00B038EE" w:rsidRPr="001F48BE">
        <w:rPr>
          <w:i/>
        </w:rPr>
        <w:t xml:space="preserve"> </w:t>
      </w:r>
    </w:p>
    <w:p w14:paraId="193E6968" w14:textId="77777777" w:rsidR="006C6612" w:rsidRDefault="006C6612" w:rsidP="00215ABA">
      <w:pPr>
        <w:jc w:val="both"/>
      </w:pPr>
    </w:p>
    <w:p w14:paraId="0A5E8C28" w14:textId="77777777" w:rsidR="006C6612" w:rsidRDefault="00FA148C" w:rsidP="00215ABA">
      <w:pPr>
        <w:jc w:val="both"/>
      </w:pPr>
      <w:r>
        <w:t xml:space="preserve">Furthermore, </w:t>
      </w:r>
      <w:r w:rsidR="006C6612">
        <w:t>ICR team will also present operational costs per beneficiary. Unfortunately</w:t>
      </w:r>
      <w:r w:rsidR="00CA517C">
        <w:t>,</w:t>
      </w:r>
      <w:r w:rsidR="006C6612">
        <w:t xml:space="preserve"> there are no comparable projects to look at to assess efficiency. Nonetheless, given that the design of this project has greatly informed the design of </w:t>
      </w:r>
      <w:r w:rsidR="006C6612" w:rsidRPr="00E72AFF">
        <w:t xml:space="preserve">Bihar </w:t>
      </w:r>
      <w:r w:rsidR="00D83D4F" w:rsidRPr="00E72AFF">
        <w:t>I</w:t>
      </w:r>
      <w:r w:rsidR="00D83D4F">
        <w:t xml:space="preserve">ntegrated Social Protection </w:t>
      </w:r>
      <w:r w:rsidR="009F18B8">
        <w:t xml:space="preserve">project design. </w:t>
      </w:r>
    </w:p>
    <w:p w14:paraId="6833980C" w14:textId="77777777" w:rsidR="00B038EE" w:rsidRDefault="00B038EE" w:rsidP="00215ABA">
      <w:pPr>
        <w:jc w:val="both"/>
      </w:pPr>
      <w:r>
        <w:br/>
      </w:r>
      <w:r w:rsidRPr="006C6612">
        <w:rPr>
          <w:b/>
          <w:i/>
        </w:rPr>
        <w:t>Phase 1</w:t>
      </w:r>
      <w:r>
        <w:t xml:space="preserve"> of the project produced no outputs and thus cannot be linked to economic returns. Furt</w:t>
      </w:r>
      <w:r w:rsidR="009F18B8">
        <w:t>hermore, it cost</w:t>
      </w:r>
      <w:r>
        <w:t xml:space="preserve"> the most in terms of supervision. This of course could be explained by need for extensive involvement of the Bank in achieving a mutual agreement with the government on the new project design. Noneth</w:t>
      </w:r>
      <w:r w:rsidR="0022691A">
        <w:t>eless, if the initial design had</w:t>
      </w:r>
      <w:r>
        <w:t xml:space="preserve"> taken in</w:t>
      </w:r>
      <w:r w:rsidR="0022691A">
        <w:t>to</w:t>
      </w:r>
      <w:r>
        <w:t xml:space="preserve"> account the risks of changing government properly extensive supervision would not be necessary. Hence efficiency of the</w:t>
      </w:r>
      <w:r w:rsidR="00FA148C">
        <w:t xml:space="preserve"> project at that</w:t>
      </w:r>
      <w:r>
        <w:t xml:space="preserve"> time is rated as </w:t>
      </w:r>
      <w:r w:rsidRPr="001F48BE">
        <w:rPr>
          <w:i/>
        </w:rPr>
        <w:t>Negligible</w:t>
      </w:r>
      <w:r>
        <w:t xml:space="preserve">. </w:t>
      </w:r>
    </w:p>
    <w:p w14:paraId="1E5CE312" w14:textId="77777777" w:rsidR="006C6612" w:rsidRDefault="006C6612" w:rsidP="00215ABA">
      <w:pPr>
        <w:jc w:val="both"/>
      </w:pPr>
    </w:p>
    <w:p w14:paraId="6C7FF3CA" w14:textId="77777777" w:rsidR="006C6612" w:rsidRDefault="006C6612" w:rsidP="00215ABA">
      <w:pPr>
        <w:jc w:val="both"/>
      </w:pPr>
      <w:r w:rsidRPr="00154591">
        <w:rPr>
          <w:b/>
          <w:i/>
        </w:rPr>
        <w:t>Phase 2</w:t>
      </w:r>
      <w:r>
        <w:t xml:space="preserve"> of the project was based on a new design</w:t>
      </w:r>
      <w:r w:rsidR="001F48BE">
        <w:t>. During this phase d</w:t>
      </w:r>
      <w:r>
        <w:t xml:space="preserve">espite delays in the approval of the DPP the project managed to contribute to building of 7 new ICPSCs and 20 new DSCs and to upgrades in equipment in the other 23 existing DSCs. </w:t>
      </w:r>
      <w:r w:rsidR="001F48BE">
        <w:t xml:space="preserve">Furthermore, during this phase cost saving opportunities were identified, which lead to increased efficiency of the use of project money. And despite upcoming restructuring supervision costs were reduced in comparison to the previous phase. </w:t>
      </w:r>
      <w:r w:rsidR="00EA434A">
        <w:t xml:space="preserve">Efficiency of the project at the time is rated as Modest. </w:t>
      </w:r>
    </w:p>
    <w:p w14:paraId="03B88CD0" w14:textId="77777777" w:rsidR="00215ABA" w:rsidRDefault="00215ABA" w:rsidP="00215ABA">
      <w:pPr>
        <w:jc w:val="both"/>
      </w:pPr>
    </w:p>
    <w:p w14:paraId="59FEC7ED" w14:textId="77777777" w:rsidR="006E0ADF" w:rsidRDefault="00215ABA" w:rsidP="00215ABA">
      <w:pPr>
        <w:jc w:val="both"/>
      </w:pPr>
      <w:r w:rsidRPr="00215ABA">
        <w:rPr>
          <w:b/>
          <w:i/>
        </w:rPr>
        <w:t>Phase 3</w:t>
      </w:r>
      <w:r>
        <w:t xml:space="preserve"> of the project was focused on a stream lined design </w:t>
      </w:r>
      <w:r w:rsidR="00300820">
        <w:t>with particular attention to</w:t>
      </w:r>
      <w:r>
        <w:t xml:space="preserve"> activities critical to the achievement of the PDO.</w:t>
      </w:r>
      <w:r w:rsidR="006E0ADF">
        <w:t xml:space="preserve"> This in itself increase</w:t>
      </w:r>
      <w:r w:rsidR="000034FB">
        <w:t>d</w:t>
      </w:r>
      <w:r w:rsidR="006E0ADF">
        <w:t xml:space="preserve"> the efficiency of </w:t>
      </w:r>
      <w:r w:rsidR="00FC180B">
        <w:t>the project. D</w:t>
      </w:r>
      <w:r w:rsidR="006E0ADF">
        <w:t xml:space="preserve">uring this time the project undertook important activities that resulted in the following outputs: </w:t>
      </w:r>
    </w:p>
    <w:p w14:paraId="1E48AA10" w14:textId="77777777" w:rsidR="006E0ADF" w:rsidRDefault="006E0ADF" w:rsidP="00100BF6">
      <w:pPr>
        <w:pStyle w:val="ListParagraph"/>
        <w:numPr>
          <w:ilvl w:val="0"/>
          <w:numId w:val="28"/>
        </w:numPr>
        <w:jc w:val="both"/>
      </w:pPr>
      <w:r>
        <w:t>30 more DSCs</w:t>
      </w:r>
      <w:r w:rsidR="00100BF6">
        <w:t xml:space="preserve"> (resulting in total of 50 DSCs supported by the project) and upgrading of equipment in 50 government supported DSCs  (thus providing services to 370,464 beneficiaries) </w:t>
      </w:r>
    </w:p>
    <w:p w14:paraId="64B0EEEB" w14:textId="77777777" w:rsidR="00100BF6" w:rsidRDefault="00100BF6" w:rsidP="00100BF6">
      <w:pPr>
        <w:pStyle w:val="ListParagraph"/>
        <w:numPr>
          <w:ilvl w:val="0"/>
          <w:numId w:val="28"/>
        </w:numPr>
        <w:jc w:val="both"/>
      </w:pPr>
      <w:r>
        <w:t xml:space="preserve">Provision of assistive devices </w:t>
      </w:r>
    </w:p>
    <w:p w14:paraId="72CA95AB" w14:textId="77777777" w:rsidR="006E0ADF" w:rsidRDefault="00215ABA" w:rsidP="00100BF6">
      <w:pPr>
        <w:pStyle w:val="ListParagraph"/>
        <w:numPr>
          <w:ilvl w:val="0"/>
          <w:numId w:val="28"/>
        </w:numPr>
        <w:jc w:val="both"/>
      </w:pPr>
      <w:r>
        <w:t>4 more ICPSCs</w:t>
      </w:r>
      <w:r w:rsidR="00100BF6">
        <w:t xml:space="preserve"> resulting in total of 11 ICPCS supported by the project</w:t>
      </w:r>
      <w:r w:rsidR="006E0ADF">
        <w:t xml:space="preserve"> </w:t>
      </w:r>
      <w:r w:rsidR="000034FB">
        <w:t>(where out of more than 6,000 children, 4100 were reintegrated and about 500 received training with some finding subsequent wage and self-employment</w:t>
      </w:r>
      <w:r w:rsidR="000034FB">
        <w:rPr>
          <w:rStyle w:val="FootnoteReference"/>
        </w:rPr>
        <w:footnoteReference w:id="31"/>
      </w:r>
      <w:r w:rsidR="000034FB">
        <w:t xml:space="preserve">) </w:t>
      </w:r>
    </w:p>
    <w:p w14:paraId="60DCBB54" w14:textId="77777777" w:rsidR="006E0ADF" w:rsidRDefault="00215ABA" w:rsidP="00100BF6">
      <w:pPr>
        <w:pStyle w:val="ListParagraph"/>
        <w:numPr>
          <w:ilvl w:val="0"/>
          <w:numId w:val="28"/>
        </w:numPr>
        <w:jc w:val="both"/>
      </w:pPr>
      <w:r>
        <w:t>32 mobile vans</w:t>
      </w:r>
      <w:r w:rsidR="006E0ADF">
        <w:t xml:space="preserve"> (which are crucial given that accessibility is one of the key obstacles to receiving proper healthcare for people with disability</w:t>
      </w:r>
      <w:r w:rsidR="00EF1D4C">
        <w:rPr>
          <w:rStyle w:val="FootnoteReference"/>
        </w:rPr>
        <w:footnoteReference w:id="32"/>
      </w:r>
      <w:r w:rsidR="006E0ADF">
        <w:t xml:space="preserve">) </w:t>
      </w:r>
    </w:p>
    <w:p w14:paraId="0F0B6940" w14:textId="77777777" w:rsidR="000034FB" w:rsidRDefault="000034FB" w:rsidP="00100BF6">
      <w:pPr>
        <w:pStyle w:val="ListParagraph"/>
        <w:numPr>
          <w:ilvl w:val="0"/>
          <w:numId w:val="28"/>
        </w:numPr>
        <w:jc w:val="both"/>
      </w:pPr>
      <w:r>
        <w:t>MIS</w:t>
      </w:r>
      <w:r w:rsidR="000F3E94">
        <w:t xml:space="preserve"> that is envisioned to allow </w:t>
      </w:r>
      <w:r>
        <w:t xml:space="preserve">officials of both JPUF and DSS to track utilization of funds and thus to improve their management capacity </w:t>
      </w:r>
    </w:p>
    <w:p w14:paraId="43D166A9" w14:textId="77777777" w:rsidR="000034FB" w:rsidRDefault="000F3E94" w:rsidP="00100BF6">
      <w:pPr>
        <w:pStyle w:val="ListParagraph"/>
        <w:numPr>
          <w:ilvl w:val="0"/>
          <w:numId w:val="28"/>
        </w:numPr>
        <w:jc w:val="both"/>
      </w:pPr>
      <w:r>
        <w:t>Training for staff working at</w:t>
      </w:r>
      <w:r w:rsidR="000034FB">
        <w:t xml:space="preserve"> DSCs, ICPSCs, and concerned officials at JPUF, DSS and MosW on working with people with disabi</w:t>
      </w:r>
      <w:r w:rsidR="00100BF6">
        <w:t>lities and on child protection</w:t>
      </w:r>
    </w:p>
    <w:p w14:paraId="535C33E4" w14:textId="77777777" w:rsidR="00100BF6" w:rsidRDefault="00100BF6" w:rsidP="00100BF6">
      <w:pPr>
        <w:pStyle w:val="ListParagraph"/>
        <w:numPr>
          <w:ilvl w:val="0"/>
          <w:numId w:val="28"/>
        </w:numPr>
        <w:jc w:val="both"/>
      </w:pPr>
      <w:r>
        <w:t>Creation of manuals to ensure improved standards of work with children at risk and people with disabilities.</w:t>
      </w:r>
    </w:p>
    <w:p w14:paraId="133F8B25" w14:textId="77777777" w:rsidR="00FC180B" w:rsidRDefault="00FC180B" w:rsidP="00215ABA">
      <w:pPr>
        <w:jc w:val="both"/>
      </w:pPr>
    </w:p>
    <w:p w14:paraId="07C9D1B4" w14:textId="77777777" w:rsidR="00B038EE" w:rsidRDefault="00B038EE" w:rsidP="00215ABA">
      <w:pPr>
        <w:jc w:val="both"/>
      </w:pPr>
      <w:r>
        <w:t>Furthermore, project money helped the government to secure a budget allocation to maintain 10</w:t>
      </w:r>
      <w:r w:rsidR="00FC180B">
        <w:t>0+ DSCs, and 11</w:t>
      </w:r>
      <w:r>
        <w:t xml:space="preserve"> ICPSCs. </w:t>
      </w:r>
      <w:r w:rsidR="00FC180B">
        <w:t xml:space="preserve"> This was evidenced by allocation of 503 million taka (USD 6.29 million) by MoSW to “Protibondhi Sheba O Shanhajji Kendro” Program under JPUF and allocation of 205 million taka (USD 2.56 million) by the Finance Division to the “Sheikh Russell Training and Rehabilitation Service Centers” under DSS.  Given that only a much smaller</w:t>
      </w:r>
      <w:r>
        <w:t xml:space="preserve"> allocation existed prior to the</w:t>
      </w:r>
      <w:r w:rsidR="00FC180B">
        <w:t xml:space="preserve"> closing of</w:t>
      </w:r>
      <w:r>
        <w:t xml:space="preserve"> project this in itself </w:t>
      </w:r>
      <w:r w:rsidR="00FC180B">
        <w:t>could be counted as a benefit a</w:t>
      </w:r>
      <w:r>
        <w:t xml:space="preserve">s it ensures access to necessary care services for people </w:t>
      </w:r>
      <w:r w:rsidR="00FC180B">
        <w:t xml:space="preserve">with disabilities and children at risk. </w:t>
      </w:r>
    </w:p>
    <w:p w14:paraId="647E8FE6" w14:textId="77777777" w:rsidR="003F083C" w:rsidRDefault="003F083C" w:rsidP="00215ABA">
      <w:pPr>
        <w:jc w:val="both"/>
      </w:pPr>
    </w:p>
    <w:p w14:paraId="66635C85" w14:textId="77777777" w:rsidR="003F083C" w:rsidRDefault="003F083C" w:rsidP="00215ABA">
      <w:pPr>
        <w:jc w:val="both"/>
      </w:pPr>
      <w:r>
        <w:t xml:space="preserve">Lastly the cost of supervision during this phase was the lowest of the three, which also indicates at more efficient allocation of resources. </w:t>
      </w:r>
    </w:p>
    <w:p w14:paraId="0CE13EB9" w14:textId="77777777" w:rsidR="003F083C" w:rsidRDefault="003F083C" w:rsidP="00215ABA">
      <w:pPr>
        <w:jc w:val="both"/>
      </w:pPr>
    </w:p>
    <w:p w14:paraId="383001F8" w14:textId="77777777" w:rsidR="003F083C" w:rsidRDefault="00C93ADC" w:rsidP="00215ABA">
      <w:pPr>
        <w:jc w:val="both"/>
      </w:pPr>
      <w:r>
        <w:t xml:space="preserve">Thus </w:t>
      </w:r>
      <w:r w:rsidR="003F083C">
        <w:t xml:space="preserve">efficiency of Phase 3 is rated as </w:t>
      </w:r>
      <w:r w:rsidR="003F083C" w:rsidRPr="009272B8">
        <w:rPr>
          <w:i/>
        </w:rPr>
        <w:t>Substantial</w:t>
      </w:r>
      <w:r w:rsidR="003F083C">
        <w:t xml:space="preserve">. </w:t>
      </w:r>
    </w:p>
    <w:p w14:paraId="24C85ADE" w14:textId="77777777" w:rsidR="003F083C" w:rsidRDefault="003F083C" w:rsidP="00215ABA">
      <w:pPr>
        <w:jc w:val="both"/>
      </w:pPr>
    </w:p>
    <w:p w14:paraId="3552ACF9" w14:textId="77777777" w:rsidR="003F083C" w:rsidRDefault="003F083C" w:rsidP="00215ABA">
      <w:pPr>
        <w:jc w:val="both"/>
      </w:pPr>
      <w:r>
        <w:t xml:space="preserve">Tables 3.1 and 3.2 present per beneficiary costs for both components. As mentioned above there are no benchmarks for the ICR team to compare those two given variety of services covered by various disability and children at risk interventions.  However, these could serve as a useful benchmark for future similar projects. </w:t>
      </w:r>
    </w:p>
    <w:p w14:paraId="3FC29A62" w14:textId="77777777" w:rsidR="009272B8" w:rsidRDefault="009272B8" w:rsidP="00215ABA">
      <w:pPr>
        <w:jc w:val="both"/>
      </w:pPr>
    </w:p>
    <w:p w14:paraId="27A977D9" w14:textId="14A9351E" w:rsidR="009272B8" w:rsidRPr="009272B8" w:rsidRDefault="009272B8" w:rsidP="009266A1">
      <w:pPr>
        <w:jc w:val="center"/>
        <w:rPr>
          <w:b/>
          <w:i/>
        </w:rPr>
      </w:pPr>
      <w:r w:rsidRPr="009272B8">
        <w:rPr>
          <w:b/>
          <w:i/>
        </w:rPr>
        <w:t>Table 3.1 Cost p</w:t>
      </w:r>
      <w:r w:rsidR="009266A1">
        <w:rPr>
          <w:b/>
          <w:i/>
        </w:rPr>
        <w:t>er beneficiary for Component 1</w:t>
      </w:r>
    </w:p>
    <w:tbl>
      <w:tblPr>
        <w:tblW w:w="6881" w:type="dxa"/>
        <w:jc w:val="center"/>
        <w:tblLook w:val="04A0" w:firstRow="1" w:lastRow="0" w:firstColumn="1" w:lastColumn="0" w:noHBand="0" w:noVBand="1"/>
      </w:tblPr>
      <w:tblGrid>
        <w:gridCol w:w="2892"/>
        <w:gridCol w:w="938"/>
        <w:gridCol w:w="1583"/>
        <w:gridCol w:w="1468"/>
      </w:tblGrid>
      <w:tr w:rsidR="009272B8" w:rsidRPr="009272B8" w14:paraId="3B240AD8" w14:textId="77777777" w:rsidTr="009272B8">
        <w:trPr>
          <w:trHeight w:val="300"/>
          <w:jc w:val="center"/>
        </w:trPr>
        <w:tc>
          <w:tcPr>
            <w:tcW w:w="6881" w:type="dxa"/>
            <w:gridSpan w:val="4"/>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B6775EF" w14:textId="77777777" w:rsidR="009272B8" w:rsidRPr="00170AE0" w:rsidRDefault="009272B8" w:rsidP="009272B8">
            <w:pPr>
              <w:jc w:val="center"/>
              <w:rPr>
                <w:rFonts w:eastAsia="Times New Roman"/>
                <w:b/>
                <w:bCs/>
                <w:i/>
                <w:iCs/>
                <w:color w:val="000000"/>
                <w:sz w:val="22"/>
                <w:szCs w:val="22"/>
                <w:lang w:eastAsia="en-US"/>
              </w:rPr>
            </w:pPr>
            <w:r w:rsidRPr="00170AE0">
              <w:rPr>
                <w:rFonts w:eastAsia="Times New Roman"/>
                <w:b/>
                <w:bCs/>
                <w:i/>
                <w:iCs/>
                <w:color w:val="000000"/>
                <w:sz w:val="22"/>
                <w:szCs w:val="22"/>
                <w:lang w:eastAsia="en-US"/>
              </w:rPr>
              <w:t xml:space="preserve">Disability Service Centers (DSCs) </w:t>
            </w:r>
          </w:p>
        </w:tc>
      </w:tr>
      <w:tr w:rsidR="009272B8" w:rsidRPr="009272B8" w14:paraId="14C52A43" w14:textId="77777777" w:rsidTr="009272B8">
        <w:trPr>
          <w:trHeight w:val="576"/>
          <w:jc w:val="center"/>
        </w:trPr>
        <w:tc>
          <w:tcPr>
            <w:tcW w:w="2892" w:type="dxa"/>
            <w:tcBorders>
              <w:top w:val="nil"/>
              <w:left w:val="single" w:sz="8" w:space="0" w:color="auto"/>
              <w:bottom w:val="single" w:sz="4" w:space="0" w:color="auto"/>
              <w:right w:val="single" w:sz="4" w:space="0" w:color="auto"/>
            </w:tcBorders>
            <w:shd w:val="clear" w:color="auto" w:fill="auto"/>
            <w:noWrap/>
            <w:vAlign w:val="bottom"/>
            <w:hideMark/>
          </w:tcPr>
          <w:p w14:paraId="70C0E312"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w:t>
            </w:r>
          </w:p>
        </w:tc>
        <w:tc>
          <w:tcPr>
            <w:tcW w:w="938" w:type="dxa"/>
            <w:tcBorders>
              <w:top w:val="nil"/>
              <w:left w:val="nil"/>
              <w:bottom w:val="single" w:sz="4" w:space="0" w:color="auto"/>
              <w:right w:val="single" w:sz="4" w:space="0" w:color="auto"/>
            </w:tcBorders>
            <w:shd w:val="clear" w:color="auto" w:fill="auto"/>
            <w:vAlign w:val="bottom"/>
            <w:hideMark/>
          </w:tcPr>
          <w:p w14:paraId="32D42B3E" w14:textId="77777777" w:rsidR="009272B8" w:rsidRPr="00170AE0" w:rsidRDefault="009272B8" w:rsidP="009272B8">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Taka (lakh) </w:t>
            </w:r>
          </w:p>
        </w:tc>
        <w:tc>
          <w:tcPr>
            <w:tcW w:w="1583" w:type="dxa"/>
            <w:tcBorders>
              <w:top w:val="nil"/>
              <w:left w:val="nil"/>
              <w:bottom w:val="single" w:sz="4" w:space="0" w:color="auto"/>
              <w:right w:val="single" w:sz="4" w:space="0" w:color="auto"/>
            </w:tcBorders>
            <w:shd w:val="clear" w:color="auto" w:fill="auto"/>
            <w:noWrap/>
            <w:vAlign w:val="bottom"/>
            <w:hideMark/>
          </w:tcPr>
          <w:p w14:paraId="108BAD30" w14:textId="77777777" w:rsidR="009272B8" w:rsidRPr="00170AE0" w:rsidRDefault="009272B8" w:rsidP="009272B8">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 Taka  </w:t>
            </w:r>
          </w:p>
        </w:tc>
        <w:tc>
          <w:tcPr>
            <w:tcW w:w="1468" w:type="dxa"/>
            <w:tcBorders>
              <w:top w:val="nil"/>
              <w:left w:val="nil"/>
              <w:bottom w:val="single" w:sz="4" w:space="0" w:color="auto"/>
              <w:right w:val="single" w:sz="8" w:space="0" w:color="auto"/>
            </w:tcBorders>
            <w:shd w:val="clear" w:color="auto" w:fill="auto"/>
            <w:noWrap/>
            <w:vAlign w:val="bottom"/>
            <w:hideMark/>
          </w:tcPr>
          <w:p w14:paraId="597FBEBC" w14:textId="77777777" w:rsidR="009272B8" w:rsidRPr="00170AE0" w:rsidRDefault="009272B8" w:rsidP="009272B8">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 USD  </w:t>
            </w:r>
          </w:p>
        </w:tc>
      </w:tr>
      <w:tr w:rsidR="009272B8" w:rsidRPr="009272B8" w14:paraId="0E575FB1" w14:textId="77777777" w:rsidTr="009272B8">
        <w:trPr>
          <w:trHeight w:val="288"/>
          <w:jc w:val="center"/>
        </w:trPr>
        <w:tc>
          <w:tcPr>
            <w:tcW w:w="2892" w:type="dxa"/>
            <w:tcBorders>
              <w:top w:val="nil"/>
              <w:left w:val="single" w:sz="8" w:space="0" w:color="auto"/>
              <w:bottom w:val="single" w:sz="4" w:space="0" w:color="auto"/>
              <w:right w:val="single" w:sz="4" w:space="0" w:color="auto"/>
            </w:tcBorders>
            <w:shd w:val="clear" w:color="auto" w:fill="auto"/>
            <w:noWrap/>
            <w:vAlign w:val="bottom"/>
            <w:hideMark/>
          </w:tcPr>
          <w:p w14:paraId="6AF2F865"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(a) Service provision to DSCs </w:t>
            </w:r>
          </w:p>
        </w:tc>
        <w:tc>
          <w:tcPr>
            <w:tcW w:w="938" w:type="dxa"/>
            <w:tcBorders>
              <w:top w:val="nil"/>
              <w:left w:val="nil"/>
              <w:bottom w:val="single" w:sz="4" w:space="0" w:color="auto"/>
              <w:right w:val="single" w:sz="4" w:space="0" w:color="auto"/>
            </w:tcBorders>
            <w:shd w:val="clear" w:color="auto" w:fill="auto"/>
            <w:noWrap/>
            <w:vAlign w:val="center"/>
            <w:hideMark/>
          </w:tcPr>
          <w:p w14:paraId="06303368"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2215.3</w:t>
            </w:r>
          </w:p>
        </w:tc>
        <w:tc>
          <w:tcPr>
            <w:tcW w:w="1583" w:type="dxa"/>
            <w:tcBorders>
              <w:top w:val="nil"/>
              <w:left w:val="nil"/>
              <w:bottom w:val="single" w:sz="4" w:space="0" w:color="auto"/>
              <w:right w:val="single" w:sz="4" w:space="0" w:color="auto"/>
            </w:tcBorders>
            <w:shd w:val="clear" w:color="auto" w:fill="auto"/>
            <w:noWrap/>
            <w:vAlign w:val="center"/>
            <w:hideMark/>
          </w:tcPr>
          <w:p w14:paraId="0230C1E0"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221,530,000 </w:t>
            </w:r>
          </w:p>
        </w:tc>
        <w:tc>
          <w:tcPr>
            <w:tcW w:w="1468" w:type="dxa"/>
            <w:tcBorders>
              <w:top w:val="nil"/>
              <w:left w:val="nil"/>
              <w:bottom w:val="single" w:sz="4" w:space="0" w:color="auto"/>
              <w:right w:val="single" w:sz="8" w:space="0" w:color="auto"/>
            </w:tcBorders>
            <w:shd w:val="clear" w:color="auto" w:fill="auto"/>
            <w:noWrap/>
            <w:vAlign w:val="center"/>
            <w:hideMark/>
          </w:tcPr>
          <w:p w14:paraId="238A5E7B"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2,879,890 </w:t>
            </w:r>
          </w:p>
        </w:tc>
      </w:tr>
      <w:tr w:rsidR="009272B8" w:rsidRPr="009272B8" w14:paraId="725915CF" w14:textId="77777777" w:rsidTr="009272B8">
        <w:trPr>
          <w:trHeight w:val="288"/>
          <w:jc w:val="center"/>
        </w:trPr>
        <w:tc>
          <w:tcPr>
            <w:tcW w:w="2892" w:type="dxa"/>
            <w:tcBorders>
              <w:top w:val="nil"/>
              <w:left w:val="single" w:sz="8" w:space="0" w:color="auto"/>
              <w:bottom w:val="single" w:sz="4" w:space="0" w:color="auto"/>
              <w:right w:val="single" w:sz="4" w:space="0" w:color="auto"/>
            </w:tcBorders>
            <w:shd w:val="clear" w:color="auto" w:fill="auto"/>
            <w:noWrap/>
            <w:vAlign w:val="bottom"/>
            <w:hideMark/>
          </w:tcPr>
          <w:p w14:paraId="48FECCF6"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(b) DSC Staff trainings </w:t>
            </w:r>
          </w:p>
        </w:tc>
        <w:tc>
          <w:tcPr>
            <w:tcW w:w="938" w:type="dxa"/>
            <w:tcBorders>
              <w:top w:val="nil"/>
              <w:left w:val="nil"/>
              <w:bottom w:val="single" w:sz="4" w:space="0" w:color="auto"/>
              <w:right w:val="single" w:sz="4" w:space="0" w:color="auto"/>
            </w:tcBorders>
            <w:shd w:val="clear" w:color="auto" w:fill="auto"/>
            <w:noWrap/>
            <w:vAlign w:val="center"/>
            <w:hideMark/>
          </w:tcPr>
          <w:p w14:paraId="7209D407"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950.89</w:t>
            </w:r>
          </w:p>
        </w:tc>
        <w:tc>
          <w:tcPr>
            <w:tcW w:w="1583" w:type="dxa"/>
            <w:tcBorders>
              <w:top w:val="nil"/>
              <w:left w:val="nil"/>
              <w:bottom w:val="single" w:sz="4" w:space="0" w:color="auto"/>
              <w:right w:val="single" w:sz="4" w:space="0" w:color="auto"/>
            </w:tcBorders>
            <w:shd w:val="clear" w:color="auto" w:fill="auto"/>
            <w:noWrap/>
            <w:vAlign w:val="center"/>
            <w:hideMark/>
          </w:tcPr>
          <w:p w14:paraId="7E180880"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95,089,000 </w:t>
            </w:r>
          </w:p>
        </w:tc>
        <w:tc>
          <w:tcPr>
            <w:tcW w:w="1468" w:type="dxa"/>
            <w:tcBorders>
              <w:top w:val="nil"/>
              <w:left w:val="nil"/>
              <w:bottom w:val="single" w:sz="4" w:space="0" w:color="auto"/>
              <w:right w:val="single" w:sz="8" w:space="0" w:color="auto"/>
            </w:tcBorders>
            <w:shd w:val="clear" w:color="auto" w:fill="auto"/>
            <w:noWrap/>
            <w:vAlign w:val="center"/>
            <w:hideMark/>
          </w:tcPr>
          <w:p w14:paraId="7B0B0F5B"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1,236,157 </w:t>
            </w:r>
          </w:p>
        </w:tc>
      </w:tr>
      <w:tr w:rsidR="009272B8" w:rsidRPr="009272B8" w14:paraId="22405B2B" w14:textId="77777777" w:rsidTr="009272B8">
        <w:trPr>
          <w:trHeight w:val="288"/>
          <w:jc w:val="center"/>
        </w:trPr>
        <w:tc>
          <w:tcPr>
            <w:tcW w:w="2892" w:type="dxa"/>
            <w:tcBorders>
              <w:top w:val="nil"/>
              <w:left w:val="single" w:sz="8" w:space="0" w:color="auto"/>
              <w:bottom w:val="single" w:sz="4" w:space="0" w:color="auto"/>
              <w:right w:val="single" w:sz="4" w:space="0" w:color="auto"/>
            </w:tcBorders>
            <w:shd w:val="clear" w:color="auto" w:fill="auto"/>
            <w:noWrap/>
            <w:vAlign w:val="bottom"/>
            <w:hideMark/>
          </w:tcPr>
          <w:p w14:paraId="5EA69ADC"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(c)Goods and services for DSCs </w:t>
            </w:r>
          </w:p>
        </w:tc>
        <w:tc>
          <w:tcPr>
            <w:tcW w:w="938" w:type="dxa"/>
            <w:tcBorders>
              <w:top w:val="nil"/>
              <w:left w:val="nil"/>
              <w:bottom w:val="single" w:sz="4" w:space="0" w:color="auto"/>
              <w:right w:val="single" w:sz="4" w:space="0" w:color="auto"/>
            </w:tcBorders>
            <w:shd w:val="clear" w:color="auto" w:fill="auto"/>
            <w:noWrap/>
            <w:vAlign w:val="center"/>
            <w:hideMark/>
          </w:tcPr>
          <w:p w14:paraId="388FE315"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6106.4</w:t>
            </w:r>
          </w:p>
        </w:tc>
        <w:tc>
          <w:tcPr>
            <w:tcW w:w="1583" w:type="dxa"/>
            <w:tcBorders>
              <w:top w:val="nil"/>
              <w:left w:val="nil"/>
              <w:bottom w:val="single" w:sz="4" w:space="0" w:color="auto"/>
              <w:right w:val="single" w:sz="4" w:space="0" w:color="auto"/>
            </w:tcBorders>
            <w:shd w:val="clear" w:color="auto" w:fill="auto"/>
            <w:noWrap/>
            <w:vAlign w:val="center"/>
            <w:hideMark/>
          </w:tcPr>
          <w:p w14:paraId="03076B75"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610,640,000 </w:t>
            </w:r>
          </w:p>
        </w:tc>
        <w:tc>
          <w:tcPr>
            <w:tcW w:w="1468" w:type="dxa"/>
            <w:tcBorders>
              <w:top w:val="nil"/>
              <w:left w:val="nil"/>
              <w:bottom w:val="single" w:sz="4" w:space="0" w:color="auto"/>
              <w:right w:val="single" w:sz="8" w:space="0" w:color="auto"/>
            </w:tcBorders>
            <w:shd w:val="clear" w:color="auto" w:fill="auto"/>
            <w:noWrap/>
            <w:vAlign w:val="center"/>
            <w:hideMark/>
          </w:tcPr>
          <w:p w14:paraId="4EB21E47"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7,938,320 </w:t>
            </w:r>
          </w:p>
        </w:tc>
      </w:tr>
      <w:tr w:rsidR="009272B8" w:rsidRPr="009272B8" w14:paraId="33FDE7D6" w14:textId="77777777" w:rsidTr="009272B8">
        <w:trPr>
          <w:trHeight w:val="576"/>
          <w:jc w:val="center"/>
        </w:trPr>
        <w:tc>
          <w:tcPr>
            <w:tcW w:w="2892" w:type="dxa"/>
            <w:tcBorders>
              <w:top w:val="nil"/>
              <w:left w:val="single" w:sz="8" w:space="0" w:color="auto"/>
              <w:bottom w:val="single" w:sz="4" w:space="0" w:color="auto"/>
              <w:right w:val="single" w:sz="4" w:space="0" w:color="auto"/>
            </w:tcBorders>
            <w:shd w:val="clear" w:color="auto" w:fill="auto"/>
            <w:vAlign w:val="bottom"/>
            <w:hideMark/>
          </w:tcPr>
          <w:p w14:paraId="19F65525"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(d) JPUF management and institutional expenses </w:t>
            </w:r>
          </w:p>
        </w:tc>
        <w:tc>
          <w:tcPr>
            <w:tcW w:w="938" w:type="dxa"/>
            <w:tcBorders>
              <w:top w:val="nil"/>
              <w:left w:val="nil"/>
              <w:bottom w:val="single" w:sz="4" w:space="0" w:color="auto"/>
              <w:right w:val="single" w:sz="4" w:space="0" w:color="auto"/>
            </w:tcBorders>
            <w:shd w:val="clear" w:color="auto" w:fill="auto"/>
            <w:noWrap/>
            <w:vAlign w:val="center"/>
            <w:hideMark/>
          </w:tcPr>
          <w:p w14:paraId="1A2D1BB9"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545</w:t>
            </w:r>
          </w:p>
        </w:tc>
        <w:tc>
          <w:tcPr>
            <w:tcW w:w="1583" w:type="dxa"/>
            <w:tcBorders>
              <w:top w:val="nil"/>
              <w:left w:val="nil"/>
              <w:bottom w:val="single" w:sz="4" w:space="0" w:color="auto"/>
              <w:right w:val="single" w:sz="4" w:space="0" w:color="auto"/>
            </w:tcBorders>
            <w:shd w:val="clear" w:color="auto" w:fill="auto"/>
            <w:noWrap/>
            <w:vAlign w:val="center"/>
            <w:hideMark/>
          </w:tcPr>
          <w:p w14:paraId="4F8D5349"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54,500,000 </w:t>
            </w:r>
          </w:p>
        </w:tc>
        <w:tc>
          <w:tcPr>
            <w:tcW w:w="1468" w:type="dxa"/>
            <w:tcBorders>
              <w:top w:val="nil"/>
              <w:left w:val="nil"/>
              <w:bottom w:val="single" w:sz="4" w:space="0" w:color="auto"/>
              <w:right w:val="single" w:sz="8" w:space="0" w:color="auto"/>
            </w:tcBorders>
            <w:shd w:val="clear" w:color="auto" w:fill="auto"/>
            <w:noWrap/>
            <w:vAlign w:val="center"/>
            <w:hideMark/>
          </w:tcPr>
          <w:p w14:paraId="7BC0F181"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708,500 </w:t>
            </w:r>
          </w:p>
        </w:tc>
      </w:tr>
      <w:tr w:rsidR="009272B8" w:rsidRPr="009272B8" w14:paraId="30BADA8A" w14:textId="77777777" w:rsidTr="009272B8">
        <w:trPr>
          <w:trHeight w:val="576"/>
          <w:jc w:val="center"/>
        </w:trPr>
        <w:tc>
          <w:tcPr>
            <w:tcW w:w="2892" w:type="dxa"/>
            <w:tcBorders>
              <w:top w:val="nil"/>
              <w:left w:val="single" w:sz="8" w:space="0" w:color="auto"/>
              <w:bottom w:val="single" w:sz="4" w:space="0" w:color="auto"/>
              <w:right w:val="single" w:sz="4" w:space="0" w:color="auto"/>
            </w:tcBorders>
            <w:shd w:val="clear" w:color="auto" w:fill="auto"/>
            <w:vAlign w:val="bottom"/>
            <w:hideMark/>
          </w:tcPr>
          <w:p w14:paraId="2EB3CDE4"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(e)Institutional development, training and capacity building </w:t>
            </w:r>
          </w:p>
        </w:tc>
        <w:tc>
          <w:tcPr>
            <w:tcW w:w="938" w:type="dxa"/>
            <w:tcBorders>
              <w:top w:val="nil"/>
              <w:left w:val="nil"/>
              <w:bottom w:val="single" w:sz="4" w:space="0" w:color="auto"/>
              <w:right w:val="single" w:sz="4" w:space="0" w:color="auto"/>
            </w:tcBorders>
            <w:shd w:val="clear" w:color="auto" w:fill="auto"/>
            <w:noWrap/>
            <w:vAlign w:val="center"/>
            <w:hideMark/>
          </w:tcPr>
          <w:p w14:paraId="42EE72CD"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400</w:t>
            </w:r>
          </w:p>
        </w:tc>
        <w:tc>
          <w:tcPr>
            <w:tcW w:w="1583" w:type="dxa"/>
            <w:tcBorders>
              <w:top w:val="nil"/>
              <w:left w:val="nil"/>
              <w:bottom w:val="single" w:sz="4" w:space="0" w:color="auto"/>
              <w:right w:val="single" w:sz="4" w:space="0" w:color="auto"/>
            </w:tcBorders>
            <w:shd w:val="clear" w:color="auto" w:fill="auto"/>
            <w:noWrap/>
            <w:vAlign w:val="center"/>
            <w:hideMark/>
          </w:tcPr>
          <w:p w14:paraId="50B70D8B"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40,000,000 </w:t>
            </w:r>
          </w:p>
        </w:tc>
        <w:tc>
          <w:tcPr>
            <w:tcW w:w="1468" w:type="dxa"/>
            <w:tcBorders>
              <w:top w:val="nil"/>
              <w:left w:val="nil"/>
              <w:bottom w:val="single" w:sz="4" w:space="0" w:color="auto"/>
              <w:right w:val="single" w:sz="8" w:space="0" w:color="auto"/>
            </w:tcBorders>
            <w:shd w:val="clear" w:color="auto" w:fill="auto"/>
            <w:noWrap/>
            <w:vAlign w:val="center"/>
            <w:hideMark/>
          </w:tcPr>
          <w:p w14:paraId="198F7CFE"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520,000 </w:t>
            </w:r>
          </w:p>
        </w:tc>
      </w:tr>
      <w:tr w:rsidR="009272B8" w:rsidRPr="009272B8" w14:paraId="58E4EC48" w14:textId="77777777" w:rsidTr="009272B8">
        <w:trPr>
          <w:trHeight w:val="288"/>
          <w:jc w:val="center"/>
        </w:trPr>
        <w:tc>
          <w:tcPr>
            <w:tcW w:w="2892" w:type="dxa"/>
            <w:tcBorders>
              <w:top w:val="nil"/>
              <w:left w:val="single" w:sz="8" w:space="0" w:color="auto"/>
              <w:bottom w:val="single" w:sz="4" w:space="0" w:color="auto"/>
              <w:right w:val="single" w:sz="4" w:space="0" w:color="auto"/>
            </w:tcBorders>
            <w:shd w:val="clear" w:color="000000" w:fill="E7E6E6"/>
            <w:noWrap/>
            <w:vAlign w:val="bottom"/>
            <w:hideMark/>
          </w:tcPr>
          <w:p w14:paraId="0B5EB7CD" w14:textId="77777777" w:rsidR="009272B8" w:rsidRPr="00170AE0" w:rsidRDefault="009272B8" w:rsidP="009272B8">
            <w:pPr>
              <w:rPr>
                <w:rFonts w:eastAsia="Times New Roman"/>
                <w:b/>
                <w:bCs/>
                <w:i/>
                <w:iCs/>
                <w:color w:val="000000"/>
                <w:sz w:val="22"/>
                <w:szCs w:val="22"/>
                <w:lang w:eastAsia="en-US"/>
              </w:rPr>
            </w:pPr>
            <w:r w:rsidRPr="00170AE0">
              <w:rPr>
                <w:rFonts w:eastAsia="Times New Roman"/>
                <w:b/>
                <w:bCs/>
                <w:i/>
                <w:iCs/>
                <w:color w:val="000000"/>
                <w:sz w:val="22"/>
                <w:szCs w:val="22"/>
                <w:lang w:eastAsia="en-US"/>
              </w:rPr>
              <w:t xml:space="preserve">Total number of beneficiaries </w:t>
            </w:r>
          </w:p>
        </w:tc>
        <w:tc>
          <w:tcPr>
            <w:tcW w:w="938" w:type="dxa"/>
            <w:tcBorders>
              <w:top w:val="nil"/>
              <w:left w:val="nil"/>
              <w:bottom w:val="single" w:sz="4" w:space="0" w:color="auto"/>
              <w:right w:val="single" w:sz="4" w:space="0" w:color="auto"/>
            </w:tcBorders>
            <w:shd w:val="clear" w:color="000000" w:fill="E7E6E6"/>
            <w:noWrap/>
            <w:vAlign w:val="center"/>
            <w:hideMark/>
          </w:tcPr>
          <w:p w14:paraId="4BBDFAE1" w14:textId="77777777" w:rsidR="009272B8" w:rsidRPr="00170AE0" w:rsidRDefault="009272B8" w:rsidP="009272B8">
            <w:pPr>
              <w:jc w:val="center"/>
              <w:rPr>
                <w:rFonts w:eastAsia="Times New Roman"/>
                <w:b/>
                <w:bCs/>
                <w:color w:val="000000"/>
                <w:sz w:val="22"/>
                <w:szCs w:val="22"/>
                <w:lang w:eastAsia="en-US"/>
              </w:rPr>
            </w:pPr>
            <w:r w:rsidRPr="00170AE0">
              <w:rPr>
                <w:rFonts w:eastAsia="Times New Roman"/>
                <w:b/>
                <w:bCs/>
                <w:color w:val="000000"/>
                <w:sz w:val="22"/>
                <w:szCs w:val="22"/>
                <w:lang w:eastAsia="en-US"/>
              </w:rPr>
              <w:t>370,464</w:t>
            </w:r>
          </w:p>
        </w:tc>
        <w:tc>
          <w:tcPr>
            <w:tcW w:w="1583" w:type="dxa"/>
            <w:tcBorders>
              <w:top w:val="nil"/>
              <w:left w:val="nil"/>
              <w:bottom w:val="single" w:sz="4" w:space="0" w:color="auto"/>
              <w:right w:val="single" w:sz="4" w:space="0" w:color="auto"/>
            </w:tcBorders>
            <w:shd w:val="clear" w:color="000000" w:fill="E7E6E6"/>
            <w:noWrap/>
            <w:vAlign w:val="center"/>
            <w:hideMark/>
          </w:tcPr>
          <w:p w14:paraId="524E678C"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w:t>
            </w:r>
          </w:p>
        </w:tc>
        <w:tc>
          <w:tcPr>
            <w:tcW w:w="1468" w:type="dxa"/>
            <w:tcBorders>
              <w:top w:val="nil"/>
              <w:left w:val="nil"/>
              <w:bottom w:val="single" w:sz="4" w:space="0" w:color="auto"/>
              <w:right w:val="single" w:sz="8" w:space="0" w:color="auto"/>
            </w:tcBorders>
            <w:shd w:val="clear" w:color="000000" w:fill="E7E6E6"/>
            <w:noWrap/>
            <w:vAlign w:val="center"/>
            <w:hideMark/>
          </w:tcPr>
          <w:p w14:paraId="24E74F96"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w:t>
            </w:r>
          </w:p>
        </w:tc>
      </w:tr>
      <w:tr w:rsidR="009272B8" w:rsidRPr="009272B8" w14:paraId="5357D178" w14:textId="77777777" w:rsidTr="009272B8">
        <w:trPr>
          <w:trHeight w:val="576"/>
          <w:jc w:val="center"/>
        </w:trPr>
        <w:tc>
          <w:tcPr>
            <w:tcW w:w="2892" w:type="dxa"/>
            <w:tcBorders>
              <w:top w:val="nil"/>
              <w:left w:val="single" w:sz="8" w:space="0" w:color="auto"/>
              <w:bottom w:val="single" w:sz="4" w:space="0" w:color="auto"/>
              <w:right w:val="single" w:sz="4" w:space="0" w:color="auto"/>
            </w:tcBorders>
            <w:shd w:val="clear" w:color="auto" w:fill="auto"/>
            <w:vAlign w:val="center"/>
            <w:hideMark/>
          </w:tcPr>
          <w:p w14:paraId="6149683C"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 xml:space="preserve">Cost per beneficiary (DSCs only: (a)+(b)+(c)) </w:t>
            </w:r>
          </w:p>
        </w:tc>
        <w:tc>
          <w:tcPr>
            <w:tcW w:w="938" w:type="dxa"/>
            <w:tcBorders>
              <w:top w:val="nil"/>
              <w:left w:val="nil"/>
              <w:bottom w:val="single" w:sz="4" w:space="0" w:color="auto"/>
              <w:right w:val="single" w:sz="4" w:space="0" w:color="auto"/>
            </w:tcBorders>
            <w:shd w:val="clear" w:color="auto" w:fill="auto"/>
            <w:noWrap/>
            <w:vAlign w:val="center"/>
            <w:hideMark/>
          </w:tcPr>
          <w:p w14:paraId="5830BD15"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0.03 </w:t>
            </w:r>
          </w:p>
        </w:tc>
        <w:tc>
          <w:tcPr>
            <w:tcW w:w="1583" w:type="dxa"/>
            <w:tcBorders>
              <w:top w:val="nil"/>
              <w:left w:val="nil"/>
              <w:bottom w:val="single" w:sz="4" w:space="0" w:color="auto"/>
              <w:right w:val="single" w:sz="4" w:space="0" w:color="auto"/>
            </w:tcBorders>
            <w:shd w:val="clear" w:color="auto" w:fill="auto"/>
            <w:noWrap/>
            <w:vAlign w:val="center"/>
            <w:hideMark/>
          </w:tcPr>
          <w:p w14:paraId="60D2AF0F"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2,502.97 </w:t>
            </w:r>
          </w:p>
        </w:tc>
        <w:tc>
          <w:tcPr>
            <w:tcW w:w="1468" w:type="dxa"/>
            <w:tcBorders>
              <w:top w:val="nil"/>
              <w:left w:val="nil"/>
              <w:bottom w:val="single" w:sz="4" w:space="0" w:color="auto"/>
              <w:right w:val="single" w:sz="8" w:space="0" w:color="auto"/>
            </w:tcBorders>
            <w:shd w:val="clear" w:color="auto" w:fill="auto"/>
            <w:noWrap/>
            <w:vAlign w:val="center"/>
            <w:hideMark/>
          </w:tcPr>
          <w:p w14:paraId="0D92C9E3"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32.54 </w:t>
            </w:r>
          </w:p>
        </w:tc>
      </w:tr>
      <w:tr w:rsidR="009272B8" w:rsidRPr="009272B8" w14:paraId="7CDEE25F" w14:textId="77777777" w:rsidTr="009272B8">
        <w:trPr>
          <w:trHeight w:val="300"/>
          <w:jc w:val="center"/>
        </w:trPr>
        <w:tc>
          <w:tcPr>
            <w:tcW w:w="2892" w:type="dxa"/>
            <w:tcBorders>
              <w:top w:val="nil"/>
              <w:left w:val="single" w:sz="8" w:space="0" w:color="auto"/>
              <w:bottom w:val="single" w:sz="8" w:space="0" w:color="auto"/>
              <w:right w:val="single" w:sz="4" w:space="0" w:color="auto"/>
            </w:tcBorders>
            <w:shd w:val="clear" w:color="auto" w:fill="auto"/>
            <w:noWrap/>
            <w:vAlign w:val="bottom"/>
            <w:hideMark/>
          </w:tcPr>
          <w:p w14:paraId="6B0BD7C9" w14:textId="77777777" w:rsidR="009272B8" w:rsidRPr="00170AE0" w:rsidRDefault="009272B8" w:rsidP="009272B8">
            <w:pPr>
              <w:rPr>
                <w:rFonts w:eastAsia="Times New Roman"/>
                <w:color w:val="000000"/>
                <w:sz w:val="22"/>
                <w:szCs w:val="22"/>
                <w:lang w:eastAsia="en-US"/>
              </w:rPr>
            </w:pPr>
            <w:r w:rsidRPr="00170AE0">
              <w:rPr>
                <w:rFonts w:eastAsia="Times New Roman"/>
                <w:color w:val="000000"/>
                <w:sz w:val="22"/>
                <w:szCs w:val="22"/>
                <w:lang w:eastAsia="en-US"/>
              </w:rPr>
              <w:t>Total cost per beneficiary</w:t>
            </w:r>
          </w:p>
        </w:tc>
        <w:tc>
          <w:tcPr>
            <w:tcW w:w="938" w:type="dxa"/>
            <w:tcBorders>
              <w:top w:val="nil"/>
              <w:left w:val="nil"/>
              <w:bottom w:val="single" w:sz="8" w:space="0" w:color="auto"/>
              <w:right w:val="single" w:sz="4" w:space="0" w:color="auto"/>
            </w:tcBorders>
            <w:shd w:val="clear" w:color="auto" w:fill="auto"/>
            <w:noWrap/>
            <w:vAlign w:val="center"/>
            <w:hideMark/>
          </w:tcPr>
          <w:p w14:paraId="40622923"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0.0 </w:t>
            </w:r>
          </w:p>
        </w:tc>
        <w:tc>
          <w:tcPr>
            <w:tcW w:w="1583" w:type="dxa"/>
            <w:tcBorders>
              <w:top w:val="nil"/>
              <w:left w:val="nil"/>
              <w:bottom w:val="single" w:sz="8" w:space="0" w:color="auto"/>
              <w:right w:val="single" w:sz="4" w:space="0" w:color="auto"/>
            </w:tcBorders>
            <w:shd w:val="clear" w:color="auto" w:fill="auto"/>
            <w:noWrap/>
            <w:vAlign w:val="center"/>
            <w:hideMark/>
          </w:tcPr>
          <w:p w14:paraId="10D10BF1"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2,758.1 </w:t>
            </w:r>
          </w:p>
        </w:tc>
        <w:tc>
          <w:tcPr>
            <w:tcW w:w="1468" w:type="dxa"/>
            <w:tcBorders>
              <w:top w:val="nil"/>
              <w:left w:val="nil"/>
              <w:bottom w:val="single" w:sz="8" w:space="0" w:color="auto"/>
              <w:right w:val="single" w:sz="8" w:space="0" w:color="auto"/>
            </w:tcBorders>
            <w:shd w:val="clear" w:color="auto" w:fill="auto"/>
            <w:noWrap/>
            <w:vAlign w:val="center"/>
            <w:hideMark/>
          </w:tcPr>
          <w:p w14:paraId="3EC3E96D" w14:textId="77777777" w:rsidR="009272B8" w:rsidRPr="00170AE0" w:rsidRDefault="009272B8" w:rsidP="009272B8">
            <w:pPr>
              <w:jc w:val="center"/>
              <w:rPr>
                <w:rFonts w:eastAsia="Times New Roman"/>
                <w:color w:val="000000"/>
                <w:sz w:val="22"/>
                <w:szCs w:val="22"/>
                <w:lang w:eastAsia="en-US"/>
              </w:rPr>
            </w:pPr>
            <w:r w:rsidRPr="00170AE0">
              <w:rPr>
                <w:rFonts w:eastAsia="Times New Roman"/>
                <w:color w:val="000000"/>
                <w:sz w:val="22"/>
                <w:szCs w:val="22"/>
                <w:lang w:eastAsia="en-US"/>
              </w:rPr>
              <w:t xml:space="preserve"> $              35.85 </w:t>
            </w:r>
          </w:p>
        </w:tc>
      </w:tr>
    </w:tbl>
    <w:p w14:paraId="0D9F464F" w14:textId="77777777" w:rsidR="009272B8" w:rsidRDefault="009272B8" w:rsidP="00215ABA">
      <w:pPr>
        <w:jc w:val="both"/>
      </w:pPr>
    </w:p>
    <w:p w14:paraId="3258F87A" w14:textId="77777777" w:rsidR="00554CAB" w:rsidRDefault="00554CAB" w:rsidP="00215ABA">
      <w:pPr>
        <w:jc w:val="both"/>
      </w:pPr>
    </w:p>
    <w:p w14:paraId="4C45E742" w14:textId="77777777" w:rsidR="009266A1" w:rsidRDefault="009266A1" w:rsidP="00215ABA">
      <w:pPr>
        <w:jc w:val="both"/>
      </w:pPr>
    </w:p>
    <w:p w14:paraId="30C5B062" w14:textId="77777777" w:rsidR="009266A1" w:rsidRDefault="009266A1" w:rsidP="00215ABA">
      <w:pPr>
        <w:jc w:val="both"/>
      </w:pPr>
    </w:p>
    <w:p w14:paraId="2B0C7E8A" w14:textId="195F2CEE" w:rsidR="009266A1" w:rsidRDefault="009266A1">
      <w:r>
        <w:br w:type="page"/>
      </w:r>
    </w:p>
    <w:p w14:paraId="734B7429" w14:textId="77777777" w:rsidR="009266A1" w:rsidRDefault="009266A1" w:rsidP="00215ABA">
      <w:pPr>
        <w:jc w:val="both"/>
      </w:pPr>
    </w:p>
    <w:p w14:paraId="1A412781" w14:textId="30A1DA71" w:rsidR="00554CAB" w:rsidRPr="00170AE0" w:rsidRDefault="00554CAB" w:rsidP="00554CAB">
      <w:pPr>
        <w:jc w:val="center"/>
        <w:rPr>
          <w:b/>
          <w:i/>
        </w:rPr>
      </w:pPr>
      <w:r w:rsidRPr="00170AE0">
        <w:rPr>
          <w:b/>
          <w:i/>
        </w:rPr>
        <w:t xml:space="preserve">Table 3.2 Cost </w:t>
      </w:r>
      <w:r w:rsidR="009266A1">
        <w:rPr>
          <w:b/>
          <w:i/>
        </w:rPr>
        <w:t>per beneficiary for Component 2</w:t>
      </w:r>
    </w:p>
    <w:tbl>
      <w:tblPr>
        <w:tblW w:w="7760" w:type="dxa"/>
        <w:jc w:val="center"/>
        <w:tblLook w:val="04A0" w:firstRow="1" w:lastRow="0" w:firstColumn="1" w:lastColumn="0" w:noHBand="0" w:noVBand="1"/>
      </w:tblPr>
      <w:tblGrid>
        <w:gridCol w:w="3580"/>
        <w:gridCol w:w="1420"/>
        <w:gridCol w:w="1380"/>
        <w:gridCol w:w="1380"/>
      </w:tblGrid>
      <w:tr w:rsidR="00554CAB" w:rsidRPr="00170AE0" w14:paraId="0A157D4B" w14:textId="77777777" w:rsidTr="00554CAB">
        <w:trPr>
          <w:trHeight w:val="300"/>
          <w:jc w:val="center"/>
        </w:trPr>
        <w:tc>
          <w:tcPr>
            <w:tcW w:w="7760" w:type="dxa"/>
            <w:gridSpan w:val="4"/>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509548C5" w14:textId="77777777" w:rsidR="00554CAB" w:rsidRPr="00170AE0" w:rsidRDefault="00554CAB" w:rsidP="00554CAB">
            <w:pPr>
              <w:jc w:val="center"/>
              <w:rPr>
                <w:rFonts w:eastAsia="Times New Roman"/>
                <w:b/>
                <w:bCs/>
                <w:i/>
                <w:iCs/>
                <w:color w:val="000000"/>
                <w:sz w:val="22"/>
                <w:szCs w:val="22"/>
                <w:lang w:eastAsia="en-US"/>
              </w:rPr>
            </w:pPr>
            <w:r w:rsidRPr="00170AE0">
              <w:rPr>
                <w:rFonts w:eastAsia="Times New Roman"/>
                <w:b/>
                <w:bCs/>
                <w:i/>
                <w:iCs/>
                <w:color w:val="000000"/>
                <w:sz w:val="22"/>
                <w:szCs w:val="22"/>
                <w:lang w:eastAsia="en-US"/>
              </w:rPr>
              <w:t xml:space="preserve">Integrated Child Protection Service Centers  (ICPSCs) </w:t>
            </w:r>
          </w:p>
        </w:tc>
      </w:tr>
      <w:tr w:rsidR="00554CAB" w:rsidRPr="00170AE0" w14:paraId="220A3BB3" w14:textId="77777777" w:rsidTr="00554CAB">
        <w:trPr>
          <w:trHeight w:val="288"/>
          <w:jc w:val="center"/>
        </w:trPr>
        <w:tc>
          <w:tcPr>
            <w:tcW w:w="3580" w:type="dxa"/>
            <w:tcBorders>
              <w:top w:val="nil"/>
              <w:left w:val="single" w:sz="8" w:space="0" w:color="auto"/>
              <w:bottom w:val="single" w:sz="4" w:space="0" w:color="auto"/>
              <w:right w:val="single" w:sz="4" w:space="0" w:color="auto"/>
            </w:tcBorders>
            <w:shd w:val="clear" w:color="auto" w:fill="auto"/>
            <w:noWrap/>
            <w:vAlign w:val="bottom"/>
            <w:hideMark/>
          </w:tcPr>
          <w:p w14:paraId="757463E9"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w:t>
            </w:r>
          </w:p>
        </w:tc>
        <w:tc>
          <w:tcPr>
            <w:tcW w:w="1420" w:type="dxa"/>
            <w:tcBorders>
              <w:top w:val="nil"/>
              <w:left w:val="nil"/>
              <w:bottom w:val="single" w:sz="4" w:space="0" w:color="auto"/>
              <w:right w:val="single" w:sz="4" w:space="0" w:color="auto"/>
            </w:tcBorders>
            <w:shd w:val="clear" w:color="auto" w:fill="auto"/>
            <w:vAlign w:val="bottom"/>
            <w:hideMark/>
          </w:tcPr>
          <w:p w14:paraId="0D29CE4B" w14:textId="77777777" w:rsidR="00554CAB" w:rsidRPr="00170AE0" w:rsidRDefault="00554CAB" w:rsidP="00554CAB">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Taka (lakh) </w:t>
            </w:r>
          </w:p>
        </w:tc>
        <w:tc>
          <w:tcPr>
            <w:tcW w:w="1380" w:type="dxa"/>
            <w:tcBorders>
              <w:top w:val="nil"/>
              <w:left w:val="nil"/>
              <w:bottom w:val="single" w:sz="4" w:space="0" w:color="auto"/>
              <w:right w:val="single" w:sz="4" w:space="0" w:color="auto"/>
            </w:tcBorders>
            <w:shd w:val="clear" w:color="auto" w:fill="auto"/>
            <w:noWrap/>
            <w:vAlign w:val="bottom"/>
            <w:hideMark/>
          </w:tcPr>
          <w:p w14:paraId="17DBD569" w14:textId="77777777" w:rsidR="00554CAB" w:rsidRPr="00170AE0" w:rsidRDefault="00554CAB" w:rsidP="00554CAB">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 Taka  </w:t>
            </w:r>
          </w:p>
        </w:tc>
        <w:tc>
          <w:tcPr>
            <w:tcW w:w="1380" w:type="dxa"/>
            <w:tcBorders>
              <w:top w:val="nil"/>
              <w:left w:val="nil"/>
              <w:bottom w:val="single" w:sz="4" w:space="0" w:color="auto"/>
              <w:right w:val="single" w:sz="8" w:space="0" w:color="auto"/>
            </w:tcBorders>
            <w:shd w:val="clear" w:color="auto" w:fill="auto"/>
            <w:noWrap/>
            <w:vAlign w:val="bottom"/>
            <w:hideMark/>
          </w:tcPr>
          <w:p w14:paraId="6796DF87" w14:textId="77777777" w:rsidR="00554CAB" w:rsidRPr="00170AE0" w:rsidRDefault="00554CAB" w:rsidP="00554CAB">
            <w:pPr>
              <w:jc w:val="center"/>
              <w:rPr>
                <w:rFonts w:eastAsia="Times New Roman"/>
                <w:b/>
                <w:bCs/>
                <w:color w:val="000000"/>
                <w:sz w:val="22"/>
                <w:szCs w:val="22"/>
                <w:lang w:eastAsia="en-US"/>
              </w:rPr>
            </w:pPr>
            <w:r w:rsidRPr="00170AE0">
              <w:rPr>
                <w:rFonts w:eastAsia="Times New Roman"/>
                <w:b/>
                <w:bCs/>
                <w:color w:val="000000"/>
                <w:sz w:val="22"/>
                <w:szCs w:val="22"/>
                <w:lang w:eastAsia="en-US"/>
              </w:rPr>
              <w:t xml:space="preserve"> USD  </w:t>
            </w:r>
          </w:p>
        </w:tc>
      </w:tr>
      <w:tr w:rsidR="00554CAB" w:rsidRPr="00170AE0" w14:paraId="05116068" w14:textId="77777777" w:rsidTr="00554CAB">
        <w:trPr>
          <w:trHeight w:val="288"/>
          <w:jc w:val="center"/>
        </w:trPr>
        <w:tc>
          <w:tcPr>
            <w:tcW w:w="3580" w:type="dxa"/>
            <w:tcBorders>
              <w:top w:val="nil"/>
              <w:left w:val="single" w:sz="8" w:space="0" w:color="auto"/>
              <w:bottom w:val="single" w:sz="4" w:space="0" w:color="auto"/>
              <w:right w:val="single" w:sz="4" w:space="0" w:color="auto"/>
            </w:tcBorders>
            <w:shd w:val="clear" w:color="auto" w:fill="auto"/>
            <w:noWrap/>
            <w:vAlign w:val="bottom"/>
            <w:hideMark/>
          </w:tcPr>
          <w:p w14:paraId="7DA10CF4"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(a) Provision of services for ICPSCs </w:t>
            </w:r>
          </w:p>
        </w:tc>
        <w:tc>
          <w:tcPr>
            <w:tcW w:w="1420" w:type="dxa"/>
            <w:tcBorders>
              <w:top w:val="nil"/>
              <w:left w:val="nil"/>
              <w:bottom w:val="single" w:sz="4" w:space="0" w:color="auto"/>
              <w:right w:val="single" w:sz="4" w:space="0" w:color="auto"/>
            </w:tcBorders>
            <w:shd w:val="clear" w:color="auto" w:fill="auto"/>
            <w:vAlign w:val="center"/>
            <w:hideMark/>
          </w:tcPr>
          <w:p w14:paraId="267ADF0F"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4180</w:t>
            </w:r>
          </w:p>
        </w:tc>
        <w:tc>
          <w:tcPr>
            <w:tcW w:w="1380" w:type="dxa"/>
            <w:tcBorders>
              <w:top w:val="nil"/>
              <w:left w:val="nil"/>
              <w:bottom w:val="single" w:sz="4" w:space="0" w:color="auto"/>
              <w:right w:val="single" w:sz="4" w:space="0" w:color="auto"/>
            </w:tcBorders>
            <w:shd w:val="clear" w:color="auto" w:fill="auto"/>
            <w:noWrap/>
            <w:vAlign w:val="center"/>
            <w:hideMark/>
          </w:tcPr>
          <w:p w14:paraId="52CC0403"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xml:space="preserve">   418,000,000 </w:t>
            </w:r>
          </w:p>
        </w:tc>
        <w:tc>
          <w:tcPr>
            <w:tcW w:w="1380" w:type="dxa"/>
            <w:tcBorders>
              <w:top w:val="nil"/>
              <w:left w:val="nil"/>
              <w:bottom w:val="single" w:sz="4" w:space="0" w:color="auto"/>
              <w:right w:val="single" w:sz="8" w:space="0" w:color="auto"/>
            </w:tcBorders>
            <w:shd w:val="clear" w:color="auto" w:fill="auto"/>
            <w:noWrap/>
            <w:vAlign w:val="center"/>
            <w:hideMark/>
          </w:tcPr>
          <w:p w14:paraId="77C2BE74"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$5,434,000</w:t>
            </w:r>
          </w:p>
        </w:tc>
      </w:tr>
      <w:tr w:rsidR="00554CAB" w:rsidRPr="00170AE0" w14:paraId="273351C3" w14:textId="77777777" w:rsidTr="00554CAB">
        <w:trPr>
          <w:trHeight w:val="288"/>
          <w:jc w:val="center"/>
        </w:trPr>
        <w:tc>
          <w:tcPr>
            <w:tcW w:w="3580" w:type="dxa"/>
            <w:tcBorders>
              <w:top w:val="nil"/>
              <w:left w:val="single" w:sz="8" w:space="0" w:color="auto"/>
              <w:bottom w:val="single" w:sz="4" w:space="0" w:color="auto"/>
              <w:right w:val="single" w:sz="4" w:space="0" w:color="auto"/>
            </w:tcBorders>
            <w:shd w:val="clear" w:color="auto" w:fill="auto"/>
            <w:noWrap/>
            <w:vAlign w:val="bottom"/>
            <w:hideMark/>
          </w:tcPr>
          <w:p w14:paraId="06AC176E"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(b) Operating expenses</w:t>
            </w:r>
          </w:p>
        </w:tc>
        <w:tc>
          <w:tcPr>
            <w:tcW w:w="1420" w:type="dxa"/>
            <w:tcBorders>
              <w:top w:val="nil"/>
              <w:left w:val="nil"/>
              <w:bottom w:val="single" w:sz="4" w:space="0" w:color="auto"/>
              <w:right w:val="single" w:sz="4" w:space="0" w:color="auto"/>
            </w:tcBorders>
            <w:shd w:val="clear" w:color="auto" w:fill="auto"/>
            <w:vAlign w:val="center"/>
            <w:hideMark/>
          </w:tcPr>
          <w:p w14:paraId="130B796E"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233.57</w:t>
            </w:r>
          </w:p>
        </w:tc>
        <w:tc>
          <w:tcPr>
            <w:tcW w:w="1380" w:type="dxa"/>
            <w:tcBorders>
              <w:top w:val="nil"/>
              <w:left w:val="nil"/>
              <w:bottom w:val="single" w:sz="4" w:space="0" w:color="auto"/>
              <w:right w:val="single" w:sz="4" w:space="0" w:color="auto"/>
            </w:tcBorders>
            <w:shd w:val="clear" w:color="auto" w:fill="auto"/>
            <w:noWrap/>
            <w:vAlign w:val="center"/>
            <w:hideMark/>
          </w:tcPr>
          <w:p w14:paraId="3A3E39B8"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xml:space="preserve">      23,357,000 </w:t>
            </w:r>
          </w:p>
        </w:tc>
        <w:tc>
          <w:tcPr>
            <w:tcW w:w="1380" w:type="dxa"/>
            <w:tcBorders>
              <w:top w:val="nil"/>
              <w:left w:val="nil"/>
              <w:bottom w:val="single" w:sz="4" w:space="0" w:color="auto"/>
              <w:right w:val="single" w:sz="8" w:space="0" w:color="auto"/>
            </w:tcBorders>
            <w:shd w:val="clear" w:color="auto" w:fill="auto"/>
            <w:noWrap/>
            <w:vAlign w:val="center"/>
            <w:hideMark/>
          </w:tcPr>
          <w:p w14:paraId="003909A3"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$303,641</w:t>
            </w:r>
          </w:p>
        </w:tc>
      </w:tr>
      <w:tr w:rsidR="00554CAB" w:rsidRPr="00170AE0" w14:paraId="232E21BA" w14:textId="77777777" w:rsidTr="00554CAB">
        <w:trPr>
          <w:trHeight w:val="288"/>
          <w:jc w:val="center"/>
        </w:trPr>
        <w:tc>
          <w:tcPr>
            <w:tcW w:w="3580" w:type="dxa"/>
            <w:tcBorders>
              <w:top w:val="nil"/>
              <w:left w:val="single" w:sz="8" w:space="0" w:color="auto"/>
              <w:bottom w:val="single" w:sz="4" w:space="0" w:color="auto"/>
              <w:right w:val="single" w:sz="4" w:space="0" w:color="auto"/>
            </w:tcBorders>
            <w:shd w:val="clear" w:color="auto" w:fill="auto"/>
            <w:noWrap/>
            <w:vAlign w:val="bottom"/>
            <w:hideMark/>
          </w:tcPr>
          <w:p w14:paraId="76D46B5F"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(c ) Good and equipment </w:t>
            </w:r>
          </w:p>
        </w:tc>
        <w:tc>
          <w:tcPr>
            <w:tcW w:w="1420" w:type="dxa"/>
            <w:tcBorders>
              <w:top w:val="nil"/>
              <w:left w:val="nil"/>
              <w:bottom w:val="single" w:sz="4" w:space="0" w:color="auto"/>
              <w:right w:val="single" w:sz="4" w:space="0" w:color="auto"/>
            </w:tcBorders>
            <w:shd w:val="clear" w:color="auto" w:fill="auto"/>
            <w:vAlign w:val="center"/>
            <w:hideMark/>
          </w:tcPr>
          <w:p w14:paraId="4E281951"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1094.72</w:t>
            </w:r>
          </w:p>
        </w:tc>
        <w:tc>
          <w:tcPr>
            <w:tcW w:w="1380" w:type="dxa"/>
            <w:tcBorders>
              <w:top w:val="nil"/>
              <w:left w:val="nil"/>
              <w:bottom w:val="single" w:sz="4" w:space="0" w:color="auto"/>
              <w:right w:val="single" w:sz="4" w:space="0" w:color="auto"/>
            </w:tcBorders>
            <w:shd w:val="clear" w:color="auto" w:fill="auto"/>
            <w:noWrap/>
            <w:vAlign w:val="center"/>
            <w:hideMark/>
          </w:tcPr>
          <w:p w14:paraId="7360115D"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xml:space="preserve">   109,472,000 </w:t>
            </w:r>
          </w:p>
        </w:tc>
        <w:tc>
          <w:tcPr>
            <w:tcW w:w="1380" w:type="dxa"/>
            <w:tcBorders>
              <w:top w:val="nil"/>
              <w:left w:val="nil"/>
              <w:bottom w:val="single" w:sz="4" w:space="0" w:color="auto"/>
              <w:right w:val="single" w:sz="8" w:space="0" w:color="auto"/>
            </w:tcBorders>
            <w:shd w:val="clear" w:color="auto" w:fill="auto"/>
            <w:noWrap/>
            <w:vAlign w:val="center"/>
            <w:hideMark/>
          </w:tcPr>
          <w:p w14:paraId="47870DED"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$1,423,136</w:t>
            </w:r>
          </w:p>
        </w:tc>
      </w:tr>
      <w:tr w:rsidR="00554CAB" w:rsidRPr="00170AE0" w14:paraId="088513B9" w14:textId="77777777" w:rsidTr="00554CAB">
        <w:trPr>
          <w:trHeight w:val="1152"/>
          <w:jc w:val="center"/>
        </w:trPr>
        <w:tc>
          <w:tcPr>
            <w:tcW w:w="3580" w:type="dxa"/>
            <w:tcBorders>
              <w:top w:val="nil"/>
              <w:left w:val="single" w:sz="8" w:space="0" w:color="auto"/>
              <w:bottom w:val="single" w:sz="4" w:space="0" w:color="auto"/>
              <w:right w:val="single" w:sz="4" w:space="0" w:color="auto"/>
            </w:tcBorders>
            <w:shd w:val="clear" w:color="auto" w:fill="auto"/>
            <w:vAlign w:val="bottom"/>
            <w:hideMark/>
          </w:tcPr>
          <w:p w14:paraId="3BD0B43D"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(d) Total costs (including staff trainings and institutional capacity building but excluding  MIS and honorarium travel expenses) </w:t>
            </w:r>
          </w:p>
        </w:tc>
        <w:tc>
          <w:tcPr>
            <w:tcW w:w="1420" w:type="dxa"/>
            <w:tcBorders>
              <w:top w:val="nil"/>
              <w:left w:val="nil"/>
              <w:bottom w:val="single" w:sz="4" w:space="0" w:color="auto"/>
              <w:right w:val="single" w:sz="4" w:space="0" w:color="auto"/>
            </w:tcBorders>
            <w:shd w:val="clear" w:color="auto" w:fill="auto"/>
            <w:vAlign w:val="center"/>
            <w:hideMark/>
          </w:tcPr>
          <w:p w14:paraId="509F4F91"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5730.68</w:t>
            </w:r>
          </w:p>
        </w:tc>
        <w:tc>
          <w:tcPr>
            <w:tcW w:w="1380" w:type="dxa"/>
            <w:tcBorders>
              <w:top w:val="nil"/>
              <w:left w:val="nil"/>
              <w:bottom w:val="single" w:sz="4" w:space="0" w:color="auto"/>
              <w:right w:val="single" w:sz="4" w:space="0" w:color="auto"/>
            </w:tcBorders>
            <w:shd w:val="clear" w:color="auto" w:fill="auto"/>
            <w:noWrap/>
            <w:vAlign w:val="center"/>
            <w:hideMark/>
          </w:tcPr>
          <w:p w14:paraId="0ABC4B7D"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xml:space="preserve">   573,068,000 </w:t>
            </w:r>
          </w:p>
        </w:tc>
        <w:tc>
          <w:tcPr>
            <w:tcW w:w="1380" w:type="dxa"/>
            <w:tcBorders>
              <w:top w:val="nil"/>
              <w:left w:val="nil"/>
              <w:bottom w:val="single" w:sz="4" w:space="0" w:color="auto"/>
              <w:right w:val="single" w:sz="8" w:space="0" w:color="auto"/>
            </w:tcBorders>
            <w:shd w:val="clear" w:color="auto" w:fill="auto"/>
            <w:noWrap/>
            <w:vAlign w:val="center"/>
            <w:hideMark/>
          </w:tcPr>
          <w:p w14:paraId="74A8BDC5"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$7,449,884</w:t>
            </w:r>
          </w:p>
        </w:tc>
      </w:tr>
      <w:tr w:rsidR="00554CAB" w:rsidRPr="00170AE0" w14:paraId="2F8116AE" w14:textId="77777777" w:rsidTr="00554CAB">
        <w:trPr>
          <w:trHeight w:val="288"/>
          <w:jc w:val="center"/>
        </w:trPr>
        <w:tc>
          <w:tcPr>
            <w:tcW w:w="3580" w:type="dxa"/>
            <w:tcBorders>
              <w:top w:val="nil"/>
              <w:left w:val="single" w:sz="8" w:space="0" w:color="auto"/>
              <w:bottom w:val="single" w:sz="4" w:space="0" w:color="auto"/>
              <w:right w:val="single" w:sz="4" w:space="0" w:color="auto"/>
            </w:tcBorders>
            <w:shd w:val="clear" w:color="000000" w:fill="E7E6E6"/>
            <w:noWrap/>
            <w:vAlign w:val="bottom"/>
            <w:hideMark/>
          </w:tcPr>
          <w:p w14:paraId="74525C12" w14:textId="77777777" w:rsidR="00554CAB" w:rsidRPr="00170AE0" w:rsidRDefault="00554CAB" w:rsidP="00554CAB">
            <w:pPr>
              <w:rPr>
                <w:rFonts w:eastAsia="Times New Roman"/>
                <w:b/>
                <w:bCs/>
                <w:i/>
                <w:iCs/>
                <w:color w:val="000000"/>
                <w:sz w:val="22"/>
                <w:szCs w:val="22"/>
                <w:lang w:eastAsia="en-US"/>
              </w:rPr>
            </w:pPr>
            <w:r w:rsidRPr="00170AE0">
              <w:rPr>
                <w:rFonts w:eastAsia="Times New Roman"/>
                <w:b/>
                <w:bCs/>
                <w:i/>
                <w:iCs/>
                <w:color w:val="000000"/>
                <w:sz w:val="22"/>
                <w:szCs w:val="22"/>
                <w:lang w:eastAsia="en-US"/>
              </w:rPr>
              <w:t xml:space="preserve">Total number of beneficiaries </w:t>
            </w:r>
          </w:p>
        </w:tc>
        <w:tc>
          <w:tcPr>
            <w:tcW w:w="1420" w:type="dxa"/>
            <w:tcBorders>
              <w:top w:val="nil"/>
              <w:left w:val="nil"/>
              <w:bottom w:val="single" w:sz="4" w:space="0" w:color="auto"/>
              <w:right w:val="single" w:sz="4" w:space="0" w:color="auto"/>
            </w:tcBorders>
            <w:shd w:val="clear" w:color="000000" w:fill="E7E6E6"/>
            <w:vAlign w:val="center"/>
            <w:hideMark/>
          </w:tcPr>
          <w:p w14:paraId="16A323C4" w14:textId="77777777" w:rsidR="00554CAB" w:rsidRPr="00170AE0" w:rsidRDefault="00554CAB" w:rsidP="00554CAB">
            <w:pPr>
              <w:jc w:val="center"/>
              <w:rPr>
                <w:rFonts w:eastAsia="Times New Roman"/>
                <w:b/>
                <w:bCs/>
                <w:color w:val="000000"/>
                <w:sz w:val="22"/>
                <w:szCs w:val="22"/>
                <w:lang w:eastAsia="en-US"/>
              </w:rPr>
            </w:pPr>
            <w:r w:rsidRPr="00170AE0">
              <w:rPr>
                <w:rFonts w:eastAsia="Times New Roman"/>
                <w:b/>
                <w:bCs/>
                <w:color w:val="000000"/>
                <w:sz w:val="22"/>
                <w:szCs w:val="22"/>
                <w:lang w:eastAsia="en-US"/>
              </w:rPr>
              <w:t>6,193</w:t>
            </w:r>
          </w:p>
        </w:tc>
        <w:tc>
          <w:tcPr>
            <w:tcW w:w="1380" w:type="dxa"/>
            <w:tcBorders>
              <w:top w:val="nil"/>
              <w:left w:val="nil"/>
              <w:bottom w:val="single" w:sz="4" w:space="0" w:color="auto"/>
              <w:right w:val="single" w:sz="4" w:space="0" w:color="auto"/>
            </w:tcBorders>
            <w:shd w:val="clear" w:color="000000" w:fill="E7E6E6"/>
            <w:noWrap/>
            <w:vAlign w:val="center"/>
            <w:hideMark/>
          </w:tcPr>
          <w:p w14:paraId="0B9FC82F"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w:t>
            </w:r>
          </w:p>
        </w:tc>
        <w:tc>
          <w:tcPr>
            <w:tcW w:w="1380" w:type="dxa"/>
            <w:tcBorders>
              <w:top w:val="nil"/>
              <w:left w:val="nil"/>
              <w:bottom w:val="single" w:sz="4" w:space="0" w:color="auto"/>
              <w:right w:val="single" w:sz="8" w:space="0" w:color="auto"/>
            </w:tcBorders>
            <w:shd w:val="clear" w:color="000000" w:fill="E7E6E6"/>
            <w:noWrap/>
            <w:vAlign w:val="center"/>
            <w:hideMark/>
          </w:tcPr>
          <w:p w14:paraId="0BCF6C79"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 </w:t>
            </w:r>
          </w:p>
        </w:tc>
      </w:tr>
      <w:tr w:rsidR="00554CAB" w:rsidRPr="00170AE0" w14:paraId="750EE837" w14:textId="77777777" w:rsidTr="00554CAB">
        <w:trPr>
          <w:trHeight w:val="576"/>
          <w:jc w:val="center"/>
        </w:trPr>
        <w:tc>
          <w:tcPr>
            <w:tcW w:w="3580" w:type="dxa"/>
            <w:tcBorders>
              <w:top w:val="nil"/>
              <w:left w:val="single" w:sz="8" w:space="0" w:color="auto"/>
              <w:bottom w:val="single" w:sz="4" w:space="0" w:color="auto"/>
              <w:right w:val="single" w:sz="4" w:space="0" w:color="auto"/>
            </w:tcBorders>
            <w:shd w:val="clear" w:color="auto" w:fill="auto"/>
            <w:vAlign w:val="bottom"/>
            <w:hideMark/>
          </w:tcPr>
          <w:p w14:paraId="064FD7F2"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Cost per beneficiary (only service provision for ICPSCS: (a)) </w:t>
            </w:r>
          </w:p>
        </w:tc>
        <w:tc>
          <w:tcPr>
            <w:tcW w:w="1420" w:type="dxa"/>
            <w:tcBorders>
              <w:top w:val="nil"/>
              <w:left w:val="nil"/>
              <w:bottom w:val="single" w:sz="4" w:space="0" w:color="auto"/>
              <w:right w:val="single" w:sz="4" w:space="0" w:color="auto"/>
            </w:tcBorders>
            <w:shd w:val="clear" w:color="auto" w:fill="auto"/>
            <w:vAlign w:val="center"/>
            <w:hideMark/>
          </w:tcPr>
          <w:p w14:paraId="401C245F"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0.7</w:t>
            </w:r>
          </w:p>
        </w:tc>
        <w:tc>
          <w:tcPr>
            <w:tcW w:w="1380" w:type="dxa"/>
            <w:tcBorders>
              <w:top w:val="nil"/>
              <w:left w:val="nil"/>
              <w:bottom w:val="single" w:sz="4" w:space="0" w:color="auto"/>
              <w:right w:val="single" w:sz="4" w:space="0" w:color="auto"/>
            </w:tcBorders>
            <w:shd w:val="clear" w:color="auto" w:fill="auto"/>
            <w:vAlign w:val="center"/>
            <w:hideMark/>
          </w:tcPr>
          <w:p w14:paraId="12AC38F7"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67495.6</w:t>
            </w:r>
          </w:p>
        </w:tc>
        <w:tc>
          <w:tcPr>
            <w:tcW w:w="1380" w:type="dxa"/>
            <w:tcBorders>
              <w:top w:val="nil"/>
              <w:left w:val="nil"/>
              <w:bottom w:val="single" w:sz="4" w:space="0" w:color="auto"/>
              <w:right w:val="single" w:sz="8" w:space="0" w:color="auto"/>
            </w:tcBorders>
            <w:shd w:val="clear" w:color="auto" w:fill="auto"/>
            <w:vAlign w:val="center"/>
            <w:hideMark/>
          </w:tcPr>
          <w:p w14:paraId="74121725"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$877</w:t>
            </w:r>
          </w:p>
        </w:tc>
      </w:tr>
      <w:tr w:rsidR="00554CAB" w:rsidRPr="00170AE0" w14:paraId="4A5E74FF" w14:textId="77777777" w:rsidTr="00554CAB">
        <w:trPr>
          <w:trHeight w:val="576"/>
          <w:jc w:val="center"/>
        </w:trPr>
        <w:tc>
          <w:tcPr>
            <w:tcW w:w="3580" w:type="dxa"/>
            <w:tcBorders>
              <w:top w:val="nil"/>
              <w:left w:val="single" w:sz="8" w:space="0" w:color="auto"/>
              <w:bottom w:val="single" w:sz="4" w:space="0" w:color="auto"/>
              <w:right w:val="single" w:sz="4" w:space="0" w:color="auto"/>
            </w:tcBorders>
            <w:shd w:val="clear" w:color="auto" w:fill="auto"/>
            <w:vAlign w:val="bottom"/>
            <w:hideMark/>
          </w:tcPr>
          <w:p w14:paraId="57EF76E5"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Cost per beneficiary (only for ICPSCS: (a)+(b)+(c)) </w:t>
            </w:r>
          </w:p>
        </w:tc>
        <w:tc>
          <w:tcPr>
            <w:tcW w:w="1420" w:type="dxa"/>
            <w:tcBorders>
              <w:top w:val="nil"/>
              <w:left w:val="nil"/>
              <w:bottom w:val="single" w:sz="4" w:space="0" w:color="auto"/>
              <w:right w:val="single" w:sz="4" w:space="0" w:color="auto"/>
            </w:tcBorders>
            <w:shd w:val="clear" w:color="auto" w:fill="auto"/>
            <w:vAlign w:val="center"/>
            <w:hideMark/>
          </w:tcPr>
          <w:p w14:paraId="18B12535"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0.9</w:t>
            </w:r>
          </w:p>
        </w:tc>
        <w:tc>
          <w:tcPr>
            <w:tcW w:w="1380" w:type="dxa"/>
            <w:tcBorders>
              <w:top w:val="nil"/>
              <w:left w:val="nil"/>
              <w:bottom w:val="single" w:sz="4" w:space="0" w:color="auto"/>
              <w:right w:val="single" w:sz="4" w:space="0" w:color="auto"/>
            </w:tcBorders>
            <w:shd w:val="clear" w:color="auto" w:fill="auto"/>
            <w:noWrap/>
            <w:vAlign w:val="center"/>
            <w:hideMark/>
          </w:tcPr>
          <w:p w14:paraId="5EED18F3"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88943.8</w:t>
            </w:r>
          </w:p>
        </w:tc>
        <w:tc>
          <w:tcPr>
            <w:tcW w:w="1380" w:type="dxa"/>
            <w:tcBorders>
              <w:top w:val="nil"/>
              <w:left w:val="nil"/>
              <w:bottom w:val="single" w:sz="4" w:space="0" w:color="auto"/>
              <w:right w:val="single" w:sz="8" w:space="0" w:color="auto"/>
            </w:tcBorders>
            <w:shd w:val="clear" w:color="auto" w:fill="auto"/>
            <w:noWrap/>
            <w:vAlign w:val="center"/>
            <w:hideMark/>
          </w:tcPr>
          <w:p w14:paraId="48E3130B"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$1,156</w:t>
            </w:r>
          </w:p>
        </w:tc>
      </w:tr>
      <w:tr w:rsidR="00554CAB" w:rsidRPr="00170AE0" w14:paraId="3939B671" w14:textId="77777777" w:rsidTr="00554CAB">
        <w:trPr>
          <w:trHeight w:val="300"/>
          <w:jc w:val="center"/>
        </w:trPr>
        <w:tc>
          <w:tcPr>
            <w:tcW w:w="3580" w:type="dxa"/>
            <w:tcBorders>
              <w:top w:val="nil"/>
              <w:left w:val="single" w:sz="8" w:space="0" w:color="auto"/>
              <w:bottom w:val="single" w:sz="8" w:space="0" w:color="auto"/>
              <w:right w:val="single" w:sz="4" w:space="0" w:color="auto"/>
            </w:tcBorders>
            <w:shd w:val="clear" w:color="auto" w:fill="auto"/>
            <w:noWrap/>
            <w:vAlign w:val="bottom"/>
            <w:hideMark/>
          </w:tcPr>
          <w:p w14:paraId="24BB38F9" w14:textId="77777777" w:rsidR="00554CAB" w:rsidRPr="00170AE0" w:rsidRDefault="00554CAB" w:rsidP="00554CAB">
            <w:pPr>
              <w:rPr>
                <w:rFonts w:eastAsia="Times New Roman"/>
                <w:color w:val="000000"/>
                <w:sz w:val="22"/>
                <w:szCs w:val="22"/>
                <w:lang w:eastAsia="en-US"/>
              </w:rPr>
            </w:pPr>
            <w:r w:rsidRPr="00170AE0">
              <w:rPr>
                <w:rFonts w:eastAsia="Times New Roman"/>
                <w:color w:val="000000"/>
                <w:sz w:val="22"/>
                <w:szCs w:val="22"/>
                <w:lang w:eastAsia="en-US"/>
              </w:rPr>
              <w:t xml:space="preserve">Cost per beneficiary (total: (d)) </w:t>
            </w:r>
          </w:p>
        </w:tc>
        <w:tc>
          <w:tcPr>
            <w:tcW w:w="1420" w:type="dxa"/>
            <w:tcBorders>
              <w:top w:val="nil"/>
              <w:left w:val="nil"/>
              <w:bottom w:val="single" w:sz="8" w:space="0" w:color="auto"/>
              <w:right w:val="single" w:sz="4" w:space="0" w:color="auto"/>
            </w:tcBorders>
            <w:shd w:val="clear" w:color="auto" w:fill="auto"/>
            <w:vAlign w:val="center"/>
            <w:hideMark/>
          </w:tcPr>
          <w:p w14:paraId="3D85763C"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0.9</w:t>
            </w:r>
          </w:p>
        </w:tc>
        <w:tc>
          <w:tcPr>
            <w:tcW w:w="1380" w:type="dxa"/>
            <w:tcBorders>
              <w:top w:val="nil"/>
              <w:left w:val="nil"/>
              <w:bottom w:val="single" w:sz="8" w:space="0" w:color="auto"/>
              <w:right w:val="single" w:sz="4" w:space="0" w:color="auto"/>
            </w:tcBorders>
            <w:shd w:val="clear" w:color="auto" w:fill="auto"/>
            <w:vAlign w:val="center"/>
            <w:hideMark/>
          </w:tcPr>
          <w:p w14:paraId="4415A41A"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92534.8</w:t>
            </w:r>
          </w:p>
        </w:tc>
        <w:tc>
          <w:tcPr>
            <w:tcW w:w="1380" w:type="dxa"/>
            <w:tcBorders>
              <w:top w:val="nil"/>
              <w:left w:val="nil"/>
              <w:bottom w:val="single" w:sz="8" w:space="0" w:color="auto"/>
              <w:right w:val="single" w:sz="8" w:space="0" w:color="auto"/>
            </w:tcBorders>
            <w:shd w:val="clear" w:color="auto" w:fill="auto"/>
            <w:vAlign w:val="center"/>
            <w:hideMark/>
          </w:tcPr>
          <w:p w14:paraId="0D455E27" w14:textId="77777777" w:rsidR="00554CAB" w:rsidRPr="00170AE0" w:rsidRDefault="00554CAB" w:rsidP="00554CAB">
            <w:pPr>
              <w:jc w:val="center"/>
              <w:rPr>
                <w:rFonts w:eastAsia="Times New Roman"/>
                <w:color w:val="000000"/>
                <w:sz w:val="22"/>
                <w:szCs w:val="22"/>
                <w:lang w:eastAsia="en-US"/>
              </w:rPr>
            </w:pPr>
            <w:r w:rsidRPr="00170AE0">
              <w:rPr>
                <w:rFonts w:eastAsia="Times New Roman"/>
                <w:color w:val="000000"/>
                <w:sz w:val="22"/>
                <w:szCs w:val="22"/>
                <w:lang w:eastAsia="en-US"/>
              </w:rPr>
              <w:t>$1,203</w:t>
            </w:r>
          </w:p>
        </w:tc>
      </w:tr>
    </w:tbl>
    <w:p w14:paraId="7618D055" w14:textId="77777777" w:rsidR="00554CAB" w:rsidRPr="00170AE0" w:rsidRDefault="00554CAB" w:rsidP="00554CAB">
      <w:pPr>
        <w:jc w:val="center"/>
      </w:pPr>
    </w:p>
    <w:p w14:paraId="30FD516E" w14:textId="77777777" w:rsidR="00B038EE" w:rsidRPr="00170AE0" w:rsidRDefault="00B038EE" w:rsidP="00215ABA">
      <w:pPr>
        <w:jc w:val="both"/>
      </w:pPr>
    </w:p>
    <w:p w14:paraId="0129A8E1" w14:textId="77777777" w:rsidR="00B038EE" w:rsidRPr="00170AE0" w:rsidRDefault="00B038EE" w:rsidP="00E07BAC"/>
    <w:p w14:paraId="364070E4" w14:textId="77777777" w:rsidR="00B038EE" w:rsidRPr="00170AE0" w:rsidRDefault="00B038EE" w:rsidP="00E07BAC"/>
    <w:p w14:paraId="6137BAA9" w14:textId="77777777" w:rsidR="00B038EE" w:rsidRDefault="00B038EE" w:rsidP="00E07BAC"/>
    <w:p w14:paraId="3200D6E9" w14:textId="77777777" w:rsidR="00B038EE" w:rsidRDefault="00B038EE" w:rsidP="00E07BAC"/>
    <w:p w14:paraId="6541899A" w14:textId="77777777" w:rsidR="00B038EE" w:rsidRDefault="00B038EE" w:rsidP="00E07BAC"/>
    <w:p w14:paraId="1E48B46F" w14:textId="77777777" w:rsidR="00B038EE" w:rsidRPr="00E07BAC" w:rsidRDefault="00B038EE" w:rsidP="00E07BAC"/>
    <w:p w14:paraId="663ED7D8" w14:textId="77777777" w:rsidR="00C67D43" w:rsidRDefault="00C67D43" w:rsidP="00C67D43"/>
    <w:p w14:paraId="13EB6B4A" w14:textId="77777777" w:rsidR="008374D5" w:rsidRDefault="00E03DE1" w:rsidP="00E07BAC">
      <w:pPr>
        <w:pStyle w:val="Heading2"/>
      </w:pPr>
      <w:r>
        <w:br w:type="page"/>
      </w:r>
      <w:bookmarkStart w:id="177" w:name="_IL18"/>
      <w:bookmarkStart w:id="178" w:name="_Toc158019380"/>
      <w:r w:rsidR="008374D5">
        <w:t xml:space="preserve">Annex 4. </w:t>
      </w:r>
      <w:bookmarkStart w:id="179" w:name="ANN4_RE_LBL"/>
      <w:r w:rsidR="008374D5">
        <w:t>Bank Lending and Implementation Support/Supervision Processes</w:t>
      </w:r>
      <w:bookmarkEnd w:id="177"/>
      <w:bookmarkEnd w:id="178"/>
      <w:bookmarkEnd w:id="179"/>
      <w:r w:rsidR="008374D5">
        <w:t xml:space="preserve"> </w:t>
      </w:r>
    </w:p>
    <w:p w14:paraId="497FA5FD" w14:textId="77777777" w:rsidR="008374D5" w:rsidRDefault="008374D5" w:rsidP="00CD3651"/>
    <w:p w14:paraId="410FA5EA" w14:textId="77777777" w:rsidR="008374D5" w:rsidRDefault="008374D5" w:rsidP="00CD3651">
      <w:pPr>
        <w:pStyle w:val="Heading3"/>
      </w:pPr>
      <w:r>
        <w:t>(a) Task Team members</w:t>
      </w: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2702"/>
        <w:gridCol w:w="3231"/>
        <w:gridCol w:w="899"/>
        <w:gridCol w:w="1798"/>
      </w:tblGrid>
      <w:tr w:rsidR="008374D5" w:rsidRPr="009266A1" w14:paraId="7EEB1069" w14:textId="77777777" w:rsidTr="008374D5">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105CD508" w14:textId="77777777" w:rsidR="008374D5" w:rsidRPr="009266A1" w:rsidRDefault="008374D5" w:rsidP="00CD3651">
            <w:pPr>
              <w:jc w:val="center"/>
              <w:rPr>
                <w:b/>
                <w:bCs/>
                <w:color w:val="606060"/>
              </w:rPr>
            </w:pPr>
            <w:r w:rsidRPr="009266A1">
              <w:rPr>
                <w:b/>
                <w:bCs/>
                <w:color w:val="606060"/>
              </w:rPr>
              <w:t>Names</w:t>
            </w:r>
          </w:p>
        </w:tc>
        <w:tc>
          <w:tcPr>
            <w:tcW w:w="1872"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54655146" w14:textId="77777777" w:rsidR="008374D5" w:rsidRPr="009266A1" w:rsidRDefault="008374D5" w:rsidP="00CD3651">
            <w:pPr>
              <w:jc w:val="center"/>
              <w:rPr>
                <w:b/>
                <w:bCs/>
                <w:color w:val="606060"/>
              </w:rPr>
            </w:pPr>
            <w:r w:rsidRPr="009266A1">
              <w:rPr>
                <w:b/>
                <w:bCs/>
                <w:color w:val="606060"/>
              </w:rPr>
              <w:t>Title</w:t>
            </w:r>
          </w:p>
        </w:tc>
        <w:tc>
          <w:tcPr>
            <w:tcW w:w="521"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4DEBBB34" w14:textId="77777777" w:rsidR="008374D5" w:rsidRPr="009266A1" w:rsidRDefault="008374D5" w:rsidP="00CD3651">
            <w:pPr>
              <w:jc w:val="center"/>
              <w:rPr>
                <w:b/>
                <w:bCs/>
                <w:color w:val="606060"/>
              </w:rPr>
            </w:pPr>
            <w:r w:rsidRPr="009266A1">
              <w:rPr>
                <w:b/>
                <w:bCs/>
                <w:color w:val="606060"/>
              </w:rPr>
              <w:t>Unit</w:t>
            </w:r>
          </w:p>
        </w:tc>
        <w:tc>
          <w:tcPr>
            <w:tcW w:w="1042"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67798C62" w14:textId="77777777" w:rsidR="008374D5" w:rsidRPr="009266A1" w:rsidRDefault="008374D5" w:rsidP="00CD3651">
            <w:pPr>
              <w:jc w:val="center"/>
              <w:rPr>
                <w:b/>
                <w:bCs/>
                <w:color w:val="606060"/>
              </w:rPr>
            </w:pPr>
            <w:r w:rsidRPr="009266A1">
              <w:rPr>
                <w:b/>
                <w:bCs/>
                <w:color w:val="606060"/>
              </w:rPr>
              <w:t>Responsibility/</w:t>
            </w:r>
          </w:p>
          <w:p w14:paraId="3D0B8B48" w14:textId="77777777" w:rsidR="008374D5" w:rsidRPr="009266A1" w:rsidRDefault="008374D5" w:rsidP="00CD3651">
            <w:pPr>
              <w:jc w:val="center"/>
              <w:rPr>
                <w:b/>
                <w:bCs/>
                <w:color w:val="606060"/>
              </w:rPr>
            </w:pPr>
            <w:r w:rsidRPr="009266A1">
              <w:rPr>
                <w:b/>
                <w:bCs/>
                <w:color w:val="606060"/>
              </w:rPr>
              <w:t>Specialty</w:t>
            </w:r>
          </w:p>
        </w:tc>
      </w:tr>
      <w:tr w:rsidR="008374D5" w:rsidRPr="009266A1" w14:paraId="5853B55A" w14:textId="77777777" w:rsidTr="008374D5">
        <w:tc>
          <w:tcPr>
            <w:tcW w:w="5000" w:type="pct"/>
            <w:gridSpan w:val="4"/>
            <w:tcBorders>
              <w:top w:val="single" w:sz="4" w:space="0" w:color="B1B1B1"/>
              <w:left w:val="single" w:sz="4" w:space="0" w:color="B1B1B1"/>
              <w:bottom w:val="single" w:sz="4" w:space="0" w:color="B1B1B1"/>
              <w:right w:val="single" w:sz="4" w:space="0" w:color="B1B1B1"/>
            </w:tcBorders>
            <w:vAlign w:val="center"/>
          </w:tcPr>
          <w:p w14:paraId="1AE18262" w14:textId="77777777" w:rsidR="008374D5" w:rsidRPr="009266A1" w:rsidRDefault="008374D5" w:rsidP="00CD3651">
            <w:pPr>
              <w:spacing w:line="200" w:lineRule="atLeast"/>
              <w:rPr>
                <w:color w:val="000000"/>
              </w:rPr>
            </w:pPr>
            <w:bookmarkStart w:id="180" w:name="ANN4a_RE_LBL"/>
            <w:r w:rsidRPr="009266A1">
              <w:rPr>
                <w:rStyle w:val="Strong"/>
                <w:color w:val="000000"/>
              </w:rPr>
              <w:t>Lending</w:t>
            </w:r>
            <w:bookmarkEnd w:id="180"/>
          </w:p>
        </w:tc>
      </w:tr>
      <w:tr w:rsidR="00AF426B" w:rsidRPr="009266A1" w14:paraId="0323BE49"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E61300A" w14:textId="77777777" w:rsidR="00AF426B" w:rsidRPr="009266A1" w:rsidRDefault="00AF426B">
            <w:pPr>
              <w:spacing w:line="200" w:lineRule="atLeast"/>
              <w:rPr>
                <w:color w:val="000000"/>
              </w:rPr>
            </w:pPr>
            <w:r w:rsidRPr="009266A1">
              <w:rPr>
                <w:color w:val="000000"/>
              </w:rPr>
              <w:t>Burhanuddin Ahmed</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17CAA28" w14:textId="77777777" w:rsidR="00AF426B" w:rsidRPr="009266A1" w:rsidRDefault="00AF426B">
            <w:pPr>
              <w:spacing w:line="200" w:lineRule="atLeast"/>
              <w:rPr>
                <w:color w:val="000000"/>
              </w:rPr>
            </w:pPr>
            <w:r w:rsidRPr="009266A1">
              <w:rPr>
                <w:color w:val="000000"/>
              </w:rPr>
              <w:t>Consultant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6986EAF" w14:textId="77777777" w:rsidR="00AF426B" w:rsidRPr="009266A1" w:rsidRDefault="00AF426B">
            <w:pPr>
              <w:spacing w:line="200" w:lineRule="atLeast"/>
              <w:jc w:val="center"/>
              <w:rPr>
                <w:color w:val="000000"/>
              </w:rPr>
            </w:pPr>
            <w:r w:rsidRPr="009266A1">
              <w:rPr>
                <w:color w:val="000000"/>
              </w:rPr>
              <w:t>GED06</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0DB2B94" w14:textId="77777777" w:rsidR="00AF426B" w:rsidRPr="009266A1" w:rsidRDefault="00AF426B">
            <w:pPr>
              <w:spacing w:line="200" w:lineRule="atLeast"/>
              <w:rPr>
                <w:color w:val="000000"/>
              </w:rPr>
            </w:pPr>
          </w:p>
        </w:tc>
      </w:tr>
      <w:tr w:rsidR="00AF426B" w:rsidRPr="009266A1" w14:paraId="1AF42828"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D47B11E" w14:textId="77777777" w:rsidR="00AF426B" w:rsidRPr="009266A1" w:rsidRDefault="00AF426B">
            <w:pPr>
              <w:spacing w:line="200" w:lineRule="atLeast"/>
              <w:rPr>
                <w:color w:val="000000"/>
              </w:rPr>
            </w:pPr>
            <w:r w:rsidRPr="009266A1">
              <w:rPr>
                <w:color w:val="000000"/>
              </w:rPr>
              <w:t>Shaikh Shamsuddin Ahmed</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2628107" w14:textId="77777777" w:rsidR="00AF426B" w:rsidRPr="009266A1" w:rsidRDefault="00AF426B">
            <w:pPr>
              <w:spacing w:line="200" w:lineRule="atLeast"/>
              <w:rPr>
                <w:color w:val="000000"/>
              </w:rPr>
            </w:pPr>
            <w:r w:rsidRPr="009266A1">
              <w:rPr>
                <w:color w:val="000000"/>
              </w:rPr>
              <w:t>Consultant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7FCABB1" w14:textId="77777777" w:rsidR="00AF426B" w:rsidRPr="009266A1" w:rsidRDefault="00AF426B">
            <w:pPr>
              <w:spacing w:line="200" w:lineRule="atLeast"/>
              <w:jc w:val="center"/>
              <w:rPr>
                <w:color w:val="000000"/>
              </w:rPr>
            </w:pPr>
            <w:r w:rsidRPr="009266A1">
              <w:rPr>
                <w:color w:val="000000"/>
              </w:rPr>
              <w:t>GEDDR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353A52A" w14:textId="77777777" w:rsidR="00AF426B" w:rsidRPr="009266A1" w:rsidRDefault="00AF426B">
            <w:pPr>
              <w:spacing w:line="200" w:lineRule="atLeast"/>
              <w:rPr>
                <w:color w:val="000000"/>
              </w:rPr>
            </w:pPr>
          </w:p>
        </w:tc>
      </w:tr>
      <w:tr w:rsidR="00AF426B" w:rsidRPr="009266A1" w14:paraId="17D4A27A"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3B54F97" w14:textId="77777777" w:rsidR="00AF426B" w:rsidRPr="009266A1" w:rsidRDefault="00AF426B">
            <w:pPr>
              <w:spacing w:line="200" w:lineRule="atLeast"/>
              <w:rPr>
                <w:color w:val="000000"/>
              </w:rPr>
            </w:pPr>
            <w:r w:rsidRPr="009266A1">
              <w:rPr>
                <w:color w:val="000000"/>
              </w:rPr>
              <w:t>Susan E. Hirshberg</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DBB0B26" w14:textId="77777777" w:rsidR="00AF426B" w:rsidRPr="009266A1" w:rsidRDefault="00AF426B">
            <w:pPr>
              <w:spacing w:line="200" w:lineRule="atLeast"/>
              <w:rPr>
                <w:color w:val="000000"/>
              </w:rPr>
            </w:pPr>
            <w:r w:rsidRPr="009266A1">
              <w:rPr>
                <w:color w:val="000000"/>
              </w:rPr>
              <w:t>Senior Education Specialist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BA7B2F5" w14:textId="77777777" w:rsidR="00AF426B" w:rsidRPr="009266A1" w:rsidRDefault="00AF426B">
            <w:pPr>
              <w:spacing w:line="200" w:lineRule="atLeast"/>
              <w:jc w:val="center"/>
              <w:rPr>
                <w:color w:val="000000"/>
              </w:rPr>
            </w:pPr>
            <w:r w:rsidRPr="009266A1">
              <w:rPr>
                <w:color w:val="000000"/>
              </w:rPr>
              <w:t>AFTEE - HIS</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B89281D" w14:textId="77777777" w:rsidR="00AF426B" w:rsidRPr="009266A1" w:rsidRDefault="00AF426B">
            <w:pPr>
              <w:spacing w:line="200" w:lineRule="atLeast"/>
              <w:rPr>
                <w:color w:val="000000"/>
              </w:rPr>
            </w:pPr>
          </w:p>
        </w:tc>
      </w:tr>
      <w:tr w:rsidR="00AF426B" w:rsidRPr="009266A1" w14:paraId="7BFDA0B9"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369CFCD" w14:textId="77777777" w:rsidR="00AF426B" w:rsidRPr="009266A1" w:rsidRDefault="00AF426B">
            <w:pPr>
              <w:spacing w:line="200" w:lineRule="atLeast"/>
              <w:rPr>
                <w:color w:val="000000"/>
              </w:rPr>
            </w:pPr>
            <w:r w:rsidRPr="009266A1">
              <w:rPr>
                <w:color w:val="000000"/>
              </w:rPr>
              <w:t>Iqbal Kaur</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D55CF21" w14:textId="77777777" w:rsidR="00AF426B" w:rsidRPr="009266A1" w:rsidRDefault="00AF426B">
            <w:pPr>
              <w:spacing w:line="200" w:lineRule="atLeast"/>
              <w:rPr>
                <w:color w:val="000000"/>
              </w:rPr>
            </w:pPr>
            <w:r w:rsidRPr="009266A1">
              <w:rPr>
                <w:color w:val="000000"/>
              </w:rPr>
              <w:t>Sr Social Protection Specialis</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FF7EECA" w14:textId="77777777" w:rsidR="00AF426B" w:rsidRPr="009266A1" w:rsidRDefault="00AF426B">
            <w:pPr>
              <w:spacing w:line="200" w:lineRule="atLeast"/>
              <w:jc w:val="center"/>
              <w:rPr>
                <w:color w:val="000000"/>
              </w:rPr>
            </w:pPr>
            <w:r w:rsidRPr="009266A1">
              <w:rPr>
                <w:color w:val="000000"/>
              </w:rPr>
              <w:t>GSP01</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590B85C" w14:textId="77777777" w:rsidR="00AF426B" w:rsidRPr="009266A1" w:rsidRDefault="00AF426B">
            <w:pPr>
              <w:spacing w:line="200" w:lineRule="atLeast"/>
              <w:rPr>
                <w:color w:val="000000"/>
              </w:rPr>
            </w:pPr>
          </w:p>
        </w:tc>
      </w:tr>
      <w:tr w:rsidR="00AF426B" w:rsidRPr="009266A1" w14:paraId="066F537A"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4C0BCA59" w14:textId="77777777" w:rsidR="00AF426B" w:rsidRPr="009266A1" w:rsidRDefault="00AF426B">
            <w:pPr>
              <w:spacing w:line="200" w:lineRule="atLeast"/>
              <w:rPr>
                <w:color w:val="000000"/>
              </w:rPr>
            </w:pPr>
            <w:r w:rsidRPr="009266A1">
              <w:rPr>
                <w:color w:val="000000"/>
              </w:rPr>
              <w:t>Mohammad Abdullah Sadeque</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B5E9CF5" w14:textId="77777777" w:rsidR="00AF426B" w:rsidRPr="009266A1" w:rsidRDefault="00AF426B">
            <w:pPr>
              <w:spacing w:line="200" w:lineRule="atLeast"/>
              <w:rPr>
                <w:color w:val="000000"/>
              </w:rPr>
            </w:pPr>
            <w:r w:rsidRPr="009266A1">
              <w:rPr>
                <w:color w:val="000000"/>
              </w:rPr>
              <w:t>E T Consultant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7B86108" w14:textId="77777777" w:rsidR="00AF426B" w:rsidRPr="009266A1" w:rsidRDefault="00AF426B">
            <w:pPr>
              <w:spacing w:line="200" w:lineRule="atLeast"/>
              <w:jc w:val="center"/>
              <w:rPr>
                <w:color w:val="000000"/>
              </w:rPr>
            </w:pPr>
            <w:r w:rsidRPr="009266A1">
              <w:rPr>
                <w:color w:val="000000"/>
              </w:rPr>
              <w:t>SARPS - HIS</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76F5DD3" w14:textId="77777777" w:rsidR="00AF426B" w:rsidRPr="009266A1" w:rsidRDefault="00AF426B">
            <w:pPr>
              <w:spacing w:line="200" w:lineRule="atLeast"/>
              <w:rPr>
                <w:color w:val="000000"/>
              </w:rPr>
            </w:pPr>
          </w:p>
        </w:tc>
      </w:tr>
      <w:tr w:rsidR="00AF426B" w:rsidRPr="009266A1" w14:paraId="4B248359"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7E2317B" w14:textId="77777777" w:rsidR="00AF426B" w:rsidRPr="009266A1" w:rsidRDefault="00AF426B">
            <w:pPr>
              <w:spacing w:line="200" w:lineRule="atLeast"/>
              <w:rPr>
                <w:color w:val="000000"/>
              </w:rPr>
            </w:pPr>
            <w:r w:rsidRPr="009266A1">
              <w:rPr>
                <w:color w:val="000000"/>
              </w:rPr>
              <w:t>Kalanidhi Subbarao</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B91246F" w14:textId="77777777" w:rsidR="00AF426B" w:rsidRPr="009266A1" w:rsidRDefault="00AF426B">
            <w:pPr>
              <w:spacing w:line="200" w:lineRule="atLeast"/>
              <w:rPr>
                <w:color w:val="000000"/>
              </w:rPr>
            </w:pPr>
            <w:r w:rsidRPr="009266A1">
              <w:rPr>
                <w:color w:val="000000"/>
              </w:rPr>
              <w:t>Consultant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4A2F8DC4" w14:textId="77777777" w:rsidR="00AF426B" w:rsidRPr="009266A1" w:rsidRDefault="00AF426B">
            <w:pPr>
              <w:spacing w:line="200" w:lineRule="atLeast"/>
              <w:jc w:val="center"/>
              <w:rPr>
                <w:color w:val="000000"/>
              </w:rPr>
            </w:pPr>
            <w:r w:rsidRPr="009266A1">
              <w:rPr>
                <w:color w:val="000000"/>
              </w:rPr>
              <w:t>GSP05</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D5E7112" w14:textId="77777777" w:rsidR="00AF426B" w:rsidRPr="009266A1" w:rsidRDefault="00AF426B">
            <w:pPr>
              <w:spacing w:line="200" w:lineRule="atLeast"/>
              <w:rPr>
                <w:color w:val="000000"/>
              </w:rPr>
            </w:pPr>
          </w:p>
        </w:tc>
      </w:tr>
      <w:tr w:rsidR="00AF426B" w:rsidRPr="009266A1" w14:paraId="0A5E5951"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2CFD5EE" w14:textId="77777777" w:rsidR="00AF426B" w:rsidRPr="009266A1" w:rsidRDefault="00AF426B">
            <w:pPr>
              <w:spacing w:line="200" w:lineRule="atLeast"/>
              <w:rPr>
                <w:color w:val="000000"/>
              </w:rPr>
            </w:pPr>
            <w:bookmarkStart w:id="181" w:name="TEAM_LEN_COL_1"/>
            <w:r w:rsidRPr="009266A1">
              <w:rPr>
                <w:color w:val="000000"/>
              </w:rPr>
              <w:t>Andrea Vermehren</w:t>
            </w:r>
            <w:bookmarkEnd w:id="181"/>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A4EFB2F" w14:textId="77777777" w:rsidR="00AF426B" w:rsidRPr="009266A1" w:rsidRDefault="00AF426B">
            <w:pPr>
              <w:spacing w:line="200" w:lineRule="atLeast"/>
              <w:rPr>
                <w:color w:val="000000"/>
              </w:rPr>
            </w:pPr>
            <w:bookmarkStart w:id="182" w:name="TEAM_LEN_COL_2"/>
            <w:r w:rsidRPr="009266A1">
              <w:rPr>
                <w:color w:val="000000"/>
              </w:rPr>
              <w:t>Lead Social Protection Special</w:t>
            </w:r>
            <w:bookmarkEnd w:id="182"/>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306E6E2" w14:textId="77777777" w:rsidR="00AF426B" w:rsidRPr="009266A1" w:rsidRDefault="00AF426B">
            <w:pPr>
              <w:spacing w:line="200" w:lineRule="atLeast"/>
              <w:jc w:val="center"/>
              <w:rPr>
                <w:color w:val="000000"/>
              </w:rPr>
            </w:pPr>
            <w:bookmarkStart w:id="183" w:name="TEAM_LEN_COL_3"/>
            <w:r w:rsidRPr="009266A1">
              <w:rPr>
                <w:color w:val="000000"/>
              </w:rPr>
              <w:t>GSP01</w:t>
            </w:r>
            <w:bookmarkEnd w:id="183"/>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AD43768" w14:textId="77777777" w:rsidR="00AF426B" w:rsidRPr="009266A1" w:rsidRDefault="00F65F94">
            <w:pPr>
              <w:spacing w:line="200" w:lineRule="atLeast"/>
              <w:rPr>
                <w:color w:val="000000"/>
              </w:rPr>
            </w:pPr>
            <w:bookmarkStart w:id="184" w:name="TEAM_LEN_COL_4"/>
            <w:bookmarkEnd w:id="184"/>
            <w:r w:rsidRPr="009266A1">
              <w:rPr>
                <w:color w:val="000000"/>
              </w:rPr>
              <w:t xml:space="preserve"> Co-TTL (2008) </w:t>
            </w:r>
          </w:p>
        </w:tc>
      </w:tr>
      <w:tr w:rsidR="00F65F94" w:rsidRPr="009266A1" w14:paraId="4FDD0ED1" w14:textId="77777777">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095254E" w14:textId="77777777" w:rsidR="00F65F94" w:rsidRPr="009266A1" w:rsidRDefault="00F65F94">
            <w:pPr>
              <w:spacing w:line="200" w:lineRule="atLeast"/>
              <w:rPr>
                <w:color w:val="000000"/>
              </w:rPr>
            </w:pPr>
            <w:r w:rsidRPr="009266A1">
              <w:rPr>
                <w:color w:val="000000"/>
              </w:rPr>
              <w:t xml:space="preserve">Qaiser M. Khan </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4C519F8" w14:textId="77777777" w:rsidR="00F65F94" w:rsidRPr="009266A1" w:rsidRDefault="00F65F94">
            <w:pPr>
              <w:spacing w:line="200" w:lineRule="atLeast"/>
              <w:rPr>
                <w:color w:val="000000"/>
              </w:rPr>
            </w:pPr>
            <w:r w:rsidRPr="009266A1">
              <w:rPr>
                <w:color w:val="000000"/>
              </w:rPr>
              <w:t>Program Leader</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88229DE" w14:textId="77777777" w:rsidR="00F65F94" w:rsidRPr="009266A1" w:rsidRDefault="00F65F94">
            <w:pPr>
              <w:spacing w:line="200" w:lineRule="atLeast"/>
              <w:jc w:val="center"/>
              <w:rPr>
                <w:color w:val="000000"/>
              </w:rPr>
            </w:pPr>
            <w:r w:rsidRPr="009266A1">
              <w:rPr>
                <w:color w:val="000000"/>
              </w:rPr>
              <w:t>AFCE3</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48CFD45" w14:textId="77777777" w:rsidR="00F65F94" w:rsidRPr="009266A1" w:rsidRDefault="00F65F94">
            <w:pPr>
              <w:spacing w:line="200" w:lineRule="atLeast"/>
              <w:rPr>
                <w:color w:val="000000"/>
              </w:rPr>
            </w:pPr>
            <w:r w:rsidRPr="009266A1">
              <w:rPr>
                <w:color w:val="000000"/>
              </w:rPr>
              <w:t>TTL (2008)</w:t>
            </w:r>
          </w:p>
        </w:tc>
      </w:tr>
    </w:tbl>
    <w:p w14:paraId="6E8E3E17" w14:textId="77777777" w:rsidR="008374D5" w:rsidRPr="009266A1" w:rsidRDefault="008374D5" w:rsidP="001C00E2">
      <w:pPr>
        <w:pBdr>
          <w:left w:val="single" w:sz="4" w:space="4" w:color="B1B1B1"/>
          <w:right w:val="single" w:sz="4" w:space="4" w:color="B1B1B1"/>
        </w:pBdr>
        <w:ind w:left="99" w:right="108"/>
        <w:rPr>
          <w:rStyle w:val="Strong"/>
          <w:color w:val="000000"/>
        </w:rPr>
      </w:pPr>
      <w:bookmarkStart w:id="185" w:name="TEAM_LEN"/>
      <w:bookmarkEnd w:id="185"/>
    </w:p>
    <w:tbl>
      <w:tblPr>
        <w:tblW w:w="5000" w:type="pct"/>
        <w:tblLayout w:type="fixed"/>
        <w:tblCellMar>
          <w:top w:w="10" w:type="dxa"/>
          <w:left w:w="10" w:type="dxa"/>
          <w:bottom w:w="10" w:type="dxa"/>
          <w:right w:w="10" w:type="dxa"/>
        </w:tblCellMar>
        <w:tblLook w:val="0000" w:firstRow="0" w:lastRow="0" w:firstColumn="0" w:lastColumn="0" w:noHBand="0" w:noVBand="0"/>
      </w:tblPr>
      <w:tblGrid>
        <w:gridCol w:w="2700"/>
        <w:gridCol w:w="3229"/>
        <w:gridCol w:w="897"/>
        <w:gridCol w:w="1804"/>
      </w:tblGrid>
      <w:tr w:rsidR="008374D5" w:rsidRPr="009266A1" w14:paraId="73D59F32" w14:textId="77777777" w:rsidTr="001C00E2">
        <w:tc>
          <w:tcPr>
            <w:tcW w:w="8660" w:type="dxa"/>
            <w:gridSpan w:val="4"/>
            <w:tcBorders>
              <w:left w:val="single" w:sz="4" w:space="0" w:color="B1B1B1"/>
              <w:bottom w:val="single" w:sz="4" w:space="0" w:color="B1B1B1"/>
              <w:right w:val="single" w:sz="4" w:space="0" w:color="B1B1B1"/>
            </w:tcBorders>
            <w:vAlign w:val="center"/>
          </w:tcPr>
          <w:p w14:paraId="61F0F436" w14:textId="77777777" w:rsidR="008374D5" w:rsidRPr="009266A1" w:rsidRDefault="008374D5" w:rsidP="00CD3651">
            <w:pPr>
              <w:spacing w:line="200" w:lineRule="atLeast"/>
              <w:rPr>
                <w:color w:val="000000"/>
              </w:rPr>
            </w:pPr>
            <w:r w:rsidRPr="009266A1">
              <w:rPr>
                <w:rStyle w:val="Strong"/>
                <w:color w:val="000000"/>
              </w:rPr>
              <w:t>Supervision/ICR</w:t>
            </w:r>
          </w:p>
        </w:tc>
      </w:tr>
      <w:tr w:rsidR="00BE7AAB" w:rsidRPr="009266A1" w14:paraId="024D382A"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5492A5D" w14:textId="77777777" w:rsidR="00BE7AAB" w:rsidRPr="009266A1" w:rsidRDefault="00BE7AAB">
            <w:pPr>
              <w:spacing w:line="200" w:lineRule="atLeast"/>
              <w:rPr>
                <w:color w:val="000000"/>
              </w:rPr>
            </w:pPr>
            <w:r w:rsidRPr="009266A1">
              <w:rPr>
                <w:color w:val="000000"/>
              </w:rPr>
              <w:t xml:space="preserve">Maitreyi  Das </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2EB0C86" w14:textId="77777777" w:rsidR="00BE7AAB" w:rsidRPr="009266A1" w:rsidRDefault="00BE7AAB">
            <w:pPr>
              <w:spacing w:line="200" w:lineRule="atLeast"/>
              <w:rPr>
                <w:color w:val="000000"/>
              </w:rPr>
            </w:pPr>
            <w:r w:rsidRPr="009266A1">
              <w:rPr>
                <w:color w:val="000000"/>
              </w:rPr>
              <w:t>Lead Social Development Specialist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E4C493F" w14:textId="77777777" w:rsidR="00BE7AAB" w:rsidRPr="009266A1" w:rsidRDefault="00394C24">
            <w:pPr>
              <w:spacing w:line="200" w:lineRule="atLeast"/>
              <w:jc w:val="center"/>
              <w:rPr>
                <w:color w:val="000000"/>
              </w:rPr>
            </w:pPr>
            <w:r w:rsidRPr="009266A1">
              <w:rPr>
                <w:color w:val="000000"/>
              </w:rPr>
              <w:t>GWAGP</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FA2C42F" w14:textId="77777777" w:rsidR="00BE7AAB" w:rsidRPr="009266A1" w:rsidRDefault="00394C24">
            <w:pPr>
              <w:spacing w:line="200" w:lineRule="atLeast"/>
              <w:rPr>
                <w:color w:val="000000"/>
              </w:rPr>
            </w:pPr>
            <w:r w:rsidRPr="009266A1">
              <w:rPr>
                <w:color w:val="000000"/>
              </w:rPr>
              <w:t>TTL (2009-2011)</w:t>
            </w:r>
          </w:p>
        </w:tc>
      </w:tr>
      <w:tr w:rsidR="00394C24" w:rsidRPr="009266A1" w14:paraId="2317D622"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77044C0" w14:textId="77777777" w:rsidR="00394C24" w:rsidRPr="009266A1" w:rsidRDefault="00394C24">
            <w:pPr>
              <w:spacing w:line="200" w:lineRule="atLeast"/>
              <w:rPr>
                <w:color w:val="000000"/>
              </w:rPr>
            </w:pPr>
            <w:r w:rsidRPr="009266A1">
              <w:rPr>
                <w:color w:val="000000"/>
              </w:rPr>
              <w:t>Jessica Leigh Leino</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90A5B02" w14:textId="77777777" w:rsidR="00394C24" w:rsidRPr="009266A1" w:rsidRDefault="00394C24">
            <w:pPr>
              <w:spacing w:line="200" w:lineRule="atLeast"/>
              <w:rPr>
                <w:color w:val="000000"/>
              </w:rPr>
            </w:pPr>
            <w:r w:rsidRPr="009266A1">
              <w:rPr>
                <w:color w:val="000000"/>
              </w:rPr>
              <w:t xml:space="preserve">Senior Economist </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D5243B9" w14:textId="77777777" w:rsidR="00394C24" w:rsidRPr="009266A1" w:rsidRDefault="00394C24">
            <w:pPr>
              <w:spacing w:line="200" w:lineRule="atLeast"/>
              <w:jc w:val="center"/>
              <w:rPr>
                <w:color w:val="000000"/>
              </w:rPr>
            </w:pPr>
            <w:r w:rsidRPr="009266A1">
              <w:rPr>
                <w:color w:val="000000"/>
              </w:rPr>
              <w:t>GSP06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7FD14E7" w14:textId="77777777" w:rsidR="00394C24" w:rsidRPr="009266A1" w:rsidRDefault="00394C24">
            <w:pPr>
              <w:spacing w:line="200" w:lineRule="atLeast"/>
              <w:rPr>
                <w:color w:val="000000"/>
              </w:rPr>
            </w:pPr>
            <w:r w:rsidRPr="009266A1">
              <w:rPr>
                <w:color w:val="000000"/>
              </w:rPr>
              <w:t xml:space="preserve">TTL (2011-2014) </w:t>
            </w:r>
          </w:p>
        </w:tc>
      </w:tr>
      <w:tr w:rsidR="00394C24" w:rsidRPr="009266A1" w14:paraId="34AF3EC0"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47EA5A0" w14:textId="77777777" w:rsidR="00394C24" w:rsidRPr="009266A1" w:rsidRDefault="00394C24">
            <w:pPr>
              <w:spacing w:line="200" w:lineRule="atLeast"/>
              <w:rPr>
                <w:color w:val="000000"/>
              </w:rPr>
            </w:pPr>
            <w:r w:rsidRPr="009266A1">
              <w:rPr>
                <w:color w:val="000000"/>
              </w:rPr>
              <w:t>Yoonyoung Cho</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9A4CBB5" w14:textId="77777777" w:rsidR="00394C24" w:rsidRPr="009266A1" w:rsidRDefault="00394C24">
            <w:pPr>
              <w:spacing w:line="200" w:lineRule="atLeast"/>
              <w:rPr>
                <w:color w:val="000000"/>
              </w:rPr>
            </w:pPr>
            <w:r w:rsidRPr="009266A1">
              <w:rPr>
                <w:color w:val="000000"/>
              </w:rPr>
              <w:t xml:space="preserve">Senior Economist </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227BDC3" w14:textId="77777777" w:rsidR="00394C24" w:rsidRPr="009266A1" w:rsidRDefault="00394C24">
            <w:pPr>
              <w:spacing w:line="200" w:lineRule="atLeast"/>
              <w:jc w:val="center"/>
              <w:rPr>
                <w:color w:val="000000"/>
              </w:rPr>
            </w:pPr>
            <w:r w:rsidRPr="009266A1">
              <w:rPr>
                <w:color w:val="000000"/>
              </w:rPr>
              <w:t xml:space="preserve">GSP06 </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9A7C7F7" w14:textId="77777777" w:rsidR="00394C24" w:rsidRPr="009266A1" w:rsidRDefault="00394C24">
            <w:pPr>
              <w:spacing w:line="200" w:lineRule="atLeast"/>
              <w:rPr>
                <w:color w:val="000000"/>
              </w:rPr>
            </w:pPr>
            <w:r w:rsidRPr="009266A1">
              <w:rPr>
                <w:color w:val="000000"/>
              </w:rPr>
              <w:t>TTL (2014-2016)</w:t>
            </w:r>
          </w:p>
        </w:tc>
      </w:tr>
      <w:tr w:rsidR="00AF426B" w:rsidRPr="009266A1" w14:paraId="2769EFD9"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2071481" w14:textId="77777777" w:rsidR="00AF426B" w:rsidRPr="009266A1" w:rsidRDefault="00AF426B">
            <w:pPr>
              <w:spacing w:line="200" w:lineRule="atLeast"/>
              <w:rPr>
                <w:color w:val="000000"/>
              </w:rPr>
            </w:pPr>
            <w:r w:rsidRPr="009266A1">
              <w:rPr>
                <w:color w:val="000000"/>
              </w:rPr>
              <w:t>Burhanuddin Ahmed</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4AA8104" w14:textId="77777777" w:rsidR="00AF426B" w:rsidRPr="009266A1" w:rsidRDefault="00AF426B">
            <w:pPr>
              <w:spacing w:line="200" w:lineRule="atLeast"/>
              <w:rPr>
                <w:color w:val="000000"/>
              </w:rPr>
            </w:pPr>
            <w:r w:rsidRPr="009266A1">
              <w:rPr>
                <w:color w:val="000000"/>
              </w:rPr>
              <w:t>Consultant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C243C5D" w14:textId="77777777" w:rsidR="00AF426B" w:rsidRPr="009266A1" w:rsidRDefault="00AF426B">
            <w:pPr>
              <w:spacing w:line="200" w:lineRule="atLeast"/>
              <w:jc w:val="center"/>
              <w:rPr>
                <w:color w:val="000000"/>
              </w:rPr>
            </w:pPr>
            <w:r w:rsidRPr="009266A1">
              <w:rPr>
                <w:color w:val="000000"/>
              </w:rPr>
              <w:t>GED06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52C8151" w14:textId="77777777" w:rsidR="00AF426B" w:rsidRPr="009266A1" w:rsidRDefault="00AF426B">
            <w:pPr>
              <w:spacing w:line="200" w:lineRule="atLeast"/>
              <w:rPr>
                <w:color w:val="000000"/>
              </w:rPr>
            </w:pPr>
          </w:p>
        </w:tc>
      </w:tr>
      <w:tr w:rsidR="00AF426B" w:rsidRPr="009266A1" w14:paraId="27E83B04"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6230F22" w14:textId="77777777" w:rsidR="00AF426B" w:rsidRPr="009266A1" w:rsidRDefault="00AF426B">
            <w:pPr>
              <w:spacing w:line="200" w:lineRule="atLeast"/>
              <w:rPr>
                <w:color w:val="000000"/>
              </w:rPr>
            </w:pPr>
            <w:r w:rsidRPr="009266A1">
              <w:rPr>
                <w:color w:val="000000"/>
              </w:rPr>
              <w:t>Shaikh Shamsuddin Ahmed</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A0840C7" w14:textId="77777777" w:rsidR="00AF426B" w:rsidRPr="009266A1" w:rsidRDefault="00AF426B">
            <w:pPr>
              <w:spacing w:line="200" w:lineRule="atLeast"/>
              <w:rPr>
                <w:color w:val="000000"/>
              </w:rPr>
            </w:pPr>
            <w:r w:rsidRPr="009266A1">
              <w:rPr>
                <w:color w:val="000000"/>
              </w:rPr>
              <w:t>Consultant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9A9D954" w14:textId="77777777" w:rsidR="00AF426B" w:rsidRPr="009266A1" w:rsidRDefault="00AF426B">
            <w:pPr>
              <w:spacing w:line="200" w:lineRule="atLeast"/>
              <w:jc w:val="center"/>
              <w:rPr>
                <w:color w:val="000000"/>
              </w:rPr>
            </w:pPr>
            <w:r w:rsidRPr="009266A1">
              <w:rPr>
                <w:color w:val="000000"/>
              </w:rPr>
              <w:t>GEDDR</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403267C" w14:textId="77777777" w:rsidR="00AF426B" w:rsidRPr="009266A1" w:rsidRDefault="00AF426B">
            <w:pPr>
              <w:spacing w:line="200" w:lineRule="atLeast"/>
              <w:rPr>
                <w:color w:val="000000"/>
              </w:rPr>
            </w:pPr>
          </w:p>
        </w:tc>
      </w:tr>
      <w:tr w:rsidR="00AF426B" w:rsidRPr="009266A1" w14:paraId="4F607E7F"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32CC55F" w14:textId="77777777" w:rsidR="00AF426B" w:rsidRPr="009266A1" w:rsidRDefault="00AF426B">
            <w:pPr>
              <w:spacing w:line="200" w:lineRule="atLeast"/>
              <w:rPr>
                <w:color w:val="000000"/>
              </w:rPr>
            </w:pPr>
            <w:r w:rsidRPr="009266A1">
              <w:rPr>
                <w:color w:val="000000"/>
              </w:rPr>
              <w:t>Mohamed Ihsan Ajwad</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79C9AD7" w14:textId="77777777" w:rsidR="00AF426B" w:rsidRPr="009266A1" w:rsidRDefault="00AF426B">
            <w:pPr>
              <w:spacing w:line="200" w:lineRule="atLeast"/>
              <w:rPr>
                <w:color w:val="000000"/>
              </w:rPr>
            </w:pPr>
            <w:r w:rsidRPr="009266A1">
              <w:rPr>
                <w:color w:val="000000"/>
              </w:rPr>
              <w:t>Senior Economist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DECEEF8" w14:textId="77777777" w:rsidR="00AF426B" w:rsidRPr="009266A1" w:rsidRDefault="00AF426B">
            <w:pPr>
              <w:spacing w:line="200" w:lineRule="atLeast"/>
              <w:jc w:val="center"/>
              <w:rPr>
                <w:color w:val="000000"/>
              </w:rPr>
            </w:pPr>
            <w:r w:rsidRPr="009266A1">
              <w:rPr>
                <w:color w:val="000000"/>
              </w:rPr>
              <w:t>GSP03</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59850CC" w14:textId="77777777" w:rsidR="00AF426B" w:rsidRPr="009266A1" w:rsidRDefault="00AF426B">
            <w:pPr>
              <w:spacing w:line="200" w:lineRule="atLeast"/>
              <w:rPr>
                <w:color w:val="000000"/>
              </w:rPr>
            </w:pPr>
          </w:p>
        </w:tc>
      </w:tr>
      <w:tr w:rsidR="00AF426B" w:rsidRPr="009266A1" w14:paraId="44740BCA"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3E1A68D" w14:textId="77777777" w:rsidR="00AF426B" w:rsidRPr="009266A1" w:rsidRDefault="00AF426B">
            <w:pPr>
              <w:spacing w:line="200" w:lineRule="atLeast"/>
              <w:rPr>
                <w:color w:val="000000"/>
              </w:rPr>
            </w:pPr>
            <w:r w:rsidRPr="009266A1">
              <w:rPr>
                <w:color w:val="000000"/>
              </w:rPr>
              <w:t>Md. Mahtab Alam</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2BF55F3" w14:textId="77777777" w:rsidR="00AF426B" w:rsidRPr="009266A1" w:rsidRDefault="00AF426B">
            <w:pPr>
              <w:spacing w:line="200" w:lineRule="atLeast"/>
              <w:rPr>
                <w:color w:val="000000"/>
              </w:rPr>
            </w:pPr>
            <w:r w:rsidRPr="009266A1">
              <w:rPr>
                <w:color w:val="000000"/>
              </w:rPr>
              <w:t>Program Assistant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151263E" w14:textId="77777777" w:rsidR="00AF426B" w:rsidRPr="009266A1" w:rsidRDefault="00AF426B">
            <w:pPr>
              <w:spacing w:line="200" w:lineRule="atLeast"/>
              <w:jc w:val="center"/>
              <w:rPr>
                <w:color w:val="000000"/>
              </w:rPr>
            </w:pPr>
            <w:r w:rsidRPr="009266A1">
              <w:rPr>
                <w:color w:val="000000"/>
              </w:rPr>
              <w:t>SACBD</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134DFA1" w14:textId="77777777" w:rsidR="00AF426B" w:rsidRPr="009266A1" w:rsidRDefault="00AF426B">
            <w:pPr>
              <w:spacing w:line="200" w:lineRule="atLeast"/>
              <w:rPr>
                <w:color w:val="000000"/>
              </w:rPr>
            </w:pPr>
          </w:p>
        </w:tc>
      </w:tr>
      <w:tr w:rsidR="00AF426B" w:rsidRPr="009266A1" w14:paraId="02FA7C97"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2F5183B" w14:textId="77777777" w:rsidR="00AF426B" w:rsidRPr="009266A1" w:rsidRDefault="00AF426B">
            <w:pPr>
              <w:spacing w:line="200" w:lineRule="atLeast"/>
              <w:rPr>
                <w:color w:val="000000"/>
              </w:rPr>
            </w:pPr>
            <w:r w:rsidRPr="009266A1">
              <w:rPr>
                <w:color w:val="000000"/>
              </w:rPr>
              <w:t>Ashiq Aziz</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FAF4CB9" w14:textId="77777777" w:rsidR="00AF426B" w:rsidRPr="009266A1" w:rsidRDefault="00AF426B">
            <w:pPr>
              <w:spacing w:line="200" w:lineRule="atLeast"/>
              <w:rPr>
                <w:color w:val="000000"/>
              </w:rPr>
            </w:pPr>
            <w:r w:rsidRPr="009266A1">
              <w:rPr>
                <w:color w:val="000000"/>
              </w:rPr>
              <w:t>Social Protection Specialist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31F4561" w14:textId="77777777" w:rsidR="00AF426B" w:rsidRPr="009266A1" w:rsidRDefault="00AF426B">
            <w:pPr>
              <w:spacing w:line="200" w:lineRule="atLeast"/>
              <w:jc w:val="center"/>
              <w:rPr>
                <w:color w:val="000000"/>
              </w:rPr>
            </w:pPr>
            <w:r w:rsidRPr="009266A1">
              <w:rPr>
                <w:color w:val="000000"/>
              </w:rPr>
              <w:t>GSP06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1B54A91" w14:textId="77777777" w:rsidR="00AF426B" w:rsidRPr="009266A1" w:rsidRDefault="00394C24">
            <w:pPr>
              <w:spacing w:line="200" w:lineRule="atLeast"/>
              <w:rPr>
                <w:color w:val="000000"/>
              </w:rPr>
            </w:pPr>
            <w:r w:rsidRPr="009266A1">
              <w:rPr>
                <w:color w:val="000000"/>
              </w:rPr>
              <w:t>Co-TTL (2014-2016)</w:t>
            </w:r>
          </w:p>
        </w:tc>
      </w:tr>
      <w:tr w:rsidR="00AF426B" w:rsidRPr="009266A1" w14:paraId="39ADEB37"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E8A6427" w14:textId="77777777" w:rsidR="00AF426B" w:rsidRPr="009266A1" w:rsidRDefault="00AF426B">
            <w:pPr>
              <w:spacing w:line="200" w:lineRule="atLeast"/>
              <w:rPr>
                <w:color w:val="000000"/>
              </w:rPr>
            </w:pPr>
            <w:r w:rsidRPr="009266A1">
              <w:rPr>
                <w:color w:val="000000"/>
              </w:rPr>
              <w:t>Gertrude Cooper</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E3107F4" w14:textId="77777777" w:rsidR="00AF426B" w:rsidRPr="009266A1" w:rsidRDefault="00AF426B">
            <w:pPr>
              <w:spacing w:line="200" w:lineRule="atLeast"/>
              <w:rPr>
                <w:color w:val="000000"/>
              </w:rPr>
            </w:pPr>
            <w:r w:rsidRPr="009266A1">
              <w:rPr>
                <w:color w:val="000000"/>
              </w:rPr>
              <w:t>Temporary</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A0B200A" w14:textId="77777777" w:rsidR="00AF426B" w:rsidRPr="009266A1" w:rsidRDefault="00AF426B">
            <w:pPr>
              <w:spacing w:line="200" w:lineRule="atLeast"/>
              <w:jc w:val="center"/>
              <w:rPr>
                <w:color w:val="000000"/>
              </w:rPr>
            </w:pPr>
            <w:r w:rsidRPr="009266A1">
              <w:rPr>
                <w:color w:val="000000"/>
              </w:rPr>
              <w:t>GED06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7D8F7F9" w14:textId="77777777" w:rsidR="00AF426B" w:rsidRPr="009266A1" w:rsidRDefault="00AF426B">
            <w:pPr>
              <w:spacing w:line="200" w:lineRule="atLeast"/>
              <w:rPr>
                <w:color w:val="000000"/>
              </w:rPr>
            </w:pPr>
          </w:p>
        </w:tc>
      </w:tr>
      <w:tr w:rsidR="00AF426B" w:rsidRPr="009266A1" w14:paraId="74F3B1F8"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0257C10" w14:textId="77777777" w:rsidR="00AF426B" w:rsidRPr="009266A1" w:rsidRDefault="00AF426B">
            <w:pPr>
              <w:spacing w:line="200" w:lineRule="atLeast"/>
              <w:rPr>
                <w:color w:val="000000"/>
              </w:rPr>
            </w:pPr>
            <w:r w:rsidRPr="009266A1">
              <w:rPr>
                <w:color w:val="000000"/>
              </w:rPr>
              <w:t>Susan E. Hirshberg</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9155EE9" w14:textId="77777777" w:rsidR="00AF426B" w:rsidRPr="009266A1" w:rsidRDefault="00AF426B">
            <w:pPr>
              <w:spacing w:line="200" w:lineRule="atLeast"/>
              <w:rPr>
                <w:color w:val="000000"/>
              </w:rPr>
            </w:pPr>
            <w:r w:rsidRPr="009266A1">
              <w:rPr>
                <w:color w:val="000000"/>
              </w:rPr>
              <w:t>Senior Education Specialist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3E6D61A" w14:textId="77777777" w:rsidR="00AF426B" w:rsidRPr="009266A1" w:rsidRDefault="00AF426B">
            <w:pPr>
              <w:spacing w:line="200" w:lineRule="atLeast"/>
              <w:jc w:val="center"/>
              <w:rPr>
                <w:color w:val="000000"/>
              </w:rPr>
            </w:pPr>
            <w:r w:rsidRPr="009266A1">
              <w:rPr>
                <w:color w:val="000000"/>
              </w:rPr>
              <w:t>AFTEE - HIS</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9B08BE6" w14:textId="77777777" w:rsidR="00AF426B" w:rsidRPr="009266A1" w:rsidRDefault="00AF426B">
            <w:pPr>
              <w:spacing w:line="200" w:lineRule="atLeast"/>
              <w:rPr>
                <w:color w:val="000000"/>
              </w:rPr>
            </w:pPr>
          </w:p>
        </w:tc>
      </w:tr>
      <w:tr w:rsidR="00AF426B" w:rsidRPr="009266A1" w14:paraId="2795F27F"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3FF78DF" w14:textId="77777777" w:rsidR="00AF426B" w:rsidRPr="009266A1" w:rsidRDefault="00AF426B">
            <w:pPr>
              <w:spacing w:line="200" w:lineRule="atLeast"/>
              <w:rPr>
                <w:color w:val="000000"/>
              </w:rPr>
            </w:pPr>
            <w:r w:rsidRPr="009266A1">
              <w:rPr>
                <w:color w:val="000000"/>
              </w:rPr>
              <w:t>Tanvir Hossain</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ACCCD91" w14:textId="77777777" w:rsidR="00AF426B" w:rsidRPr="009266A1" w:rsidRDefault="00AF426B">
            <w:pPr>
              <w:spacing w:line="200" w:lineRule="atLeast"/>
              <w:rPr>
                <w:color w:val="000000"/>
              </w:rPr>
            </w:pPr>
            <w:r w:rsidRPr="009266A1">
              <w:rPr>
                <w:color w:val="000000"/>
              </w:rPr>
              <w:t>Senior Procurement Specialist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DF70340" w14:textId="77777777" w:rsidR="00AF426B" w:rsidRPr="009266A1" w:rsidRDefault="00AF426B">
            <w:pPr>
              <w:spacing w:line="200" w:lineRule="atLeast"/>
              <w:jc w:val="center"/>
              <w:rPr>
                <w:color w:val="000000"/>
              </w:rPr>
            </w:pPr>
            <w:r w:rsidRPr="009266A1">
              <w:rPr>
                <w:color w:val="000000"/>
              </w:rPr>
              <w:t>GGO06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8448457" w14:textId="77777777" w:rsidR="00AF426B" w:rsidRPr="009266A1" w:rsidRDefault="00AF426B">
            <w:pPr>
              <w:spacing w:line="200" w:lineRule="atLeast"/>
              <w:rPr>
                <w:color w:val="000000"/>
              </w:rPr>
            </w:pPr>
          </w:p>
        </w:tc>
      </w:tr>
      <w:tr w:rsidR="00AF426B" w:rsidRPr="009266A1" w14:paraId="06FC7AC6"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E84B366" w14:textId="77777777" w:rsidR="00AF426B" w:rsidRPr="009266A1" w:rsidRDefault="00AF426B">
            <w:pPr>
              <w:spacing w:line="200" w:lineRule="atLeast"/>
              <w:rPr>
                <w:color w:val="000000"/>
              </w:rPr>
            </w:pPr>
            <w:r w:rsidRPr="009266A1">
              <w:rPr>
                <w:color w:val="000000"/>
              </w:rPr>
              <w:t>Iqbal Kaur</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3E331EA" w14:textId="77777777" w:rsidR="00AF426B" w:rsidRPr="009266A1" w:rsidRDefault="00AF426B">
            <w:pPr>
              <w:spacing w:line="200" w:lineRule="atLeast"/>
              <w:rPr>
                <w:color w:val="000000"/>
              </w:rPr>
            </w:pPr>
            <w:r w:rsidRPr="009266A1">
              <w:rPr>
                <w:color w:val="000000"/>
              </w:rPr>
              <w:t>Sr Social Protection Specialis</w:t>
            </w:r>
            <w:r w:rsidR="00445A43" w:rsidRPr="009266A1">
              <w:rPr>
                <w:color w:val="000000"/>
              </w:rPr>
              <w:t>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DFE9A07" w14:textId="77777777" w:rsidR="00AF426B" w:rsidRPr="009266A1" w:rsidRDefault="00AF426B">
            <w:pPr>
              <w:spacing w:line="200" w:lineRule="atLeast"/>
              <w:jc w:val="center"/>
              <w:rPr>
                <w:color w:val="000000"/>
              </w:rPr>
            </w:pPr>
            <w:r w:rsidRPr="009266A1">
              <w:rPr>
                <w:color w:val="000000"/>
              </w:rPr>
              <w:t>GSP01</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B67C4F9" w14:textId="77777777" w:rsidR="00AF426B" w:rsidRPr="009266A1" w:rsidRDefault="00AF426B">
            <w:pPr>
              <w:spacing w:line="200" w:lineRule="atLeast"/>
              <w:rPr>
                <w:color w:val="000000"/>
              </w:rPr>
            </w:pPr>
          </w:p>
        </w:tc>
      </w:tr>
      <w:tr w:rsidR="00AF426B" w:rsidRPr="009266A1" w14:paraId="0C53392F"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EFEAA37" w14:textId="77777777" w:rsidR="00AF426B" w:rsidRPr="009266A1" w:rsidRDefault="00AF426B">
            <w:pPr>
              <w:spacing w:line="200" w:lineRule="atLeast"/>
              <w:rPr>
                <w:color w:val="000000"/>
              </w:rPr>
            </w:pPr>
            <w:r w:rsidRPr="009266A1">
              <w:rPr>
                <w:color w:val="000000"/>
              </w:rPr>
              <w:t>Shonali Sen Mandal</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AD4C0DF" w14:textId="77777777" w:rsidR="00AF426B" w:rsidRPr="009266A1" w:rsidRDefault="00AF426B">
            <w:pPr>
              <w:spacing w:line="200" w:lineRule="atLeast"/>
              <w:rPr>
                <w:color w:val="000000"/>
              </w:rPr>
            </w:pPr>
            <w:r w:rsidRPr="009266A1">
              <w:rPr>
                <w:color w:val="000000"/>
              </w:rPr>
              <w:t>Consultant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EF7EA07" w14:textId="77777777" w:rsidR="00AF426B" w:rsidRPr="009266A1" w:rsidRDefault="00AF426B">
            <w:pPr>
              <w:spacing w:line="200" w:lineRule="atLeast"/>
              <w:jc w:val="center"/>
              <w:rPr>
                <w:color w:val="000000"/>
              </w:rPr>
            </w:pPr>
            <w:r w:rsidRPr="009266A1">
              <w:rPr>
                <w:color w:val="000000"/>
              </w:rPr>
              <w:t>GSPDR</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7D9DF2A" w14:textId="77777777" w:rsidR="00AF426B" w:rsidRPr="009266A1" w:rsidRDefault="00AF426B">
            <w:pPr>
              <w:spacing w:line="200" w:lineRule="atLeast"/>
              <w:rPr>
                <w:color w:val="000000"/>
              </w:rPr>
            </w:pPr>
          </w:p>
        </w:tc>
      </w:tr>
      <w:tr w:rsidR="00AF426B" w:rsidRPr="009266A1" w14:paraId="5B2270B5"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FC57B44" w14:textId="77777777" w:rsidR="00AF426B" w:rsidRPr="009266A1" w:rsidRDefault="00AF426B">
            <w:pPr>
              <w:spacing w:line="200" w:lineRule="atLeast"/>
              <w:rPr>
                <w:color w:val="000000"/>
              </w:rPr>
            </w:pPr>
            <w:r w:rsidRPr="009266A1">
              <w:rPr>
                <w:color w:val="000000"/>
              </w:rPr>
              <w:t>Aleksandra Posarac</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616CC94" w14:textId="77777777" w:rsidR="00AF426B" w:rsidRPr="009266A1" w:rsidRDefault="00AF426B">
            <w:pPr>
              <w:spacing w:line="200" w:lineRule="atLeast"/>
              <w:rPr>
                <w:color w:val="000000"/>
              </w:rPr>
            </w:pPr>
            <w:r w:rsidRPr="009266A1">
              <w:rPr>
                <w:color w:val="000000"/>
              </w:rPr>
              <w:t>Program Leader</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3B2FA65" w14:textId="77777777" w:rsidR="00AF426B" w:rsidRPr="009266A1" w:rsidRDefault="00AF426B">
            <w:pPr>
              <w:spacing w:line="200" w:lineRule="atLeast"/>
              <w:jc w:val="center"/>
              <w:rPr>
                <w:color w:val="000000"/>
              </w:rPr>
            </w:pPr>
            <w:r w:rsidRPr="009266A1">
              <w:rPr>
                <w:color w:val="000000"/>
              </w:rPr>
              <w:t>EACPF</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43CCA1B" w14:textId="77777777" w:rsidR="00AF426B" w:rsidRPr="009266A1" w:rsidRDefault="00AF426B">
            <w:pPr>
              <w:spacing w:line="200" w:lineRule="atLeast"/>
              <w:rPr>
                <w:color w:val="000000"/>
              </w:rPr>
            </w:pPr>
          </w:p>
        </w:tc>
      </w:tr>
      <w:tr w:rsidR="00AF426B" w:rsidRPr="009266A1" w14:paraId="431521A7"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34AB62E" w14:textId="77777777" w:rsidR="00AF426B" w:rsidRPr="009266A1" w:rsidRDefault="00AF426B">
            <w:pPr>
              <w:spacing w:line="200" w:lineRule="atLeast"/>
              <w:rPr>
                <w:color w:val="000000"/>
              </w:rPr>
            </w:pPr>
            <w:r w:rsidRPr="009266A1">
              <w:rPr>
                <w:color w:val="000000"/>
              </w:rPr>
              <w:t>Mohammad Abdullah Sadeque</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43BE829" w14:textId="77777777" w:rsidR="00AF426B" w:rsidRPr="009266A1" w:rsidRDefault="00AF426B">
            <w:pPr>
              <w:spacing w:line="200" w:lineRule="atLeast"/>
              <w:rPr>
                <w:color w:val="000000"/>
              </w:rPr>
            </w:pPr>
            <w:r w:rsidRPr="009266A1">
              <w:rPr>
                <w:color w:val="000000"/>
              </w:rPr>
              <w:t>E T Consultant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9466ADA" w14:textId="77777777" w:rsidR="00AF426B" w:rsidRPr="009266A1" w:rsidRDefault="00AF426B">
            <w:pPr>
              <w:spacing w:line="200" w:lineRule="atLeast"/>
              <w:jc w:val="center"/>
              <w:rPr>
                <w:color w:val="000000"/>
              </w:rPr>
            </w:pPr>
            <w:r w:rsidRPr="009266A1">
              <w:rPr>
                <w:color w:val="000000"/>
              </w:rPr>
              <w:t>SARPS - HIS</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D7DEDB5" w14:textId="77777777" w:rsidR="00AF426B" w:rsidRPr="009266A1" w:rsidRDefault="00AF426B">
            <w:pPr>
              <w:spacing w:line="200" w:lineRule="atLeast"/>
              <w:rPr>
                <w:color w:val="000000"/>
              </w:rPr>
            </w:pPr>
          </w:p>
        </w:tc>
      </w:tr>
      <w:tr w:rsidR="00AF426B" w:rsidRPr="009266A1" w14:paraId="052333CB"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CB8E8E6" w14:textId="77777777" w:rsidR="00AF426B" w:rsidRPr="009266A1" w:rsidRDefault="00AF426B">
            <w:pPr>
              <w:spacing w:line="200" w:lineRule="atLeast"/>
              <w:rPr>
                <w:color w:val="000000"/>
              </w:rPr>
            </w:pPr>
            <w:r w:rsidRPr="009266A1">
              <w:rPr>
                <w:color w:val="000000"/>
              </w:rPr>
              <w:t>Kishor Uprety</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CCB823D" w14:textId="77777777" w:rsidR="00AF426B" w:rsidRPr="009266A1" w:rsidRDefault="00AF426B">
            <w:pPr>
              <w:spacing w:line="200" w:lineRule="atLeast"/>
              <w:rPr>
                <w:color w:val="000000"/>
              </w:rPr>
            </w:pPr>
            <w:r w:rsidRPr="009266A1">
              <w:rPr>
                <w:color w:val="000000"/>
              </w:rPr>
              <w:t>Senior Counsel</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6505154" w14:textId="77777777" w:rsidR="00AF426B" w:rsidRPr="009266A1" w:rsidRDefault="00AF426B">
            <w:pPr>
              <w:spacing w:line="200" w:lineRule="atLeast"/>
              <w:jc w:val="center"/>
              <w:rPr>
                <w:color w:val="000000"/>
              </w:rPr>
            </w:pPr>
            <w:r w:rsidRPr="009266A1">
              <w:rPr>
                <w:color w:val="000000"/>
              </w:rPr>
              <w:t>LEGAM</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24CBE08" w14:textId="77777777" w:rsidR="00AF426B" w:rsidRPr="009266A1" w:rsidRDefault="00AF426B">
            <w:pPr>
              <w:spacing w:line="200" w:lineRule="atLeast"/>
              <w:rPr>
                <w:color w:val="000000"/>
              </w:rPr>
            </w:pPr>
          </w:p>
        </w:tc>
      </w:tr>
      <w:tr w:rsidR="00AF426B" w:rsidRPr="009266A1" w14:paraId="5596B584"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286A207" w14:textId="77777777" w:rsidR="00AF426B" w:rsidRPr="009266A1" w:rsidRDefault="00AF426B">
            <w:pPr>
              <w:spacing w:line="200" w:lineRule="atLeast"/>
              <w:rPr>
                <w:color w:val="000000"/>
              </w:rPr>
            </w:pPr>
            <w:bookmarkStart w:id="186" w:name="TEAM_SUP_COL_1"/>
            <w:r w:rsidRPr="009266A1">
              <w:rPr>
                <w:color w:val="000000"/>
              </w:rPr>
              <w:t>Andrea Vermehren</w:t>
            </w:r>
            <w:bookmarkEnd w:id="186"/>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202B19E" w14:textId="77777777" w:rsidR="00AF426B" w:rsidRPr="009266A1" w:rsidRDefault="00AF426B">
            <w:pPr>
              <w:spacing w:line="200" w:lineRule="atLeast"/>
              <w:rPr>
                <w:color w:val="000000"/>
              </w:rPr>
            </w:pPr>
            <w:bookmarkStart w:id="187" w:name="TEAM_SUP_COL_2"/>
            <w:r w:rsidRPr="009266A1">
              <w:rPr>
                <w:color w:val="000000"/>
              </w:rPr>
              <w:t>Lead Social Protection Special</w:t>
            </w:r>
            <w:bookmarkEnd w:id="187"/>
            <w:r w:rsidR="00445A43" w:rsidRPr="009266A1">
              <w:rPr>
                <w:color w:val="000000"/>
              </w:rPr>
              <w:t>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C64FAC0" w14:textId="77777777" w:rsidR="00AF426B" w:rsidRPr="009266A1" w:rsidRDefault="00AF426B">
            <w:pPr>
              <w:spacing w:line="200" w:lineRule="atLeast"/>
              <w:jc w:val="center"/>
              <w:rPr>
                <w:color w:val="000000"/>
              </w:rPr>
            </w:pPr>
            <w:bookmarkStart w:id="188" w:name="TEAM_SUP_COL_3"/>
            <w:r w:rsidRPr="009266A1">
              <w:rPr>
                <w:color w:val="000000"/>
              </w:rPr>
              <w:t>GSP01</w:t>
            </w:r>
            <w:bookmarkEnd w:id="188"/>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8F4776E" w14:textId="77777777" w:rsidR="00AF426B" w:rsidRPr="009266A1" w:rsidRDefault="00AF426B">
            <w:pPr>
              <w:spacing w:line="200" w:lineRule="atLeast"/>
              <w:rPr>
                <w:color w:val="000000"/>
              </w:rPr>
            </w:pPr>
            <w:bookmarkStart w:id="189" w:name="TEAM_SUP_COL_4"/>
            <w:bookmarkEnd w:id="189"/>
          </w:p>
        </w:tc>
      </w:tr>
      <w:tr w:rsidR="00445A43" w:rsidRPr="009266A1" w14:paraId="3EC97651"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1BE5ADA" w14:textId="77777777" w:rsidR="00445A43" w:rsidRPr="009266A1" w:rsidRDefault="00445A43">
            <w:pPr>
              <w:spacing w:line="200" w:lineRule="atLeast"/>
              <w:rPr>
                <w:color w:val="000000"/>
              </w:rPr>
            </w:pPr>
            <w:r w:rsidRPr="009266A1">
              <w:rPr>
                <w:color w:val="000000"/>
              </w:rPr>
              <w:t xml:space="preserve">Pravesh Kumar </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EB02520" w14:textId="77777777" w:rsidR="00445A43" w:rsidRPr="009266A1" w:rsidRDefault="00445A43">
            <w:pPr>
              <w:spacing w:line="200" w:lineRule="atLeast"/>
              <w:rPr>
                <w:color w:val="000000"/>
              </w:rPr>
            </w:pPr>
            <w:r w:rsidRPr="009266A1">
              <w:rPr>
                <w:color w:val="000000"/>
              </w:rPr>
              <w:t>Social Protection Specialist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68D24D9" w14:textId="77777777" w:rsidR="00445A43" w:rsidRPr="009266A1" w:rsidRDefault="00445A43">
            <w:pPr>
              <w:spacing w:line="200" w:lineRule="atLeast"/>
              <w:jc w:val="center"/>
              <w:rPr>
                <w:color w:val="000000"/>
              </w:rPr>
            </w:pPr>
            <w:r w:rsidRPr="009266A1">
              <w:rPr>
                <w:color w:val="000000"/>
              </w:rPr>
              <w:t>GSP06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FCB8C11" w14:textId="77777777" w:rsidR="00445A43" w:rsidRPr="009266A1" w:rsidRDefault="00445A43">
            <w:pPr>
              <w:spacing w:line="200" w:lineRule="atLeast"/>
              <w:rPr>
                <w:color w:val="000000"/>
              </w:rPr>
            </w:pPr>
          </w:p>
        </w:tc>
      </w:tr>
      <w:tr w:rsidR="00445A43" w:rsidRPr="009266A1" w14:paraId="1A5446C6"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1CCCAEE" w14:textId="77777777" w:rsidR="00445A43" w:rsidRPr="009266A1" w:rsidRDefault="00445A43">
            <w:pPr>
              <w:spacing w:line="200" w:lineRule="atLeast"/>
              <w:rPr>
                <w:color w:val="000000"/>
              </w:rPr>
            </w:pPr>
            <w:r w:rsidRPr="009266A1">
              <w:rPr>
                <w:color w:val="000000"/>
              </w:rPr>
              <w:t xml:space="preserve">Srinivas Varadan </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891ED92" w14:textId="77777777" w:rsidR="00445A43" w:rsidRPr="009266A1" w:rsidRDefault="00445A43">
            <w:pPr>
              <w:spacing w:line="200" w:lineRule="atLeast"/>
              <w:rPr>
                <w:color w:val="000000"/>
              </w:rPr>
            </w:pPr>
            <w:r w:rsidRPr="009266A1">
              <w:rPr>
                <w:color w:val="000000"/>
              </w:rPr>
              <w:t xml:space="preserve">Social Protection Specialist </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153BD19" w14:textId="77777777" w:rsidR="00445A43" w:rsidRPr="009266A1" w:rsidRDefault="00445A43">
            <w:pPr>
              <w:spacing w:line="200" w:lineRule="atLeast"/>
              <w:jc w:val="center"/>
              <w:rPr>
                <w:color w:val="000000"/>
              </w:rPr>
            </w:pPr>
            <w:r w:rsidRPr="009266A1">
              <w:rPr>
                <w:color w:val="000000"/>
              </w:rPr>
              <w:t>GSP06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148A57BA" w14:textId="77777777" w:rsidR="00445A43" w:rsidRPr="009266A1" w:rsidRDefault="00445A43">
            <w:pPr>
              <w:spacing w:line="200" w:lineRule="atLeast"/>
              <w:rPr>
                <w:color w:val="000000"/>
              </w:rPr>
            </w:pPr>
            <w:r w:rsidRPr="009266A1">
              <w:rPr>
                <w:color w:val="000000"/>
              </w:rPr>
              <w:t xml:space="preserve">TTL (ICR) </w:t>
            </w:r>
          </w:p>
        </w:tc>
      </w:tr>
      <w:tr w:rsidR="00445A43" w:rsidRPr="009266A1" w14:paraId="3B15A53D" w14:textId="77777777">
        <w:tc>
          <w:tcPr>
            <w:tcW w:w="27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E2BE95B" w14:textId="77777777" w:rsidR="00445A43" w:rsidRPr="009266A1" w:rsidRDefault="00445A43">
            <w:pPr>
              <w:spacing w:line="200" w:lineRule="atLeast"/>
              <w:rPr>
                <w:color w:val="000000"/>
              </w:rPr>
            </w:pPr>
            <w:r w:rsidRPr="009266A1">
              <w:rPr>
                <w:color w:val="000000"/>
              </w:rPr>
              <w:t>Anastasiya Denisova</w:t>
            </w:r>
          </w:p>
        </w:tc>
        <w:tc>
          <w:tcPr>
            <w:tcW w:w="324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5A41036" w14:textId="77777777" w:rsidR="00445A43" w:rsidRPr="009266A1" w:rsidRDefault="00445A43">
            <w:pPr>
              <w:spacing w:line="200" w:lineRule="atLeast"/>
              <w:rPr>
                <w:color w:val="000000"/>
              </w:rPr>
            </w:pPr>
            <w:r w:rsidRPr="009266A1">
              <w:rPr>
                <w:color w:val="000000"/>
              </w:rPr>
              <w:t>Economist</w:t>
            </w:r>
          </w:p>
        </w:tc>
        <w:tc>
          <w:tcPr>
            <w:tcW w:w="90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20EE4BF" w14:textId="77777777" w:rsidR="00445A43" w:rsidRPr="009266A1" w:rsidRDefault="00445A43">
            <w:pPr>
              <w:spacing w:line="200" w:lineRule="atLeast"/>
              <w:jc w:val="center"/>
              <w:rPr>
                <w:color w:val="000000"/>
              </w:rPr>
            </w:pPr>
            <w:r w:rsidRPr="009266A1">
              <w:rPr>
                <w:color w:val="000000"/>
              </w:rPr>
              <w:t>GSP06</w:t>
            </w:r>
          </w:p>
        </w:tc>
        <w:tc>
          <w:tcPr>
            <w:tcW w:w="1810"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06A5A43" w14:textId="77777777" w:rsidR="00445A43" w:rsidRPr="009266A1" w:rsidRDefault="00445A43">
            <w:pPr>
              <w:spacing w:line="200" w:lineRule="atLeast"/>
              <w:rPr>
                <w:color w:val="000000"/>
              </w:rPr>
            </w:pPr>
            <w:r w:rsidRPr="009266A1">
              <w:rPr>
                <w:color w:val="000000"/>
              </w:rPr>
              <w:t xml:space="preserve">Co-TTL (ICR) </w:t>
            </w:r>
          </w:p>
        </w:tc>
      </w:tr>
    </w:tbl>
    <w:p w14:paraId="4870FA63" w14:textId="77777777" w:rsidR="008374D5" w:rsidRPr="009266A1" w:rsidRDefault="008374D5" w:rsidP="001C00E2">
      <w:bookmarkStart w:id="190" w:name="TEAM_SUP"/>
      <w:bookmarkEnd w:id="190"/>
    </w:p>
    <w:p w14:paraId="31429104" w14:textId="77777777" w:rsidR="00FD2995" w:rsidRPr="009266A1" w:rsidRDefault="00775151" w:rsidP="00FD2995">
      <w:pPr>
        <w:pStyle w:val="Heading3"/>
        <w:rPr>
          <w:sz w:val="24"/>
          <w:szCs w:val="24"/>
        </w:rPr>
      </w:pPr>
      <w:r w:rsidRPr="009266A1">
        <w:rPr>
          <w:sz w:val="24"/>
          <w:szCs w:val="24"/>
        </w:rPr>
        <w:t>(</w:t>
      </w:r>
      <w:r w:rsidR="00FD2995" w:rsidRPr="009266A1">
        <w:rPr>
          <w:sz w:val="24"/>
          <w:szCs w:val="24"/>
        </w:rPr>
        <w:t>b) Staff Time and Cost</w:t>
      </w:r>
    </w:p>
    <w:tbl>
      <w:tblPr>
        <w:tblW w:w="5000" w:type="pct"/>
        <w:tblCellMar>
          <w:top w:w="10" w:type="dxa"/>
          <w:left w:w="10" w:type="dxa"/>
          <w:bottom w:w="10" w:type="dxa"/>
          <w:right w:w="10" w:type="dxa"/>
        </w:tblCellMar>
        <w:tblLook w:val="0000" w:firstRow="0" w:lastRow="0" w:firstColumn="0" w:lastColumn="0" w:noHBand="0" w:noVBand="0"/>
      </w:tblPr>
      <w:tblGrid>
        <w:gridCol w:w="3238"/>
        <w:gridCol w:w="2691"/>
        <w:gridCol w:w="2701"/>
      </w:tblGrid>
      <w:tr w:rsidR="008374D5" w:rsidRPr="009266A1" w14:paraId="04304DCA" w14:textId="77777777" w:rsidTr="00BB1EB2">
        <w:tc>
          <w:tcPr>
            <w:tcW w:w="1876" w:type="pct"/>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61C21341" w14:textId="77777777" w:rsidR="008374D5" w:rsidRPr="009266A1" w:rsidRDefault="008374D5" w:rsidP="001C00E2">
            <w:pPr>
              <w:pStyle w:val="Heading3"/>
              <w:keepNext/>
              <w:rPr>
                <w:sz w:val="24"/>
                <w:szCs w:val="24"/>
              </w:rPr>
            </w:pPr>
            <w:r w:rsidRPr="009266A1">
              <w:rPr>
                <w:sz w:val="24"/>
                <w:szCs w:val="24"/>
              </w:rPr>
              <w:t>Stage of Project Cycle</w:t>
            </w:r>
          </w:p>
        </w:tc>
        <w:tc>
          <w:tcPr>
            <w:tcW w:w="3124" w:type="pct"/>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6D69856B" w14:textId="77777777" w:rsidR="008374D5" w:rsidRPr="009266A1" w:rsidRDefault="008374D5" w:rsidP="001C00E2">
            <w:pPr>
              <w:pStyle w:val="Heading3"/>
              <w:keepNext/>
              <w:jc w:val="center"/>
              <w:rPr>
                <w:sz w:val="24"/>
                <w:szCs w:val="24"/>
              </w:rPr>
            </w:pPr>
            <w:r w:rsidRPr="009266A1">
              <w:rPr>
                <w:sz w:val="24"/>
                <w:szCs w:val="24"/>
              </w:rPr>
              <w:t>Staff Time and Cost (Bank Budget Only)</w:t>
            </w:r>
          </w:p>
        </w:tc>
      </w:tr>
      <w:tr w:rsidR="008374D5" w:rsidRPr="009266A1" w14:paraId="582DD4E5" w14:textId="77777777" w:rsidTr="00BB1EB2">
        <w:tc>
          <w:tcPr>
            <w:tcW w:w="1876" w:type="pct"/>
            <w:vMerge/>
            <w:tcBorders>
              <w:top w:val="single" w:sz="4" w:space="0" w:color="B1B1B1"/>
              <w:left w:val="single" w:sz="4" w:space="0" w:color="B1B1B1"/>
              <w:bottom w:val="single" w:sz="4" w:space="0" w:color="B1B1B1"/>
              <w:right w:val="single" w:sz="4" w:space="0" w:color="B1B1B1"/>
            </w:tcBorders>
            <w:vAlign w:val="center"/>
          </w:tcPr>
          <w:p w14:paraId="4C24F1DC" w14:textId="77777777" w:rsidR="008374D5" w:rsidRPr="009266A1" w:rsidRDefault="008374D5" w:rsidP="001C00E2">
            <w:pPr>
              <w:pStyle w:val="Heading3"/>
              <w:keepNext/>
              <w:rPr>
                <w:sz w:val="24"/>
                <w:szCs w:val="24"/>
              </w:rPr>
            </w:pPr>
          </w:p>
        </w:tc>
        <w:tc>
          <w:tcPr>
            <w:tcW w:w="1559"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405F5698" w14:textId="77777777" w:rsidR="008374D5" w:rsidRPr="009266A1" w:rsidRDefault="008374D5" w:rsidP="001C00E2">
            <w:pPr>
              <w:pStyle w:val="Heading3"/>
              <w:keepNext/>
              <w:jc w:val="center"/>
              <w:rPr>
                <w:sz w:val="24"/>
                <w:szCs w:val="24"/>
              </w:rPr>
            </w:pPr>
            <w:r w:rsidRPr="009266A1">
              <w:rPr>
                <w:sz w:val="24"/>
                <w:szCs w:val="24"/>
              </w:rPr>
              <w:t>No. of staff weeks</w:t>
            </w:r>
          </w:p>
        </w:tc>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2489DE9C" w14:textId="77777777" w:rsidR="008374D5" w:rsidRPr="009266A1" w:rsidRDefault="008374D5" w:rsidP="001C00E2">
            <w:pPr>
              <w:pStyle w:val="Heading3"/>
              <w:keepNext/>
              <w:jc w:val="center"/>
              <w:rPr>
                <w:sz w:val="24"/>
                <w:szCs w:val="24"/>
              </w:rPr>
            </w:pPr>
            <w:r w:rsidRPr="009266A1">
              <w:rPr>
                <w:sz w:val="24"/>
                <w:szCs w:val="24"/>
              </w:rPr>
              <w:t>USD Thousands (including travel and consultant costs)</w:t>
            </w:r>
          </w:p>
        </w:tc>
      </w:tr>
      <w:tr w:rsidR="008374D5" w:rsidRPr="009266A1" w14:paraId="29A0A832" w14:textId="77777777" w:rsidTr="00BB1EB2">
        <w:tc>
          <w:tcPr>
            <w:tcW w:w="1876" w:type="pct"/>
            <w:tcBorders>
              <w:top w:val="single" w:sz="4" w:space="0" w:color="B1B1B1"/>
              <w:left w:val="single" w:sz="4" w:space="0" w:color="B1B1B1"/>
              <w:bottom w:val="single" w:sz="4" w:space="0" w:color="B1B1B1"/>
              <w:right w:val="single" w:sz="4" w:space="0" w:color="B1B1B1"/>
            </w:tcBorders>
            <w:vAlign w:val="center"/>
          </w:tcPr>
          <w:p w14:paraId="714D474E" w14:textId="77777777" w:rsidR="008374D5" w:rsidRPr="009266A1" w:rsidRDefault="008374D5" w:rsidP="00FD2995">
            <w:pPr>
              <w:pStyle w:val="Heading3"/>
              <w:rPr>
                <w:sz w:val="24"/>
                <w:szCs w:val="24"/>
              </w:rPr>
            </w:pPr>
            <w:r w:rsidRPr="009266A1">
              <w:rPr>
                <w:sz w:val="24"/>
                <w:szCs w:val="24"/>
              </w:rPr>
              <w:t>Lending</w:t>
            </w:r>
          </w:p>
        </w:tc>
        <w:tc>
          <w:tcPr>
            <w:tcW w:w="1559" w:type="pct"/>
            <w:tcBorders>
              <w:top w:val="single" w:sz="4" w:space="0" w:color="B1B1B1"/>
              <w:left w:val="single" w:sz="4" w:space="0" w:color="B1B1B1"/>
              <w:bottom w:val="single" w:sz="4" w:space="0" w:color="B1B1B1"/>
              <w:right w:val="single" w:sz="4" w:space="0" w:color="B1B1B1"/>
            </w:tcBorders>
            <w:vAlign w:val="center"/>
          </w:tcPr>
          <w:p w14:paraId="3CB56DAD" w14:textId="77777777" w:rsidR="008374D5" w:rsidRPr="009266A1" w:rsidRDefault="008374D5" w:rsidP="00FD2995">
            <w:pPr>
              <w:pStyle w:val="Heading3"/>
              <w:rPr>
                <w:sz w:val="24"/>
                <w:szCs w:val="24"/>
              </w:rPr>
            </w:pPr>
          </w:p>
        </w:tc>
        <w:tc>
          <w:tcPr>
            <w:tcW w:w="1565" w:type="pct"/>
            <w:tcBorders>
              <w:top w:val="single" w:sz="4" w:space="0" w:color="B1B1B1"/>
              <w:left w:val="single" w:sz="4" w:space="0" w:color="B1B1B1"/>
              <w:bottom w:val="single" w:sz="4" w:space="0" w:color="B1B1B1"/>
              <w:right w:val="single" w:sz="4" w:space="0" w:color="B1B1B1"/>
            </w:tcBorders>
            <w:vAlign w:val="center"/>
          </w:tcPr>
          <w:p w14:paraId="173D66E2" w14:textId="77777777" w:rsidR="008374D5" w:rsidRPr="009266A1" w:rsidRDefault="008374D5" w:rsidP="00FD2995">
            <w:pPr>
              <w:pStyle w:val="Heading3"/>
              <w:rPr>
                <w:sz w:val="24"/>
                <w:szCs w:val="24"/>
              </w:rPr>
            </w:pPr>
          </w:p>
        </w:tc>
      </w:tr>
      <w:tr w:rsidR="00AF426B" w:rsidRPr="009266A1" w14:paraId="536BE1F6"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13615391" w14:textId="77777777" w:rsidR="00AF426B" w:rsidRPr="009266A1" w:rsidRDefault="00AF426B">
            <w:pPr>
              <w:spacing w:line="200" w:lineRule="atLeast"/>
              <w:ind w:left="180"/>
              <w:rPr>
                <w:rStyle w:val="Strong"/>
                <w:b w:val="0"/>
                <w:color w:val="000000"/>
              </w:rPr>
            </w:pPr>
            <w:r w:rsidRPr="009266A1">
              <w:rPr>
                <w:rStyle w:val="Strong"/>
                <w:b w:val="0"/>
                <w:color w:val="000000"/>
              </w:rPr>
              <w:t xml:space="preserve"> FY07</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7CFAD82" w14:textId="77777777" w:rsidR="00F55BEB" w:rsidRPr="009266A1" w:rsidRDefault="00F55BEB">
            <w:pPr>
              <w:tabs>
                <w:tab w:val="decimal" w:pos="1431"/>
              </w:tabs>
              <w:spacing w:line="200" w:lineRule="atLeast"/>
              <w:rPr>
                <w:color w:val="000000"/>
              </w:rPr>
            </w:pPr>
            <w:r w:rsidRPr="009266A1">
              <w:rPr>
                <w:color w:val="000000"/>
              </w:rPr>
              <w:t>7.81</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54000D0" w14:textId="77777777" w:rsidR="00AF426B" w:rsidRPr="009266A1" w:rsidRDefault="00F55BEB">
            <w:pPr>
              <w:tabs>
                <w:tab w:val="decimal" w:pos="1425"/>
              </w:tabs>
              <w:spacing w:line="200" w:lineRule="atLeast"/>
              <w:rPr>
                <w:color w:val="000000"/>
              </w:rPr>
            </w:pPr>
            <w:r w:rsidRPr="009266A1">
              <w:rPr>
                <w:color w:val="000000"/>
              </w:rPr>
              <w:t>42.23</w:t>
            </w:r>
          </w:p>
        </w:tc>
      </w:tr>
      <w:tr w:rsidR="00AF426B" w:rsidRPr="009266A1" w14:paraId="7AE33B40"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6CC86F42" w14:textId="77777777" w:rsidR="00AF426B" w:rsidRPr="009266A1" w:rsidRDefault="00AF426B">
            <w:pPr>
              <w:spacing w:line="200" w:lineRule="atLeast"/>
              <w:ind w:left="180"/>
              <w:rPr>
                <w:rStyle w:val="Strong"/>
                <w:b w:val="0"/>
                <w:color w:val="000000"/>
              </w:rPr>
            </w:pPr>
            <w:r w:rsidRPr="009266A1">
              <w:rPr>
                <w:rStyle w:val="Strong"/>
                <w:b w:val="0"/>
                <w:color w:val="000000"/>
              </w:rPr>
              <w:t xml:space="preserve"> </w:t>
            </w:r>
            <w:bookmarkStart w:id="191" w:name="TIMECOST_LEN_COL_1"/>
            <w:r w:rsidRPr="009266A1">
              <w:rPr>
                <w:rStyle w:val="Strong"/>
                <w:b w:val="0"/>
                <w:color w:val="000000"/>
              </w:rPr>
              <w:t>FY08</w:t>
            </w:r>
            <w:bookmarkEnd w:id="191"/>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0612F76" w14:textId="77777777" w:rsidR="00AF426B" w:rsidRPr="009266A1" w:rsidRDefault="00F55BEB">
            <w:pPr>
              <w:tabs>
                <w:tab w:val="decimal" w:pos="1431"/>
              </w:tabs>
              <w:spacing w:line="200" w:lineRule="atLeast"/>
              <w:rPr>
                <w:color w:val="000000"/>
              </w:rPr>
            </w:pPr>
            <w:bookmarkStart w:id="192" w:name="TIMECOST_LEN_COL_2"/>
            <w:bookmarkEnd w:id="192"/>
            <w:r w:rsidRPr="009266A1">
              <w:rPr>
                <w:color w:val="000000"/>
              </w:rPr>
              <w:t>62.45</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B669EB5" w14:textId="77777777" w:rsidR="00AF426B" w:rsidRPr="009266A1" w:rsidRDefault="00AF426B">
            <w:pPr>
              <w:tabs>
                <w:tab w:val="decimal" w:pos="1425"/>
              </w:tabs>
              <w:spacing w:line="200" w:lineRule="atLeast"/>
              <w:rPr>
                <w:color w:val="000000"/>
              </w:rPr>
            </w:pPr>
            <w:bookmarkStart w:id="193" w:name="TIMECOST_LEN_COL_3"/>
            <w:r w:rsidRPr="009266A1">
              <w:rPr>
                <w:color w:val="000000"/>
              </w:rPr>
              <w:t>380.14</w:t>
            </w:r>
            <w:bookmarkEnd w:id="193"/>
          </w:p>
        </w:tc>
      </w:tr>
      <w:tr w:rsidR="00F55BEB" w:rsidRPr="009266A1" w14:paraId="4DFCC597"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7A64FA9C"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FY09</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EEF3653" w14:textId="77777777" w:rsidR="00F55BEB" w:rsidRPr="009266A1" w:rsidRDefault="00F55BEB">
            <w:pPr>
              <w:tabs>
                <w:tab w:val="decimal" w:pos="1431"/>
              </w:tabs>
              <w:spacing w:line="200" w:lineRule="atLeast"/>
              <w:rPr>
                <w:color w:val="000000"/>
              </w:rPr>
            </w:pPr>
            <w:r w:rsidRPr="009266A1">
              <w:rPr>
                <w:color w:val="000000"/>
              </w:rPr>
              <w:t>44.88</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A03C72D" w14:textId="77777777" w:rsidR="00F55BEB" w:rsidRPr="009266A1" w:rsidRDefault="00F55BEB">
            <w:pPr>
              <w:tabs>
                <w:tab w:val="decimal" w:pos="1425"/>
              </w:tabs>
              <w:spacing w:line="200" w:lineRule="atLeast"/>
              <w:rPr>
                <w:color w:val="000000"/>
              </w:rPr>
            </w:pPr>
            <w:r w:rsidRPr="009266A1">
              <w:rPr>
                <w:color w:val="000000"/>
              </w:rPr>
              <w:t>76.51</w:t>
            </w:r>
          </w:p>
        </w:tc>
      </w:tr>
    </w:tbl>
    <w:p w14:paraId="75350D31" w14:textId="77777777" w:rsidR="00BB1EB2" w:rsidRPr="009266A1" w:rsidRDefault="00BB1EB2" w:rsidP="001C00E2">
      <w:pPr>
        <w:pBdr>
          <w:left w:val="single" w:sz="4" w:space="4" w:color="B1B1B1"/>
          <w:right w:val="single" w:sz="4" w:space="4" w:color="B1B1B1"/>
        </w:pBdr>
        <w:tabs>
          <w:tab w:val="decimal" w:pos="3249"/>
          <w:tab w:val="left" w:pos="5949"/>
        </w:tabs>
        <w:ind w:left="99" w:right="99"/>
        <w:rPr>
          <w:color w:val="000000"/>
        </w:rPr>
      </w:pPr>
      <w:bookmarkStart w:id="194" w:name="TIMECOST_LEN"/>
      <w:bookmarkEnd w:id="194"/>
    </w:p>
    <w:tbl>
      <w:tblPr>
        <w:tblW w:w="5000" w:type="pct"/>
        <w:tblCellMar>
          <w:top w:w="10" w:type="dxa"/>
          <w:left w:w="10" w:type="dxa"/>
          <w:bottom w:w="10" w:type="dxa"/>
          <w:right w:w="10" w:type="dxa"/>
        </w:tblCellMar>
        <w:tblLook w:val="0000" w:firstRow="0" w:lastRow="0" w:firstColumn="0" w:lastColumn="0" w:noHBand="0" w:noVBand="0"/>
      </w:tblPr>
      <w:tblGrid>
        <w:gridCol w:w="3238"/>
        <w:gridCol w:w="2691"/>
        <w:gridCol w:w="2701"/>
      </w:tblGrid>
      <w:tr w:rsidR="008374D5" w:rsidRPr="009266A1" w14:paraId="08B5202F" w14:textId="77777777" w:rsidTr="001C00E2">
        <w:tc>
          <w:tcPr>
            <w:tcW w:w="1876" w:type="pct"/>
            <w:tcBorders>
              <w:left w:val="single" w:sz="4" w:space="0" w:color="B1B1B1"/>
              <w:bottom w:val="single" w:sz="4" w:space="0" w:color="B1B1B1"/>
              <w:right w:val="single" w:sz="4" w:space="0" w:color="B1B1B1"/>
            </w:tcBorders>
            <w:vAlign w:val="center"/>
          </w:tcPr>
          <w:p w14:paraId="0F47FAC1" w14:textId="77777777" w:rsidR="008374D5" w:rsidRPr="009266A1" w:rsidRDefault="008374D5" w:rsidP="00CD3651">
            <w:pPr>
              <w:spacing w:line="200" w:lineRule="atLeast"/>
              <w:jc w:val="right"/>
              <w:rPr>
                <w:color w:val="000000"/>
              </w:rPr>
            </w:pPr>
            <w:r w:rsidRPr="009266A1">
              <w:rPr>
                <w:rStyle w:val="Strong"/>
                <w:color w:val="000000"/>
              </w:rPr>
              <w:t>Total:</w:t>
            </w:r>
          </w:p>
        </w:tc>
        <w:tc>
          <w:tcPr>
            <w:tcW w:w="1559" w:type="pct"/>
            <w:tcBorders>
              <w:left w:val="single" w:sz="4" w:space="0" w:color="B1B1B1"/>
              <w:bottom w:val="single" w:sz="4" w:space="0" w:color="B1B1B1"/>
              <w:right w:val="single" w:sz="4" w:space="0" w:color="B1B1B1"/>
            </w:tcBorders>
            <w:shd w:val="clear" w:color="auto" w:fill="auto"/>
            <w:vAlign w:val="center"/>
          </w:tcPr>
          <w:p w14:paraId="576B6B98" w14:textId="77777777" w:rsidR="008374D5" w:rsidRPr="009266A1" w:rsidRDefault="00F55BEB" w:rsidP="00BB1EB2">
            <w:pPr>
              <w:tabs>
                <w:tab w:val="decimal" w:pos="1431"/>
              </w:tabs>
              <w:spacing w:line="200" w:lineRule="atLeast"/>
              <w:rPr>
                <w:color w:val="000000"/>
              </w:rPr>
            </w:pPr>
            <w:bookmarkStart w:id="195" w:name="LEN_WEEKS"/>
            <w:bookmarkEnd w:id="195"/>
            <w:r w:rsidRPr="009266A1">
              <w:rPr>
                <w:color w:val="000000"/>
              </w:rPr>
              <w:t>115.14</w:t>
            </w:r>
          </w:p>
        </w:tc>
        <w:tc>
          <w:tcPr>
            <w:tcW w:w="1565" w:type="pct"/>
            <w:tcBorders>
              <w:left w:val="single" w:sz="4" w:space="0" w:color="B1B1B1"/>
              <w:bottom w:val="single" w:sz="4" w:space="0" w:color="B1B1B1"/>
              <w:right w:val="single" w:sz="4" w:space="0" w:color="B1B1B1"/>
            </w:tcBorders>
            <w:shd w:val="clear" w:color="auto" w:fill="auto"/>
            <w:vAlign w:val="center"/>
          </w:tcPr>
          <w:p w14:paraId="4F0B89DF" w14:textId="77777777" w:rsidR="008374D5" w:rsidRPr="009266A1" w:rsidRDefault="00AF426B" w:rsidP="008374D5">
            <w:pPr>
              <w:tabs>
                <w:tab w:val="decimal" w:pos="1425"/>
              </w:tabs>
              <w:spacing w:line="200" w:lineRule="atLeast"/>
              <w:rPr>
                <w:color w:val="000000"/>
              </w:rPr>
            </w:pPr>
            <w:bookmarkStart w:id="196" w:name="LEN_COST"/>
            <w:r w:rsidRPr="009266A1">
              <w:rPr>
                <w:color w:val="000000"/>
              </w:rPr>
              <w:t>4</w:t>
            </w:r>
            <w:bookmarkEnd w:id="196"/>
            <w:r w:rsidR="00F55BEB" w:rsidRPr="009266A1">
              <w:rPr>
                <w:color w:val="000000"/>
              </w:rPr>
              <w:t>98.89</w:t>
            </w:r>
          </w:p>
        </w:tc>
      </w:tr>
      <w:tr w:rsidR="008374D5" w:rsidRPr="009266A1" w14:paraId="6292C3A2" w14:textId="77777777" w:rsidTr="00BB1EB2">
        <w:tc>
          <w:tcPr>
            <w:tcW w:w="1876" w:type="pct"/>
            <w:tcBorders>
              <w:top w:val="single" w:sz="4" w:space="0" w:color="B1B1B1"/>
              <w:left w:val="single" w:sz="4" w:space="0" w:color="B1B1B1"/>
              <w:bottom w:val="single" w:sz="4" w:space="0" w:color="B1B1B1"/>
              <w:right w:val="single" w:sz="4" w:space="0" w:color="B1B1B1"/>
            </w:tcBorders>
            <w:vAlign w:val="center"/>
          </w:tcPr>
          <w:p w14:paraId="27A05B54" w14:textId="77777777" w:rsidR="008374D5" w:rsidRPr="009266A1" w:rsidRDefault="008374D5" w:rsidP="00CD3651">
            <w:pPr>
              <w:spacing w:line="200" w:lineRule="atLeast"/>
              <w:rPr>
                <w:color w:val="000000"/>
              </w:rPr>
            </w:pPr>
            <w:r w:rsidRPr="009266A1">
              <w:rPr>
                <w:rStyle w:val="Strong"/>
                <w:color w:val="000000"/>
              </w:rPr>
              <w:t>Supervision/ICR</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4DDC7E74" w14:textId="77777777" w:rsidR="008374D5" w:rsidRPr="009266A1" w:rsidRDefault="008374D5" w:rsidP="00BB1EB2">
            <w:pPr>
              <w:tabs>
                <w:tab w:val="decimal" w:pos="1431"/>
              </w:tabs>
              <w:spacing w:line="200" w:lineRule="atLeast"/>
              <w:rPr>
                <w:color w:val="000000"/>
              </w:rPr>
            </w:pP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EEC1949" w14:textId="77777777" w:rsidR="008374D5" w:rsidRPr="009266A1" w:rsidRDefault="008374D5" w:rsidP="008374D5">
            <w:pPr>
              <w:tabs>
                <w:tab w:val="decimal" w:pos="1425"/>
              </w:tabs>
              <w:spacing w:line="200" w:lineRule="atLeast"/>
              <w:rPr>
                <w:color w:val="000000"/>
              </w:rPr>
            </w:pPr>
          </w:p>
        </w:tc>
      </w:tr>
      <w:tr w:rsidR="00AF426B" w:rsidRPr="009266A1" w14:paraId="57236647"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33680DF2" w14:textId="77777777" w:rsidR="00AF426B" w:rsidRPr="009266A1" w:rsidRDefault="00AF426B">
            <w:pPr>
              <w:spacing w:line="200" w:lineRule="atLeast"/>
              <w:ind w:left="180"/>
              <w:rPr>
                <w:rStyle w:val="Strong"/>
                <w:b w:val="0"/>
                <w:color w:val="000000"/>
              </w:rPr>
            </w:pPr>
            <w:r w:rsidRPr="009266A1">
              <w:rPr>
                <w:rStyle w:val="Strong"/>
                <w:b w:val="0"/>
                <w:color w:val="000000"/>
              </w:rPr>
              <w:t xml:space="preserve"> FY0</w:t>
            </w:r>
            <w:r w:rsidR="00F55BEB" w:rsidRPr="009266A1">
              <w:rPr>
                <w:rStyle w:val="Strong"/>
                <w:b w:val="0"/>
                <w:color w:val="000000"/>
              </w:rPr>
              <w:t>8</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9EBCC90" w14:textId="77777777" w:rsidR="00AF426B" w:rsidRPr="009266A1" w:rsidRDefault="00F55BEB">
            <w:pPr>
              <w:tabs>
                <w:tab w:val="decimal" w:pos="1431"/>
              </w:tabs>
              <w:spacing w:line="200" w:lineRule="atLeast"/>
              <w:rPr>
                <w:color w:val="000000"/>
              </w:rPr>
            </w:pPr>
            <w:r w:rsidRPr="009266A1">
              <w:rPr>
                <w:color w:val="000000"/>
              </w:rPr>
              <w:t>0</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6138D60" w14:textId="77777777" w:rsidR="00AF426B" w:rsidRPr="009266A1" w:rsidRDefault="00AF426B">
            <w:pPr>
              <w:tabs>
                <w:tab w:val="decimal" w:pos="1425"/>
              </w:tabs>
              <w:spacing w:line="200" w:lineRule="atLeast"/>
              <w:rPr>
                <w:color w:val="000000"/>
              </w:rPr>
            </w:pPr>
            <w:r w:rsidRPr="009266A1">
              <w:rPr>
                <w:color w:val="000000"/>
              </w:rPr>
              <w:t>0.00</w:t>
            </w:r>
          </w:p>
        </w:tc>
      </w:tr>
      <w:tr w:rsidR="00AF426B" w:rsidRPr="009266A1" w14:paraId="6D96BC16"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041799CC" w14:textId="77777777" w:rsidR="00AF426B" w:rsidRPr="009266A1" w:rsidRDefault="00AF426B">
            <w:pPr>
              <w:spacing w:line="200" w:lineRule="atLeast"/>
              <w:ind w:left="180"/>
              <w:rPr>
                <w:rStyle w:val="Strong"/>
                <w:b w:val="0"/>
                <w:color w:val="000000"/>
              </w:rPr>
            </w:pPr>
            <w:r w:rsidRPr="009266A1">
              <w:rPr>
                <w:rStyle w:val="Strong"/>
                <w:b w:val="0"/>
                <w:color w:val="000000"/>
              </w:rPr>
              <w:t xml:space="preserve"> </w:t>
            </w:r>
            <w:bookmarkStart w:id="197" w:name="TIMECOST_SUP_COL_1"/>
            <w:r w:rsidRPr="009266A1">
              <w:rPr>
                <w:rStyle w:val="Strong"/>
                <w:b w:val="0"/>
                <w:color w:val="000000"/>
              </w:rPr>
              <w:t>FY0</w:t>
            </w:r>
            <w:bookmarkEnd w:id="197"/>
            <w:r w:rsidR="00F55BEB" w:rsidRPr="009266A1">
              <w:rPr>
                <w:rStyle w:val="Strong"/>
                <w:b w:val="0"/>
                <w:color w:val="000000"/>
              </w:rPr>
              <w:t>9</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873DF15" w14:textId="77777777" w:rsidR="00AF426B" w:rsidRPr="009266A1" w:rsidRDefault="00F55BEB">
            <w:pPr>
              <w:tabs>
                <w:tab w:val="decimal" w:pos="1431"/>
              </w:tabs>
              <w:spacing w:line="200" w:lineRule="atLeast"/>
              <w:rPr>
                <w:color w:val="000000"/>
              </w:rPr>
            </w:pPr>
            <w:bookmarkStart w:id="198" w:name="TIMECOST_SUP_COL_2"/>
            <w:bookmarkEnd w:id="198"/>
            <w:r w:rsidRPr="009266A1">
              <w:rPr>
                <w:color w:val="000000"/>
              </w:rPr>
              <w:t>12.54</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041F668" w14:textId="77777777" w:rsidR="00AF426B" w:rsidRPr="009266A1" w:rsidRDefault="00F55BEB">
            <w:pPr>
              <w:tabs>
                <w:tab w:val="decimal" w:pos="1425"/>
              </w:tabs>
              <w:spacing w:line="200" w:lineRule="atLeast"/>
              <w:rPr>
                <w:color w:val="000000"/>
              </w:rPr>
            </w:pPr>
            <w:r w:rsidRPr="009266A1">
              <w:rPr>
                <w:color w:val="000000"/>
              </w:rPr>
              <w:t>85.18</w:t>
            </w:r>
          </w:p>
        </w:tc>
      </w:tr>
      <w:tr w:rsidR="00F55BEB" w:rsidRPr="009266A1" w14:paraId="21884A50"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4ABA7CB2"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FY10</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F4E974C" w14:textId="77777777" w:rsidR="00F55BEB" w:rsidRPr="009266A1" w:rsidRDefault="00F55BEB">
            <w:pPr>
              <w:tabs>
                <w:tab w:val="decimal" w:pos="1431"/>
              </w:tabs>
              <w:spacing w:line="200" w:lineRule="atLeast"/>
              <w:rPr>
                <w:color w:val="000000"/>
              </w:rPr>
            </w:pPr>
            <w:r w:rsidRPr="009266A1">
              <w:rPr>
                <w:color w:val="000000"/>
              </w:rPr>
              <w:t>46.15</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50F2842" w14:textId="77777777" w:rsidR="00F55BEB" w:rsidRPr="009266A1" w:rsidRDefault="00F55BEB">
            <w:pPr>
              <w:tabs>
                <w:tab w:val="decimal" w:pos="1425"/>
              </w:tabs>
              <w:spacing w:line="200" w:lineRule="atLeast"/>
              <w:rPr>
                <w:color w:val="000000"/>
              </w:rPr>
            </w:pPr>
            <w:r w:rsidRPr="009266A1">
              <w:rPr>
                <w:color w:val="000000"/>
              </w:rPr>
              <w:t>127.14</w:t>
            </w:r>
          </w:p>
        </w:tc>
      </w:tr>
      <w:tr w:rsidR="00F55BEB" w:rsidRPr="009266A1" w14:paraId="1CFEDF78"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0497ACD8"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FY11</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49CE7C69" w14:textId="77777777" w:rsidR="00F55BEB" w:rsidRPr="009266A1" w:rsidRDefault="00F55BEB">
            <w:pPr>
              <w:tabs>
                <w:tab w:val="decimal" w:pos="1431"/>
              </w:tabs>
              <w:spacing w:line="200" w:lineRule="atLeast"/>
              <w:rPr>
                <w:color w:val="000000"/>
              </w:rPr>
            </w:pPr>
            <w:r w:rsidRPr="009266A1">
              <w:rPr>
                <w:color w:val="000000"/>
              </w:rPr>
              <w:t>27.31</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187ACDA" w14:textId="77777777" w:rsidR="00F55BEB" w:rsidRPr="009266A1" w:rsidRDefault="00F55BEB">
            <w:pPr>
              <w:tabs>
                <w:tab w:val="decimal" w:pos="1425"/>
              </w:tabs>
              <w:spacing w:line="200" w:lineRule="atLeast"/>
              <w:rPr>
                <w:color w:val="000000"/>
              </w:rPr>
            </w:pPr>
            <w:r w:rsidRPr="009266A1">
              <w:rPr>
                <w:color w:val="000000"/>
              </w:rPr>
              <w:t>122.33</w:t>
            </w:r>
          </w:p>
        </w:tc>
      </w:tr>
      <w:tr w:rsidR="00F55BEB" w:rsidRPr="009266A1" w14:paraId="4A18C09B"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78CFC1E0"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FY12</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54DB2EC" w14:textId="77777777" w:rsidR="00F55BEB" w:rsidRPr="009266A1" w:rsidRDefault="00F55BEB">
            <w:pPr>
              <w:tabs>
                <w:tab w:val="decimal" w:pos="1431"/>
              </w:tabs>
              <w:spacing w:line="200" w:lineRule="atLeast"/>
              <w:rPr>
                <w:color w:val="000000"/>
              </w:rPr>
            </w:pPr>
            <w:r w:rsidRPr="009266A1">
              <w:rPr>
                <w:color w:val="000000"/>
              </w:rPr>
              <w:t>35.71</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0D5EE04" w14:textId="77777777" w:rsidR="00F55BEB" w:rsidRPr="009266A1" w:rsidRDefault="00F55BEB">
            <w:pPr>
              <w:tabs>
                <w:tab w:val="decimal" w:pos="1425"/>
              </w:tabs>
              <w:spacing w:line="200" w:lineRule="atLeast"/>
              <w:rPr>
                <w:color w:val="000000"/>
              </w:rPr>
            </w:pPr>
            <w:r w:rsidRPr="009266A1">
              <w:rPr>
                <w:color w:val="000000"/>
              </w:rPr>
              <w:t>132.01</w:t>
            </w:r>
          </w:p>
        </w:tc>
      </w:tr>
      <w:tr w:rsidR="00F55BEB" w:rsidRPr="009266A1" w14:paraId="6C3F2090"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32A1DA25"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FY13</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63A7D22" w14:textId="77777777" w:rsidR="00F55BEB" w:rsidRPr="009266A1" w:rsidRDefault="00F55BEB">
            <w:pPr>
              <w:tabs>
                <w:tab w:val="decimal" w:pos="1431"/>
              </w:tabs>
              <w:spacing w:line="200" w:lineRule="atLeast"/>
              <w:rPr>
                <w:color w:val="000000"/>
              </w:rPr>
            </w:pPr>
            <w:r w:rsidRPr="009266A1">
              <w:rPr>
                <w:color w:val="000000"/>
              </w:rPr>
              <w:t>36.33</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CDF43F7" w14:textId="77777777" w:rsidR="00F55BEB" w:rsidRPr="009266A1" w:rsidRDefault="00F55BEB">
            <w:pPr>
              <w:tabs>
                <w:tab w:val="decimal" w:pos="1425"/>
              </w:tabs>
              <w:spacing w:line="200" w:lineRule="atLeast"/>
              <w:rPr>
                <w:color w:val="000000"/>
              </w:rPr>
            </w:pPr>
            <w:r w:rsidRPr="009266A1">
              <w:rPr>
                <w:color w:val="000000"/>
              </w:rPr>
              <w:t>221.85</w:t>
            </w:r>
          </w:p>
        </w:tc>
      </w:tr>
      <w:tr w:rsidR="00F55BEB" w:rsidRPr="009266A1" w14:paraId="7DDAC242"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4CD1193E"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FY14</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CC22CC7" w14:textId="77777777" w:rsidR="00F55BEB" w:rsidRPr="009266A1" w:rsidRDefault="00F55BEB">
            <w:pPr>
              <w:tabs>
                <w:tab w:val="decimal" w:pos="1431"/>
              </w:tabs>
              <w:spacing w:line="200" w:lineRule="atLeast"/>
              <w:rPr>
                <w:color w:val="000000"/>
              </w:rPr>
            </w:pPr>
            <w:r w:rsidRPr="009266A1">
              <w:rPr>
                <w:color w:val="000000"/>
              </w:rPr>
              <w:t>25.42</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103C8C30" w14:textId="77777777" w:rsidR="00F55BEB" w:rsidRPr="009266A1" w:rsidRDefault="00F55BEB">
            <w:pPr>
              <w:tabs>
                <w:tab w:val="decimal" w:pos="1425"/>
              </w:tabs>
              <w:spacing w:line="200" w:lineRule="atLeast"/>
              <w:rPr>
                <w:color w:val="000000"/>
              </w:rPr>
            </w:pPr>
            <w:r w:rsidRPr="009266A1">
              <w:rPr>
                <w:color w:val="000000"/>
              </w:rPr>
              <w:t>135.86</w:t>
            </w:r>
          </w:p>
        </w:tc>
      </w:tr>
      <w:tr w:rsidR="00F55BEB" w:rsidRPr="009266A1" w14:paraId="5D191861"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4C5B605A"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FY15</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88C38A1" w14:textId="77777777" w:rsidR="00F55BEB" w:rsidRPr="009266A1" w:rsidRDefault="00F55BEB">
            <w:pPr>
              <w:tabs>
                <w:tab w:val="decimal" w:pos="1431"/>
              </w:tabs>
              <w:spacing w:line="200" w:lineRule="atLeast"/>
              <w:rPr>
                <w:color w:val="000000"/>
              </w:rPr>
            </w:pPr>
            <w:r w:rsidRPr="009266A1">
              <w:rPr>
                <w:color w:val="000000"/>
              </w:rPr>
              <w:t>26.28</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66573D1" w14:textId="77777777" w:rsidR="00F55BEB" w:rsidRPr="009266A1" w:rsidRDefault="00F55BEB">
            <w:pPr>
              <w:tabs>
                <w:tab w:val="decimal" w:pos="1425"/>
              </w:tabs>
              <w:spacing w:line="200" w:lineRule="atLeast"/>
              <w:rPr>
                <w:color w:val="000000"/>
              </w:rPr>
            </w:pPr>
            <w:r w:rsidRPr="009266A1">
              <w:rPr>
                <w:color w:val="000000"/>
              </w:rPr>
              <w:t>116.35</w:t>
            </w:r>
          </w:p>
        </w:tc>
      </w:tr>
      <w:tr w:rsidR="00F55BEB" w:rsidRPr="009266A1" w14:paraId="4545AFF3"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26C919F5"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FY16</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BF581E1" w14:textId="77777777" w:rsidR="00F55BEB" w:rsidRPr="009266A1" w:rsidRDefault="00F55BEB">
            <w:pPr>
              <w:tabs>
                <w:tab w:val="decimal" w:pos="1431"/>
              </w:tabs>
              <w:spacing w:line="200" w:lineRule="atLeast"/>
              <w:rPr>
                <w:color w:val="000000"/>
              </w:rPr>
            </w:pPr>
            <w:r w:rsidRPr="009266A1">
              <w:rPr>
                <w:color w:val="000000"/>
              </w:rPr>
              <w:t>19.19</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4845F37" w14:textId="77777777" w:rsidR="00F55BEB" w:rsidRPr="009266A1" w:rsidRDefault="00F55BEB">
            <w:pPr>
              <w:tabs>
                <w:tab w:val="decimal" w:pos="1425"/>
              </w:tabs>
              <w:spacing w:line="200" w:lineRule="atLeast"/>
              <w:rPr>
                <w:color w:val="000000"/>
              </w:rPr>
            </w:pPr>
            <w:r w:rsidRPr="009266A1">
              <w:rPr>
                <w:color w:val="000000"/>
              </w:rPr>
              <w:t>109.93</w:t>
            </w:r>
          </w:p>
        </w:tc>
      </w:tr>
      <w:tr w:rsidR="00F55BEB" w:rsidRPr="009266A1" w14:paraId="6FDF7033" w14:textId="77777777">
        <w:tc>
          <w:tcPr>
            <w:tcW w:w="1876" w:type="pct"/>
            <w:tcBorders>
              <w:top w:val="single" w:sz="4" w:space="0" w:color="B1B1B1"/>
              <w:left w:val="single" w:sz="4" w:space="0" w:color="B1B1B1"/>
              <w:bottom w:val="single" w:sz="4" w:space="0" w:color="B1B1B1"/>
              <w:right w:val="single" w:sz="4" w:space="0" w:color="B1B1B1"/>
            </w:tcBorders>
            <w:vAlign w:val="center"/>
          </w:tcPr>
          <w:p w14:paraId="1D7BD77E" w14:textId="77777777" w:rsidR="00F55BEB" w:rsidRPr="009266A1" w:rsidRDefault="00F55BEB">
            <w:pPr>
              <w:spacing w:line="200" w:lineRule="atLeast"/>
              <w:ind w:left="180"/>
              <w:rPr>
                <w:rStyle w:val="Strong"/>
                <w:b w:val="0"/>
                <w:color w:val="000000"/>
              </w:rPr>
            </w:pPr>
            <w:r w:rsidRPr="009266A1">
              <w:rPr>
                <w:rStyle w:val="Strong"/>
                <w:b w:val="0"/>
                <w:color w:val="000000"/>
              </w:rPr>
              <w:t xml:space="preserve"> FY17</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306CAED" w14:textId="77777777" w:rsidR="00F55BEB" w:rsidRPr="009266A1" w:rsidRDefault="00F55BEB">
            <w:pPr>
              <w:tabs>
                <w:tab w:val="decimal" w:pos="1431"/>
              </w:tabs>
              <w:spacing w:line="200" w:lineRule="atLeast"/>
              <w:rPr>
                <w:color w:val="000000"/>
              </w:rPr>
            </w:pPr>
            <w:r w:rsidRPr="009266A1">
              <w:rPr>
                <w:color w:val="000000"/>
              </w:rPr>
              <w:t>2.4</w:t>
            </w: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26A3AAE2" w14:textId="77777777" w:rsidR="00F55BEB" w:rsidRPr="009266A1" w:rsidRDefault="00F55BEB">
            <w:pPr>
              <w:tabs>
                <w:tab w:val="decimal" w:pos="1425"/>
              </w:tabs>
              <w:spacing w:line="200" w:lineRule="atLeast"/>
              <w:rPr>
                <w:color w:val="000000"/>
              </w:rPr>
            </w:pPr>
            <w:r w:rsidRPr="009266A1">
              <w:rPr>
                <w:color w:val="000000"/>
              </w:rPr>
              <w:t>11.88</w:t>
            </w:r>
          </w:p>
        </w:tc>
      </w:tr>
    </w:tbl>
    <w:p w14:paraId="69E03508" w14:textId="77777777" w:rsidR="004E51FF" w:rsidRPr="009266A1" w:rsidRDefault="004E51FF" w:rsidP="001C00E2">
      <w:pPr>
        <w:pBdr>
          <w:left w:val="single" w:sz="4" w:space="4" w:color="B1B1B1"/>
          <w:right w:val="single" w:sz="4" w:space="4" w:color="B1B1B1"/>
        </w:pBdr>
        <w:tabs>
          <w:tab w:val="decimal" w:pos="3249"/>
          <w:tab w:val="left" w:pos="5949"/>
        </w:tabs>
        <w:ind w:left="99" w:right="108"/>
        <w:rPr>
          <w:color w:val="000000"/>
        </w:rPr>
      </w:pPr>
      <w:bookmarkStart w:id="199" w:name="TIMECOST_SUP"/>
      <w:bookmarkEnd w:id="199"/>
    </w:p>
    <w:tbl>
      <w:tblPr>
        <w:tblW w:w="5000" w:type="pct"/>
        <w:tblBorders>
          <w:left w:val="single" w:sz="4" w:space="0" w:color="B1B1B1"/>
          <w:bottom w:val="single" w:sz="4" w:space="0" w:color="B1B1B1"/>
          <w:right w:val="single" w:sz="4" w:space="0" w:color="B1B1B1"/>
          <w:insideH w:val="single" w:sz="4" w:space="0" w:color="B1B1B1"/>
          <w:insideV w:val="single" w:sz="4" w:space="0" w:color="B1B1B1"/>
        </w:tblBorders>
        <w:tblCellMar>
          <w:top w:w="10" w:type="dxa"/>
          <w:left w:w="10" w:type="dxa"/>
          <w:bottom w:w="10" w:type="dxa"/>
          <w:right w:w="10" w:type="dxa"/>
        </w:tblCellMar>
        <w:tblLook w:val="0000" w:firstRow="0" w:lastRow="0" w:firstColumn="0" w:lastColumn="0" w:noHBand="0" w:noVBand="0"/>
      </w:tblPr>
      <w:tblGrid>
        <w:gridCol w:w="3238"/>
        <w:gridCol w:w="2691"/>
        <w:gridCol w:w="2701"/>
      </w:tblGrid>
      <w:tr w:rsidR="008374D5" w:rsidRPr="009266A1" w14:paraId="5BACDB47" w14:textId="77777777" w:rsidTr="001C00E2">
        <w:tc>
          <w:tcPr>
            <w:tcW w:w="1876" w:type="pct"/>
            <w:vAlign w:val="center"/>
          </w:tcPr>
          <w:p w14:paraId="595F724F" w14:textId="77777777" w:rsidR="008374D5" w:rsidRPr="009266A1" w:rsidRDefault="008374D5" w:rsidP="00CD3651">
            <w:pPr>
              <w:spacing w:line="200" w:lineRule="atLeast"/>
              <w:jc w:val="right"/>
              <w:rPr>
                <w:color w:val="000000"/>
              </w:rPr>
            </w:pPr>
            <w:r w:rsidRPr="009266A1">
              <w:rPr>
                <w:rStyle w:val="Strong"/>
                <w:color w:val="000000"/>
              </w:rPr>
              <w:t>Total:</w:t>
            </w:r>
          </w:p>
        </w:tc>
        <w:tc>
          <w:tcPr>
            <w:tcW w:w="1559" w:type="pct"/>
            <w:vAlign w:val="center"/>
          </w:tcPr>
          <w:p w14:paraId="3DB12AF3" w14:textId="77777777" w:rsidR="008374D5" w:rsidRPr="009266A1" w:rsidRDefault="00F55BEB" w:rsidP="00BB1EB2">
            <w:pPr>
              <w:tabs>
                <w:tab w:val="decimal" w:pos="1431"/>
              </w:tabs>
              <w:spacing w:line="200" w:lineRule="atLeast"/>
              <w:rPr>
                <w:color w:val="000000"/>
              </w:rPr>
            </w:pPr>
            <w:bookmarkStart w:id="200" w:name="SUP_WEEKS"/>
            <w:bookmarkEnd w:id="200"/>
            <w:r w:rsidRPr="009266A1">
              <w:rPr>
                <w:color w:val="000000"/>
              </w:rPr>
              <w:t>231.33</w:t>
            </w:r>
          </w:p>
        </w:tc>
        <w:tc>
          <w:tcPr>
            <w:tcW w:w="1565" w:type="pct"/>
            <w:vAlign w:val="center"/>
          </w:tcPr>
          <w:p w14:paraId="50C9757B" w14:textId="77777777" w:rsidR="008374D5" w:rsidRPr="009266A1" w:rsidRDefault="00F55BEB" w:rsidP="008374D5">
            <w:pPr>
              <w:tabs>
                <w:tab w:val="decimal" w:pos="1425"/>
              </w:tabs>
              <w:spacing w:line="200" w:lineRule="atLeast"/>
              <w:rPr>
                <w:color w:val="000000"/>
              </w:rPr>
            </w:pPr>
            <w:r w:rsidRPr="009266A1">
              <w:rPr>
                <w:color w:val="000000"/>
              </w:rPr>
              <w:t xml:space="preserve">  1,063.6</w:t>
            </w:r>
          </w:p>
        </w:tc>
      </w:tr>
    </w:tbl>
    <w:p w14:paraId="11652CB4" w14:textId="77777777" w:rsidR="00E07BAC" w:rsidRDefault="006B724A" w:rsidP="00E07BAC">
      <w:pPr>
        <w:pStyle w:val="Heading2"/>
      </w:pPr>
      <w:r>
        <w:t xml:space="preserve"> </w:t>
      </w:r>
      <w:r>
        <w:br w:type="page"/>
      </w:r>
      <w:bookmarkStart w:id="201" w:name="_IL20"/>
    </w:p>
    <w:p w14:paraId="7170BD2B" w14:textId="77777777" w:rsidR="00E07BAC" w:rsidRDefault="00E07BAC" w:rsidP="00E07BAC">
      <w:pPr>
        <w:pStyle w:val="Heading2"/>
      </w:pPr>
    </w:p>
    <w:p w14:paraId="0D161B47" w14:textId="77777777" w:rsidR="00C67D43" w:rsidRDefault="000411CD" w:rsidP="000411CD">
      <w:pPr>
        <w:pStyle w:val="Heading2"/>
      </w:pPr>
      <w:bookmarkStart w:id="202" w:name="_Toc158019381"/>
      <w:bookmarkEnd w:id="201"/>
      <w:r w:rsidRPr="00E07BAC">
        <w:t>Annex 5. Beneficiary Survey Results</w:t>
      </w:r>
      <w:bookmarkEnd w:id="202"/>
    </w:p>
    <w:p w14:paraId="242121A0" w14:textId="77777777" w:rsidR="000411CD" w:rsidRDefault="000411CD" w:rsidP="00E07BAC">
      <w:r w:rsidRPr="00E07BAC">
        <w:rPr>
          <w:i/>
        </w:rPr>
        <w:t>(if any)</w:t>
      </w:r>
    </w:p>
    <w:p w14:paraId="1F6B3B71" w14:textId="77777777" w:rsidR="009A50FF" w:rsidRPr="006562D0" w:rsidRDefault="009A50FF" w:rsidP="009A50FF">
      <w:pPr>
        <w:jc w:val="both"/>
      </w:pPr>
      <w:bookmarkStart w:id="203" w:name="ANN8"/>
      <w:bookmarkEnd w:id="203"/>
      <w:r>
        <w:t xml:space="preserve">Third party spot checks were conducted for both components 1 and 2 in 2014 and 2016. </w:t>
      </w:r>
      <w:r w:rsidRPr="006562D0">
        <w:t xml:space="preserve">These checks assessed the functionality of service centers, staff skills, their satisfaction and motivation, beneficiary satisfaction. </w:t>
      </w:r>
      <w:r>
        <w:t xml:space="preserve"> </w:t>
      </w:r>
      <w:r w:rsidRPr="006562D0">
        <w:t xml:space="preserve">The key findings of the third party spot checks conducted to assess the performance </w:t>
      </w:r>
      <w:r>
        <w:t>of Disability Service Centers and the Integrated Child Protection Service Centers (ICPSC) are given below</w:t>
      </w:r>
      <w:r w:rsidRPr="006562D0">
        <w:t>:</w:t>
      </w:r>
    </w:p>
    <w:p w14:paraId="6FD41C9D" w14:textId="77777777" w:rsidR="009A50FF" w:rsidRDefault="009A50FF" w:rsidP="009A50FF">
      <w:pPr>
        <w:pStyle w:val="Heading2"/>
        <w:rPr>
          <w:sz w:val="24"/>
          <w:szCs w:val="24"/>
        </w:rPr>
      </w:pPr>
      <w:bookmarkStart w:id="204" w:name="_Toc454286919"/>
      <w:r>
        <w:rPr>
          <w:sz w:val="24"/>
          <w:szCs w:val="24"/>
        </w:rPr>
        <w:t>1. Spot check conducted in Disability Services Centers (DSCs) in 2016</w:t>
      </w:r>
    </w:p>
    <w:p w14:paraId="375AA693" w14:textId="77777777" w:rsidR="009A50FF" w:rsidRDefault="009A50FF" w:rsidP="009A50FF">
      <w:pPr>
        <w:pStyle w:val="Heading2"/>
        <w:jc w:val="both"/>
        <w:rPr>
          <w:b w:val="0"/>
          <w:sz w:val="24"/>
          <w:szCs w:val="24"/>
        </w:rPr>
      </w:pPr>
      <w:r>
        <w:rPr>
          <w:sz w:val="24"/>
          <w:szCs w:val="24"/>
        </w:rPr>
        <w:t xml:space="preserve">a) The infrastructure and facilities: </w:t>
      </w:r>
      <w:r>
        <w:rPr>
          <w:b w:val="0"/>
          <w:sz w:val="24"/>
          <w:szCs w:val="24"/>
        </w:rPr>
        <w:t>A</w:t>
      </w:r>
      <w:r w:rsidRPr="004168A9">
        <w:rPr>
          <w:b w:val="0"/>
          <w:sz w:val="24"/>
          <w:szCs w:val="24"/>
        </w:rPr>
        <w:t xml:space="preserve">ll </w:t>
      </w:r>
      <w:r>
        <w:rPr>
          <w:b w:val="0"/>
          <w:sz w:val="24"/>
          <w:szCs w:val="24"/>
        </w:rPr>
        <w:t xml:space="preserve">the centers that were surveyed </w:t>
      </w:r>
      <w:r w:rsidRPr="004168A9">
        <w:rPr>
          <w:b w:val="0"/>
          <w:sz w:val="24"/>
          <w:szCs w:val="24"/>
        </w:rPr>
        <w:t>under</w:t>
      </w:r>
      <w:r>
        <w:rPr>
          <w:b w:val="0"/>
          <w:sz w:val="24"/>
          <w:szCs w:val="24"/>
        </w:rPr>
        <w:t>went</w:t>
      </w:r>
      <w:r w:rsidRPr="004168A9">
        <w:rPr>
          <w:b w:val="0"/>
          <w:sz w:val="24"/>
          <w:szCs w:val="24"/>
        </w:rPr>
        <w:t xml:space="preserve"> daily cleaning, have a reception desk, internet facility and electricity connection</w:t>
      </w:r>
      <w:r>
        <w:rPr>
          <w:b w:val="0"/>
          <w:sz w:val="24"/>
          <w:szCs w:val="24"/>
        </w:rPr>
        <w:t xml:space="preserve">. 83% had </w:t>
      </w:r>
      <w:r w:rsidRPr="004168A9">
        <w:rPr>
          <w:b w:val="0"/>
          <w:sz w:val="24"/>
          <w:szCs w:val="24"/>
        </w:rPr>
        <w:t>other infrastructure and facilities such a visible sign board and availability of tap water</w:t>
      </w:r>
      <w:r>
        <w:rPr>
          <w:b w:val="0"/>
          <w:sz w:val="24"/>
          <w:szCs w:val="24"/>
        </w:rPr>
        <w:t xml:space="preserve"> was 72.2%</w:t>
      </w:r>
      <w:r w:rsidRPr="004168A9">
        <w:rPr>
          <w:b w:val="0"/>
          <w:sz w:val="24"/>
          <w:szCs w:val="24"/>
        </w:rPr>
        <w:t>. Overall facility/service index, which is an average of response rates across the parameters, is at 79.0%</w:t>
      </w:r>
      <w:r>
        <w:rPr>
          <w:b w:val="0"/>
          <w:sz w:val="24"/>
          <w:szCs w:val="24"/>
        </w:rPr>
        <w:t>. O</w:t>
      </w:r>
      <w:r w:rsidRPr="00E96963">
        <w:rPr>
          <w:b w:val="0"/>
          <w:sz w:val="24"/>
          <w:szCs w:val="24"/>
        </w:rPr>
        <w:t xml:space="preserve">nly 50.0% of the DSCs </w:t>
      </w:r>
      <w:r>
        <w:rPr>
          <w:b w:val="0"/>
          <w:sz w:val="24"/>
          <w:szCs w:val="24"/>
        </w:rPr>
        <w:t>had</w:t>
      </w:r>
      <w:r w:rsidRPr="00E96963">
        <w:rPr>
          <w:b w:val="0"/>
          <w:sz w:val="24"/>
          <w:szCs w:val="24"/>
        </w:rPr>
        <w:t xml:space="preserve"> accessibility ramp</w:t>
      </w:r>
      <w:r>
        <w:rPr>
          <w:b w:val="0"/>
          <w:sz w:val="24"/>
          <w:szCs w:val="24"/>
        </w:rPr>
        <w:t xml:space="preserve">. This was primarily due to the fact that several of these centers were operating from rented premises and the scope for construction of ramps was very limited. </w:t>
      </w:r>
      <w:r w:rsidRPr="00E96963">
        <w:rPr>
          <w:b w:val="0"/>
          <w:sz w:val="24"/>
          <w:szCs w:val="24"/>
        </w:rPr>
        <w:t>The DSCs scored relatively high with regard to the overall equipment index: 80.6%. However, only 61.1% of the DSCs reported to having a working IPS/generator</w:t>
      </w:r>
      <w:r>
        <w:rPr>
          <w:b w:val="0"/>
          <w:sz w:val="24"/>
          <w:szCs w:val="24"/>
        </w:rPr>
        <w:t xml:space="preserve">, that could lead to </w:t>
      </w:r>
      <w:r w:rsidRPr="00E96963">
        <w:rPr>
          <w:b w:val="0"/>
          <w:sz w:val="24"/>
          <w:szCs w:val="24"/>
        </w:rPr>
        <w:t>inefficiencies in treatment of patients/beneficiaries.</w:t>
      </w:r>
    </w:p>
    <w:p w14:paraId="2BB532D7" w14:textId="77777777" w:rsidR="009A50FF" w:rsidRDefault="009A50FF" w:rsidP="009A50FF">
      <w:pPr>
        <w:pStyle w:val="Heading2"/>
        <w:jc w:val="both"/>
        <w:rPr>
          <w:b w:val="0"/>
          <w:sz w:val="24"/>
          <w:szCs w:val="24"/>
        </w:rPr>
      </w:pPr>
      <w:r>
        <w:rPr>
          <w:color w:val="auto"/>
          <w:sz w:val="24"/>
          <w:szCs w:val="24"/>
        </w:rPr>
        <w:t>b) DSC</w:t>
      </w:r>
      <w:r w:rsidRPr="000B3615">
        <w:rPr>
          <w:color w:val="auto"/>
          <w:sz w:val="24"/>
          <w:szCs w:val="24"/>
        </w:rPr>
        <w:t xml:space="preserve"> </w:t>
      </w:r>
      <w:r>
        <w:rPr>
          <w:color w:val="auto"/>
          <w:sz w:val="24"/>
          <w:szCs w:val="24"/>
        </w:rPr>
        <w:t>s</w:t>
      </w:r>
      <w:r w:rsidRPr="000B3615">
        <w:rPr>
          <w:color w:val="auto"/>
          <w:sz w:val="24"/>
          <w:szCs w:val="24"/>
        </w:rPr>
        <w:t xml:space="preserve">taff </w:t>
      </w:r>
      <w:r>
        <w:rPr>
          <w:color w:val="auto"/>
          <w:sz w:val="24"/>
          <w:szCs w:val="24"/>
        </w:rPr>
        <w:t>c</w:t>
      </w:r>
      <w:r w:rsidRPr="000B3615">
        <w:rPr>
          <w:color w:val="auto"/>
          <w:sz w:val="24"/>
          <w:szCs w:val="24"/>
        </w:rPr>
        <w:t>ompetency</w:t>
      </w:r>
      <w:r>
        <w:rPr>
          <w:color w:val="auto"/>
          <w:sz w:val="24"/>
          <w:szCs w:val="24"/>
        </w:rPr>
        <w:t xml:space="preserve"> and satisfaction: </w:t>
      </w:r>
      <w:r>
        <w:rPr>
          <w:b w:val="0"/>
          <w:sz w:val="24"/>
          <w:szCs w:val="24"/>
        </w:rPr>
        <w:t>A</w:t>
      </w:r>
      <w:r w:rsidRPr="00AD64D3">
        <w:rPr>
          <w:b w:val="0"/>
          <w:sz w:val="24"/>
          <w:szCs w:val="24"/>
        </w:rPr>
        <w:t xml:space="preserve">ll </w:t>
      </w:r>
      <w:r>
        <w:rPr>
          <w:b w:val="0"/>
          <w:sz w:val="24"/>
          <w:szCs w:val="24"/>
        </w:rPr>
        <w:t xml:space="preserve">the center staff that was interviewed </w:t>
      </w:r>
      <w:r w:rsidRPr="00AD64D3">
        <w:rPr>
          <w:b w:val="0"/>
          <w:sz w:val="24"/>
          <w:szCs w:val="24"/>
        </w:rPr>
        <w:t>(100%) were aware of at least one act/law related to disability as well as the Protibondhi Shurokkha Ain (</w:t>
      </w:r>
      <w:r>
        <w:rPr>
          <w:b w:val="0"/>
          <w:sz w:val="24"/>
          <w:szCs w:val="24"/>
        </w:rPr>
        <w:t xml:space="preserve">Disability Security </w:t>
      </w:r>
      <w:r w:rsidRPr="00AD64D3">
        <w:rPr>
          <w:b w:val="0"/>
          <w:sz w:val="24"/>
          <w:szCs w:val="24"/>
        </w:rPr>
        <w:t>Act 2013). 71.1% kn</w:t>
      </w:r>
      <w:r>
        <w:rPr>
          <w:b w:val="0"/>
          <w:sz w:val="24"/>
          <w:szCs w:val="24"/>
        </w:rPr>
        <w:t>e</w:t>
      </w:r>
      <w:r w:rsidRPr="00AD64D3">
        <w:rPr>
          <w:b w:val="0"/>
          <w:sz w:val="24"/>
          <w:szCs w:val="24"/>
        </w:rPr>
        <w:t xml:space="preserve">w about the role of JPUF. About 86.7% </w:t>
      </w:r>
      <w:r>
        <w:rPr>
          <w:b w:val="0"/>
          <w:sz w:val="24"/>
          <w:szCs w:val="24"/>
        </w:rPr>
        <w:t>r</w:t>
      </w:r>
      <w:r w:rsidRPr="00AD64D3">
        <w:rPr>
          <w:b w:val="0"/>
          <w:sz w:val="24"/>
          <w:szCs w:val="24"/>
        </w:rPr>
        <w:t>eceived on-the-job training and 60% attained certificates/specialized courses.</w:t>
      </w:r>
      <w:r>
        <w:rPr>
          <w:b w:val="0"/>
          <w:sz w:val="24"/>
          <w:szCs w:val="24"/>
        </w:rPr>
        <w:t xml:space="preserve"> </w:t>
      </w:r>
      <w:r w:rsidRPr="00AD64D3">
        <w:rPr>
          <w:b w:val="0"/>
          <w:sz w:val="24"/>
          <w:szCs w:val="24"/>
        </w:rPr>
        <w:t>In terms of average staff satisfaction</w:t>
      </w:r>
      <w:r>
        <w:rPr>
          <w:b w:val="0"/>
          <w:sz w:val="24"/>
          <w:szCs w:val="24"/>
        </w:rPr>
        <w:t xml:space="preserve"> with their jobs</w:t>
      </w:r>
      <w:r w:rsidRPr="00AD64D3">
        <w:rPr>
          <w:b w:val="0"/>
          <w:sz w:val="24"/>
          <w:szCs w:val="24"/>
        </w:rPr>
        <w:t>, 62.9% fully agreed that they were satisfied while 17.8% were somewhat satisfied.</w:t>
      </w:r>
      <w:r>
        <w:rPr>
          <w:b w:val="0"/>
          <w:sz w:val="24"/>
          <w:szCs w:val="24"/>
        </w:rPr>
        <w:t xml:space="preserve"> </w:t>
      </w:r>
      <w:r w:rsidRPr="0098578E">
        <w:rPr>
          <w:b w:val="0"/>
          <w:sz w:val="24"/>
          <w:szCs w:val="24"/>
        </w:rPr>
        <w:t>47.3% of DSC staff was fully satisfied with DSC’s facilities/services while 35.9% were somewhat satisfied.</w:t>
      </w:r>
    </w:p>
    <w:p w14:paraId="616C28FC" w14:textId="77777777" w:rsidR="009A50FF" w:rsidRDefault="009A50FF" w:rsidP="009A50FF">
      <w:pPr>
        <w:pStyle w:val="Heading2"/>
        <w:jc w:val="both"/>
        <w:rPr>
          <w:b w:val="0"/>
          <w:sz w:val="24"/>
          <w:szCs w:val="24"/>
        </w:rPr>
      </w:pPr>
      <w:r w:rsidRPr="0098578E">
        <w:rPr>
          <w:sz w:val="24"/>
          <w:szCs w:val="24"/>
        </w:rPr>
        <w:t>c) Satisfaction levels of Persons with Disabilities:</w:t>
      </w:r>
      <w:r>
        <w:rPr>
          <w:sz w:val="24"/>
          <w:szCs w:val="24"/>
        </w:rPr>
        <w:t xml:space="preserve"> </w:t>
      </w:r>
      <w:r>
        <w:rPr>
          <w:b w:val="0"/>
          <w:sz w:val="24"/>
          <w:szCs w:val="24"/>
        </w:rPr>
        <w:t>Persons</w:t>
      </w:r>
      <w:r w:rsidRPr="0098578E">
        <w:rPr>
          <w:b w:val="0"/>
          <w:sz w:val="24"/>
          <w:szCs w:val="24"/>
        </w:rPr>
        <w:t xml:space="preserve"> with disabilities (PWDs), </w:t>
      </w:r>
      <w:r>
        <w:rPr>
          <w:b w:val="0"/>
          <w:sz w:val="24"/>
          <w:szCs w:val="24"/>
        </w:rPr>
        <w:t>have</w:t>
      </w:r>
      <w:r w:rsidRPr="0098578E">
        <w:rPr>
          <w:b w:val="0"/>
          <w:sz w:val="24"/>
          <w:szCs w:val="24"/>
        </w:rPr>
        <w:t xml:space="preserve"> a relatively high level of satisfaction with DSC </w:t>
      </w:r>
      <w:r>
        <w:rPr>
          <w:b w:val="0"/>
          <w:sz w:val="24"/>
          <w:szCs w:val="24"/>
        </w:rPr>
        <w:t>f</w:t>
      </w:r>
      <w:r w:rsidRPr="0098578E">
        <w:rPr>
          <w:b w:val="0"/>
          <w:sz w:val="24"/>
          <w:szCs w:val="24"/>
        </w:rPr>
        <w:t xml:space="preserve">acilities and an even higher level with DSC Services. Overall, 86.6% </w:t>
      </w:r>
      <w:r>
        <w:rPr>
          <w:b w:val="0"/>
          <w:sz w:val="24"/>
          <w:szCs w:val="24"/>
        </w:rPr>
        <w:t>were</w:t>
      </w:r>
      <w:r w:rsidRPr="0098578E">
        <w:rPr>
          <w:b w:val="0"/>
          <w:sz w:val="24"/>
          <w:szCs w:val="24"/>
        </w:rPr>
        <w:t xml:space="preserve"> satisfied with DSC facilities</w:t>
      </w:r>
      <w:r>
        <w:rPr>
          <w:b w:val="0"/>
          <w:sz w:val="24"/>
          <w:szCs w:val="24"/>
        </w:rPr>
        <w:t>, while 94.6% people were satisfied with the services</w:t>
      </w:r>
      <w:r w:rsidRPr="0098578E">
        <w:rPr>
          <w:sz w:val="24"/>
          <w:szCs w:val="24"/>
        </w:rPr>
        <w:t xml:space="preserve"> </w:t>
      </w:r>
      <w:r>
        <w:rPr>
          <w:b w:val="0"/>
          <w:sz w:val="24"/>
          <w:szCs w:val="24"/>
        </w:rPr>
        <w:t xml:space="preserve">DSCs. 98.4% reported satisfaction with the </w:t>
      </w:r>
      <w:r w:rsidRPr="0098578E">
        <w:rPr>
          <w:b w:val="0"/>
          <w:sz w:val="24"/>
          <w:szCs w:val="24"/>
        </w:rPr>
        <w:t>registration process,</w:t>
      </w:r>
      <w:r>
        <w:rPr>
          <w:b w:val="0"/>
          <w:sz w:val="24"/>
          <w:szCs w:val="24"/>
        </w:rPr>
        <w:t xml:space="preserve"> 97.6% with the</w:t>
      </w:r>
      <w:r w:rsidRPr="0098578E">
        <w:rPr>
          <w:b w:val="0"/>
          <w:sz w:val="24"/>
          <w:szCs w:val="24"/>
        </w:rPr>
        <w:t xml:space="preserve"> behavior of staff, </w:t>
      </w:r>
      <w:r>
        <w:rPr>
          <w:b w:val="0"/>
          <w:sz w:val="24"/>
          <w:szCs w:val="24"/>
        </w:rPr>
        <w:t xml:space="preserve">95.4% with </w:t>
      </w:r>
      <w:r w:rsidRPr="0098578E">
        <w:rPr>
          <w:b w:val="0"/>
          <w:sz w:val="24"/>
          <w:szCs w:val="24"/>
        </w:rPr>
        <w:t xml:space="preserve">advice received from </w:t>
      </w:r>
      <w:r>
        <w:rPr>
          <w:b w:val="0"/>
          <w:sz w:val="24"/>
          <w:szCs w:val="24"/>
        </w:rPr>
        <w:t xml:space="preserve">the DSC </w:t>
      </w:r>
      <w:r w:rsidRPr="0098578E">
        <w:rPr>
          <w:b w:val="0"/>
          <w:sz w:val="24"/>
          <w:szCs w:val="24"/>
        </w:rPr>
        <w:t xml:space="preserve">and </w:t>
      </w:r>
      <w:r>
        <w:rPr>
          <w:b w:val="0"/>
          <w:sz w:val="24"/>
          <w:szCs w:val="24"/>
        </w:rPr>
        <w:t xml:space="preserve">94.3% reported satisfaction with the </w:t>
      </w:r>
      <w:r w:rsidRPr="0098578E">
        <w:rPr>
          <w:b w:val="0"/>
          <w:sz w:val="24"/>
          <w:szCs w:val="24"/>
        </w:rPr>
        <w:t>competency of the therapist/technical staff.</w:t>
      </w:r>
      <w:r>
        <w:rPr>
          <w:b w:val="0"/>
          <w:sz w:val="24"/>
          <w:szCs w:val="24"/>
        </w:rPr>
        <w:t xml:space="preserve"> </w:t>
      </w:r>
    </w:p>
    <w:p w14:paraId="0D6D454F" w14:textId="77777777" w:rsidR="009A50FF" w:rsidRDefault="009A50FF" w:rsidP="009A50FF">
      <w:pPr>
        <w:pStyle w:val="Heading2"/>
        <w:jc w:val="both"/>
        <w:rPr>
          <w:b w:val="0"/>
          <w:sz w:val="24"/>
          <w:szCs w:val="24"/>
        </w:rPr>
      </w:pPr>
      <w:r w:rsidRPr="00E73161">
        <w:rPr>
          <w:sz w:val="24"/>
          <w:szCs w:val="24"/>
        </w:rPr>
        <w:t>d) Community Knowledge and awareness about DSCs:</w:t>
      </w:r>
      <w:r>
        <w:rPr>
          <w:b w:val="0"/>
          <w:sz w:val="24"/>
          <w:szCs w:val="24"/>
        </w:rPr>
        <w:t xml:space="preserve"> </w:t>
      </w:r>
      <w:r w:rsidRPr="00D31B24">
        <w:rPr>
          <w:b w:val="0"/>
          <w:sz w:val="24"/>
          <w:szCs w:val="24"/>
        </w:rPr>
        <w:t xml:space="preserve">About 29.2% of all community respondents </w:t>
      </w:r>
      <w:r>
        <w:rPr>
          <w:b w:val="0"/>
          <w:sz w:val="24"/>
          <w:szCs w:val="24"/>
        </w:rPr>
        <w:t>had</w:t>
      </w:r>
      <w:r w:rsidRPr="00D31B24">
        <w:rPr>
          <w:b w:val="0"/>
          <w:sz w:val="24"/>
          <w:szCs w:val="24"/>
        </w:rPr>
        <w:t xml:space="preserve"> overall awareness about DSC while 55.3% kn</w:t>
      </w:r>
      <w:r>
        <w:rPr>
          <w:b w:val="0"/>
          <w:sz w:val="24"/>
          <w:szCs w:val="24"/>
        </w:rPr>
        <w:t>e</w:t>
      </w:r>
      <w:r w:rsidRPr="00D31B24">
        <w:rPr>
          <w:b w:val="0"/>
          <w:sz w:val="24"/>
          <w:szCs w:val="24"/>
        </w:rPr>
        <w:t xml:space="preserve">w that </w:t>
      </w:r>
      <w:r>
        <w:rPr>
          <w:b w:val="0"/>
          <w:sz w:val="24"/>
          <w:szCs w:val="24"/>
        </w:rPr>
        <w:t>this was</w:t>
      </w:r>
      <w:r w:rsidRPr="00D31B24">
        <w:rPr>
          <w:b w:val="0"/>
          <w:sz w:val="24"/>
          <w:szCs w:val="24"/>
        </w:rPr>
        <w:t xml:space="preserve"> the only service provider for PWDs. With regard to community knowledge and awareness, the response rates are for the parameters </w:t>
      </w:r>
      <w:r>
        <w:rPr>
          <w:b w:val="0"/>
          <w:sz w:val="24"/>
          <w:szCs w:val="24"/>
        </w:rPr>
        <w:t xml:space="preserve">9.4% recognized that </w:t>
      </w:r>
      <w:r w:rsidRPr="00D31B24">
        <w:rPr>
          <w:b w:val="0"/>
          <w:sz w:val="24"/>
          <w:szCs w:val="24"/>
        </w:rPr>
        <w:t>“DSC staff visit</w:t>
      </w:r>
      <w:r>
        <w:rPr>
          <w:b w:val="0"/>
          <w:sz w:val="24"/>
          <w:szCs w:val="24"/>
        </w:rPr>
        <w:t>ed</w:t>
      </w:r>
      <w:r w:rsidRPr="00D31B24">
        <w:rPr>
          <w:b w:val="0"/>
          <w:sz w:val="24"/>
          <w:szCs w:val="24"/>
        </w:rPr>
        <w:t xml:space="preserve"> the community” and </w:t>
      </w:r>
      <w:r>
        <w:rPr>
          <w:b w:val="0"/>
          <w:sz w:val="24"/>
          <w:szCs w:val="24"/>
        </w:rPr>
        <w:t xml:space="preserve">19.5% felt that </w:t>
      </w:r>
      <w:r w:rsidRPr="00D31B24">
        <w:rPr>
          <w:b w:val="0"/>
          <w:sz w:val="24"/>
          <w:szCs w:val="24"/>
        </w:rPr>
        <w:t>“People inform others about DSC”</w:t>
      </w:r>
      <w:r>
        <w:rPr>
          <w:b w:val="0"/>
          <w:sz w:val="24"/>
          <w:szCs w:val="24"/>
        </w:rPr>
        <w:t xml:space="preserve">. </w:t>
      </w:r>
      <w:r w:rsidRPr="00D31B24">
        <w:rPr>
          <w:b w:val="0"/>
          <w:sz w:val="24"/>
          <w:szCs w:val="24"/>
        </w:rPr>
        <w:t>In terms of specific knowledge about DSCs, 77.8% kn</w:t>
      </w:r>
      <w:r>
        <w:rPr>
          <w:b w:val="0"/>
          <w:sz w:val="24"/>
          <w:szCs w:val="24"/>
        </w:rPr>
        <w:t>e</w:t>
      </w:r>
      <w:r w:rsidRPr="00D31B24">
        <w:rPr>
          <w:b w:val="0"/>
          <w:sz w:val="24"/>
          <w:szCs w:val="24"/>
        </w:rPr>
        <w:t>w that there is disability allowance for PWDs, while 34.4% kn</w:t>
      </w:r>
      <w:r>
        <w:rPr>
          <w:b w:val="0"/>
          <w:sz w:val="24"/>
          <w:szCs w:val="24"/>
        </w:rPr>
        <w:t>e</w:t>
      </w:r>
      <w:r w:rsidRPr="00D31B24">
        <w:rPr>
          <w:b w:val="0"/>
          <w:sz w:val="24"/>
          <w:szCs w:val="24"/>
        </w:rPr>
        <w:t>w that PWDs can access assistive devices at DSCs. About 39.9% have overall awareness about DSCs.</w:t>
      </w:r>
    </w:p>
    <w:p w14:paraId="3408A18B" w14:textId="77777777" w:rsidR="009A50FF" w:rsidRDefault="009A50FF" w:rsidP="009A50FF">
      <w:pPr>
        <w:jc w:val="both"/>
        <w:rPr>
          <w:b/>
        </w:rPr>
      </w:pPr>
    </w:p>
    <w:p w14:paraId="4A2A3407" w14:textId="77777777" w:rsidR="009A50FF" w:rsidRPr="00724520" w:rsidRDefault="009A50FF" w:rsidP="009A50FF">
      <w:pPr>
        <w:jc w:val="both"/>
        <w:rPr>
          <w:b/>
        </w:rPr>
      </w:pPr>
      <w:r w:rsidRPr="00724520">
        <w:rPr>
          <w:b/>
        </w:rPr>
        <w:t xml:space="preserve">e) </w:t>
      </w:r>
      <w:bookmarkStart w:id="205" w:name="_Toc454286916"/>
      <w:r w:rsidRPr="00724520">
        <w:rPr>
          <w:b/>
        </w:rPr>
        <w:t>Impact of Mobile Therapy Van</w:t>
      </w:r>
      <w:bookmarkEnd w:id="205"/>
      <w:r w:rsidRPr="00724520">
        <w:rPr>
          <w:b/>
        </w:rPr>
        <w:t>s:</w:t>
      </w:r>
      <w:r>
        <w:rPr>
          <w:b/>
        </w:rPr>
        <w:t xml:space="preserve"> </w:t>
      </w:r>
      <w:r w:rsidRPr="00002B06">
        <w:t xml:space="preserve">82.4% of DSC representatives said they were very useful and 11.8% </w:t>
      </w:r>
      <w:r>
        <w:t xml:space="preserve">felt that it was </w:t>
      </w:r>
      <w:r w:rsidRPr="00002B06">
        <w:t xml:space="preserve">somewhat useful, indicating high level of acceptability of </w:t>
      </w:r>
      <w:r>
        <w:t xml:space="preserve">Mobile Therapy </w:t>
      </w:r>
      <w:r w:rsidRPr="00002B06">
        <w:t>Vans among DSC Staff</w:t>
      </w:r>
      <w:r>
        <w:t>. In terms of the benefits of this service, DSC representatives were most likely to mention the positive impact of Vans on campaign activities (76.5%), social awareness regarding disabled people (52.9%), and accessibility to remote areas (35.3%). Representatives from all the surveyed (17) DSCs covered by Mobile Therapy Van said that the vans are able to provide all the necessary services available at the centers. However, 59% said they face certain difficulties in providing the service. The main problems have to do with high patient numbers (30.0%), inadequate personnel (30.0%), and problems with the generator in the van (30.0%).</w:t>
      </w:r>
      <w:r w:rsidRPr="00724520">
        <w:rPr>
          <w:b/>
        </w:rPr>
        <w:t xml:space="preserve"> </w:t>
      </w:r>
    </w:p>
    <w:p w14:paraId="501AC4E9" w14:textId="77777777" w:rsidR="009A50FF" w:rsidRPr="004168A9" w:rsidRDefault="009A50FF" w:rsidP="009A50FF">
      <w:pPr>
        <w:pStyle w:val="Heading2"/>
        <w:rPr>
          <w:color w:val="auto"/>
          <w:sz w:val="24"/>
          <w:szCs w:val="24"/>
        </w:rPr>
      </w:pPr>
      <w:r>
        <w:rPr>
          <w:sz w:val="24"/>
          <w:szCs w:val="24"/>
        </w:rPr>
        <w:t>2</w:t>
      </w:r>
      <w:r w:rsidRPr="004168A9">
        <w:rPr>
          <w:sz w:val="24"/>
          <w:szCs w:val="24"/>
        </w:rPr>
        <w:t xml:space="preserve">. Spot </w:t>
      </w:r>
      <w:r>
        <w:rPr>
          <w:sz w:val="24"/>
          <w:szCs w:val="24"/>
        </w:rPr>
        <w:t>c</w:t>
      </w:r>
      <w:r w:rsidRPr="004168A9">
        <w:rPr>
          <w:sz w:val="24"/>
          <w:szCs w:val="24"/>
        </w:rPr>
        <w:t>heck conducted in ICPSCs in 2016</w:t>
      </w:r>
    </w:p>
    <w:p w14:paraId="2E010CB7" w14:textId="77777777" w:rsidR="009A50FF" w:rsidRPr="00335B5B" w:rsidRDefault="009A50FF" w:rsidP="009A50FF">
      <w:pPr>
        <w:pStyle w:val="Heading2"/>
        <w:jc w:val="both"/>
        <w:rPr>
          <w:b w:val="0"/>
          <w:color w:val="auto"/>
          <w:sz w:val="24"/>
          <w:szCs w:val="24"/>
        </w:rPr>
      </w:pPr>
      <w:r>
        <w:rPr>
          <w:color w:val="auto"/>
          <w:sz w:val="24"/>
          <w:szCs w:val="24"/>
        </w:rPr>
        <w:t xml:space="preserve">a) The infrastructure and facilities: </w:t>
      </w:r>
      <w:r w:rsidRPr="00335B5B">
        <w:rPr>
          <w:b w:val="0"/>
          <w:sz w:val="24"/>
          <w:szCs w:val="24"/>
        </w:rPr>
        <w:t>Among the 11 ICPSCs surveyed in total, all of them (100%) ha</w:t>
      </w:r>
      <w:r>
        <w:rPr>
          <w:b w:val="0"/>
          <w:sz w:val="24"/>
          <w:szCs w:val="24"/>
        </w:rPr>
        <w:t>d</w:t>
      </w:r>
      <w:r w:rsidRPr="00335B5B">
        <w:rPr>
          <w:b w:val="0"/>
          <w:sz w:val="24"/>
          <w:szCs w:val="24"/>
        </w:rPr>
        <w:t xml:space="preserve"> supply of water, sign board, electricity and internet facilities. 63.6% ha</w:t>
      </w:r>
      <w:r>
        <w:rPr>
          <w:b w:val="0"/>
          <w:sz w:val="24"/>
          <w:szCs w:val="24"/>
        </w:rPr>
        <w:t>d</w:t>
      </w:r>
      <w:r w:rsidRPr="00335B5B">
        <w:rPr>
          <w:b w:val="0"/>
          <w:sz w:val="24"/>
          <w:szCs w:val="24"/>
        </w:rPr>
        <w:t xml:space="preserve"> access to deep tube well, 27.3% to tube wells and 36.4% to tap/supply water. There is room for improvement with regard to availability of back-up generators, adequate office equipment and furniture. The overall functionality assessment of ICPSCs is 76.1%</w:t>
      </w:r>
      <w:r>
        <w:rPr>
          <w:b w:val="0"/>
          <w:sz w:val="24"/>
          <w:szCs w:val="24"/>
        </w:rPr>
        <w:t>.</w:t>
      </w:r>
    </w:p>
    <w:p w14:paraId="79519BCC" w14:textId="77777777" w:rsidR="009A50FF" w:rsidRPr="00DD51FE" w:rsidRDefault="009A50FF" w:rsidP="009A50FF">
      <w:pPr>
        <w:pStyle w:val="Heading2"/>
        <w:jc w:val="both"/>
        <w:rPr>
          <w:sz w:val="24"/>
          <w:szCs w:val="24"/>
        </w:rPr>
      </w:pPr>
      <w:r>
        <w:rPr>
          <w:color w:val="auto"/>
          <w:sz w:val="24"/>
          <w:szCs w:val="24"/>
        </w:rPr>
        <w:t xml:space="preserve">b) </w:t>
      </w:r>
      <w:r w:rsidRPr="000B3615">
        <w:rPr>
          <w:color w:val="auto"/>
          <w:sz w:val="24"/>
          <w:szCs w:val="24"/>
        </w:rPr>
        <w:t xml:space="preserve">ICPSC </w:t>
      </w:r>
      <w:r>
        <w:rPr>
          <w:color w:val="auto"/>
          <w:sz w:val="24"/>
          <w:szCs w:val="24"/>
        </w:rPr>
        <w:t>s</w:t>
      </w:r>
      <w:r w:rsidRPr="000B3615">
        <w:rPr>
          <w:color w:val="auto"/>
          <w:sz w:val="24"/>
          <w:szCs w:val="24"/>
        </w:rPr>
        <w:t xml:space="preserve">taff </w:t>
      </w:r>
      <w:r>
        <w:rPr>
          <w:color w:val="auto"/>
          <w:sz w:val="24"/>
          <w:szCs w:val="24"/>
        </w:rPr>
        <w:t>c</w:t>
      </w:r>
      <w:r w:rsidRPr="000B3615">
        <w:rPr>
          <w:color w:val="auto"/>
          <w:sz w:val="24"/>
          <w:szCs w:val="24"/>
        </w:rPr>
        <w:t>ompetency</w:t>
      </w:r>
      <w:bookmarkEnd w:id="204"/>
      <w:r>
        <w:rPr>
          <w:color w:val="auto"/>
          <w:sz w:val="24"/>
          <w:szCs w:val="24"/>
        </w:rPr>
        <w:t xml:space="preserve"> and motivation: </w:t>
      </w:r>
      <w:r w:rsidRPr="00335B5B">
        <w:rPr>
          <w:b w:val="0"/>
          <w:sz w:val="24"/>
          <w:szCs w:val="24"/>
        </w:rPr>
        <w:t xml:space="preserve">All of the 55 ICPSC Staff (100%) interviewed </w:t>
      </w:r>
      <w:r>
        <w:rPr>
          <w:b w:val="0"/>
          <w:sz w:val="24"/>
          <w:szCs w:val="24"/>
        </w:rPr>
        <w:t>had</w:t>
      </w:r>
      <w:r w:rsidRPr="00335B5B">
        <w:rPr>
          <w:b w:val="0"/>
          <w:sz w:val="24"/>
          <w:szCs w:val="24"/>
        </w:rPr>
        <w:t xml:space="preserve"> knowledge about roles of ICPSC for CAR in that they were able to mention at least 3 roles. All the staff also understood his/her job responsibility (mentioning at least 5 responsibilities). Moreover, 98.2% were knowledgeable about case assessment and management</w:t>
      </w:r>
      <w:r>
        <w:rPr>
          <w:b w:val="0"/>
          <w:sz w:val="24"/>
          <w:szCs w:val="24"/>
        </w:rPr>
        <w:t>,</w:t>
      </w:r>
      <w:r w:rsidRPr="00335B5B">
        <w:rPr>
          <w:b w:val="0"/>
          <w:sz w:val="24"/>
          <w:szCs w:val="24"/>
        </w:rPr>
        <w:t xml:space="preserve"> while 94.6% were knowledgeable about child protection. Overall assessment puts staff competency at 89.7%.</w:t>
      </w:r>
      <w:r>
        <w:rPr>
          <w:b w:val="0"/>
          <w:sz w:val="24"/>
          <w:szCs w:val="24"/>
        </w:rPr>
        <w:t xml:space="preserve"> </w:t>
      </w:r>
      <w:r w:rsidRPr="00FD2D71">
        <w:rPr>
          <w:b w:val="0"/>
          <w:sz w:val="24"/>
          <w:szCs w:val="24"/>
        </w:rPr>
        <w:t xml:space="preserve">The average </w:t>
      </w:r>
      <w:r>
        <w:rPr>
          <w:b w:val="0"/>
          <w:sz w:val="24"/>
          <w:szCs w:val="24"/>
        </w:rPr>
        <w:t>motivation was assessed at 78.9%</w:t>
      </w:r>
      <w:r w:rsidRPr="00FD2D71">
        <w:rPr>
          <w:b w:val="0"/>
          <w:sz w:val="24"/>
          <w:szCs w:val="24"/>
        </w:rPr>
        <w:t>.</w:t>
      </w:r>
      <w:r>
        <w:rPr>
          <w:b w:val="0"/>
          <w:sz w:val="24"/>
          <w:szCs w:val="24"/>
        </w:rPr>
        <w:t xml:space="preserve"> W</w:t>
      </w:r>
      <w:r w:rsidRPr="00FD2D71">
        <w:rPr>
          <w:b w:val="0"/>
          <w:sz w:val="24"/>
          <w:szCs w:val="24"/>
        </w:rPr>
        <w:t xml:space="preserve">ith regard to availability of training, </w:t>
      </w:r>
      <w:r>
        <w:rPr>
          <w:b w:val="0"/>
          <w:sz w:val="24"/>
          <w:szCs w:val="24"/>
        </w:rPr>
        <w:t xml:space="preserve">only </w:t>
      </w:r>
      <w:r w:rsidRPr="00FD2D71">
        <w:rPr>
          <w:b w:val="0"/>
          <w:sz w:val="24"/>
          <w:szCs w:val="24"/>
        </w:rPr>
        <w:t>30.9% believe</w:t>
      </w:r>
      <w:r>
        <w:rPr>
          <w:b w:val="0"/>
          <w:sz w:val="24"/>
          <w:szCs w:val="24"/>
        </w:rPr>
        <w:t>d</w:t>
      </w:r>
      <w:r w:rsidRPr="00FD2D71">
        <w:rPr>
          <w:b w:val="0"/>
          <w:sz w:val="24"/>
          <w:szCs w:val="24"/>
        </w:rPr>
        <w:t xml:space="preserve"> that they receive</w:t>
      </w:r>
      <w:r>
        <w:rPr>
          <w:b w:val="0"/>
          <w:sz w:val="24"/>
          <w:szCs w:val="24"/>
        </w:rPr>
        <w:t>d</w:t>
      </w:r>
      <w:r w:rsidRPr="00FD2D71">
        <w:rPr>
          <w:b w:val="0"/>
          <w:sz w:val="24"/>
          <w:szCs w:val="24"/>
        </w:rPr>
        <w:t xml:space="preserve"> enough training in order to accomplish their present work.</w:t>
      </w:r>
    </w:p>
    <w:p w14:paraId="4AD2E0B6" w14:textId="77777777" w:rsidR="009A50FF" w:rsidRDefault="009A50FF" w:rsidP="009A50FF">
      <w:pPr>
        <w:jc w:val="both"/>
        <w:rPr>
          <w:b/>
          <w:u w:val="single"/>
        </w:rPr>
      </w:pPr>
    </w:p>
    <w:p w14:paraId="17038CD9" w14:textId="77777777" w:rsidR="009A50FF" w:rsidRPr="00EE5C5D" w:rsidRDefault="009A50FF" w:rsidP="009A50FF">
      <w:pPr>
        <w:jc w:val="both"/>
      </w:pPr>
      <w:r>
        <w:rPr>
          <w:b/>
        </w:rPr>
        <w:t>c</w:t>
      </w:r>
      <w:r w:rsidRPr="0004123A">
        <w:rPr>
          <w:b/>
        </w:rPr>
        <w:t>) Satisfaction levels of children at risk:</w:t>
      </w:r>
      <w:r w:rsidRPr="0004123A">
        <w:t xml:space="preserve"> </w:t>
      </w:r>
      <w:r>
        <w:t>O</w:t>
      </w:r>
      <w:r w:rsidRPr="00EE5C5D">
        <w:t>ver 90% report to being satisfied</w:t>
      </w:r>
      <w:r>
        <w:t xml:space="preserve"> with the services provided at the ICPSC. 82.5% reported satisfaction with the </w:t>
      </w:r>
      <w:r w:rsidRPr="00EE5C5D">
        <w:t xml:space="preserve">rehabilitation/reintegration plan. </w:t>
      </w:r>
      <w:r>
        <w:t>I</w:t>
      </w:r>
      <w:r w:rsidRPr="00EE5C5D">
        <w:t xml:space="preserve">n 13 out of the 16 parameters for satisfaction, over 94.0% of beneficiaries </w:t>
      </w:r>
      <w:r>
        <w:t xml:space="preserve">were </w:t>
      </w:r>
      <w:r w:rsidRPr="00EE5C5D">
        <w:t xml:space="preserve">satisfied. </w:t>
      </w:r>
      <w:r>
        <w:t xml:space="preserve">The satisfaction rate was 100% </w:t>
      </w:r>
      <w:r w:rsidRPr="00EE5C5D">
        <w:t>for services provided at the ICPSC, Center’</w:t>
      </w:r>
      <w:r>
        <w:t>s facilities, and Accommodation</w:t>
      </w:r>
      <w:r w:rsidRPr="00EE5C5D">
        <w:t>.</w:t>
      </w:r>
    </w:p>
    <w:p w14:paraId="7E3F156E" w14:textId="77777777" w:rsidR="009A50FF" w:rsidRDefault="009A50FF" w:rsidP="009A50FF">
      <w:pPr>
        <w:jc w:val="both"/>
        <w:rPr>
          <w:b/>
          <w:u w:val="single"/>
        </w:rPr>
      </w:pPr>
    </w:p>
    <w:p w14:paraId="55260A6E" w14:textId="77777777" w:rsidR="009A50FF" w:rsidRPr="0087642F" w:rsidRDefault="009A50FF" w:rsidP="009A50FF">
      <w:pPr>
        <w:jc w:val="both"/>
        <w:rPr>
          <w:b/>
        </w:rPr>
      </w:pPr>
      <w:r>
        <w:rPr>
          <w:b/>
        </w:rPr>
        <w:t>3</w:t>
      </w:r>
      <w:r w:rsidRPr="0087642F">
        <w:rPr>
          <w:b/>
        </w:rPr>
        <w:t>. Spot check conducted in Disability Services Centers (DSCs) in 201</w:t>
      </w:r>
      <w:r>
        <w:rPr>
          <w:b/>
        </w:rPr>
        <w:t>4</w:t>
      </w:r>
    </w:p>
    <w:p w14:paraId="2F6B0656" w14:textId="77777777" w:rsidR="009A50FF" w:rsidRDefault="009A50FF" w:rsidP="009A50FF">
      <w:pPr>
        <w:jc w:val="both"/>
        <w:rPr>
          <w:b/>
          <w:u w:val="single"/>
        </w:rPr>
      </w:pPr>
    </w:p>
    <w:p w14:paraId="37DEEC0E" w14:textId="77777777" w:rsidR="009A50FF" w:rsidRDefault="009A50FF" w:rsidP="009A50FF">
      <w:pPr>
        <w:jc w:val="both"/>
        <w:rPr>
          <w:b/>
          <w:u w:val="single"/>
        </w:rPr>
      </w:pPr>
      <w:r w:rsidRPr="00187879">
        <w:rPr>
          <w:b/>
        </w:rPr>
        <w:t>a) The infrastructure and facilities:</w:t>
      </w:r>
      <w:r>
        <w:rPr>
          <w:b/>
        </w:rPr>
        <w:t xml:space="preserve"> </w:t>
      </w:r>
      <w:r>
        <w:t xml:space="preserve">At a functional level, the </w:t>
      </w:r>
      <w:r w:rsidRPr="0087642F">
        <w:t xml:space="preserve">DSCs </w:t>
      </w:r>
      <w:r>
        <w:t xml:space="preserve">were </w:t>
      </w:r>
      <w:r w:rsidRPr="0087642F">
        <w:t>found to be moderate with almost 80 percent of surveyed centers were found to meet basic requirements on infrastructure and facilities.</w:t>
      </w:r>
      <w:r>
        <w:t xml:space="preserve"> </w:t>
      </w:r>
      <w:r w:rsidRPr="0087642F">
        <w:t xml:space="preserve">All DSCs that were surveyed had electricity and internet connection as well as daily cleaning services and reception desk. Internet connectivity in DSCs located in remote areas was found to be poor and often </w:t>
      </w:r>
      <w:r>
        <w:t xml:space="preserve">with </w:t>
      </w:r>
      <w:r w:rsidRPr="0087642F">
        <w:t>disrupt</w:t>
      </w:r>
      <w:r>
        <w:t>ed</w:t>
      </w:r>
      <w:r w:rsidRPr="0087642F">
        <w:t xml:space="preserve"> communication and data sharing on custo</w:t>
      </w:r>
      <w:r>
        <w:t>mers’ services. The majority had</w:t>
      </w:r>
      <w:r w:rsidRPr="0087642F">
        <w:t xml:space="preserve"> visible sign boards facilitating the provision of information to seekers for services for PWDs.</w:t>
      </w:r>
      <w:r>
        <w:t xml:space="preserve"> Since the centers were operating from a rented premises that made renovation / construction difficult, o</w:t>
      </w:r>
      <w:r w:rsidRPr="0087642F">
        <w:t>nly 57 percent of DSCs had accessible ramp facilities for PWDs</w:t>
      </w:r>
      <w:r>
        <w:t>. O</w:t>
      </w:r>
      <w:r w:rsidRPr="00CA451D">
        <w:t>nly 48 percent of DSCs reporting adequate access to tap water</w:t>
      </w:r>
      <w:r>
        <w:t xml:space="preserve">. </w:t>
      </w:r>
      <w:r w:rsidRPr="00CA451D">
        <w:t xml:space="preserve">79 percent of IDA and GoB funded DSCs had adequate number of therapy equipment and tools for disability services. However, the spot checks found that some equipment were out </w:t>
      </w:r>
      <w:r>
        <w:t xml:space="preserve">of </w:t>
      </w:r>
      <w:r w:rsidRPr="00CA451D">
        <w:t xml:space="preserve">order or had become obsolete and required replacement.  </w:t>
      </w:r>
    </w:p>
    <w:p w14:paraId="7E12B49E" w14:textId="77777777" w:rsidR="009A50FF" w:rsidRDefault="009A50FF" w:rsidP="009A50FF">
      <w:pPr>
        <w:jc w:val="both"/>
        <w:rPr>
          <w:b/>
          <w:u w:val="single"/>
        </w:rPr>
      </w:pPr>
    </w:p>
    <w:p w14:paraId="2EA801F1" w14:textId="77777777" w:rsidR="009A50FF" w:rsidRDefault="009A50FF" w:rsidP="009A50FF">
      <w:pPr>
        <w:jc w:val="both"/>
      </w:pPr>
      <w:r>
        <w:rPr>
          <w:b/>
        </w:rPr>
        <w:t>b</w:t>
      </w:r>
      <w:r w:rsidRPr="00187879">
        <w:rPr>
          <w:b/>
        </w:rPr>
        <w:t xml:space="preserve">) Staff competency and </w:t>
      </w:r>
      <w:r>
        <w:rPr>
          <w:b/>
        </w:rPr>
        <w:t>satisfaction</w:t>
      </w:r>
      <w:r w:rsidRPr="00187879">
        <w:rPr>
          <w:b/>
        </w:rPr>
        <w:t>:</w:t>
      </w:r>
      <w:r>
        <w:rPr>
          <w:b/>
        </w:rPr>
        <w:t xml:space="preserve"> </w:t>
      </w:r>
      <w:r w:rsidRPr="00CA451D">
        <w:t>Overall staff competency across DSCs aggregated in the composite index, was fo</w:t>
      </w:r>
      <w:r>
        <w:t xml:space="preserve">und to be very low with only 39% </w:t>
      </w:r>
      <w:r w:rsidRPr="00CA451D">
        <w:t>of staff assessed as competent</w:t>
      </w:r>
      <w:r>
        <w:t>.</w:t>
      </w:r>
      <w:r w:rsidRPr="00CA451D">
        <w:t xml:space="preserve"> Staff knowledge about GoB and JPUF rules and regulations was particularly found to be lacking.</w:t>
      </w:r>
      <w:r>
        <w:t xml:space="preserve"> </w:t>
      </w:r>
      <w:r w:rsidRPr="00CA451D">
        <w:t xml:space="preserve">Only 18 percent of staff in surveyed DSCs had clear knowledge and understanding about GoB disability act and rules for protection and services for PWDs. </w:t>
      </w:r>
      <w:r>
        <w:t>Similarly</w:t>
      </w:r>
      <w:r w:rsidRPr="00CA451D">
        <w:t xml:space="preserve">, only 18 percent of staff were able to demonstrate their knowledge about the roles and rules of JPUF. Almost 80 percent of staff including </w:t>
      </w:r>
      <w:r>
        <w:t xml:space="preserve">those in </w:t>
      </w:r>
      <w:r w:rsidRPr="00CA451D">
        <w:t>technical and non-technical staff category working received some on the job training</w:t>
      </w:r>
      <w:r>
        <w:t xml:space="preserve">. </w:t>
      </w:r>
      <w:r w:rsidRPr="00CA451D">
        <w:t>Overall staff satisfaction towards the</w:t>
      </w:r>
      <w:r>
        <w:t>ir job was low at 30%. S</w:t>
      </w:r>
      <w:r w:rsidRPr="00CA451D">
        <w:t>taff expressed a higher level of satisfaction with facilities and treatment offered in DSCs with 81 percent expressing that they are either satisfied or strongly satisfied.</w:t>
      </w:r>
    </w:p>
    <w:p w14:paraId="7E5F4DCB" w14:textId="77777777" w:rsidR="009A50FF" w:rsidRDefault="009A50FF" w:rsidP="009A50FF">
      <w:pPr>
        <w:jc w:val="both"/>
      </w:pPr>
    </w:p>
    <w:p w14:paraId="29385D62" w14:textId="77777777" w:rsidR="009A50FF" w:rsidRPr="00CA451D" w:rsidRDefault="009A50FF" w:rsidP="009A50FF">
      <w:pPr>
        <w:jc w:val="both"/>
      </w:pPr>
      <w:r>
        <w:rPr>
          <w:rStyle w:val="Heading2Char"/>
        </w:rPr>
        <w:t xml:space="preserve">c) </w:t>
      </w:r>
      <w:r w:rsidRPr="008B6BF0">
        <w:rPr>
          <w:rStyle w:val="Heading2Char"/>
        </w:rPr>
        <w:t>Satisfaction levels of Persons with Disabilities:</w:t>
      </w:r>
      <w:r>
        <w:t xml:space="preserve"> beneficiaries</w:t>
      </w:r>
      <w:r w:rsidRPr="008B6BF0">
        <w:t xml:space="preserve"> positively rated the DSC facilities and services, with almost 80 percent expressing their overall strong or moderate satisfaction with the various DSC facilities and services</w:t>
      </w:r>
      <w:r>
        <w:t xml:space="preserve">. </w:t>
      </w:r>
      <w:r w:rsidRPr="008B6BF0">
        <w:t>Although only 33 of the 210 PWDs received assistive devices, those that did receive these devices expressed a high level of satisfaction with their devices.</w:t>
      </w:r>
      <w:r>
        <w:t xml:space="preserve"> Over 90% were satisfied or strongly satisfied with the registration process, behavior of staff, competency of therapist / technical staff and the advice they received from the center.</w:t>
      </w:r>
    </w:p>
    <w:p w14:paraId="72633D28" w14:textId="77777777" w:rsidR="009A50FF" w:rsidRPr="00043E14" w:rsidRDefault="009A50FF" w:rsidP="009A50FF">
      <w:pPr>
        <w:pStyle w:val="Heading2"/>
        <w:jc w:val="both"/>
        <w:rPr>
          <w:b w:val="0"/>
          <w:sz w:val="24"/>
          <w:szCs w:val="24"/>
        </w:rPr>
      </w:pPr>
      <w:r w:rsidRPr="00043E14">
        <w:rPr>
          <w:sz w:val="24"/>
          <w:szCs w:val="24"/>
        </w:rPr>
        <w:t>d) Community Knowledge and awareness about DSCs:</w:t>
      </w:r>
      <w:r>
        <w:rPr>
          <w:sz w:val="24"/>
          <w:szCs w:val="24"/>
        </w:rPr>
        <w:t xml:space="preserve"> </w:t>
      </w:r>
      <w:r w:rsidRPr="00043E14">
        <w:rPr>
          <w:b w:val="0"/>
          <w:sz w:val="24"/>
          <w:szCs w:val="24"/>
        </w:rPr>
        <w:t>The survey team conducted 40 FGDs with communities within the periphery of IDA funded DSCs and 22 FGDs within the periphery of GoB funded DSCs. 70</w:t>
      </w:r>
      <w:r w:rsidRPr="00043E14">
        <w:rPr>
          <w:rFonts w:hint="eastAsia"/>
          <w:b w:val="0"/>
          <w:sz w:val="24"/>
          <w:szCs w:val="24"/>
        </w:rPr>
        <w:t xml:space="preserve"> percent</w:t>
      </w:r>
      <w:r w:rsidRPr="00043E14">
        <w:rPr>
          <w:b w:val="0"/>
          <w:sz w:val="24"/>
          <w:szCs w:val="24"/>
        </w:rPr>
        <w:t xml:space="preserve"> of respondents had at least basic awareness about DSCs</w:t>
      </w:r>
      <w:r>
        <w:rPr>
          <w:b w:val="0"/>
          <w:sz w:val="24"/>
          <w:szCs w:val="24"/>
        </w:rPr>
        <w:t>. O</w:t>
      </w:r>
      <w:r w:rsidRPr="00043E14">
        <w:rPr>
          <w:b w:val="0"/>
          <w:sz w:val="24"/>
          <w:szCs w:val="24"/>
        </w:rPr>
        <w:t>nly 47 percent FGD participants (50 percent from GoB and 45 percent from IDA financed DSCs) said that they have seen staff from DSCs visit their community to provide information, and identify PWDs and advise them to visit DSCs.</w:t>
      </w:r>
      <w:r>
        <w:rPr>
          <w:b w:val="0"/>
          <w:sz w:val="24"/>
          <w:szCs w:val="24"/>
        </w:rPr>
        <w:t xml:space="preserve"> </w:t>
      </w:r>
      <w:r w:rsidRPr="00043E14">
        <w:rPr>
          <w:b w:val="0"/>
          <w:sz w:val="24"/>
          <w:szCs w:val="24"/>
        </w:rPr>
        <w:t>The composite index reflected an overall high level of knowledge within the local community members interviewed in the FGDs, with 87 percent of respondents having some knowledge and awareness about NGO and government services for PWDs</w:t>
      </w:r>
      <w:r>
        <w:rPr>
          <w:b w:val="0"/>
          <w:sz w:val="24"/>
          <w:szCs w:val="24"/>
        </w:rPr>
        <w:t>.</w:t>
      </w:r>
      <w:r w:rsidRPr="00F432B1">
        <w:t xml:space="preserve"> </w:t>
      </w:r>
      <w:r w:rsidRPr="00F432B1">
        <w:rPr>
          <w:b w:val="0"/>
          <w:sz w:val="24"/>
          <w:szCs w:val="24"/>
        </w:rPr>
        <w:t>Almost all focus group respondents said they were aware of services offered by</w:t>
      </w:r>
      <w:r>
        <w:rPr>
          <w:b w:val="0"/>
          <w:sz w:val="24"/>
          <w:szCs w:val="24"/>
        </w:rPr>
        <w:t xml:space="preserve"> JPUF.</w:t>
      </w:r>
    </w:p>
    <w:p w14:paraId="642E2F73" w14:textId="77777777" w:rsidR="009A50FF" w:rsidRDefault="009A50FF" w:rsidP="009A50FF">
      <w:pPr>
        <w:jc w:val="both"/>
        <w:rPr>
          <w:b/>
          <w:u w:val="single"/>
        </w:rPr>
      </w:pPr>
    </w:p>
    <w:p w14:paraId="5ADF3BCC" w14:textId="77777777" w:rsidR="009A50FF" w:rsidRPr="004168A9" w:rsidRDefault="009A50FF" w:rsidP="009A50FF">
      <w:pPr>
        <w:jc w:val="both"/>
        <w:rPr>
          <w:b/>
        </w:rPr>
      </w:pPr>
      <w:r>
        <w:rPr>
          <w:b/>
        </w:rPr>
        <w:t xml:space="preserve">4. </w:t>
      </w:r>
      <w:r w:rsidRPr="004168A9">
        <w:rPr>
          <w:b/>
        </w:rPr>
        <w:t>Spot Check conducted in ICPSCs in 2014</w:t>
      </w:r>
    </w:p>
    <w:p w14:paraId="4105E5F7" w14:textId="77777777" w:rsidR="009A50FF" w:rsidRDefault="009A50FF" w:rsidP="009A50FF">
      <w:pPr>
        <w:jc w:val="both"/>
        <w:rPr>
          <w:b/>
          <w:u w:val="single"/>
        </w:rPr>
      </w:pPr>
    </w:p>
    <w:p w14:paraId="1A53FAF1" w14:textId="77777777" w:rsidR="009A50FF" w:rsidRDefault="009A50FF" w:rsidP="009A50FF">
      <w:pPr>
        <w:jc w:val="both"/>
      </w:pPr>
      <w:r w:rsidRPr="00187879">
        <w:rPr>
          <w:b/>
        </w:rPr>
        <w:t>a) The infrastructure and facilities:</w:t>
      </w:r>
      <w:r w:rsidRPr="006562D0">
        <w:rPr>
          <w:b/>
        </w:rPr>
        <w:t xml:space="preserve"> </w:t>
      </w:r>
      <w:r w:rsidRPr="006562D0">
        <w:t>Out of a total of 7 ICPSCs, 4 were found to be functioning at a moderate level, and met the basic requirements for logistics, equipment, facilities and services to the children</w:t>
      </w:r>
      <w:r>
        <w:t xml:space="preserve">. </w:t>
      </w:r>
      <w:r w:rsidRPr="006562D0">
        <w:rPr>
          <w:rFonts w:eastAsiaTheme="minorEastAsia"/>
          <w:lang w:eastAsia="ko-KR"/>
        </w:rPr>
        <w:t>Many</w:t>
      </w:r>
      <w:r w:rsidRPr="006562D0">
        <w:t xml:space="preserve"> centers surveyed lacked amenities such as tap water, telephones and appropriate office equipment.</w:t>
      </w:r>
    </w:p>
    <w:p w14:paraId="22CEAA99" w14:textId="77777777" w:rsidR="009A50FF" w:rsidRPr="006562D0" w:rsidRDefault="009A50FF" w:rsidP="009A50FF">
      <w:pPr>
        <w:jc w:val="both"/>
      </w:pPr>
    </w:p>
    <w:p w14:paraId="6D736827" w14:textId="77777777" w:rsidR="009A50FF" w:rsidRDefault="009A50FF" w:rsidP="009A50FF">
      <w:pPr>
        <w:jc w:val="both"/>
      </w:pPr>
      <w:r w:rsidRPr="00187879">
        <w:rPr>
          <w:b/>
        </w:rPr>
        <w:t>b) Understanding of U</w:t>
      </w:r>
      <w:r w:rsidRPr="00187879">
        <w:rPr>
          <w:rFonts w:eastAsiaTheme="minorEastAsia"/>
          <w:b/>
          <w:lang w:eastAsia="ko-KR"/>
        </w:rPr>
        <w:t xml:space="preserve">nion </w:t>
      </w:r>
      <w:r w:rsidRPr="00187879">
        <w:rPr>
          <w:b/>
        </w:rPr>
        <w:t>S</w:t>
      </w:r>
      <w:r w:rsidRPr="00187879">
        <w:rPr>
          <w:rFonts w:eastAsiaTheme="minorEastAsia"/>
          <w:b/>
          <w:lang w:eastAsia="ko-KR"/>
        </w:rPr>
        <w:t xml:space="preserve">ocial </w:t>
      </w:r>
      <w:r w:rsidRPr="00187879">
        <w:rPr>
          <w:b/>
        </w:rPr>
        <w:t>W</w:t>
      </w:r>
      <w:r w:rsidRPr="00187879">
        <w:rPr>
          <w:rFonts w:eastAsiaTheme="minorEastAsia"/>
          <w:b/>
          <w:lang w:eastAsia="ko-KR"/>
        </w:rPr>
        <w:t>orker</w:t>
      </w:r>
      <w:r w:rsidRPr="00187879">
        <w:rPr>
          <w:b/>
        </w:rPr>
        <w:t>s</w:t>
      </w:r>
      <w:r w:rsidRPr="00187879">
        <w:rPr>
          <w:rFonts w:eastAsiaTheme="minorEastAsia"/>
          <w:b/>
          <w:lang w:eastAsia="ko-KR"/>
        </w:rPr>
        <w:t xml:space="preserve"> (USWs):</w:t>
      </w:r>
      <w:r w:rsidRPr="006562D0">
        <w:rPr>
          <w:i/>
        </w:rPr>
        <w:t xml:space="preserve"> </w:t>
      </w:r>
      <w:r>
        <w:t xml:space="preserve">The Union Social Workers are the centers link with the </w:t>
      </w:r>
      <w:r w:rsidRPr="00187879">
        <w:t>community</w:t>
      </w:r>
      <w:r>
        <w:t xml:space="preserve">. They </w:t>
      </w:r>
      <w:r w:rsidRPr="006562D0">
        <w:t xml:space="preserve">identify </w:t>
      </w:r>
      <w:r>
        <w:t xml:space="preserve">children at risk </w:t>
      </w:r>
      <w:r w:rsidRPr="006562D0">
        <w:t xml:space="preserve">and facilitate their reintegration process when leaving the ICPSCs. </w:t>
      </w:r>
      <w:r>
        <w:t xml:space="preserve">Those </w:t>
      </w:r>
      <w:r w:rsidRPr="006562D0">
        <w:rPr>
          <w:rFonts w:eastAsiaTheme="minorEastAsia"/>
          <w:lang w:eastAsia="ko-KR"/>
        </w:rPr>
        <w:t>interviewed</w:t>
      </w:r>
      <w:r w:rsidRPr="006562D0">
        <w:t xml:space="preserve"> in the spot checks </w:t>
      </w:r>
      <w:r w:rsidRPr="006562D0">
        <w:rPr>
          <w:rFonts w:eastAsiaTheme="minorEastAsia"/>
          <w:lang w:eastAsia="ko-KR"/>
        </w:rPr>
        <w:t xml:space="preserve">generally </w:t>
      </w:r>
      <w:r w:rsidRPr="006562D0">
        <w:t xml:space="preserve">had a </w:t>
      </w:r>
      <w:r w:rsidRPr="006562D0">
        <w:rPr>
          <w:rFonts w:eastAsiaTheme="minorEastAsia"/>
          <w:lang w:eastAsia="ko-KR"/>
        </w:rPr>
        <w:t>good</w:t>
      </w:r>
      <w:r w:rsidRPr="006562D0">
        <w:t xml:space="preserve"> understanding of their responsibilities and ICPSCs services. </w:t>
      </w:r>
      <w:r>
        <w:t>A</w:t>
      </w:r>
      <w:r w:rsidRPr="002545FE">
        <w:t xml:space="preserve">bout 95 percent of all USWs reported that staff from ICPSCs had visited homes </w:t>
      </w:r>
      <w:r>
        <w:t xml:space="preserve">of children at risk </w:t>
      </w:r>
      <w:r w:rsidRPr="002545FE">
        <w:t xml:space="preserve">in their community at least once and also met the Union Parishad (town union) chairman and other community members. </w:t>
      </w:r>
      <w:r w:rsidRPr="006562D0">
        <w:rPr>
          <w:rFonts w:eastAsiaTheme="minorEastAsia"/>
          <w:lang w:eastAsia="ko-KR"/>
        </w:rPr>
        <w:t xml:space="preserve">However, about 45 percent </w:t>
      </w:r>
      <w:r w:rsidRPr="006562D0">
        <w:t xml:space="preserve">interviewed </w:t>
      </w:r>
      <w:r w:rsidRPr="006562D0">
        <w:rPr>
          <w:rFonts w:eastAsiaTheme="minorEastAsia"/>
          <w:lang w:eastAsia="ko-KR"/>
        </w:rPr>
        <w:t>expressed</w:t>
      </w:r>
      <w:r w:rsidRPr="006562D0">
        <w:t xml:space="preserve"> difficulty in appropriately identifying </w:t>
      </w:r>
      <w:r>
        <w:t>children at risk</w:t>
      </w:r>
      <w:r w:rsidRPr="006562D0">
        <w:t xml:space="preserve"> and following up on their re-integration to the community. </w:t>
      </w:r>
      <w:r>
        <w:t>O</w:t>
      </w:r>
      <w:r w:rsidRPr="002545FE">
        <w:t>nly about 45 percent of USWs could correctly identify children’s eligibility for enrolment with ICPSCs. About 63 percent of USWs confirmed that they knew about ICPSC facilities to serve CARs, but only a few USWs interviewed knew about other institutions serving CAR</w:t>
      </w:r>
      <w:r>
        <w:t>s run by GoB and NGOs specializ</w:t>
      </w:r>
      <w:r w:rsidRPr="002545FE">
        <w:t>ing in children rehabilitation, protection and development.</w:t>
      </w:r>
    </w:p>
    <w:p w14:paraId="7F6F7F53" w14:textId="77777777" w:rsidR="009A50FF" w:rsidRPr="006562D0" w:rsidRDefault="009A50FF" w:rsidP="009A50FF">
      <w:pPr>
        <w:jc w:val="both"/>
      </w:pPr>
    </w:p>
    <w:p w14:paraId="7374875D" w14:textId="77777777" w:rsidR="009A50FF" w:rsidRDefault="009A50FF" w:rsidP="009A50FF">
      <w:pPr>
        <w:jc w:val="both"/>
      </w:pPr>
      <w:r w:rsidRPr="00187879">
        <w:rPr>
          <w:b/>
        </w:rPr>
        <w:t xml:space="preserve">c) Staff competency and </w:t>
      </w:r>
      <w:r>
        <w:rPr>
          <w:b/>
        </w:rPr>
        <w:t>satisfaction</w:t>
      </w:r>
      <w:r w:rsidRPr="00187879">
        <w:rPr>
          <w:b/>
        </w:rPr>
        <w:t>:</w:t>
      </w:r>
      <w:r w:rsidRPr="00187879">
        <w:t xml:space="preserve"> </w:t>
      </w:r>
      <w:r w:rsidRPr="008E57C1">
        <w:t>Almost 80 percent of staff holds relevant educational qualification with specialized degrees or have completed related courses such as psychotherapy, counselling, and child psychology.</w:t>
      </w:r>
      <w:r>
        <w:t xml:space="preserve"> L</w:t>
      </w:r>
      <w:r w:rsidRPr="008E57C1">
        <w:t>ess than half of the interviewed staff has received on the job training in the relevant ar</w:t>
      </w:r>
      <w:r>
        <w:t>eas</w:t>
      </w:r>
      <w:r w:rsidRPr="008E57C1">
        <w:t>. Only 46 percent of staff has shown sufficient knowledge about case management and assessment.</w:t>
      </w:r>
      <w:r>
        <w:t xml:space="preserve"> O</w:t>
      </w:r>
      <w:r w:rsidRPr="008E57C1">
        <w:t>nly 66 percent of staff had an understanding of the needs of children and services required for them</w:t>
      </w:r>
      <w:r>
        <w:t>,</w:t>
      </w:r>
      <w:r w:rsidRPr="008E57C1">
        <w:t xml:space="preserve"> </w:t>
      </w:r>
      <w:r>
        <w:t>while</w:t>
      </w:r>
      <w:r w:rsidRPr="008E57C1">
        <w:t xml:space="preserve"> only 61 percent of staff were able to articulate different roles of ICPSCs for CARs</w:t>
      </w:r>
      <w:r>
        <w:t>.</w:t>
      </w:r>
    </w:p>
    <w:p w14:paraId="5879F07F" w14:textId="77777777" w:rsidR="009A50FF" w:rsidRDefault="009A50FF" w:rsidP="009A50FF">
      <w:pPr>
        <w:jc w:val="both"/>
      </w:pPr>
    </w:p>
    <w:p w14:paraId="590C1FC3" w14:textId="77777777" w:rsidR="009A50FF" w:rsidRDefault="009A50FF" w:rsidP="009A50FF">
      <w:pPr>
        <w:jc w:val="both"/>
      </w:pPr>
      <w:r>
        <w:t>M</w:t>
      </w:r>
      <w:r w:rsidRPr="006F0581">
        <w:t>ajority of staff was generally satisfied or highly satisfied with their work and quality of services. However, the level of satisfaction was higher for work compared to the quality of services provided by ICPSCs, indicating that there is room for improvement in services.</w:t>
      </w:r>
    </w:p>
    <w:p w14:paraId="412B5DB2" w14:textId="77777777" w:rsidR="009A50FF" w:rsidRPr="006562D0" w:rsidRDefault="009A50FF" w:rsidP="009A50FF">
      <w:pPr>
        <w:jc w:val="both"/>
      </w:pPr>
    </w:p>
    <w:p w14:paraId="37B6580C" w14:textId="77777777" w:rsidR="009A50FF" w:rsidRPr="006562D0" w:rsidRDefault="009A50FF" w:rsidP="009A50FF">
      <w:pPr>
        <w:jc w:val="both"/>
      </w:pPr>
      <w:r w:rsidRPr="0004123A">
        <w:rPr>
          <w:b/>
        </w:rPr>
        <w:t>d) Satisfaction levels of children at risk:</w:t>
      </w:r>
      <w:r w:rsidRPr="0004123A">
        <w:t xml:space="preserve"> </w:t>
      </w:r>
      <w:r>
        <w:t xml:space="preserve">Children at risk </w:t>
      </w:r>
      <w:r w:rsidRPr="0004123A">
        <w:t>expressed high levels of satisfaction</w:t>
      </w:r>
      <w:r w:rsidRPr="006562D0">
        <w:t xml:space="preserve"> with food, accommodation, entertainment and healthcare facilities, and opportunities for development</w:t>
      </w:r>
      <w:r w:rsidRPr="006562D0">
        <w:rPr>
          <w:rFonts w:eastAsiaTheme="minorEastAsia"/>
          <w:lang w:eastAsia="ko-KR"/>
        </w:rPr>
        <w:t>, although a</w:t>
      </w:r>
      <w:r w:rsidRPr="006562D0">
        <w:t xml:space="preserve"> few children expressed their dissatisfaction with the quantity of clothes they received from the center</w:t>
      </w:r>
      <w:r w:rsidRPr="006562D0">
        <w:rPr>
          <w:rFonts w:eastAsiaTheme="minorEastAsia"/>
          <w:lang w:eastAsia="ko-KR"/>
        </w:rPr>
        <w:t>s</w:t>
      </w:r>
      <w:r w:rsidRPr="006562D0">
        <w:t xml:space="preserve">. </w:t>
      </w:r>
      <w:r w:rsidRPr="008F6C74">
        <w:t xml:space="preserve">Almost all of the children expressed their high level satisfaction on cleanliness, discipline of the center, entertainment facilities, staff behavior, and quantity and quality of food they were getting.   In addition, more than 95% children were highly and moderately satisfied with accommodation, healthcare, non-formal education, life skills training, referral services for vocational training, and psychosocial counselling services. </w:t>
      </w:r>
      <w:r>
        <w:t xml:space="preserve"> All of them reported satisfaction about the competency of the staff. </w:t>
      </w:r>
      <w:r w:rsidRPr="008F6C74">
        <w:rPr>
          <w:rFonts w:eastAsiaTheme="minorEastAsia"/>
          <w:lang w:eastAsia="ko-KR"/>
        </w:rPr>
        <w:t xml:space="preserve">About 23% of CARs interviewed expressed their dissatisfaction about rehabilitation </w:t>
      </w:r>
      <w:r>
        <w:rPr>
          <w:rFonts w:eastAsiaTheme="minorEastAsia"/>
          <w:lang w:eastAsia="ko-KR"/>
        </w:rPr>
        <w:t xml:space="preserve">and reintegration </w:t>
      </w:r>
      <w:r w:rsidRPr="008F6C74">
        <w:rPr>
          <w:rFonts w:eastAsiaTheme="minorEastAsia"/>
          <w:lang w:eastAsia="ko-KR"/>
        </w:rPr>
        <w:t>plans</w:t>
      </w:r>
      <w:r>
        <w:rPr>
          <w:rFonts w:eastAsiaTheme="minorEastAsia"/>
          <w:lang w:eastAsia="ko-KR"/>
        </w:rPr>
        <w:t>.</w:t>
      </w:r>
    </w:p>
    <w:p w14:paraId="695C8ACA" w14:textId="77777777" w:rsidR="009A50FF" w:rsidRDefault="009A50FF" w:rsidP="009A50FF"/>
    <w:p w14:paraId="2613BEC2" w14:textId="77777777" w:rsidR="00E07BAC" w:rsidRPr="00E07BAC" w:rsidRDefault="00E07BAC" w:rsidP="00E07BAC"/>
    <w:p w14:paraId="5E89E4D4" w14:textId="77777777" w:rsidR="00E03DE1" w:rsidRDefault="00E03DE1">
      <w:pPr>
        <w:rPr>
          <w:vanish/>
        </w:rPr>
      </w:pPr>
      <w:r>
        <w:br w:type="page"/>
      </w:r>
    </w:p>
    <w:p w14:paraId="6B1C7660" w14:textId="77777777" w:rsidR="00C67D43" w:rsidRDefault="00C67D43">
      <w:pPr>
        <w:pStyle w:val="Heading2"/>
      </w:pPr>
    </w:p>
    <w:p w14:paraId="3DF62727" w14:textId="77777777" w:rsidR="00C67D43" w:rsidRDefault="000411CD" w:rsidP="000411CD">
      <w:pPr>
        <w:pStyle w:val="Heading2"/>
      </w:pPr>
      <w:bookmarkStart w:id="206" w:name="_Toc158019382"/>
      <w:r>
        <w:t>Annex 6. Stakeholder Workshop Report and Results</w:t>
      </w:r>
      <w:bookmarkEnd w:id="206"/>
    </w:p>
    <w:p w14:paraId="2748DAC3" w14:textId="77777777" w:rsidR="000411CD" w:rsidRDefault="000411CD">
      <w:pPr>
        <w:rPr>
          <w:i/>
        </w:rPr>
      </w:pPr>
      <w:r w:rsidRPr="00E07BAC">
        <w:rPr>
          <w:i/>
        </w:rPr>
        <w:t>(if any)</w:t>
      </w:r>
    </w:p>
    <w:p w14:paraId="30FD2B48" w14:textId="77777777" w:rsidR="00775151" w:rsidRDefault="0085764E">
      <w:bookmarkStart w:id="207" w:name="ANN9"/>
      <w:bookmarkEnd w:id="207"/>
      <w:r>
        <w:t>N/A</w:t>
      </w:r>
    </w:p>
    <w:p w14:paraId="7B7224B9" w14:textId="77777777" w:rsidR="00E03DE1" w:rsidRPr="00BD768E" w:rsidRDefault="00E03DE1">
      <w:pPr>
        <w:rPr>
          <w:vanish/>
        </w:rPr>
      </w:pPr>
      <w:r>
        <w:br w:type="page"/>
      </w:r>
    </w:p>
    <w:p w14:paraId="64F7B68E" w14:textId="77777777" w:rsidR="00C67D43" w:rsidRPr="00BD768E" w:rsidRDefault="00C67D43">
      <w:pPr>
        <w:pStyle w:val="Heading2"/>
      </w:pPr>
      <w:bookmarkStart w:id="208" w:name="_IL22"/>
      <w:bookmarkStart w:id="209" w:name="_Toc158019383"/>
      <w:r w:rsidRPr="00BD768E">
        <w:t xml:space="preserve">Annex 7. </w:t>
      </w:r>
      <w:bookmarkStart w:id="210" w:name="ANN7_RE_LBL"/>
      <w:r w:rsidRPr="00BD768E">
        <w:t xml:space="preserve">Summary of Borrower's ICR </w:t>
      </w:r>
      <w:bookmarkEnd w:id="208"/>
      <w:bookmarkEnd w:id="209"/>
      <w:bookmarkEnd w:id="210"/>
    </w:p>
    <w:p w14:paraId="0E234E6A" w14:textId="77777777" w:rsidR="00775151" w:rsidRPr="009266A1" w:rsidRDefault="00660A3A" w:rsidP="00653671">
      <w:pPr>
        <w:pStyle w:val="Heading2"/>
        <w:numPr>
          <w:ilvl w:val="0"/>
          <w:numId w:val="31"/>
        </w:numPr>
        <w:ind w:left="0"/>
        <w:jc w:val="both"/>
        <w:rPr>
          <w:b w:val="0"/>
          <w:sz w:val="24"/>
          <w:szCs w:val="24"/>
        </w:rPr>
      </w:pPr>
      <w:r w:rsidRPr="009266A1">
        <w:rPr>
          <w:sz w:val="24"/>
          <w:szCs w:val="24"/>
        </w:rPr>
        <w:t xml:space="preserve">Summary of Project Completion Report (PCR) submitted by Jatiyo Protibondhi Unnayan Foundation (JPUF): </w:t>
      </w:r>
      <w:r w:rsidRPr="009266A1">
        <w:rPr>
          <w:b w:val="0"/>
          <w:sz w:val="24"/>
          <w:szCs w:val="24"/>
        </w:rPr>
        <w:t>Jatiyo Protibondhi Unnayan Foundation (JPUF) is an autonomous entity under Ministry of Social Welfare. It was established in November 1999 under the society’s registration act 1860 headed by an additional secretary. JPUF aims to serve persons with disabilities (PwDs) of Bangladesh. JPUF has implemented one of the components of DCAR project titled as ‘Promotion of Services and Opportunities to the Disabled Person in Bangladesh’. This component aims to strengthen the capacity of JPUF to formulate and implement disability policies and programs, increase the coverage and quality of disability services and programs, and build up public awareness on the rights of persons with disability in Bangladesh through Integrated Disability Service Centers.</w:t>
      </w:r>
    </w:p>
    <w:p w14:paraId="7B83F067" w14:textId="77777777" w:rsidR="00660A3A" w:rsidRPr="009266A1" w:rsidRDefault="002E43DD" w:rsidP="00660A3A">
      <w:pPr>
        <w:pStyle w:val="Heading2"/>
        <w:jc w:val="both"/>
        <w:rPr>
          <w:b w:val="0"/>
          <w:sz w:val="24"/>
          <w:szCs w:val="24"/>
        </w:rPr>
      </w:pPr>
      <w:r w:rsidRPr="009266A1">
        <w:rPr>
          <w:sz w:val="24"/>
          <w:szCs w:val="24"/>
        </w:rPr>
        <w:t>Key Activities:</w:t>
      </w:r>
      <w:r w:rsidRPr="009266A1">
        <w:rPr>
          <w:b w:val="0"/>
          <w:sz w:val="24"/>
          <w:szCs w:val="24"/>
        </w:rPr>
        <w:t xml:space="preserve"> </w:t>
      </w:r>
      <w:r w:rsidR="00DE27AF" w:rsidRPr="009266A1">
        <w:rPr>
          <w:b w:val="0"/>
          <w:sz w:val="24"/>
          <w:szCs w:val="24"/>
        </w:rPr>
        <w:t>JPUF has set up 101 Integrated Disability Service Centers (IDSCs) out of which 50 IDSCs have been set up using IDA assistance and 32 Mobile Therapy Rehabilitation Vans (MTRV) which are now being operated by the Project Implementation Unit (PIU) of Head Office all over Bangladesh.</w:t>
      </w:r>
    </w:p>
    <w:p w14:paraId="0FAA8C97" w14:textId="77777777" w:rsidR="002E43DD" w:rsidRPr="009266A1" w:rsidRDefault="002E43DD" w:rsidP="002E43DD">
      <w:pPr>
        <w:pStyle w:val="Heading2"/>
        <w:spacing w:before="0" w:beforeAutospacing="0"/>
        <w:jc w:val="both"/>
        <w:rPr>
          <w:b w:val="0"/>
          <w:sz w:val="24"/>
          <w:szCs w:val="24"/>
        </w:rPr>
      </w:pPr>
    </w:p>
    <w:p w14:paraId="1CE0495C" w14:textId="77777777" w:rsidR="00DE27AF" w:rsidRPr="009266A1" w:rsidRDefault="00DE27AF" w:rsidP="002E43DD">
      <w:pPr>
        <w:pStyle w:val="Heading2"/>
        <w:spacing w:before="0" w:beforeAutospacing="0"/>
        <w:jc w:val="both"/>
        <w:rPr>
          <w:b w:val="0"/>
          <w:sz w:val="24"/>
          <w:szCs w:val="24"/>
        </w:rPr>
      </w:pPr>
      <w:r w:rsidRPr="009266A1">
        <w:rPr>
          <w:b w:val="0"/>
          <w:sz w:val="24"/>
          <w:szCs w:val="24"/>
        </w:rPr>
        <w:t>The activities in the IDSCs include:</w:t>
      </w:r>
      <w:r w:rsidRPr="009266A1">
        <w:rPr>
          <w:b w:val="0"/>
          <w:sz w:val="24"/>
          <w:szCs w:val="24"/>
        </w:rPr>
        <w:tab/>
      </w:r>
      <w:r w:rsidRPr="009266A1">
        <w:rPr>
          <w:b w:val="0"/>
          <w:sz w:val="24"/>
          <w:szCs w:val="24"/>
        </w:rPr>
        <w:tab/>
      </w:r>
      <w:r w:rsidRPr="009266A1">
        <w:rPr>
          <w:b w:val="0"/>
          <w:sz w:val="24"/>
          <w:szCs w:val="24"/>
        </w:rPr>
        <w:tab/>
      </w:r>
      <w:r w:rsidRPr="009266A1">
        <w:rPr>
          <w:b w:val="0"/>
          <w:sz w:val="24"/>
          <w:szCs w:val="24"/>
        </w:rPr>
        <w:tab/>
        <w:t xml:space="preserve"> </w:t>
      </w:r>
    </w:p>
    <w:p w14:paraId="636B135B" w14:textId="77777777" w:rsidR="00DE27AF" w:rsidRPr="009266A1" w:rsidRDefault="00DE27AF" w:rsidP="002E43DD">
      <w:pPr>
        <w:pStyle w:val="Heading2"/>
        <w:numPr>
          <w:ilvl w:val="0"/>
          <w:numId w:val="29"/>
        </w:numPr>
        <w:spacing w:before="0" w:beforeAutospacing="0"/>
        <w:jc w:val="both"/>
        <w:rPr>
          <w:b w:val="0"/>
          <w:sz w:val="24"/>
          <w:szCs w:val="24"/>
        </w:rPr>
      </w:pPr>
      <w:r w:rsidRPr="009266A1">
        <w:rPr>
          <w:b w:val="0"/>
          <w:sz w:val="24"/>
          <w:szCs w:val="24"/>
        </w:rPr>
        <w:t>Identification: Types of Disability</w:t>
      </w:r>
      <w:r w:rsidRPr="009266A1">
        <w:rPr>
          <w:b w:val="0"/>
          <w:sz w:val="24"/>
          <w:szCs w:val="24"/>
        </w:rPr>
        <w:tab/>
      </w:r>
    </w:p>
    <w:p w14:paraId="1DD26819"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Psycho Social Counselling</w:t>
      </w:r>
    </w:p>
    <w:p w14:paraId="2BF038FC"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Physiotherapy</w:t>
      </w:r>
    </w:p>
    <w:p w14:paraId="39C6F456"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Audio Level Test (Audiometry)</w:t>
      </w:r>
    </w:p>
    <w:p w14:paraId="20986A73"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Occupational Therapy</w:t>
      </w:r>
    </w:p>
    <w:p w14:paraId="12388423"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Visual Level Test (Optometry)</w:t>
      </w:r>
    </w:p>
    <w:p w14:paraId="1D31FBB3" w14:textId="77777777" w:rsidR="00DE27AF" w:rsidRPr="009266A1" w:rsidRDefault="00DE27AF" w:rsidP="00DE27AF">
      <w:pPr>
        <w:pStyle w:val="Heading2"/>
        <w:numPr>
          <w:ilvl w:val="0"/>
          <w:numId w:val="29"/>
        </w:numPr>
        <w:jc w:val="both"/>
        <w:rPr>
          <w:b w:val="0"/>
          <w:sz w:val="24"/>
          <w:szCs w:val="24"/>
        </w:rPr>
      </w:pPr>
      <w:r w:rsidRPr="009266A1">
        <w:rPr>
          <w:b w:val="0"/>
          <w:sz w:val="24"/>
          <w:szCs w:val="24"/>
        </w:rPr>
        <w:t>Speech &amp; Language Therapy</w:t>
      </w:r>
    </w:p>
    <w:p w14:paraId="2191B25C" w14:textId="77777777" w:rsidR="00DF7D3F" w:rsidRPr="009266A1" w:rsidRDefault="00DE27AF" w:rsidP="00DE27AF">
      <w:pPr>
        <w:pStyle w:val="Heading2"/>
        <w:numPr>
          <w:ilvl w:val="0"/>
          <w:numId w:val="29"/>
        </w:numPr>
        <w:jc w:val="both"/>
        <w:rPr>
          <w:b w:val="0"/>
          <w:sz w:val="24"/>
          <w:szCs w:val="24"/>
        </w:rPr>
      </w:pPr>
      <w:r w:rsidRPr="009266A1">
        <w:rPr>
          <w:b w:val="0"/>
          <w:sz w:val="24"/>
          <w:szCs w:val="24"/>
        </w:rPr>
        <w:t xml:space="preserve">Assistive Device Distribution </w:t>
      </w:r>
    </w:p>
    <w:p w14:paraId="6D742CF7" w14:textId="77777777" w:rsidR="002E43DD" w:rsidRPr="009266A1" w:rsidRDefault="002E43DD" w:rsidP="002E43DD">
      <w:pPr>
        <w:pStyle w:val="Heading2"/>
        <w:spacing w:before="0" w:beforeAutospacing="0"/>
        <w:jc w:val="both"/>
        <w:rPr>
          <w:b w:val="0"/>
          <w:sz w:val="24"/>
          <w:szCs w:val="24"/>
        </w:rPr>
      </w:pPr>
    </w:p>
    <w:p w14:paraId="1CEDECC1" w14:textId="77777777" w:rsidR="00DE27AF" w:rsidRPr="009266A1" w:rsidRDefault="00DF7D3F" w:rsidP="002E43DD">
      <w:pPr>
        <w:pStyle w:val="Heading2"/>
        <w:spacing w:before="0" w:beforeAutospacing="0"/>
        <w:jc w:val="both"/>
        <w:rPr>
          <w:b w:val="0"/>
          <w:sz w:val="24"/>
          <w:szCs w:val="24"/>
        </w:rPr>
      </w:pPr>
      <w:r w:rsidRPr="009266A1">
        <w:rPr>
          <w:b w:val="0"/>
          <w:sz w:val="24"/>
          <w:szCs w:val="24"/>
        </w:rPr>
        <w:t>There is also an Autism and Neuro Development Disability Corner (NDDC) with a Toy library in each service Centers with the following a</w:t>
      </w:r>
      <w:r w:rsidR="00DE27AF" w:rsidRPr="009266A1">
        <w:rPr>
          <w:b w:val="0"/>
          <w:sz w:val="24"/>
          <w:szCs w:val="24"/>
        </w:rPr>
        <w:t>ctivities:</w:t>
      </w:r>
      <w:r w:rsidR="00DE27AF" w:rsidRPr="009266A1">
        <w:rPr>
          <w:b w:val="0"/>
          <w:sz w:val="24"/>
          <w:szCs w:val="24"/>
        </w:rPr>
        <w:tab/>
      </w:r>
      <w:r w:rsidR="00DE27AF" w:rsidRPr="009266A1">
        <w:rPr>
          <w:b w:val="0"/>
          <w:sz w:val="24"/>
          <w:szCs w:val="24"/>
        </w:rPr>
        <w:tab/>
      </w:r>
      <w:r w:rsidR="00DE27AF" w:rsidRPr="009266A1">
        <w:rPr>
          <w:b w:val="0"/>
          <w:sz w:val="24"/>
          <w:szCs w:val="24"/>
        </w:rPr>
        <w:tab/>
      </w:r>
      <w:r w:rsidR="00DE27AF" w:rsidRPr="009266A1">
        <w:rPr>
          <w:b w:val="0"/>
          <w:sz w:val="24"/>
          <w:szCs w:val="24"/>
        </w:rPr>
        <w:tab/>
      </w:r>
      <w:r w:rsidR="00DE27AF" w:rsidRPr="009266A1">
        <w:rPr>
          <w:b w:val="0"/>
          <w:sz w:val="24"/>
          <w:szCs w:val="24"/>
        </w:rPr>
        <w:tab/>
      </w:r>
    </w:p>
    <w:p w14:paraId="6EA066AD" w14:textId="77777777" w:rsidR="00DE27AF" w:rsidRPr="009266A1" w:rsidRDefault="00DE27AF" w:rsidP="002E43DD">
      <w:pPr>
        <w:pStyle w:val="Heading2"/>
        <w:numPr>
          <w:ilvl w:val="0"/>
          <w:numId w:val="30"/>
        </w:numPr>
        <w:spacing w:before="0" w:beforeAutospacing="0"/>
        <w:jc w:val="both"/>
        <w:rPr>
          <w:b w:val="0"/>
          <w:sz w:val="24"/>
          <w:szCs w:val="24"/>
        </w:rPr>
      </w:pPr>
      <w:r w:rsidRPr="009266A1">
        <w:rPr>
          <w:b w:val="0"/>
          <w:sz w:val="24"/>
          <w:szCs w:val="24"/>
        </w:rPr>
        <w:t>Different types of Therapy Services</w:t>
      </w:r>
    </w:p>
    <w:p w14:paraId="1A8FEE64" w14:textId="77777777" w:rsidR="00DE27AF" w:rsidRPr="009266A1" w:rsidRDefault="00DE27AF" w:rsidP="002E43DD">
      <w:pPr>
        <w:pStyle w:val="Heading2"/>
        <w:numPr>
          <w:ilvl w:val="0"/>
          <w:numId w:val="30"/>
        </w:numPr>
        <w:spacing w:before="0" w:beforeAutospacing="0"/>
        <w:jc w:val="both"/>
        <w:rPr>
          <w:b w:val="0"/>
          <w:sz w:val="24"/>
          <w:szCs w:val="24"/>
        </w:rPr>
      </w:pPr>
      <w:r w:rsidRPr="009266A1">
        <w:rPr>
          <w:b w:val="0"/>
          <w:sz w:val="24"/>
          <w:szCs w:val="24"/>
        </w:rPr>
        <w:t>Psycho Social Counselling</w:t>
      </w:r>
    </w:p>
    <w:p w14:paraId="1EB92967" w14:textId="77777777" w:rsidR="00DE27AF" w:rsidRPr="009266A1" w:rsidRDefault="00DE27AF" w:rsidP="00DF7D3F">
      <w:pPr>
        <w:pStyle w:val="Heading2"/>
        <w:numPr>
          <w:ilvl w:val="0"/>
          <w:numId w:val="30"/>
        </w:numPr>
        <w:jc w:val="both"/>
        <w:rPr>
          <w:b w:val="0"/>
          <w:sz w:val="24"/>
          <w:szCs w:val="24"/>
        </w:rPr>
      </w:pPr>
      <w:r w:rsidRPr="009266A1">
        <w:rPr>
          <w:b w:val="0"/>
          <w:sz w:val="24"/>
          <w:szCs w:val="24"/>
        </w:rPr>
        <w:t>Group Therapy Play</w:t>
      </w:r>
    </w:p>
    <w:p w14:paraId="40761B4D" w14:textId="77777777" w:rsidR="00DE27AF" w:rsidRPr="009266A1" w:rsidRDefault="002E43DD" w:rsidP="00DE27AF">
      <w:pPr>
        <w:pStyle w:val="Heading2"/>
        <w:jc w:val="both"/>
        <w:rPr>
          <w:b w:val="0"/>
          <w:sz w:val="24"/>
          <w:szCs w:val="24"/>
        </w:rPr>
      </w:pPr>
      <w:r w:rsidRPr="009266A1">
        <w:rPr>
          <w:b w:val="0"/>
          <w:sz w:val="24"/>
          <w:szCs w:val="24"/>
        </w:rPr>
        <w:t xml:space="preserve">32 mobile therapy vans that are one stop service for persons with disabilities are operational at </w:t>
      </w:r>
      <w:r w:rsidR="00DE27AF" w:rsidRPr="009266A1">
        <w:rPr>
          <w:b w:val="0"/>
          <w:sz w:val="24"/>
          <w:szCs w:val="24"/>
        </w:rPr>
        <w:t>district- upazila level since September, 2015 to strengthen outreach disability services all over the country.</w:t>
      </w:r>
    </w:p>
    <w:p w14:paraId="0E022C5F" w14:textId="77777777" w:rsidR="00DE27AF" w:rsidRPr="009266A1" w:rsidRDefault="00DE27AF" w:rsidP="00DE27AF">
      <w:pPr>
        <w:pStyle w:val="Heading2"/>
        <w:jc w:val="both"/>
        <w:rPr>
          <w:b w:val="0"/>
          <w:sz w:val="24"/>
          <w:szCs w:val="24"/>
        </w:rPr>
      </w:pPr>
      <w:r w:rsidRPr="009266A1">
        <w:rPr>
          <w:b w:val="0"/>
          <w:sz w:val="24"/>
          <w:szCs w:val="24"/>
        </w:rPr>
        <w:t xml:space="preserve">JPUF through </w:t>
      </w:r>
      <w:r w:rsidR="002E43DD" w:rsidRPr="009266A1">
        <w:rPr>
          <w:b w:val="0"/>
          <w:sz w:val="24"/>
          <w:szCs w:val="24"/>
        </w:rPr>
        <w:t xml:space="preserve">the </w:t>
      </w:r>
      <w:r w:rsidRPr="009266A1">
        <w:rPr>
          <w:b w:val="0"/>
          <w:sz w:val="24"/>
          <w:szCs w:val="24"/>
        </w:rPr>
        <w:t xml:space="preserve">Integrated Disability Service Centre (IDSC) </w:t>
      </w:r>
      <w:r w:rsidR="002E43DD" w:rsidRPr="009266A1">
        <w:rPr>
          <w:b w:val="0"/>
          <w:sz w:val="24"/>
          <w:szCs w:val="24"/>
        </w:rPr>
        <w:t xml:space="preserve">is also </w:t>
      </w:r>
      <w:r w:rsidRPr="009266A1">
        <w:rPr>
          <w:b w:val="0"/>
          <w:sz w:val="24"/>
          <w:szCs w:val="24"/>
        </w:rPr>
        <w:t>providing assistive devices like wheel chair, standing frame, crutch, elbow crutch, tricycle, artificial limb, hearing aid etc. among the P</w:t>
      </w:r>
      <w:r w:rsidR="002E43DD" w:rsidRPr="009266A1">
        <w:rPr>
          <w:b w:val="0"/>
          <w:sz w:val="24"/>
          <w:szCs w:val="24"/>
        </w:rPr>
        <w:t>W</w:t>
      </w:r>
      <w:r w:rsidRPr="009266A1">
        <w:rPr>
          <w:b w:val="0"/>
          <w:sz w:val="24"/>
          <w:szCs w:val="24"/>
        </w:rPr>
        <w:t>Ds.</w:t>
      </w:r>
    </w:p>
    <w:p w14:paraId="046CF25C" w14:textId="77777777" w:rsidR="003011EB" w:rsidRPr="009266A1" w:rsidRDefault="003011EB" w:rsidP="00DE27AF">
      <w:pPr>
        <w:pStyle w:val="Heading2"/>
        <w:jc w:val="both"/>
        <w:rPr>
          <w:b w:val="0"/>
          <w:sz w:val="24"/>
          <w:szCs w:val="24"/>
        </w:rPr>
      </w:pPr>
      <w:r w:rsidRPr="009266A1">
        <w:rPr>
          <w:b w:val="0"/>
          <w:sz w:val="24"/>
          <w:szCs w:val="24"/>
        </w:rPr>
        <w:t>The total coverage and service transactions in the IDSCs and mobile therapy units is given in the table below. The project has covered until June 2016 235,883 people with 1,163,150 service transactions.</w:t>
      </w:r>
    </w:p>
    <w:p w14:paraId="629A6F96" w14:textId="77777777" w:rsidR="003011EB" w:rsidRPr="009266A1" w:rsidRDefault="003011EB" w:rsidP="003011EB">
      <w:pPr>
        <w:widowControl w:val="0"/>
        <w:autoSpaceDE w:val="0"/>
        <w:autoSpaceDN w:val="0"/>
        <w:adjustRightInd w:val="0"/>
        <w:jc w:val="center"/>
      </w:pPr>
    </w:p>
    <w:p w14:paraId="59B7C839" w14:textId="77777777" w:rsidR="003011EB" w:rsidRPr="009266A1" w:rsidRDefault="003011EB" w:rsidP="003011EB">
      <w:pPr>
        <w:widowControl w:val="0"/>
        <w:autoSpaceDE w:val="0"/>
        <w:autoSpaceDN w:val="0"/>
        <w:adjustRightInd w:val="0"/>
        <w:jc w:val="center"/>
      </w:pPr>
    </w:p>
    <w:p w14:paraId="7A8920C6" w14:textId="77777777" w:rsidR="003011EB" w:rsidRPr="009266A1" w:rsidRDefault="003011EB" w:rsidP="003011EB">
      <w:pPr>
        <w:widowControl w:val="0"/>
        <w:autoSpaceDE w:val="0"/>
        <w:autoSpaceDN w:val="0"/>
        <w:adjustRightInd w:val="0"/>
        <w:jc w:val="center"/>
      </w:pPr>
    </w:p>
    <w:p w14:paraId="79BB459C" w14:textId="77777777" w:rsidR="003011EB" w:rsidRPr="009266A1" w:rsidRDefault="003011EB" w:rsidP="003011EB">
      <w:pPr>
        <w:widowControl w:val="0"/>
        <w:autoSpaceDE w:val="0"/>
        <w:autoSpaceDN w:val="0"/>
        <w:adjustRightInd w:val="0"/>
        <w:jc w:val="center"/>
      </w:pPr>
    </w:p>
    <w:p w14:paraId="206A7147" w14:textId="77777777" w:rsidR="003011EB" w:rsidRPr="009266A1" w:rsidRDefault="003011EB" w:rsidP="003011EB">
      <w:pPr>
        <w:widowControl w:val="0"/>
        <w:autoSpaceDE w:val="0"/>
        <w:autoSpaceDN w:val="0"/>
        <w:adjustRightInd w:val="0"/>
        <w:jc w:val="center"/>
      </w:pPr>
    </w:p>
    <w:p w14:paraId="2E887128" w14:textId="77777777" w:rsidR="003011EB" w:rsidRPr="009266A1" w:rsidRDefault="003011EB" w:rsidP="003011EB">
      <w:pPr>
        <w:widowControl w:val="0"/>
        <w:autoSpaceDE w:val="0"/>
        <w:autoSpaceDN w:val="0"/>
        <w:adjustRightInd w:val="0"/>
        <w:jc w:val="center"/>
      </w:pPr>
    </w:p>
    <w:p w14:paraId="4369E67F" w14:textId="77777777" w:rsidR="003011EB" w:rsidRPr="009266A1" w:rsidRDefault="003011EB" w:rsidP="003011EB">
      <w:pPr>
        <w:widowControl w:val="0"/>
        <w:autoSpaceDE w:val="0"/>
        <w:autoSpaceDN w:val="0"/>
        <w:adjustRightInd w:val="0"/>
        <w:jc w:val="center"/>
      </w:pPr>
      <w:r w:rsidRPr="009266A1">
        <w:t>Total Registration &amp; Service Transaction Details of PWDs under IDA project (up to June 2016)</w:t>
      </w:r>
    </w:p>
    <w:p w14:paraId="50BC5D3E" w14:textId="77777777" w:rsidR="003011EB" w:rsidRPr="009266A1" w:rsidRDefault="003011EB" w:rsidP="003011EB">
      <w:pPr>
        <w:widowControl w:val="0"/>
        <w:autoSpaceDE w:val="0"/>
        <w:autoSpaceDN w:val="0"/>
        <w:adjustRightInd w:val="0"/>
        <w:jc w:val="both"/>
      </w:pPr>
    </w:p>
    <w:tbl>
      <w:tblPr>
        <w:tblW w:w="8856" w:type="dxa"/>
        <w:jc w:val="center"/>
        <w:tblLook w:val="04A0" w:firstRow="1" w:lastRow="0" w:firstColumn="1" w:lastColumn="0" w:noHBand="0" w:noVBand="1"/>
      </w:tblPr>
      <w:tblGrid>
        <w:gridCol w:w="2648"/>
        <w:gridCol w:w="1006"/>
        <w:gridCol w:w="963"/>
        <w:gridCol w:w="1008"/>
        <w:gridCol w:w="1006"/>
        <w:gridCol w:w="1050"/>
        <w:gridCol w:w="1192"/>
      </w:tblGrid>
      <w:tr w:rsidR="003011EB" w:rsidRPr="009266A1" w14:paraId="4E66FD8D" w14:textId="77777777" w:rsidTr="003011EB">
        <w:trPr>
          <w:trHeight w:val="253"/>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1FBD2" w14:textId="77777777" w:rsidR="003011EB" w:rsidRPr="009266A1" w:rsidRDefault="003011EB" w:rsidP="00CE1B3F">
            <w:pPr>
              <w:jc w:val="center"/>
              <w:rPr>
                <w:b/>
              </w:rPr>
            </w:pPr>
            <w:r w:rsidRPr="009266A1">
              <w:rPr>
                <w:b/>
              </w:rPr>
              <w:t xml:space="preserve">Under </w:t>
            </w:r>
            <w:r w:rsidRPr="009266A1">
              <w:rPr>
                <w:b/>
                <w:bCs/>
              </w:rPr>
              <w:t>World Bank IDA funded Project</w:t>
            </w:r>
          </w:p>
        </w:tc>
        <w:tc>
          <w:tcPr>
            <w:tcW w:w="2960" w:type="dxa"/>
            <w:gridSpan w:val="3"/>
            <w:tcBorders>
              <w:top w:val="single" w:sz="8" w:space="0" w:color="auto"/>
              <w:left w:val="single" w:sz="4" w:space="0" w:color="auto"/>
              <w:bottom w:val="single" w:sz="8" w:space="0" w:color="auto"/>
              <w:right w:val="single" w:sz="8" w:space="0" w:color="000000"/>
            </w:tcBorders>
            <w:shd w:val="clear" w:color="auto" w:fill="F2DBDB"/>
            <w:vAlign w:val="center"/>
            <w:hideMark/>
          </w:tcPr>
          <w:p w14:paraId="1536A180" w14:textId="77777777" w:rsidR="003011EB" w:rsidRPr="009266A1" w:rsidRDefault="003011EB" w:rsidP="00CE1B3F">
            <w:pPr>
              <w:jc w:val="center"/>
              <w:rPr>
                <w:b/>
                <w:bCs/>
              </w:rPr>
            </w:pPr>
            <w:r w:rsidRPr="009266A1">
              <w:rPr>
                <w:b/>
                <w:bCs/>
              </w:rPr>
              <w:t>PwDs + Risk of PwDs                                 New Registration</w:t>
            </w:r>
          </w:p>
        </w:tc>
        <w:tc>
          <w:tcPr>
            <w:tcW w:w="3248" w:type="dxa"/>
            <w:gridSpan w:val="3"/>
            <w:tcBorders>
              <w:top w:val="single" w:sz="8" w:space="0" w:color="auto"/>
              <w:left w:val="nil"/>
              <w:bottom w:val="single" w:sz="8" w:space="0" w:color="auto"/>
              <w:right w:val="single" w:sz="8" w:space="0" w:color="000000"/>
            </w:tcBorders>
            <w:shd w:val="clear" w:color="auto" w:fill="F2DBDB"/>
            <w:vAlign w:val="center"/>
            <w:hideMark/>
          </w:tcPr>
          <w:p w14:paraId="6BDE68CA" w14:textId="77777777" w:rsidR="003011EB" w:rsidRPr="009266A1" w:rsidRDefault="003011EB" w:rsidP="00CE1B3F">
            <w:pPr>
              <w:jc w:val="center"/>
              <w:rPr>
                <w:b/>
                <w:bCs/>
              </w:rPr>
            </w:pPr>
            <w:r w:rsidRPr="009266A1">
              <w:rPr>
                <w:b/>
                <w:bCs/>
              </w:rPr>
              <w:t>PwDs + Risk of PwDs Service Transaction</w:t>
            </w:r>
          </w:p>
        </w:tc>
      </w:tr>
      <w:tr w:rsidR="003011EB" w:rsidRPr="009266A1" w14:paraId="00DE73F4" w14:textId="77777777" w:rsidTr="003011EB">
        <w:trPr>
          <w:trHeight w:val="100"/>
          <w:jc w:val="center"/>
        </w:trPr>
        <w:tc>
          <w:tcPr>
            <w:tcW w:w="2648"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9E0EA" w14:textId="77777777" w:rsidR="003011EB" w:rsidRPr="009266A1" w:rsidRDefault="003011EB" w:rsidP="00CE1B3F"/>
        </w:tc>
        <w:tc>
          <w:tcPr>
            <w:tcW w:w="1006" w:type="dxa"/>
            <w:tcBorders>
              <w:top w:val="nil"/>
              <w:left w:val="single" w:sz="4" w:space="0" w:color="auto"/>
              <w:bottom w:val="single" w:sz="8" w:space="0" w:color="auto"/>
              <w:right w:val="single" w:sz="8" w:space="0" w:color="auto"/>
            </w:tcBorders>
            <w:shd w:val="clear" w:color="000000" w:fill="FFFFFF"/>
            <w:noWrap/>
            <w:vAlign w:val="center"/>
            <w:hideMark/>
          </w:tcPr>
          <w:p w14:paraId="5BD650EA" w14:textId="77777777" w:rsidR="003011EB" w:rsidRPr="009266A1" w:rsidRDefault="003011EB" w:rsidP="00CE1B3F">
            <w:pPr>
              <w:jc w:val="center"/>
              <w:rPr>
                <w:b/>
                <w:bCs/>
              </w:rPr>
            </w:pPr>
            <w:r w:rsidRPr="009266A1">
              <w:rPr>
                <w:b/>
                <w:bCs/>
              </w:rPr>
              <w:t>Male</w:t>
            </w:r>
          </w:p>
        </w:tc>
        <w:tc>
          <w:tcPr>
            <w:tcW w:w="946" w:type="dxa"/>
            <w:tcBorders>
              <w:top w:val="nil"/>
              <w:left w:val="nil"/>
              <w:bottom w:val="single" w:sz="8" w:space="0" w:color="auto"/>
              <w:right w:val="single" w:sz="8" w:space="0" w:color="auto"/>
            </w:tcBorders>
            <w:shd w:val="clear" w:color="000000" w:fill="FFFFFF"/>
            <w:noWrap/>
            <w:vAlign w:val="center"/>
            <w:hideMark/>
          </w:tcPr>
          <w:p w14:paraId="47EB0E07" w14:textId="77777777" w:rsidR="003011EB" w:rsidRPr="009266A1" w:rsidRDefault="003011EB" w:rsidP="00CE1B3F">
            <w:pPr>
              <w:jc w:val="center"/>
              <w:rPr>
                <w:b/>
                <w:bCs/>
              </w:rPr>
            </w:pPr>
            <w:r w:rsidRPr="009266A1">
              <w:rPr>
                <w:b/>
                <w:bCs/>
              </w:rPr>
              <w:t>Female</w:t>
            </w:r>
          </w:p>
        </w:tc>
        <w:tc>
          <w:tcPr>
            <w:tcW w:w="1008" w:type="dxa"/>
            <w:tcBorders>
              <w:top w:val="nil"/>
              <w:left w:val="nil"/>
              <w:bottom w:val="single" w:sz="8" w:space="0" w:color="auto"/>
              <w:right w:val="single" w:sz="8" w:space="0" w:color="auto"/>
            </w:tcBorders>
            <w:shd w:val="clear" w:color="000000" w:fill="FFFFFF"/>
            <w:noWrap/>
            <w:vAlign w:val="center"/>
            <w:hideMark/>
          </w:tcPr>
          <w:p w14:paraId="1F860766" w14:textId="77777777" w:rsidR="003011EB" w:rsidRPr="009266A1" w:rsidRDefault="003011EB" w:rsidP="00CE1B3F">
            <w:pPr>
              <w:jc w:val="center"/>
              <w:rPr>
                <w:b/>
                <w:bCs/>
              </w:rPr>
            </w:pPr>
            <w:r w:rsidRPr="009266A1">
              <w:rPr>
                <w:b/>
                <w:bCs/>
              </w:rPr>
              <w:t>Total</w:t>
            </w:r>
          </w:p>
        </w:tc>
        <w:tc>
          <w:tcPr>
            <w:tcW w:w="1006" w:type="dxa"/>
            <w:tcBorders>
              <w:top w:val="nil"/>
              <w:left w:val="nil"/>
              <w:bottom w:val="single" w:sz="8" w:space="0" w:color="auto"/>
              <w:right w:val="nil"/>
            </w:tcBorders>
            <w:shd w:val="clear" w:color="000000" w:fill="FFFFFF"/>
            <w:noWrap/>
            <w:vAlign w:val="center"/>
            <w:hideMark/>
          </w:tcPr>
          <w:p w14:paraId="73D69A42" w14:textId="77777777" w:rsidR="003011EB" w:rsidRPr="009266A1" w:rsidRDefault="003011EB" w:rsidP="00CE1B3F">
            <w:pPr>
              <w:jc w:val="center"/>
              <w:rPr>
                <w:b/>
                <w:bCs/>
              </w:rPr>
            </w:pPr>
            <w:r w:rsidRPr="009266A1">
              <w:rPr>
                <w:b/>
                <w:bCs/>
              </w:rPr>
              <w:t>Male</w:t>
            </w:r>
          </w:p>
        </w:tc>
        <w:tc>
          <w:tcPr>
            <w:tcW w:w="1050" w:type="dxa"/>
            <w:tcBorders>
              <w:top w:val="nil"/>
              <w:left w:val="single" w:sz="8" w:space="0" w:color="auto"/>
              <w:bottom w:val="single" w:sz="8" w:space="0" w:color="auto"/>
              <w:right w:val="single" w:sz="8" w:space="0" w:color="auto"/>
            </w:tcBorders>
            <w:shd w:val="clear" w:color="000000" w:fill="FFFFFF"/>
            <w:noWrap/>
            <w:vAlign w:val="center"/>
            <w:hideMark/>
          </w:tcPr>
          <w:p w14:paraId="0AE8DDC0" w14:textId="77777777" w:rsidR="003011EB" w:rsidRPr="009266A1" w:rsidRDefault="003011EB" w:rsidP="00CE1B3F">
            <w:pPr>
              <w:jc w:val="center"/>
              <w:rPr>
                <w:b/>
                <w:bCs/>
              </w:rPr>
            </w:pPr>
            <w:r w:rsidRPr="009266A1">
              <w:rPr>
                <w:b/>
                <w:bCs/>
              </w:rPr>
              <w:t>Female</w:t>
            </w:r>
          </w:p>
        </w:tc>
        <w:tc>
          <w:tcPr>
            <w:tcW w:w="1192" w:type="dxa"/>
            <w:tcBorders>
              <w:top w:val="nil"/>
              <w:left w:val="nil"/>
              <w:bottom w:val="single" w:sz="8" w:space="0" w:color="auto"/>
              <w:right w:val="single" w:sz="8" w:space="0" w:color="auto"/>
            </w:tcBorders>
            <w:shd w:val="clear" w:color="000000" w:fill="FFFFFF"/>
            <w:noWrap/>
            <w:vAlign w:val="center"/>
            <w:hideMark/>
          </w:tcPr>
          <w:p w14:paraId="228FC753" w14:textId="77777777" w:rsidR="003011EB" w:rsidRPr="009266A1" w:rsidRDefault="003011EB" w:rsidP="00CE1B3F">
            <w:pPr>
              <w:jc w:val="center"/>
              <w:rPr>
                <w:b/>
                <w:bCs/>
              </w:rPr>
            </w:pPr>
            <w:r w:rsidRPr="009266A1">
              <w:rPr>
                <w:b/>
                <w:bCs/>
              </w:rPr>
              <w:t>Total</w:t>
            </w:r>
          </w:p>
        </w:tc>
      </w:tr>
      <w:tr w:rsidR="003011EB" w:rsidRPr="009266A1" w14:paraId="642330F1" w14:textId="77777777" w:rsidTr="003011EB">
        <w:trPr>
          <w:trHeight w:val="96"/>
          <w:jc w:val="center"/>
        </w:trPr>
        <w:tc>
          <w:tcPr>
            <w:tcW w:w="26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12FEFA" w14:textId="77777777" w:rsidR="003011EB" w:rsidRPr="009266A1" w:rsidRDefault="003011EB" w:rsidP="00CE1B3F">
            <w:pPr>
              <w:jc w:val="center"/>
              <w:rPr>
                <w:b/>
                <w:bCs/>
              </w:rPr>
            </w:pPr>
            <w:r w:rsidRPr="009266A1">
              <w:t>50 IDSCs</w:t>
            </w:r>
          </w:p>
        </w:tc>
        <w:tc>
          <w:tcPr>
            <w:tcW w:w="1006" w:type="dxa"/>
            <w:tcBorders>
              <w:top w:val="nil"/>
              <w:left w:val="single" w:sz="4" w:space="0" w:color="auto"/>
              <w:bottom w:val="single" w:sz="4" w:space="0" w:color="auto"/>
              <w:right w:val="single" w:sz="8" w:space="0" w:color="auto"/>
            </w:tcBorders>
            <w:shd w:val="clear" w:color="000000" w:fill="FFFFFF"/>
            <w:noWrap/>
            <w:vAlign w:val="center"/>
            <w:hideMark/>
          </w:tcPr>
          <w:p w14:paraId="00CCA487" w14:textId="77777777" w:rsidR="003011EB" w:rsidRPr="009266A1" w:rsidRDefault="003011EB" w:rsidP="00CE1B3F">
            <w:pPr>
              <w:jc w:val="right"/>
            </w:pPr>
            <w:r w:rsidRPr="009266A1">
              <w:t>76,640</w:t>
            </w:r>
          </w:p>
        </w:tc>
        <w:tc>
          <w:tcPr>
            <w:tcW w:w="946" w:type="dxa"/>
            <w:tcBorders>
              <w:top w:val="nil"/>
              <w:left w:val="nil"/>
              <w:bottom w:val="single" w:sz="4" w:space="0" w:color="auto"/>
              <w:right w:val="single" w:sz="8" w:space="0" w:color="auto"/>
            </w:tcBorders>
            <w:shd w:val="clear" w:color="000000" w:fill="FFFFFF"/>
            <w:noWrap/>
            <w:vAlign w:val="center"/>
            <w:hideMark/>
          </w:tcPr>
          <w:p w14:paraId="45D076AE" w14:textId="77777777" w:rsidR="003011EB" w:rsidRPr="009266A1" w:rsidRDefault="003011EB" w:rsidP="00CE1B3F">
            <w:pPr>
              <w:jc w:val="right"/>
            </w:pPr>
            <w:r w:rsidRPr="009266A1">
              <w:t>67,489</w:t>
            </w:r>
          </w:p>
        </w:tc>
        <w:tc>
          <w:tcPr>
            <w:tcW w:w="1008" w:type="dxa"/>
            <w:tcBorders>
              <w:top w:val="nil"/>
              <w:left w:val="nil"/>
              <w:bottom w:val="nil"/>
              <w:right w:val="nil"/>
            </w:tcBorders>
            <w:shd w:val="clear" w:color="000000" w:fill="FFFFFF"/>
            <w:noWrap/>
            <w:vAlign w:val="center"/>
            <w:hideMark/>
          </w:tcPr>
          <w:p w14:paraId="6965CE6C" w14:textId="77777777" w:rsidR="003011EB" w:rsidRPr="009266A1" w:rsidRDefault="003011EB" w:rsidP="00CE1B3F">
            <w:pPr>
              <w:jc w:val="right"/>
              <w:rPr>
                <w:b/>
              </w:rPr>
            </w:pPr>
            <w:r w:rsidRPr="009266A1">
              <w:rPr>
                <w:b/>
              </w:rPr>
              <w:t>144,129</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1ACE90B" w14:textId="77777777" w:rsidR="003011EB" w:rsidRPr="009266A1" w:rsidRDefault="003011EB" w:rsidP="00CE1B3F">
            <w:pPr>
              <w:jc w:val="right"/>
            </w:pPr>
            <w:r w:rsidRPr="009266A1">
              <w:t>537,596</w:t>
            </w:r>
          </w:p>
        </w:tc>
        <w:tc>
          <w:tcPr>
            <w:tcW w:w="1050" w:type="dxa"/>
            <w:tcBorders>
              <w:top w:val="nil"/>
              <w:left w:val="nil"/>
              <w:bottom w:val="single" w:sz="4" w:space="0" w:color="auto"/>
              <w:right w:val="single" w:sz="8" w:space="0" w:color="auto"/>
            </w:tcBorders>
            <w:shd w:val="clear" w:color="000000" w:fill="FFFFFF"/>
            <w:noWrap/>
            <w:vAlign w:val="center"/>
            <w:hideMark/>
          </w:tcPr>
          <w:p w14:paraId="6174FC5F" w14:textId="77777777" w:rsidR="003011EB" w:rsidRPr="009266A1" w:rsidRDefault="003011EB" w:rsidP="00CE1B3F">
            <w:pPr>
              <w:jc w:val="right"/>
            </w:pPr>
            <w:r w:rsidRPr="009266A1">
              <w:t>401,421</w:t>
            </w:r>
          </w:p>
        </w:tc>
        <w:tc>
          <w:tcPr>
            <w:tcW w:w="1192" w:type="dxa"/>
            <w:tcBorders>
              <w:top w:val="nil"/>
              <w:left w:val="nil"/>
              <w:bottom w:val="single" w:sz="4" w:space="0" w:color="auto"/>
              <w:right w:val="single" w:sz="8" w:space="0" w:color="auto"/>
            </w:tcBorders>
            <w:shd w:val="clear" w:color="000000" w:fill="FFFFFF"/>
            <w:noWrap/>
            <w:vAlign w:val="center"/>
            <w:hideMark/>
          </w:tcPr>
          <w:p w14:paraId="6002BD40" w14:textId="77777777" w:rsidR="003011EB" w:rsidRPr="009266A1" w:rsidRDefault="003011EB" w:rsidP="00CE1B3F">
            <w:pPr>
              <w:jc w:val="right"/>
              <w:rPr>
                <w:b/>
              </w:rPr>
            </w:pPr>
            <w:r w:rsidRPr="009266A1">
              <w:rPr>
                <w:b/>
              </w:rPr>
              <w:t>1,039,017</w:t>
            </w:r>
          </w:p>
        </w:tc>
      </w:tr>
      <w:tr w:rsidR="003011EB" w:rsidRPr="009266A1" w14:paraId="67CE5D4D" w14:textId="77777777" w:rsidTr="003011EB">
        <w:trPr>
          <w:trHeight w:val="100"/>
          <w:jc w:val="center"/>
        </w:trPr>
        <w:tc>
          <w:tcPr>
            <w:tcW w:w="26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96E95" w14:textId="77777777" w:rsidR="003011EB" w:rsidRPr="009266A1" w:rsidRDefault="003011EB" w:rsidP="00CE1B3F">
            <w:pPr>
              <w:jc w:val="center"/>
              <w:rPr>
                <w:b/>
                <w:bCs/>
              </w:rPr>
            </w:pPr>
            <w:r w:rsidRPr="009266A1">
              <w:t>32 MTRVs</w:t>
            </w:r>
          </w:p>
        </w:tc>
        <w:tc>
          <w:tcPr>
            <w:tcW w:w="1006" w:type="dxa"/>
            <w:tcBorders>
              <w:top w:val="nil"/>
              <w:left w:val="single" w:sz="4" w:space="0" w:color="auto"/>
              <w:bottom w:val="single" w:sz="8" w:space="0" w:color="auto"/>
              <w:right w:val="single" w:sz="8" w:space="0" w:color="auto"/>
            </w:tcBorders>
            <w:shd w:val="clear" w:color="000000" w:fill="FFFFFF"/>
            <w:noWrap/>
            <w:vAlign w:val="center"/>
            <w:hideMark/>
          </w:tcPr>
          <w:p w14:paraId="2BB42C96" w14:textId="77777777" w:rsidR="003011EB" w:rsidRPr="009266A1" w:rsidRDefault="003011EB" w:rsidP="00CE1B3F">
            <w:pPr>
              <w:jc w:val="right"/>
            </w:pPr>
            <w:r w:rsidRPr="009266A1">
              <w:t>59,404</w:t>
            </w:r>
          </w:p>
        </w:tc>
        <w:tc>
          <w:tcPr>
            <w:tcW w:w="946" w:type="dxa"/>
            <w:tcBorders>
              <w:top w:val="nil"/>
              <w:left w:val="nil"/>
              <w:bottom w:val="single" w:sz="8" w:space="0" w:color="auto"/>
              <w:right w:val="single" w:sz="8" w:space="0" w:color="auto"/>
            </w:tcBorders>
            <w:shd w:val="clear" w:color="000000" w:fill="FFFFFF"/>
            <w:noWrap/>
            <w:vAlign w:val="center"/>
            <w:hideMark/>
          </w:tcPr>
          <w:p w14:paraId="3A1F43E5" w14:textId="77777777" w:rsidR="003011EB" w:rsidRPr="009266A1" w:rsidRDefault="003011EB" w:rsidP="00CE1B3F">
            <w:pPr>
              <w:jc w:val="right"/>
            </w:pPr>
            <w:r w:rsidRPr="009266A1">
              <w:t>32,350</w:t>
            </w:r>
          </w:p>
        </w:tc>
        <w:tc>
          <w:tcPr>
            <w:tcW w:w="1008" w:type="dxa"/>
            <w:tcBorders>
              <w:top w:val="single" w:sz="4" w:space="0" w:color="auto"/>
              <w:left w:val="nil"/>
              <w:bottom w:val="single" w:sz="8" w:space="0" w:color="auto"/>
              <w:right w:val="nil"/>
            </w:tcBorders>
            <w:shd w:val="clear" w:color="000000" w:fill="FFFFFF"/>
            <w:noWrap/>
            <w:vAlign w:val="center"/>
            <w:hideMark/>
          </w:tcPr>
          <w:p w14:paraId="5C7C7404" w14:textId="77777777" w:rsidR="003011EB" w:rsidRPr="009266A1" w:rsidRDefault="003011EB" w:rsidP="00CE1B3F">
            <w:pPr>
              <w:jc w:val="right"/>
              <w:rPr>
                <w:b/>
                <w:bCs/>
              </w:rPr>
            </w:pPr>
            <w:r w:rsidRPr="009266A1">
              <w:rPr>
                <w:b/>
                <w:bCs/>
              </w:rPr>
              <w:t>91,754</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2D7BB6C3" w14:textId="77777777" w:rsidR="003011EB" w:rsidRPr="009266A1" w:rsidRDefault="003011EB" w:rsidP="00CE1B3F">
            <w:pPr>
              <w:jc w:val="right"/>
            </w:pPr>
            <w:r w:rsidRPr="009266A1">
              <w:t>68,980</w:t>
            </w:r>
          </w:p>
        </w:tc>
        <w:tc>
          <w:tcPr>
            <w:tcW w:w="1050" w:type="dxa"/>
            <w:tcBorders>
              <w:top w:val="nil"/>
              <w:left w:val="nil"/>
              <w:bottom w:val="single" w:sz="8" w:space="0" w:color="auto"/>
              <w:right w:val="single" w:sz="8" w:space="0" w:color="auto"/>
            </w:tcBorders>
            <w:shd w:val="clear" w:color="000000" w:fill="FFFFFF"/>
            <w:noWrap/>
            <w:vAlign w:val="center"/>
            <w:hideMark/>
          </w:tcPr>
          <w:p w14:paraId="7E1F3399" w14:textId="77777777" w:rsidR="003011EB" w:rsidRPr="009266A1" w:rsidRDefault="003011EB" w:rsidP="00CE1B3F">
            <w:pPr>
              <w:jc w:val="right"/>
            </w:pPr>
            <w:r w:rsidRPr="009266A1">
              <w:t>55,153</w:t>
            </w:r>
          </w:p>
        </w:tc>
        <w:tc>
          <w:tcPr>
            <w:tcW w:w="1192" w:type="dxa"/>
            <w:tcBorders>
              <w:top w:val="nil"/>
              <w:left w:val="nil"/>
              <w:bottom w:val="single" w:sz="8" w:space="0" w:color="auto"/>
              <w:right w:val="single" w:sz="8" w:space="0" w:color="auto"/>
            </w:tcBorders>
            <w:shd w:val="clear" w:color="000000" w:fill="FFFFFF"/>
            <w:noWrap/>
            <w:vAlign w:val="center"/>
            <w:hideMark/>
          </w:tcPr>
          <w:p w14:paraId="0E0B6FD8" w14:textId="77777777" w:rsidR="003011EB" w:rsidRPr="009266A1" w:rsidRDefault="003011EB" w:rsidP="00CE1B3F">
            <w:pPr>
              <w:jc w:val="right"/>
              <w:rPr>
                <w:b/>
                <w:bCs/>
              </w:rPr>
            </w:pPr>
            <w:r w:rsidRPr="009266A1">
              <w:rPr>
                <w:b/>
                <w:bCs/>
              </w:rPr>
              <w:t>124,133</w:t>
            </w:r>
          </w:p>
        </w:tc>
      </w:tr>
      <w:tr w:rsidR="003011EB" w:rsidRPr="009266A1" w14:paraId="55892426" w14:textId="77777777" w:rsidTr="003011EB">
        <w:trPr>
          <w:trHeight w:val="105"/>
          <w:jc w:val="center"/>
        </w:trPr>
        <w:tc>
          <w:tcPr>
            <w:tcW w:w="26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DE36C6" w14:textId="77777777" w:rsidR="003011EB" w:rsidRPr="009266A1" w:rsidRDefault="003011EB" w:rsidP="00CE1B3F">
            <w:pPr>
              <w:rPr>
                <w:b/>
                <w:bCs/>
              </w:rPr>
            </w:pPr>
            <w:r w:rsidRPr="009266A1">
              <w:t> </w:t>
            </w:r>
            <w:r w:rsidRPr="009266A1">
              <w:rPr>
                <w:b/>
                <w:bCs/>
              </w:rPr>
              <w:t>Grand Total</w:t>
            </w:r>
          </w:p>
        </w:tc>
        <w:tc>
          <w:tcPr>
            <w:tcW w:w="1006" w:type="dxa"/>
            <w:tcBorders>
              <w:top w:val="nil"/>
              <w:left w:val="single" w:sz="4" w:space="0" w:color="auto"/>
              <w:bottom w:val="single" w:sz="8" w:space="0" w:color="auto"/>
              <w:right w:val="single" w:sz="8" w:space="0" w:color="auto"/>
            </w:tcBorders>
            <w:shd w:val="clear" w:color="000000" w:fill="FFFFFF"/>
            <w:noWrap/>
            <w:vAlign w:val="center"/>
            <w:hideMark/>
          </w:tcPr>
          <w:p w14:paraId="51E84809" w14:textId="77777777" w:rsidR="003011EB" w:rsidRPr="009266A1" w:rsidRDefault="003011EB" w:rsidP="00CE1B3F">
            <w:pPr>
              <w:jc w:val="right"/>
            </w:pPr>
            <w:r w:rsidRPr="009266A1">
              <w:t>136,044</w:t>
            </w:r>
          </w:p>
        </w:tc>
        <w:tc>
          <w:tcPr>
            <w:tcW w:w="946" w:type="dxa"/>
            <w:tcBorders>
              <w:top w:val="nil"/>
              <w:left w:val="nil"/>
              <w:bottom w:val="single" w:sz="8" w:space="0" w:color="auto"/>
              <w:right w:val="single" w:sz="8" w:space="0" w:color="auto"/>
            </w:tcBorders>
            <w:shd w:val="clear" w:color="000000" w:fill="FFFFFF"/>
            <w:noWrap/>
            <w:vAlign w:val="center"/>
            <w:hideMark/>
          </w:tcPr>
          <w:p w14:paraId="57204FB8" w14:textId="77777777" w:rsidR="003011EB" w:rsidRPr="009266A1" w:rsidRDefault="003011EB" w:rsidP="00CE1B3F">
            <w:pPr>
              <w:jc w:val="right"/>
            </w:pPr>
            <w:r w:rsidRPr="009266A1">
              <w:t>99,839</w:t>
            </w:r>
          </w:p>
        </w:tc>
        <w:tc>
          <w:tcPr>
            <w:tcW w:w="1008" w:type="dxa"/>
            <w:tcBorders>
              <w:top w:val="nil"/>
              <w:left w:val="nil"/>
              <w:bottom w:val="single" w:sz="8" w:space="0" w:color="auto"/>
              <w:right w:val="nil"/>
            </w:tcBorders>
            <w:shd w:val="clear" w:color="000000" w:fill="D99795"/>
            <w:noWrap/>
            <w:vAlign w:val="center"/>
            <w:hideMark/>
          </w:tcPr>
          <w:p w14:paraId="0D9F2681" w14:textId="77777777" w:rsidR="003011EB" w:rsidRPr="009266A1" w:rsidRDefault="003011EB" w:rsidP="00CE1B3F">
            <w:pPr>
              <w:jc w:val="right"/>
              <w:rPr>
                <w:b/>
                <w:bCs/>
              </w:rPr>
            </w:pPr>
            <w:r w:rsidRPr="009266A1">
              <w:rPr>
                <w:b/>
                <w:bCs/>
              </w:rPr>
              <w:t>235,883</w:t>
            </w:r>
          </w:p>
        </w:tc>
        <w:tc>
          <w:tcPr>
            <w:tcW w:w="1006" w:type="dxa"/>
            <w:tcBorders>
              <w:top w:val="nil"/>
              <w:left w:val="single" w:sz="8" w:space="0" w:color="auto"/>
              <w:bottom w:val="single" w:sz="8" w:space="0" w:color="auto"/>
              <w:right w:val="nil"/>
            </w:tcBorders>
            <w:shd w:val="clear" w:color="000000" w:fill="FFFFFF"/>
            <w:noWrap/>
            <w:vAlign w:val="center"/>
            <w:hideMark/>
          </w:tcPr>
          <w:p w14:paraId="2D94E27B" w14:textId="77777777" w:rsidR="003011EB" w:rsidRPr="009266A1" w:rsidRDefault="003011EB" w:rsidP="00CE1B3F">
            <w:pPr>
              <w:jc w:val="right"/>
            </w:pPr>
            <w:r w:rsidRPr="009266A1">
              <w:t>606,576</w:t>
            </w:r>
          </w:p>
        </w:tc>
        <w:tc>
          <w:tcPr>
            <w:tcW w:w="1050" w:type="dxa"/>
            <w:tcBorders>
              <w:top w:val="nil"/>
              <w:left w:val="single" w:sz="8" w:space="0" w:color="auto"/>
              <w:bottom w:val="single" w:sz="8" w:space="0" w:color="auto"/>
              <w:right w:val="single" w:sz="8" w:space="0" w:color="auto"/>
            </w:tcBorders>
            <w:shd w:val="clear" w:color="000000" w:fill="FFFFFF"/>
            <w:noWrap/>
            <w:vAlign w:val="center"/>
            <w:hideMark/>
          </w:tcPr>
          <w:p w14:paraId="43C14454" w14:textId="77777777" w:rsidR="003011EB" w:rsidRPr="009266A1" w:rsidRDefault="003011EB" w:rsidP="00CE1B3F">
            <w:pPr>
              <w:jc w:val="right"/>
            </w:pPr>
            <w:r w:rsidRPr="009266A1">
              <w:t>456,574</w:t>
            </w:r>
          </w:p>
        </w:tc>
        <w:tc>
          <w:tcPr>
            <w:tcW w:w="1192" w:type="dxa"/>
            <w:tcBorders>
              <w:top w:val="nil"/>
              <w:left w:val="nil"/>
              <w:bottom w:val="single" w:sz="8" w:space="0" w:color="auto"/>
              <w:right w:val="single" w:sz="8" w:space="0" w:color="auto"/>
            </w:tcBorders>
            <w:shd w:val="clear" w:color="000000" w:fill="D99795"/>
            <w:noWrap/>
            <w:vAlign w:val="center"/>
            <w:hideMark/>
          </w:tcPr>
          <w:p w14:paraId="68671478" w14:textId="77777777" w:rsidR="003011EB" w:rsidRPr="009266A1" w:rsidRDefault="003011EB" w:rsidP="00CE1B3F">
            <w:pPr>
              <w:jc w:val="right"/>
              <w:rPr>
                <w:b/>
                <w:bCs/>
              </w:rPr>
            </w:pPr>
            <w:r w:rsidRPr="009266A1">
              <w:rPr>
                <w:b/>
                <w:bCs/>
              </w:rPr>
              <w:t>1,163,150</w:t>
            </w:r>
          </w:p>
        </w:tc>
      </w:tr>
    </w:tbl>
    <w:p w14:paraId="093C9682" w14:textId="77777777" w:rsidR="003011EB" w:rsidRPr="009266A1" w:rsidRDefault="00DC13EA" w:rsidP="00DE27AF">
      <w:pPr>
        <w:pStyle w:val="Heading2"/>
        <w:jc w:val="both"/>
        <w:rPr>
          <w:b w:val="0"/>
          <w:sz w:val="24"/>
          <w:szCs w:val="24"/>
        </w:rPr>
      </w:pPr>
      <w:r w:rsidRPr="009266A1">
        <w:rPr>
          <w:sz w:val="24"/>
          <w:szCs w:val="24"/>
        </w:rPr>
        <w:t xml:space="preserve">Sustainability: </w:t>
      </w:r>
      <w:r w:rsidRPr="009266A1">
        <w:rPr>
          <w:b w:val="0"/>
          <w:sz w:val="24"/>
          <w:szCs w:val="24"/>
        </w:rPr>
        <w:t>The Government of Bangladesh has taken initiatives to absorb the Project including all existing Staffs of PIU, 50 IDSCs and 32 MTRVs with all financial liabilities into Government Revenue Budget program. As part of this action, Budget has been sanctioned for FY 2016-2017 from the Ministry of Finance with code: 3900 as Special Help Grant.</w:t>
      </w:r>
      <w:r w:rsidRPr="009266A1">
        <w:rPr>
          <w:sz w:val="24"/>
          <w:szCs w:val="24"/>
        </w:rPr>
        <w:t xml:space="preserve"> </w:t>
      </w:r>
      <w:r w:rsidR="00701799" w:rsidRPr="009266A1">
        <w:rPr>
          <w:sz w:val="24"/>
          <w:szCs w:val="24"/>
        </w:rPr>
        <w:t>T</w:t>
      </w:r>
      <w:r w:rsidR="006E4579" w:rsidRPr="009266A1">
        <w:rPr>
          <w:b w:val="0"/>
          <w:sz w:val="24"/>
          <w:szCs w:val="24"/>
        </w:rPr>
        <w:t>he Government has committed to extend the service to all sub-district offices.</w:t>
      </w:r>
    </w:p>
    <w:p w14:paraId="74669E63" w14:textId="3D46B747" w:rsidR="00701799" w:rsidRPr="009266A1" w:rsidRDefault="00701799" w:rsidP="00653671">
      <w:pPr>
        <w:pStyle w:val="Heading2"/>
        <w:numPr>
          <w:ilvl w:val="0"/>
          <w:numId w:val="31"/>
        </w:numPr>
        <w:tabs>
          <w:tab w:val="left" w:pos="0"/>
        </w:tabs>
        <w:ind w:left="0"/>
        <w:jc w:val="both"/>
        <w:rPr>
          <w:b w:val="0"/>
          <w:sz w:val="24"/>
          <w:szCs w:val="24"/>
        </w:rPr>
      </w:pPr>
      <w:r w:rsidRPr="009266A1">
        <w:rPr>
          <w:sz w:val="24"/>
          <w:szCs w:val="24"/>
        </w:rPr>
        <w:t>Summary of Project Completion Report (PCR) submitted by Department of Social Services (DSS):</w:t>
      </w:r>
      <w:r w:rsidR="00653671" w:rsidRPr="009266A1">
        <w:rPr>
          <w:sz w:val="24"/>
          <w:szCs w:val="24"/>
        </w:rPr>
        <w:t xml:space="preserve"> </w:t>
      </w:r>
      <w:r w:rsidR="00653671" w:rsidRPr="009266A1">
        <w:rPr>
          <w:b w:val="0"/>
          <w:sz w:val="24"/>
          <w:szCs w:val="24"/>
        </w:rPr>
        <w:t xml:space="preserve">The Department of Social Services has implemented Component 2 of the DCAR project as part of its Services for Children at Risk (SCAR) initiative. This SCAR project was initiated and approved in 2009 by the </w:t>
      </w:r>
      <w:r w:rsidR="00082A77" w:rsidRPr="009266A1">
        <w:rPr>
          <w:b w:val="0"/>
          <w:sz w:val="24"/>
          <w:szCs w:val="24"/>
        </w:rPr>
        <w:t>Executive Committee of National Economic Council (</w:t>
      </w:r>
      <w:r w:rsidR="00653671" w:rsidRPr="009266A1">
        <w:rPr>
          <w:b w:val="0"/>
          <w:sz w:val="24"/>
          <w:szCs w:val="24"/>
        </w:rPr>
        <w:t>ECNEC</w:t>
      </w:r>
      <w:r w:rsidR="00082A77" w:rsidRPr="009266A1">
        <w:rPr>
          <w:b w:val="0"/>
          <w:sz w:val="24"/>
          <w:szCs w:val="24"/>
        </w:rPr>
        <w:t>)</w:t>
      </w:r>
      <w:r w:rsidR="00653671" w:rsidRPr="009266A1">
        <w:rPr>
          <w:b w:val="0"/>
          <w:sz w:val="24"/>
          <w:szCs w:val="24"/>
        </w:rPr>
        <w:t xml:space="preserve">. Before approval MoSW scrutinized and assessed the justification of the project. After that </w:t>
      </w:r>
      <w:r w:rsidR="004E2042">
        <w:rPr>
          <w:b w:val="0"/>
          <w:sz w:val="24"/>
          <w:szCs w:val="24"/>
        </w:rPr>
        <w:t xml:space="preserve">the </w:t>
      </w:r>
      <w:r w:rsidR="00653671" w:rsidRPr="009266A1">
        <w:rPr>
          <w:b w:val="0"/>
          <w:sz w:val="24"/>
          <w:szCs w:val="24"/>
        </w:rPr>
        <w:t>DPP was sent to Bangladesh Planning Commission (PC) for approval. Concerned sector of PC again scrutinized and presented before Project Evaluation Committee (PEC), an inter-ministerial committee, for recommendation. The committee assessed the project in terms of time, cost, justification, fund availability, concern ministries performances etc. and final recommended for approval.</w:t>
      </w:r>
    </w:p>
    <w:p w14:paraId="1FD73FC4" w14:textId="77777777" w:rsidR="00653671" w:rsidRPr="009266A1" w:rsidRDefault="00653671" w:rsidP="00653671">
      <w:pPr>
        <w:pStyle w:val="Heading2"/>
        <w:tabs>
          <w:tab w:val="left" w:pos="0"/>
        </w:tabs>
        <w:jc w:val="both"/>
        <w:rPr>
          <w:b w:val="0"/>
          <w:sz w:val="24"/>
          <w:szCs w:val="24"/>
        </w:rPr>
      </w:pPr>
      <w:r w:rsidRPr="009266A1">
        <w:rPr>
          <w:sz w:val="24"/>
          <w:szCs w:val="24"/>
        </w:rPr>
        <w:t>Objectives:</w:t>
      </w:r>
      <w:r w:rsidRPr="009266A1">
        <w:rPr>
          <w:b w:val="0"/>
          <w:sz w:val="24"/>
          <w:szCs w:val="24"/>
        </w:rPr>
        <w:t xml:space="preserve"> The project was mainly designed for addressing two broad objectives a) providing services to the children at risks and b) strengthening institutional capacity of DSS through developing an MIS and necessary training to DSS officials. To achieve these objectives firstly 07 child protection centers and then another 4 centers were established in 11 districts including seven divisional towns.</w:t>
      </w:r>
    </w:p>
    <w:p w14:paraId="1FB6092A" w14:textId="77777777" w:rsidR="006B62B9" w:rsidRPr="009266A1" w:rsidRDefault="00082A77" w:rsidP="00653671">
      <w:pPr>
        <w:pStyle w:val="Heading2"/>
        <w:tabs>
          <w:tab w:val="left" w:pos="0"/>
        </w:tabs>
        <w:jc w:val="both"/>
        <w:rPr>
          <w:b w:val="0"/>
          <w:sz w:val="24"/>
          <w:szCs w:val="24"/>
        </w:rPr>
      </w:pPr>
      <w:r w:rsidRPr="009266A1">
        <w:rPr>
          <w:sz w:val="24"/>
          <w:szCs w:val="24"/>
        </w:rPr>
        <w:t>Project restructuring:</w:t>
      </w:r>
      <w:r w:rsidRPr="009266A1">
        <w:rPr>
          <w:b w:val="0"/>
          <w:sz w:val="24"/>
          <w:szCs w:val="24"/>
        </w:rPr>
        <w:t xml:space="preserve"> The project was revised on two occasions involving changes in cost and implementation period of the project. The Services for Children at Risk (SCAR) project being part of the Disability and Children at Risk (DCAR) project was approved by Executive Committee of National Economic Council (ECNEC) on 24 November 2008 for a period of January 2009 to December 2013. Financial Agreement was signed on 28 December 2008 and the Loan Agreement became effective on 22 January 2009.  The PEC meeting held on 11 May 2011 approved some structural modification of project and made provisions for recruitment of staff instead of engaging NGOs for implementation of field activities.  A second revision of the project DPP was necessary and finally completed on 21 July 2014.</w:t>
      </w:r>
      <w:r w:rsidR="006B62B9" w:rsidRPr="009266A1">
        <w:rPr>
          <w:b w:val="0"/>
          <w:sz w:val="24"/>
          <w:szCs w:val="24"/>
        </w:rPr>
        <w:t xml:space="preserve"> </w:t>
      </w:r>
    </w:p>
    <w:p w14:paraId="258A4443" w14:textId="5B802D17" w:rsidR="00082A77" w:rsidRPr="009266A1" w:rsidRDefault="006B62B9" w:rsidP="00653671">
      <w:pPr>
        <w:pStyle w:val="Heading2"/>
        <w:tabs>
          <w:tab w:val="left" w:pos="0"/>
        </w:tabs>
        <w:jc w:val="both"/>
        <w:rPr>
          <w:b w:val="0"/>
          <w:sz w:val="24"/>
          <w:szCs w:val="24"/>
        </w:rPr>
      </w:pPr>
      <w:r w:rsidRPr="009266A1">
        <w:rPr>
          <w:b w:val="0"/>
          <w:sz w:val="24"/>
          <w:szCs w:val="24"/>
        </w:rPr>
        <w:t xml:space="preserve">At the very outset the decision to change implementation modality from NGO sub-contracting to GOB’s own involvement took a long time for which some other relative aspects such as manpower recruitment and their designation change were essential. For these it was necessary to revise </w:t>
      </w:r>
      <w:r w:rsidR="00680241">
        <w:rPr>
          <w:b w:val="0"/>
          <w:sz w:val="24"/>
          <w:szCs w:val="24"/>
        </w:rPr>
        <w:t xml:space="preserve">the </w:t>
      </w:r>
      <w:r w:rsidRPr="009266A1">
        <w:rPr>
          <w:b w:val="0"/>
          <w:sz w:val="24"/>
          <w:szCs w:val="24"/>
        </w:rPr>
        <w:t>DPP. Due to modality change and project revision the actual implementation started on August 2012. But after starting implementation, though 2nd revision was done, the project ran smoothly up to the end of project period.</w:t>
      </w:r>
    </w:p>
    <w:p w14:paraId="44697410" w14:textId="77777777" w:rsidR="006B62B9" w:rsidRPr="009266A1" w:rsidRDefault="006B62B9" w:rsidP="006B62B9">
      <w:pPr>
        <w:pStyle w:val="BodyTextIndent2"/>
        <w:ind w:left="0"/>
        <w:rPr>
          <w:szCs w:val="24"/>
        </w:rPr>
      </w:pPr>
    </w:p>
    <w:p w14:paraId="1C966CB8" w14:textId="77777777" w:rsidR="006B62B9" w:rsidRPr="009266A1" w:rsidRDefault="006B62B9" w:rsidP="006B62B9">
      <w:pPr>
        <w:pStyle w:val="BodyTextIndent2"/>
        <w:ind w:left="0"/>
        <w:rPr>
          <w:bCs/>
          <w:szCs w:val="24"/>
        </w:rPr>
      </w:pPr>
      <w:r w:rsidRPr="009266A1">
        <w:rPr>
          <w:b/>
          <w:szCs w:val="24"/>
        </w:rPr>
        <w:t>Key Milestones:</w:t>
      </w:r>
      <w:r w:rsidRPr="009266A1">
        <w:rPr>
          <w:szCs w:val="24"/>
        </w:rPr>
        <w:t xml:space="preserve"> </w:t>
      </w:r>
      <w:r w:rsidRPr="009266A1">
        <w:rPr>
          <w:bCs/>
          <w:szCs w:val="24"/>
        </w:rPr>
        <w:t>Activities under the Services for Children at Risk were completed on June 30, 2016 and inter alia, the following milestones achieved during life of the project:</w:t>
      </w:r>
    </w:p>
    <w:p w14:paraId="51D59FB1" w14:textId="77777777" w:rsidR="006B62B9" w:rsidRPr="009266A1" w:rsidRDefault="006B62B9" w:rsidP="006B62B9">
      <w:pPr>
        <w:numPr>
          <w:ilvl w:val="0"/>
          <w:numId w:val="33"/>
        </w:numPr>
        <w:rPr>
          <w:bCs/>
        </w:rPr>
      </w:pPr>
      <w:r w:rsidRPr="009266A1">
        <w:rPr>
          <w:bCs/>
        </w:rPr>
        <w:t>The children at risks in our society have decreased.</w:t>
      </w:r>
    </w:p>
    <w:p w14:paraId="0B5C22C5" w14:textId="77777777" w:rsidR="006B62B9" w:rsidRPr="009266A1" w:rsidRDefault="006B62B9" w:rsidP="006B62B9">
      <w:pPr>
        <w:numPr>
          <w:ilvl w:val="0"/>
          <w:numId w:val="33"/>
        </w:numPr>
        <w:rPr>
          <w:bCs/>
        </w:rPr>
      </w:pPr>
      <w:r w:rsidRPr="009266A1">
        <w:rPr>
          <w:bCs/>
        </w:rPr>
        <w:t>Awareness has been grown among the beneficiaries of the project regarding shelter and services of project.</w:t>
      </w:r>
    </w:p>
    <w:p w14:paraId="68AE8E65" w14:textId="77777777" w:rsidR="006B62B9" w:rsidRPr="009266A1" w:rsidRDefault="006B62B9" w:rsidP="006B62B9">
      <w:pPr>
        <w:numPr>
          <w:ilvl w:val="0"/>
          <w:numId w:val="33"/>
        </w:numPr>
        <w:rPr>
          <w:bCs/>
        </w:rPr>
      </w:pPr>
      <w:r w:rsidRPr="009266A1">
        <w:rPr>
          <w:bCs/>
        </w:rPr>
        <w:t>11 center established in 11 districts.</w:t>
      </w:r>
    </w:p>
    <w:p w14:paraId="0B99A6B1" w14:textId="77777777" w:rsidR="006B62B9" w:rsidRPr="009266A1" w:rsidRDefault="006B62B9" w:rsidP="006B62B9">
      <w:pPr>
        <w:numPr>
          <w:ilvl w:val="0"/>
          <w:numId w:val="33"/>
        </w:numPr>
        <w:rPr>
          <w:bCs/>
        </w:rPr>
      </w:pPr>
      <w:r w:rsidRPr="009266A1">
        <w:rPr>
          <w:bCs/>
        </w:rPr>
        <w:t>Operational Guidelines completed and Implemented</w:t>
      </w:r>
    </w:p>
    <w:p w14:paraId="209C7A4B" w14:textId="77777777" w:rsidR="006B62B9" w:rsidRPr="009266A1" w:rsidRDefault="006B62B9" w:rsidP="006B62B9">
      <w:pPr>
        <w:numPr>
          <w:ilvl w:val="0"/>
          <w:numId w:val="33"/>
        </w:numPr>
        <w:rPr>
          <w:bCs/>
        </w:rPr>
      </w:pPr>
      <w:r w:rsidRPr="009266A1">
        <w:rPr>
          <w:bCs/>
        </w:rPr>
        <w:t>Code of Conduct for staff prepared and implemented</w:t>
      </w:r>
    </w:p>
    <w:p w14:paraId="2E0C463F" w14:textId="77777777" w:rsidR="006B62B9" w:rsidRPr="009266A1" w:rsidRDefault="006B62B9" w:rsidP="006B62B9">
      <w:pPr>
        <w:numPr>
          <w:ilvl w:val="0"/>
          <w:numId w:val="33"/>
        </w:numPr>
        <w:rPr>
          <w:bCs/>
        </w:rPr>
      </w:pPr>
      <w:r w:rsidRPr="009266A1">
        <w:rPr>
          <w:bCs/>
        </w:rPr>
        <w:t>About 900 officer and staff received specialized training</w:t>
      </w:r>
    </w:p>
    <w:p w14:paraId="27EF9ECD" w14:textId="77777777" w:rsidR="006B62B9" w:rsidRPr="009266A1" w:rsidRDefault="006B62B9" w:rsidP="006B62B9">
      <w:pPr>
        <w:numPr>
          <w:ilvl w:val="0"/>
          <w:numId w:val="33"/>
        </w:numPr>
        <w:rPr>
          <w:bCs/>
        </w:rPr>
      </w:pPr>
      <w:r w:rsidRPr="009266A1">
        <w:t>More than 800 officer of DSS, JPUF, MoSW received management training in MIS.</w:t>
      </w:r>
    </w:p>
    <w:p w14:paraId="2EABF5FE" w14:textId="77777777" w:rsidR="00653671" w:rsidRPr="009266A1" w:rsidRDefault="00A92331" w:rsidP="00653671">
      <w:pPr>
        <w:pStyle w:val="Heading2"/>
        <w:tabs>
          <w:tab w:val="left" w:pos="0"/>
        </w:tabs>
        <w:jc w:val="both"/>
        <w:rPr>
          <w:b w:val="0"/>
          <w:sz w:val="24"/>
          <w:szCs w:val="24"/>
        </w:rPr>
      </w:pPr>
      <w:r w:rsidRPr="009266A1">
        <w:rPr>
          <w:sz w:val="24"/>
          <w:szCs w:val="24"/>
        </w:rPr>
        <w:t>Achievement against project objectives:</w:t>
      </w:r>
      <w:r w:rsidRPr="009266A1">
        <w:rPr>
          <w:b w:val="0"/>
          <w:sz w:val="24"/>
          <w:szCs w:val="24"/>
        </w:rPr>
        <w:t xml:space="preserve"> The project became fully operational beginning of 2012 with the opening of 7 centers located in 7 divisional districts. Additional 4 centers were added during 2015 in 4 other districts. From the beginning 6245 (3047 boys and 3198 girls) children were admitted in the centers among them 4456 (2226 boys and 2230 girls) were reintegrated in their families/relatives or rehabilitated at other similar organization. At the end of the project 1789 (821 boys and 968 girls) children were residing in the centers.</w:t>
      </w:r>
    </w:p>
    <w:p w14:paraId="1608CABF" w14:textId="77777777" w:rsidR="00A92331" w:rsidRPr="009266A1" w:rsidRDefault="00A92331" w:rsidP="00653671">
      <w:pPr>
        <w:pStyle w:val="Heading2"/>
        <w:tabs>
          <w:tab w:val="left" w:pos="0"/>
        </w:tabs>
        <w:jc w:val="both"/>
        <w:rPr>
          <w:b w:val="0"/>
          <w:sz w:val="24"/>
          <w:szCs w:val="24"/>
        </w:rPr>
      </w:pPr>
      <w:r w:rsidRPr="009266A1">
        <w:rPr>
          <w:sz w:val="24"/>
          <w:szCs w:val="24"/>
        </w:rPr>
        <w:t>Sustainability:</w:t>
      </w:r>
      <w:r w:rsidRPr="009266A1">
        <w:rPr>
          <w:b w:val="0"/>
          <w:sz w:val="24"/>
          <w:szCs w:val="24"/>
        </w:rPr>
        <w:t xml:space="preserve"> After completion of the IDA credit funding the SCAR project activities will be continuing under Government of Bangladesh (GOB) funding. The project will be operating with the same manpower setup by special allocation of GOB fund of Bangladeshi Taka 2050.00 Lakh for the financial year 2016-2017. Provided the project performance retains the standards as expected and to the satisfaction of the ministry and the stakeholders the project is very likely to be continued under GOB funding. In the near future the project is expected to be funded by GOB as a regular revenue project and be enjoying the routine annual budgetary allocation under the revenue budget of GoB.  In addition to continuation of the activities and the centers already in operation a proposal for further expansion to include additional newly created divisions have been submitted to the MoSW.</w:t>
      </w:r>
    </w:p>
    <w:p w14:paraId="6A56C113" w14:textId="77777777" w:rsidR="00E03DE1" w:rsidRPr="00653671" w:rsidRDefault="00E03DE1">
      <w:pPr>
        <w:rPr>
          <w:vanish/>
        </w:rPr>
      </w:pPr>
      <w:r w:rsidRPr="009266A1">
        <w:br w:type="page"/>
      </w:r>
    </w:p>
    <w:p w14:paraId="1D39DEE1" w14:textId="77777777" w:rsidR="00C67D43" w:rsidRDefault="00C67D43">
      <w:pPr>
        <w:pStyle w:val="Heading2"/>
      </w:pPr>
      <w:bookmarkStart w:id="211" w:name="_IL23"/>
      <w:bookmarkStart w:id="212" w:name="_Toc158019384"/>
      <w:r>
        <w:t>Annex 8. Comments of Cofinanciers and Other Partners/Stakeholders</w:t>
      </w:r>
      <w:bookmarkEnd w:id="211"/>
      <w:bookmarkEnd w:id="212"/>
      <w:r>
        <w:t xml:space="preserve"> </w:t>
      </w:r>
    </w:p>
    <w:p w14:paraId="50282392" w14:textId="77777777" w:rsidR="00C67D43" w:rsidRDefault="00C67D43">
      <w:bookmarkStart w:id="213" w:name="ANN11"/>
      <w:bookmarkEnd w:id="213"/>
    </w:p>
    <w:p w14:paraId="2EE97CF8" w14:textId="77777777" w:rsidR="004A5FB2" w:rsidRDefault="004A5FB2"/>
    <w:p w14:paraId="4E6C0345" w14:textId="77777777" w:rsidR="00775151" w:rsidRDefault="00775151"/>
    <w:p w14:paraId="20C64B5B" w14:textId="77777777" w:rsidR="00E03DE1" w:rsidRDefault="00E03DE1">
      <w:pPr>
        <w:rPr>
          <w:vanish/>
        </w:rPr>
      </w:pPr>
      <w:r>
        <w:br w:type="page"/>
      </w:r>
    </w:p>
    <w:p w14:paraId="735850FF" w14:textId="7E90BE36" w:rsidR="0049537D" w:rsidRDefault="00C67D43" w:rsidP="00A75685">
      <w:pPr>
        <w:pStyle w:val="Heading2"/>
      </w:pPr>
      <w:bookmarkStart w:id="214" w:name="_IL24"/>
      <w:bookmarkStart w:id="215" w:name="_Toc158019385"/>
      <w:r>
        <w:t>Annex 9. List of Supporting Documents</w:t>
      </w:r>
      <w:bookmarkEnd w:id="214"/>
      <w:bookmarkEnd w:id="215"/>
      <w:r>
        <w:t xml:space="preserve"> </w:t>
      </w:r>
      <w:bookmarkStart w:id="216" w:name="SUP_DOCS"/>
      <w:bookmarkEnd w:id="216"/>
    </w:p>
    <w:p w14:paraId="45748254" w14:textId="77777777" w:rsidR="0028796E" w:rsidRDefault="0028796E" w:rsidP="0028796E">
      <w:pPr>
        <w:pStyle w:val="Heading2"/>
        <w:spacing w:line="360" w:lineRule="auto"/>
        <w:contextualSpacing/>
        <w:jc w:val="both"/>
        <w:rPr>
          <w:sz w:val="24"/>
          <w:szCs w:val="24"/>
        </w:rPr>
      </w:pPr>
      <w:r w:rsidRPr="007A0C93">
        <w:rPr>
          <w:sz w:val="24"/>
          <w:szCs w:val="24"/>
        </w:rPr>
        <w:t>World Bank Documents</w:t>
      </w:r>
    </w:p>
    <w:p w14:paraId="045F5F5B" w14:textId="41651361" w:rsidR="00332BD0" w:rsidRDefault="00332BD0" w:rsidP="0028796E">
      <w:pPr>
        <w:pStyle w:val="Heading2"/>
        <w:contextualSpacing/>
        <w:rPr>
          <w:b w:val="0"/>
          <w:sz w:val="22"/>
          <w:szCs w:val="22"/>
        </w:rPr>
      </w:pPr>
      <w:r>
        <w:rPr>
          <w:b w:val="0"/>
          <w:sz w:val="22"/>
          <w:szCs w:val="22"/>
        </w:rPr>
        <w:t xml:space="preserve">Bangladesh Country Assistance Strategy: 2006 -2009. World Bank. Dhaka, Bangladesh 2006. </w:t>
      </w:r>
    </w:p>
    <w:p w14:paraId="15CBAAD3" w14:textId="77777777" w:rsidR="00332BD0" w:rsidRDefault="00332BD0" w:rsidP="0028796E">
      <w:pPr>
        <w:pStyle w:val="Heading2"/>
        <w:contextualSpacing/>
        <w:rPr>
          <w:b w:val="0"/>
          <w:sz w:val="22"/>
          <w:szCs w:val="22"/>
        </w:rPr>
      </w:pPr>
    </w:p>
    <w:p w14:paraId="21B8B00D" w14:textId="0901C40A" w:rsidR="0028796E" w:rsidRDefault="0028796E" w:rsidP="0028796E">
      <w:pPr>
        <w:pStyle w:val="Heading2"/>
        <w:contextualSpacing/>
        <w:rPr>
          <w:b w:val="0"/>
          <w:sz w:val="22"/>
          <w:szCs w:val="22"/>
        </w:rPr>
      </w:pPr>
      <w:r>
        <w:rPr>
          <w:b w:val="0"/>
          <w:sz w:val="22"/>
          <w:szCs w:val="22"/>
        </w:rPr>
        <w:t xml:space="preserve">Country Partnership Strategy of the World Bank Group for Bangladesh </w:t>
      </w:r>
      <w:r w:rsidR="00332BD0">
        <w:rPr>
          <w:b w:val="0"/>
          <w:sz w:val="22"/>
          <w:szCs w:val="22"/>
        </w:rPr>
        <w:t xml:space="preserve"> FY2016-2020. </w:t>
      </w:r>
      <w:r>
        <w:rPr>
          <w:b w:val="0"/>
          <w:sz w:val="22"/>
          <w:szCs w:val="22"/>
        </w:rPr>
        <w:t>The World Bank Group</w:t>
      </w:r>
      <w:r w:rsidR="00332BD0">
        <w:rPr>
          <w:b w:val="0"/>
          <w:sz w:val="22"/>
          <w:szCs w:val="22"/>
        </w:rPr>
        <w:t xml:space="preserve">. Dhaka, Bangladesh 2016. </w:t>
      </w:r>
    </w:p>
    <w:p w14:paraId="339D305E" w14:textId="77777777" w:rsidR="001A3B15" w:rsidRDefault="001A3B15" w:rsidP="0028796E">
      <w:pPr>
        <w:pStyle w:val="Heading2"/>
        <w:contextualSpacing/>
        <w:rPr>
          <w:b w:val="0"/>
          <w:sz w:val="22"/>
          <w:szCs w:val="22"/>
        </w:rPr>
      </w:pPr>
    </w:p>
    <w:p w14:paraId="30555AE5" w14:textId="31D144E0" w:rsidR="001A3B15" w:rsidRDefault="001A3B15" w:rsidP="0028796E">
      <w:pPr>
        <w:pStyle w:val="Heading2"/>
        <w:contextualSpacing/>
        <w:rPr>
          <w:b w:val="0"/>
          <w:sz w:val="22"/>
          <w:szCs w:val="22"/>
        </w:rPr>
      </w:pPr>
      <w:r w:rsidRPr="001A3B15">
        <w:rPr>
          <w:b w:val="0"/>
          <w:sz w:val="22"/>
          <w:szCs w:val="22"/>
        </w:rPr>
        <w:t>World Bank. 2008. Bangladesh - Poverty Assessment for Bangladesh : Creating Opportunities and Bridging the East-West Divide. Washington, DC. © World Bank. https://openknowledge.worldbank.org/handle/10986/78</w:t>
      </w:r>
      <w:r>
        <w:rPr>
          <w:b w:val="0"/>
          <w:sz w:val="22"/>
          <w:szCs w:val="22"/>
        </w:rPr>
        <w:t>86 License: CC BY 3.0 Unported.</w:t>
      </w:r>
    </w:p>
    <w:p w14:paraId="4546ACE7" w14:textId="77777777" w:rsidR="0028796E" w:rsidRDefault="0028796E" w:rsidP="0028796E">
      <w:pPr>
        <w:pStyle w:val="Heading2"/>
        <w:contextualSpacing/>
        <w:rPr>
          <w:b w:val="0"/>
          <w:sz w:val="22"/>
          <w:szCs w:val="22"/>
        </w:rPr>
      </w:pPr>
    </w:p>
    <w:p w14:paraId="589A7548" w14:textId="77777777" w:rsidR="0028796E" w:rsidRPr="00DB4395" w:rsidRDefault="0028796E" w:rsidP="0028796E">
      <w:pPr>
        <w:pStyle w:val="Heading2"/>
        <w:contextualSpacing/>
        <w:rPr>
          <w:b w:val="0"/>
          <w:sz w:val="22"/>
          <w:szCs w:val="22"/>
        </w:rPr>
      </w:pPr>
    </w:p>
    <w:p w14:paraId="38923C73" w14:textId="269B9A48" w:rsidR="0028796E" w:rsidRDefault="00332BD0" w:rsidP="0028796E">
      <w:pPr>
        <w:pStyle w:val="Heading2"/>
        <w:contextualSpacing/>
        <w:rPr>
          <w:sz w:val="24"/>
          <w:szCs w:val="24"/>
        </w:rPr>
      </w:pPr>
      <w:r>
        <w:rPr>
          <w:sz w:val="24"/>
          <w:szCs w:val="24"/>
        </w:rPr>
        <w:t>Disability and Children at Risk (DCAR</w:t>
      </w:r>
      <w:r w:rsidR="0028796E">
        <w:rPr>
          <w:sz w:val="24"/>
          <w:szCs w:val="24"/>
        </w:rPr>
        <w:t>)</w:t>
      </w:r>
      <w:r w:rsidR="0028796E" w:rsidRPr="007A0C93">
        <w:rPr>
          <w:sz w:val="24"/>
          <w:szCs w:val="24"/>
        </w:rPr>
        <w:t xml:space="preserve"> Documents </w:t>
      </w:r>
    </w:p>
    <w:p w14:paraId="5D25D3D4" w14:textId="77777777" w:rsidR="0028796E" w:rsidRDefault="0028796E" w:rsidP="0028796E">
      <w:pPr>
        <w:pStyle w:val="Heading2"/>
        <w:contextualSpacing/>
        <w:rPr>
          <w:sz w:val="24"/>
          <w:szCs w:val="24"/>
        </w:rPr>
      </w:pPr>
    </w:p>
    <w:p w14:paraId="741BD782" w14:textId="152630EC" w:rsidR="00332BD0" w:rsidRDefault="00332BD0" w:rsidP="0028796E">
      <w:pPr>
        <w:pStyle w:val="Heading2"/>
        <w:contextualSpacing/>
        <w:rPr>
          <w:b w:val="0"/>
          <w:sz w:val="22"/>
          <w:szCs w:val="22"/>
        </w:rPr>
      </w:pPr>
      <w:r>
        <w:rPr>
          <w:b w:val="0"/>
          <w:sz w:val="22"/>
          <w:szCs w:val="22"/>
        </w:rPr>
        <w:t>“Services for Children at Risk (SCAR) Project. Progress Report: January 2009-2012.” DSS. NFDDP, A/2, Section-14, Mirpur. Dhaka.</w:t>
      </w:r>
      <w:r w:rsidR="0051746C">
        <w:rPr>
          <w:b w:val="0"/>
          <w:sz w:val="22"/>
          <w:szCs w:val="22"/>
        </w:rPr>
        <w:t xml:space="preserve"> December 2012.</w:t>
      </w:r>
    </w:p>
    <w:p w14:paraId="0E354D01" w14:textId="77777777" w:rsidR="00332BD0" w:rsidRDefault="00332BD0" w:rsidP="0028796E">
      <w:pPr>
        <w:pStyle w:val="Heading2"/>
        <w:contextualSpacing/>
        <w:rPr>
          <w:b w:val="0"/>
          <w:sz w:val="22"/>
          <w:szCs w:val="22"/>
        </w:rPr>
      </w:pPr>
    </w:p>
    <w:p w14:paraId="64F0A1C5" w14:textId="6482419C" w:rsidR="0028796E" w:rsidRPr="003C44F9" w:rsidRDefault="00332BD0" w:rsidP="0028796E">
      <w:pPr>
        <w:pStyle w:val="Heading2"/>
        <w:contextualSpacing/>
        <w:rPr>
          <w:b w:val="0"/>
          <w:sz w:val="22"/>
          <w:szCs w:val="22"/>
        </w:rPr>
      </w:pPr>
      <w:r>
        <w:rPr>
          <w:b w:val="0"/>
          <w:sz w:val="22"/>
          <w:szCs w:val="22"/>
        </w:rPr>
        <w:t>“Statistical Report on Impact Evaluation of 103 Integrated Disability Service Centers and 20 Mobile Therapy Rehabilitation Vans”. JPUF and MoSW. Government of the People’s Republic of Bangladesh. November 2015.</w:t>
      </w:r>
    </w:p>
    <w:p w14:paraId="705E5E4F" w14:textId="77777777" w:rsidR="0028796E" w:rsidRPr="000B7DED" w:rsidRDefault="0028796E" w:rsidP="0028796E">
      <w:pPr>
        <w:pStyle w:val="Heading2"/>
        <w:contextualSpacing/>
        <w:rPr>
          <w:b w:val="0"/>
          <w:sz w:val="22"/>
          <w:szCs w:val="22"/>
        </w:rPr>
      </w:pPr>
    </w:p>
    <w:p w14:paraId="05230C0D" w14:textId="7C9BECCC" w:rsidR="0051746C" w:rsidRDefault="0028796E" w:rsidP="0051746C">
      <w:pPr>
        <w:pStyle w:val="Heading2"/>
        <w:contextualSpacing/>
        <w:rPr>
          <w:sz w:val="24"/>
          <w:szCs w:val="24"/>
        </w:rPr>
      </w:pPr>
      <w:r w:rsidRPr="00823C80">
        <w:rPr>
          <w:sz w:val="24"/>
          <w:szCs w:val="24"/>
        </w:rPr>
        <w:t xml:space="preserve">Government of </w:t>
      </w:r>
      <w:r w:rsidR="00332BD0">
        <w:rPr>
          <w:sz w:val="24"/>
          <w:szCs w:val="24"/>
        </w:rPr>
        <w:t xml:space="preserve">Bangladesh Documents </w:t>
      </w:r>
    </w:p>
    <w:p w14:paraId="04D84806" w14:textId="77777777" w:rsidR="0051746C" w:rsidRDefault="0051746C" w:rsidP="0051746C">
      <w:pPr>
        <w:pStyle w:val="Heading2"/>
        <w:contextualSpacing/>
        <w:rPr>
          <w:sz w:val="24"/>
          <w:szCs w:val="24"/>
        </w:rPr>
      </w:pPr>
    </w:p>
    <w:p w14:paraId="784FAFAB" w14:textId="1EFDC945" w:rsidR="0051746C" w:rsidRDefault="0051746C" w:rsidP="0051746C">
      <w:pPr>
        <w:pStyle w:val="Heading2"/>
        <w:contextualSpacing/>
        <w:rPr>
          <w:b w:val="0"/>
          <w:sz w:val="22"/>
          <w:szCs w:val="22"/>
        </w:rPr>
      </w:pPr>
      <w:r w:rsidRPr="003D4122">
        <w:rPr>
          <w:b w:val="0"/>
          <w:sz w:val="22"/>
          <w:szCs w:val="22"/>
        </w:rPr>
        <w:t>Seventh Five Year Plan of the Government of Bangladesh</w:t>
      </w:r>
      <w:r w:rsidR="001A3B15" w:rsidRPr="003D4122">
        <w:rPr>
          <w:b w:val="0"/>
          <w:sz w:val="22"/>
          <w:szCs w:val="22"/>
        </w:rPr>
        <w:t>: FY2016-FY2020</w:t>
      </w:r>
      <w:r w:rsidRPr="003D4122">
        <w:rPr>
          <w:b w:val="0"/>
          <w:sz w:val="22"/>
          <w:szCs w:val="22"/>
        </w:rPr>
        <w:t>. Government of the People’s Republic of Bangladesh. November 2015.</w:t>
      </w:r>
    </w:p>
    <w:p w14:paraId="13B10DE3" w14:textId="77777777" w:rsidR="00207A9C" w:rsidRDefault="00207A9C" w:rsidP="0051746C">
      <w:pPr>
        <w:pStyle w:val="Heading2"/>
        <w:contextualSpacing/>
        <w:rPr>
          <w:b w:val="0"/>
          <w:sz w:val="22"/>
          <w:szCs w:val="22"/>
        </w:rPr>
      </w:pPr>
    </w:p>
    <w:p w14:paraId="0A6E7DD5" w14:textId="41DC1E3A" w:rsidR="00207A9C" w:rsidRPr="003D4122" w:rsidRDefault="00207A9C" w:rsidP="0051746C">
      <w:pPr>
        <w:pStyle w:val="Heading2"/>
        <w:contextualSpacing/>
        <w:rPr>
          <w:b w:val="0"/>
          <w:sz w:val="22"/>
          <w:szCs w:val="22"/>
        </w:rPr>
      </w:pPr>
      <w:r>
        <w:rPr>
          <w:b w:val="0"/>
          <w:sz w:val="22"/>
          <w:szCs w:val="22"/>
        </w:rPr>
        <w:t xml:space="preserve">National Social Security Strategy (NSSS) of Bangladesh. General Economic Division Planning Commission. </w:t>
      </w:r>
      <w:r w:rsidR="00836E21">
        <w:rPr>
          <w:b w:val="0"/>
          <w:sz w:val="22"/>
          <w:szCs w:val="22"/>
        </w:rPr>
        <w:t>Government of the People’s Republic of Bangladesh. November 2015.</w:t>
      </w:r>
    </w:p>
    <w:p w14:paraId="7CB6005E" w14:textId="77777777" w:rsidR="009831F3" w:rsidRDefault="009831F3" w:rsidP="0051746C">
      <w:pPr>
        <w:pStyle w:val="Heading2"/>
        <w:contextualSpacing/>
        <w:rPr>
          <w:b w:val="0"/>
          <w:sz w:val="24"/>
          <w:szCs w:val="24"/>
        </w:rPr>
      </w:pPr>
    </w:p>
    <w:p w14:paraId="6D390FAE" w14:textId="55D87B16" w:rsidR="009831F3" w:rsidRPr="009831F3" w:rsidRDefault="009831F3" w:rsidP="0051746C">
      <w:pPr>
        <w:pStyle w:val="Heading2"/>
        <w:contextualSpacing/>
        <w:rPr>
          <w:sz w:val="24"/>
          <w:szCs w:val="24"/>
        </w:rPr>
      </w:pPr>
      <w:r w:rsidRPr="009831F3">
        <w:rPr>
          <w:sz w:val="24"/>
          <w:szCs w:val="24"/>
        </w:rPr>
        <w:t>Other Publications</w:t>
      </w:r>
    </w:p>
    <w:p w14:paraId="411B7807" w14:textId="200B4C4B" w:rsidR="009831F3" w:rsidRPr="0051746C" w:rsidRDefault="00207A9C" w:rsidP="0051746C">
      <w:pPr>
        <w:pStyle w:val="Heading2"/>
        <w:contextualSpacing/>
        <w:rPr>
          <w:b w:val="0"/>
          <w:sz w:val="24"/>
          <w:szCs w:val="24"/>
        </w:rPr>
      </w:pPr>
      <w:r>
        <w:rPr>
          <w:b w:val="0"/>
          <w:sz w:val="24"/>
          <w:szCs w:val="24"/>
        </w:rPr>
        <w:t xml:space="preserve"> </w:t>
      </w:r>
    </w:p>
    <w:p w14:paraId="5125BD49" w14:textId="77777777" w:rsidR="00420DEB" w:rsidRPr="00420DEB" w:rsidRDefault="00420DEB" w:rsidP="00420DEB">
      <w:pPr>
        <w:rPr>
          <w:sz w:val="22"/>
          <w:szCs w:val="22"/>
        </w:rPr>
      </w:pPr>
      <w:r w:rsidRPr="00420DEB">
        <w:rPr>
          <w:sz w:val="22"/>
          <w:szCs w:val="22"/>
        </w:rPr>
        <w:t>Cohen, M. A., &amp; Piquero, A. R. (2009). New evidence on the monetary value of saving a high risk youth. Journal of Quantitative Criminology, 25(1), 25-49.</w:t>
      </w:r>
    </w:p>
    <w:p w14:paraId="09EFD75D" w14:textId="77777777" w:rsidR="00420DEB" w:rsidRDefault="00420DEB" w:rsidP="00420DEB">
      <w:pPr>
        <w:rPr>
          <w:sz w:val="22"/>
          <w:szCs w:val="22"/>
        </w:rPr>
      </w:pPr>
    </w:p>
    <w:p w14:paraId="2A737412" w14:textId="6443B09C" w:rsidR="00420DEB" w:rsidRPr="00420DEB" w:rsidRDefault="00420DEB" w:rsidP="00420DEB">
      <w:pPr>
        <w:rPr>
          <w:sz w:val="22"/>
          <w:szCs w:val="22"/>
        </w:rPr>
      </w:pPr>
      <w:r w:rsidRPr="00420DEB">
        <w:rPr>
          <w:sz w:val="22"/>
          <w:szCs w:val="22"/>
        </w:rPr>
        <w:t>Filmer, D. (2008). Disability, poverty, and schooling in developing countries: results from 14 household surveys. The World Bank Economic Review, 22(1), 141-163.</w:t>
      </w:r>
    </w:p>
    <w:p w14:paraId="5C5EE73F" w14:textId="77777777" w:rsidR="00420DEB" w:rsidRDefault="00420DEB" w:rsidP="00420DEB">
      <w:pPr>
        <w:rPr>
          <w:sz w:val="22"/>
          <w:szCs w:val="22"/>
        </w:rPr>
      </w:pPr>
      <w:r w:rsidRPr="00420DEB">
        <w:rPr>
          <w:sz w:val="22"/>
          <w:szCs w:val="22"/>
        </w:rPr>
        <w:t xml:space="preserve"> </w:t>
      </w:r>
    </w:p>
    <w:p w14:paraId="4329B314" w14:textId="77777777" w:rsidR="00420DEB" w:rsidRDefault="00420DEB" w:rsidP="00420DEB">
      <w:pPr>
        <w:rPr>
          <w:sz w:val="22"/>
          <w:szCs w:val="22"/>
        </w:rPr>
      </w:pPr>
      <w:r w:rsidRPr="00420DEB">
        <w:rPr>
          <w:sz w:val="22"/>
          <w:szCs w:val="22"/>
        </w:rPr>
        <w:t>Heckman, J. J., &amp; Masterov, D. V. (2007). The productivity argument for investing in young children. Applied Economic Perspectives and Policy, 29(3), 446-493.</w:t>
      </w:r>
    </w:p>
    <w:p w14:paraId="774E8BEB" w14:textId="31C7F16A" w:rsidR="00420DEB" w:rsidRDefault="00420DEB" w:rsidP="00420DEB">
      <w:pPr>
        <w:rPr>
          <w:sz w:val="22"/>
          <w:szCs w:val="22"/>
        </w:rPr>
      </w:pPr>
      <w:r w:rsidRPr="00420DEB">
        <w:rPr>
          <w:sz w:val="22"/>
          <w:szCs w:val="22"/>
        </w:rPr>
        <w:t xml:space="preserve"> </w:t>
      </w:r>
    </w:p>
    <w:p w14:paraId="2A38A537" w14:textId="1B5AA232" w:rsidR="00420DEB" w:rsidRPr="00420DEB" w:rsidRDefault="00420DEB" w:rsidP="00420DEB">
      <w:pPr>
        <w:rPr>
          <w:sz w:val="22"/>
          <w:szCs w:val="22"/>
        </w:rPr>
      </w:pPr>
      <w:r w:rsidRPr="00420DEB">
        <w:rPr>
          <w:sz w:val="22"/>
          <w:szCs w:val="22"/>
        </w:rPr>
        <w:t>Jones, M. K. (2008). Disability and the labour market: a review of the empirical evidence. Journal of Economic Studies, 35(5), 405-424.</w:t>
      </w:r>
    </w:p>
    <w:p w14:paraId="2B04FD1A" w14:textId="5E853F9B" w:rsidR="00420DEB" w:rsidRPr="00420DEB" w:rsidRDefault="00420DEB">
      <w:pPr>
        <w:rPr>
          <w:sz w:val="22"/>
          <w:szCs w:val="22"/>
        </w:rPr>
      </w:pPr>
      <w:r w:rsidRPr="00420DEB">
        <w:rPr>
          <w:sz w:val="22"/>
          <w:szCs w:val="22"/>
        </w:rPr>
        <w:t xml:space="preserve">   </w:t>
      </w:r>
    </w:p>
    <w:p w14:paraId="5F566C5A" w14:textId="38FE3E3D" w:rsidR="001E0E8C" w:rsidRDefault="009831F3">
      <w:pPr>
        <w:rPr>
          <w:sz w:val="22"/>
          <w:szCs w:val="22"/>
        </w:rPr>
      </w:pPr>
      <w:r w:rsidRPr="00420DEB">
        <w:rPr>
          <w:sz w:val="22"/>
          <w:szCs w:val="22"/>
        </w:rPr>
        <w:t xml:space="preserve">Zufikar, Ali. “The Economic Costs of Disability in Bangladesh.” </w:t>
      </w:r>
      <w:r w:rsidRPr="00420DEB">
        <w:rPr>
          <w:i/>
          <w:sz w:val="22"/>
          <w:szCs w:val="22"/>
        </w:rPr>
        <w:t>Bangladesh Development Studies.</w:t>
      </w:r>
      <w:r w:rsidRPr="00420DEB">
        <w:rPr>
          <w:sz w:val="22"/>
          <w:szCs w:val="22"/>
        </w:rPr>
        <w:t xml:space="preserve"> Vol. XXXVII, December 2014, No. 4</w:t>
      </w:r>
      <w:r w:rsidR="00530946">
        <w:rPr>
          <w:sz w:val="22"/>
          <w:szCs w:val="22"/>
        </w:rPr>
        <w:t xml:space="preserve"> </w:t>
      </w:r>
    </w:p>
    <w:p w14:paraId="3DB08C2C" w14:textId="77777777" w:rsidR="00530946" w:rsidRDefault="00530946">
      <w:pPr>
        <w:rPr>
          <w:sz w:val="22"/>
          <w:szCs w:val="22"/>
        </w:rPr>
      </w:pPr>
    </w:p>
    <w:p w14:paraId="77F1E90C" w14:textId="2B722C69" w:rsidR="00A75685" w:rsidRPr="00530946" w:rsidRDefault="00530946" w:rsidP="007B315E">
      <w:pPr>
        <w:rPr>
          <w:sz w:val="22"/>
          <w:szCs w:val="22"/>
        </w:rPr>
      </w:pPr>
      <w:r w:rsidRPr="00530946">
        <w:rPr>
          <w:sz w:val="22"/>
          <w:szCs w:val="22"/>
        </w:rPr>
        <w:t xml:space="preserve">UN World Health Organization (WHO), </w:t>
      </w:r>
      <w:r w:rsidRPr="00530946">
        <w:rPr>
          <w:i/>
          <w:sz w:val="22"/>
          <w:szCs w:val="22"/>
        </w:rPr>
        <w:t>World Report on Disability: Summary 2011</w:t>
      </w:r>
      <w:r w:rsidRPr="00530946">
        <w:rPr>
          <w:sz w:val="22"/>
          <w:szCs w:val="22"/>
        </w:rPr>
        <w:t>, WHO</w:t>
      </w:r>
      <w:r>
        <w:rPr>
          <w:sz w:val="22"/>
          <w:szCs w:val="22"/>
        </w:rPr>
        <w:t xml:space="preserve">/NMH/VIP/11.01 </w:t>
      </w:r>
      <w:r w:rsidR="00AE3D9A">
        <w:rPr>
          <w:sz w:val="22"/>
          <w:szCs w:val="22"/>
        </w:rPr>
        <w:t xml:space="preserve">available at </w:t>
      </w:r>
      <w:r w:rsidR="00AE3D9A" w:rsidRPr="00AE3D9A">
        <w:rPr>
          <w:sz w:val="22"/>
          <w:szCs w:val="22"/>
        </w:rPr>
        <w:t>http://www.refworld.org/d</w:t>
      </w:r>
      <w:r w:rsidR="00AE3D9A">
        <w:rPr>
          <w:sz w:val="22"/>
          <w:szCs w:val="22"/>
        </w:rPr>
        <w:t>ocid/50854a322.html [accessed 25 October</w:t>
      </w:r>
      <w:r w:rsidR="00AE3D9A" w:rsidRPr="00AE3D9A">
        <w:rPr>
          <w:sz w:val="22"/>
          <w:szCs w:val="22"/>
        </w:rPr>
        <w:t xml:space="preserve"> 2016]</w:t>
      </w:r>
    </w:p>
    <w:p w14:paraId="1CF00809" w14:textId="77777777" w:rsidR="00E03DE1" w:rsidRDefault="00E03DE1" w:rsidP="005F3E75">
      <w:pPr>
        <w:pStyle w:val="z-BottomofForm"/>
      </w:pPr>
    </w:p>
    <w:sectPr w:rsidR="00E03DE1" w:rsidSect="00FD2995">
      <w:headerReference w:type="default" r:id="rId11"/>
      <w:footerReference w:type="default" r:id="rId12"/>
      <w:type w:val="oddPag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999B" w14:textId="77777777" w:rsidR="00696740" w:rsidRDefault="00696740">
      <w:pPr>
        <w:spacing w:before="100" w:beforeAutospacing="1" w:after="100" w:afterAutospacing="1"/>
      </w:pPr>
      <w:r>
        <w:separator/>
      </w:r>
    </w:p>
  </w:endnote>
  <w:endnote w:type="continuationSeparator" w:id="0">
    <w:p w14:paraId="443D28EC" w14:textId="77777777" w:rsidR="00696740" w:rsidRDefault="00696740">
      <w:pPr>
        <w:spacing w:before="100" w:beforeAutospacing="1" w:after="100" w:afterAutospac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53548"/>
      <w:docPartObj>
        <w:docPartGallery w:val="Page Numbers (Bottom of Page)"/>
        <w:docPartUnique/>
      </w:docPartObj>
    </w:sdtPr>
    <w:sdtEndPr>
      <w:rPr>
        <w:noProof/>
      </w:rPr>
    </w:sdtEndPr>
    <w:sdtContent>
      <w:p w14:paraId="102F85AE" w14:textId="67514B10" w:rsidR="00207A9C" w:rsidRDefault="00207A9C">
        <w:pPr>
          <w:pStyle w:val="Footer"/>
          <w:jc w:val="center"/>
        </w:pPr>
        <w:r>
          <w:fldChar w:fldCharType="begin"/>
        </w:r>
        <w:r>
          <w:instrText xml:space="preserve"> PAGE   \* MERGEFORMAT </w:instrText>
        </w:r>
        <w:r>
          <w:fldChar w:fldCharType="separate"/>
        </w:r>
        <w:r w:rsidR="00254559">
          <w:rPr>
            <w:noProof/>
          </w:rPr>
          <w:t>i</w:t>
        </w:r>
        <w:r>
          <w:rPr>
            <w:noProof/>
          </w:rPr>
          <w:fldChar w:fldCharType="end"/>
        </w:r>
      </w:p>
    </w:sdtContent>
  </w:sdt>
  <w:p w14:paraId="0A281D89" w14:textId="77777777" w:rsidR="00207A9C" w:rsidRDefault="00207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142A" w14:textId="289D88BD" w:rsidR="00207A9C" w:rsidRDefault="00207A9C" w:rsidP="00DB0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214">
      <w:rPr>
        <w:rStyle w:val="PageNumber"/>
        <w:noProof/>
      </w:rPr>
      <w:t>2</w:t>
    </w:r>
    <w:r>
      <w:rPr>
        <w:rStyle w:val="PageNumber"/>
      </w:rPr>
      <w:fldChar w:fldCharType="end"/>
    </w:r>
  </w:p>
  <w:p w14:paraId="0EA785A6" w14:textId="77777777" w:rsidR="00207A9C" w:rsidRDefault="00207A9C">
    <w:pPr>
      <w:pStyle w:val="Footer"/>
      <w:ind w:right="360"/>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1F9A" w14:textId="77777777" w:rsidR="00696740" w:rsidRDefault="00696740">
      <w:pPr>
        <w:spacing w:before="100" w:beforeAutospacing="1" w:after="100" w:afterAutospacing="1"/>
      </w:pPr>
      <w:r>
        <w:separator/>
      </w:r>
    </w:p>
  </w:footnote>
  <w:footnote w:type="continuationSeparator" w:id="0">
    <w:p w14:paraId="3CA760C0" w14:textId="77777777" w:rsidR="00696740" w:rsidRDefault="00696740">
      <w:pPr>
        <w:spacing w:before="100" w:beforeAutospacing="1" w:after="100" w:afterAutospacing="1"/>
      </w:pPr>
      <w:r>
        <w:continuationSeparator/>
      </w:r>
    </w:p>
  </w:footnote>
  <w:footnote w:id="1">
    <w:p w14:paraId="1DBC2E58" w14:textId="74A23B9B" w:rsidR="00207A9C" w:rsidRPr="0025038B" w:rsidRDefault="00207A9C">
      <w:pPr>
        <w:pStyle w:val="FootnoteText"/>
        <w:contextualSpacing/>
        <w:rPr>
          <w:sz w:val="18"/>
          <w:szCs w:val="18"/>
        </w:rPr>
      </w:pPr>
      <w:r w:rsidRPr="0025038B">
        <w:rPr>
          <w:rStyle w:val="FootnoteReference"/>
          <w:sz w:val="18"/>
          <w:szCs w:val="18"/>
        </w:rPr>
        <w:footnoteRef/>
      </w:r>
      <w:r w:rsidRPr="0025038B">
        <w:rPr>
          <w:sz w:val="18"/>
          <w:szCs w:val="18"/>
        </w:rPr>
        <w:t xml:space="preserve"> Calculations of the project team at appraisal based on various household surveys. </w:t>
      </w:r>
    </w:p>
  </w:footnote>
  <w:footnote w:id="2">
    <w:p w14:paraId="1072AA1F" w14:textId="15E8BA28" w:rsidR="00207A9C" w:rsidRPr="0025038B" w:rsidRDefault="00207A9C">
      <w:pPr>
        <w:pStyle w:val="FootnoteText"/>
        <w:contextualSpacing/>
        <w:rPr>
          <w:sz w:val="18"/>
          <w:szCs w:val="18"/>
        </w:rPr>
      </w:pPr>
      <w:r w:rsidRPr="0025038B">
        <w:rPr>
          <w:rStyle w:val="FootnoteReference"/>
          <w:sz w:val="18"/>
          <w:szCs w:val="18"/>
        </w:rPr>
        <w:footnoteRef/>
      </w:r>
      <w:r w:rsidRPr="0025038B">
        <w:rPr>
          <w:sz w:val="18"/>
          <w:szCs w:val="18"/>
        </w:rPr>
        <w:t xml:space="preserve"> </w:t>
      </w:r>
      <w:r w:rsidRPr="001A3B15">
        <w:rPr>
          <w:sz w:val="18"/>
          <w:szCs w:val="18"/>
        </w:rPr>
        <w:t>“World Bank. 2008. Bangladesh - Po</w:t>
      </w:r>
      <w:r>
        <w:rPr>
          <w:sz w:val="18"/>
          <w:szCs w:val="18"/>
        </w:rPr>
        <w:t>verty Assessment for Bangladesh</w:t>
      </w:r>
      <w:r w:rsidRPr="001A3B15">
        <w:rPr>
          <w:sz w:val="18"/>
          <w:szCs w:val="18"/>
        </w:rPr>
        <w:t>: Creating Opportunities and Bridging the East-West Divide. Washington, DC. © World Bank. https://openknowledge.worldbank.org/handle/10986/7886 License: CC BY 3.0 Unported.”</w:t>
      </w:r>
    </w:p>
  </w:footnote>
  <w:footnote w:id="3">
    <w:p w14:paraId="2441BC7B" w14:textId="53884947" w:rsidR="00207A9C" w:rsidRPr="0025038B" w:rsidRDefault="00207A9C">
      <w:pPr>
        <w:pStyle w:val="FootnoteText"/>
        <w:contextualSpacing/>
        <w:rPr>
          <w:sz w:val="18"/>
          <w:szCs w:val="18"/>
        </w:rPr>
      </w:pPr>
      <w:r w:rsidRPr="0025038B">
        <w:rPr>
          <w:rStyle w:val="FootnoteReference"/>
          <w:sz w:val="18"/>
          <w:szCs w:val="18"/>
        </w:rPr>
        <w:footnoteRef/>
      </w:r>
      <w:r w:rsidRPr="0025038B">
        <w:rPr>
          <w:sz w:val="18"/>
          <w:szCs w:val="18"/>
        </w:rPr>
        <w:t xml:space="preserve"> Accounting for PWDs being of productive age and not having disability that would prevent them from working.</w:t>
      </w:r>
    </w:p>
  </w:footnote>
  <w:footnote w:id="4">
    <w:p w14:paraId="0A6A6B6D" w14:textId="1C3A5E89" w:rsidR="00207A9C" w:rsidRDefault="00207A9C">
      <w:pPr>
        <w:pStyle w:val="FootnoteText"/>
        <w:contextualSpacing/>
      </w:pPr>
      <w:r w:rsidRPr="0025038B">
        <w:rPr>
          <w:rStyle w:val="FootnoteReference"/>
          <w:sz w:val="18"/>
          <w:szCs w:val="18"/>
        </w:rPr>
        <w:footnoteRef/>
      </w:r>
      <w:r w:rsidRPr="0025038B">
        <w:rPr>
          <w:sz w:val="18"/>
          <w:szCs w:val="18"/>
        </w:rPr>
        <w:t xml:space="preserve"> Zu</w:t>
      </w:r>
      <w:r>
        <w:rPr>
          <w:sz w:val="18"/>
          <w:szCs w:val="18"/>
        </w:rPr>
        <w:t>l</w:t>
      </w:r>
      <w:r w:rsidRPr="0025038B">
        <w:rPr>
          <w:sz w:val="18"/>
          <w:szCs w:val="18"/>
        </w:rPr>
        <w:t xml:space="preserve">fikar, Ali. “The Economic Costs of Disability in Bangladesh.” </w:t>
      </w:r>
      <w:r w:rsidRPr="0025038B">
        <w:rPr>
          <w:i/>
          <w:sz w:val="18"/>
          <w:szCs w:val="18"/>
        </w:rPr>
        <w:t>Bangladesh Development Studies.</w:t>
      </w:r>
      <w:r w:rsidRPr="0025038B">
        <w:rPr>
          <w:sz w:val="18"/>
          <w:szCs w:val="18"/>
        </w:rPr>
        <w:t xml:space="preserve"> Vol. XXXVII, December 2014, No. 4</w:t>
      </w:r>
    </w:p>
  </w:footnote>
  <w:footnote w:id="5">
    <w:p w14:paraId="058A1795" w14:textId="103FBE91" w:rsidR="00207A9C" w:rsidRPr="00932332" w:rsidRDefault="00207A9C">
      <w:pPr>
        <w:pStyle w:val="FootnoteText"/>
        <w:rPr>
          <w:sz w:val="18"/>
          <w:szCs w:val="18"/>
        </w:rPr>
      </w:pPr>
      <w:r w:rsidRPr="00932332">
        <w:rPr>
          <w:rStyle w:val="FootnoteReference"/>
          <w:sz w:val="18"/>
          <w:szCs w:val="18"/>
        </w:rPr>
        <w:footnoteRef/>
      </w:r>
      <w:r w:rsidRPr="00932332">
        <w:rPr>
          <w:sz w:val="18"/>
          <w:szCs w:val="18"/>
        </w:rPr>
        <w:t xml:space="preserve">According to the data from Bangladesh Development Institute conducted in 2005. </w:t>
      </w:r>
    </w:p>
  </w:footnote>
  <w:footnote w:id="6">
    <w:p w14:paraId="574AB2C5" w14:textId="77777777" w:rsidR="00207A9C" w:rsidRPr="00C53F76" w:rsidRDefault="00207A9C" w:rsidP="00C53F76">
      <w:pPr>
        <w:pStyle w:val="FootnoteText"/>
        <w:contextualSpacing/>
        <w:jc w:val="both"/>
        <w:rPr>
          <w:sz w:val="20"/>
          <w:szCs w:val="20"/>
        </w:rPr>
      </w:pPr>
      <w:r w:rsidRPr="00C53F76">
        <w:rPr>
          <w:rStyle w:val="FootnoteReference"/>
          <w:sz w:val="20"/>
          <w:szCs w:val="20"/>
        </w:rPr>
        <w:footnoteRef/>
      </w:r>
      <w:r w:rsidRPr="00C53F76">
        <w:rPr>
          <w:sz w:val="20"/>
          <w:szCs w:val="20"/>
        </w:rPr>
        <w:t xml:space="preserve"> </w:t>
      </w:r>
      <w:r w:rsidRPr="00C53F76">
        <w:rPr>
          <w:i/>
          <w:sz w:val="20"/>
          <w:szCs w:val="20"/>
        </w:rPr>
        <w:t>Bangladesh Country Assistance Strategy: 2006-2009.</w:t>
      </w:r>
      <w:r w:rsidRPr="00C53F76">
        <w:rPr>
          <w:sz w:val="20"/>
          <w:szCs w:val="20"/>
        </w:rPr>
        <w:t xml:space="preserve"> World Bank. Dhaka, Bangladesh. 2006</w:t>
      </w:r>
    </w:p>
  </w:footnote>
  <w:footnote w:id="7">
    <w:p w14:paraId="67B9105F" w14:textId="77777777" w:rsidR="00207A9C" w:rsidRPr="00C53F76" w:rsidRDefault="00207A9C" w:rsidP="00C53F76">
      <w:pPr>
        <w:pStyle w:val="FootnoteText"/>
        <w:contextualSpacing/>
        <w:jc w:val="both"/>
        <w:rPr>
          <w:sz w:val="20"/>
          <w:szCs w:val="20"/>
        </w:rPr>
      </w:pPr>
      <w:r w:rsidRPr="00C53F76">
        <w:rPr>
          <w:rStyle w:val="FootnoteReference"/>
          <w:sz w:val="20"/>
          <w:szCs w:val="20"/>
        </w:rPr>
        <w:footnoteRef/>
      </w:r>
      <w:r w:rsidRPr="00C53F76">
        <w:rPr>
          <w:sz w:val="20"/>
          <w:szCs w:val="20"/>
        </w:rPr>
        <w:t xml:space="preserve"> Country Strategy and Program: 2006-2010. Asian Development Bank. Dhaka, Bangladesh. 2005. </w:t>
      </w:r>
    </w:p>
  </w:footnote>
  <w:footnote w:id="8">
    <w:p w14:paraId="41B6006D" w14:textId="6CF6CCF6" w:rsidR="00207A9C" w:rsidRDefault="00207A9C" w:rsidP="00C53F76">
      <w:pPr>
        <w:pStyle w:val="FootnoteText"/>
        <w:jc w:val="both"/>
      </w:pPr>
      <w:r w:rsidRPr="00C53F76">
        <w:rPr>
          <w:rStyle w:val="FootnoteReference"/>
          <w:sz w:val="20"/>
          <w:szCs w:val="20"/>
        </w:rPr>
        <w:footnoteRef/>
      </w:r>
      <w:r w:rsidRPr="00C53F76">
        <w:rPr>
          <w:sz w:val="20"/>
          <w:szCs w:val="20"/>
        </w:rPr>
        <w:t>Palli Karma-Sahayak Foundation (PKSF), an apex development organization</w:t>
      </w:r>
      <w:r w:rsidRPr="00F6128C">
        <w:t xml:space="preserve"> </w:t>
      </w:r>
      <w:r w:rsidRPr="00F6128C">
        <w:rPr>
          <w:sz w:val="20"/>
          <w:szCs w:val="20"/>
        </w:rPr>
        <w:t>registered under the Companies Act of 1913/1994</w:t>
      </w:r>
      <w:r>
        <w:rPr>
          <w:sz w:val="20"/>
          <w:szCs w:val="20"/>
        </w:rPr>
        <w:t>. It</w:t>
      </w:r>
      <w:r w:rsidRPr="00C53F76">
        <w:rPr>
          <w:sz w:val="20"/>
          <w:szCs w:val="20"/>
        </w:rPr>
        <w:t xml:space="preserve"> was established by the Government of Bangladesh (GoB) in May 1990, for sustainable poverty reduction through employment generation. When initially established it focused on creating self-employment opportunities in the rural off-farm sector and adopted the strategy of promoting a credit program (http://pksf-bd.org).</w:t>
      </w:r>
    </w:p>
  </w:footnote>
  <w:footnote w:id="9">
    <w:p w14:paraId="1209C245" w14:textId="570A9447" w:rsidR="00207A9C" w:rsidRPr="00FC5085" w:rsidRDefault="00207A9C">
      <w:pPr>
        <w:pStyle w:val="FootnoteText"/>
        <w:rPr>
          <w:sz w:val="18"/>
          <w:szCs w:val="18"/>
        </w:rPr>
      </w:pPr>
      <w:r w:rsidRPr="00FC5085">
        <w:rPr>
          <w:rStyle w:val="FootnoteReference"/>
          <w:sz w:val="18"/>
          <w:szCs w:val="18"/>
        </w:rPr>
        <w:footnoteRef/>
      </w:r>
      <w:r w:rsidRPr="00FC5085">
        <w:rPr>
          <w:sz w:val="18"/>
          <w:szCs w:val="18"/>
        </w:rPr>
        <w:t xml:space="preserve"> The PDO is the same as in the Financial Agreement. </w:t>
      </w:r>
    </w:p>
  </w:footnote>
  <w:footnote w:id="10">
    <w:p w14:paraId="0FCD731F" w14:textId="77777777" w:rsidR="00207A9C" w:rsidRPr="005971D4" w:rsidRDefault="00207A9C" w:rsidP="00CE7E4C">
      <w:pPr>
        <w:pStyle w:val="FootnoteText"/>
        <w:rPr>
          <w:sz w:val="18"/>
          <w:szCs w:val="18"/>
        </w:rPr>
      </w:pPr>
      <w:r w:rsidRPr="005971D4">
        <w:rPr>
          <w:rStyle w:val="FootnoteReference"/>
          <w:sz w:val="18"/>
          <w:szCs w:val="18"/>
        </w:rPr>
        <w:footnoteRef/>
      </w:r>
      <w:r w:rsidRPr="005971D4">
        <w:rPr>
          <w:sz w:val="18"/>
          <w:szCs w:val="18"/>
        </w:rPr>
        <w:t xml:space="preserve"> Nevertheless, the government did express commitment to partnering with NGOs where necessary to complement publicly provided services in order to improve equity in access, quality, and coverage. </w:t>
      </w:r>
    </w:p>
  </w:footnote>
  <w:footnote w:id="11">
    <w:p w14:paraId="7E3B2F5C" w14:textId="77777777" w:rsidR="00207A9C" w:rsidRPr="008B52AB" w:rsidRDefault="00207A9C" w:rsidP="00E726C8">
      <w:pPr>
        <w:pStyle w:val="FootnoteText"/>
        <w:contextualSpacing/>
        <w:jc w:val="both"/>
        <w:rPr>
          <w:sz w:val="20"/>
          <w:szCs w:val="20"/>
        </w:rPr>
      </w:pPr>
      <w:r w:rsidRPr="008B52AB">
        <w:rPr>
          <w:rStyle w:val="FootnoteReference"/>
          <w:sz w:val="20"/>
          <w:szCs w:val="20"/>
        </w:rPr>
        <w:footnoteRef/>
      </w:r>
      <w:r w:rsidRPr="008B52AB">
        <w:rPr>
          <w:sz w:val="20"/>
          <w:szCs w:val="20"/>
        </w:rPr>
        <w:t xml:space="preserve"> Children at risk were defined as children below the age of 18 years who were living, working, playing and sleeping on the street and were deprived of basic rights. Minimum age of the street children to be included in the project was six years old. The restructuring papers provided a more precise geographical scope of the children at risk component of project.</w:t>
      </w:r>
    </w:p>
  </w:footnote>
  <w:footnote w:id="12">
    <w:p w14:paraId="3F94CD7D" w14:textId="77777777" w:rsidR="00207A9C" w:rsidRPr="00E726C8" w:rsidRDefault="00207A9C" w:rsidP="002B43F1">
      <w:pPr>
        <w:pStyle w:val="FootnoteText"/>
        <w:contextualSpacing/>
        <w:jc w:val="both"/>
        <w:rPr>
          <w:sz w:val="20"/>
          <w:szCs w:val="20"/>
        </w:rPr>
      </w:pPr>
      <w:r w:rsidRPr="00E726C8">
        <w:rPr>
          <w:rStyle w:val="FootnoteReference"/>
          <w:sz w:val="20"/>
          <w:szCs w:val="20"/>
        </w:rPr>
        <w:footnoteRef/>
      </w:r>
      <w:r w:rsidRPr="00E726C8">
        <w:rPr>
          <w:sz w:val="20"/>
          <w:szCs w:val="20"/>
        </w:rPr>
        <w:t xml:space="preserve"> Dhaka, Chittagong, Rajshani, Khulna, Barisal, Sylhet, Narayangong, Mymemsingh, Comilla, Rangpur, and Jessore</w:t>
      </w:r>
      <w:r>
        <w:rPr>
          <w:sz w:val="20"/>
          <w:szCs w:val="20"/>
        </w:rPr>
        <w:t>.</w:t>
      </w:r>
    </w:p>
  </w:footnote>
  <w:footnote w:id="13">
    <w:p w14:paraId="7E972D96" w14:textId="712E922F" w:rsidR="00207A9C" w:rsidRDefault="00207A9C">
      <w:pPr>
        <w:pStyle w:val="FootnoteText"/>
      </w:pPr>
      <w:r>
        <w:rPr>
          <w:rStyle w:val="FootnoteReference"/>
        </w:rPr>
        <w:footnoteRef/>
      </w:r>
      <w:r>
        <w:t xml:space="preserve"> </w:t>
      </w:r>
      <w:r w:rsidRPr="00010C31">
        <w:rPr>
          <w:sz w:val="20"/>
          <w:szCs w:val="20"/>
        </w:rPr>
        <w:t>Disability Service Centers were located in all 64 district headquarters, and 49 sub-districts (upazilas).</w:t>
      </w:r>
    </w:p>
  </w:footnote>
  <w:footnote w:id="14">
    <w:p w14:paraId="4A9C11FF" w14:textId="77777777" w:rsidR="00207A9C" w:rsidRPr="003712EC" w:rsidRDefault="00207A9C" w:rsidP="003712EC">
      <w:pPr>
        <w:pStyle w:val="FootnoteText"/>
        <w:jc w:val="both"/>
        <w:rPr>
          <w:sz w:val="20"/>
          <w:szCs w:val="20"/>
        </w:rPr>
      </w:pPr>
      <w:r w:rsidRPr="003712EC">
        <w:rPr>
          <w:rStyle w:val="FootnoteReference"/>
          <w:sz w:val="20"/>
          <w:szCs w:val="20"/>
        </w:rPr>
        <w:footnoteRef/>
      </w:r>
      <w:r w:rsidRPr="003712EC">
        <w:rPr>
          <w:sz w:val="20"/>
          <w:szCs w:val="20"/>
        </w:rPr>
        <w:t xml:space="preserve"> For example, the GOB no longer required outside financing for the design of guidelines for national disability certification and determination process as it had sufficient funds to complete the process.</w:t>
      </w:r>
    </w:p>
  </w:footnote>
  <w:footnote w:id="15">
    <w:p w14:paraId="62E0D63F" w14:textId="427AA776" w:rsidR="00207A9C" w:rsidRPr="00E97C27" w:rsidRDefault="00207A9C">
      <w:pPr>
        <w:pStyle w:val="FootnoteText"/>
        <w:rPr>
          <w:sz w:val="18"/>
          <w:szCs w:val="18"/>
        </w:rPr>
      </w:pPr>
      <w:r w:rsidRPr="00E97C27">
        <w:rPr>
          <w:rStyle w:val="FootnoteReference"/>
          <w:sz w:val="18"/>
          <w:szCs w:val="18"/>
        </w:rPr>
        <w:footnoteRef/>
      </w:r>
      <w:r w:rsidRPr="00E97C27">
        <w:rPr>
          <w:sz w:val="18"/>
          <w:szCs w:val="18"/>
        </w:rPr>
        <w:t xml:space="preserve"> Based on interviews with the team and QER peer reviewers. </w:t>
      </w:r>
    </w:p>
  </w:footnote>
  <w:footnote w:id="16">
    <w:p w14:paraId="1C430F5B" w14:textId="672AC0CB" w:rsidR="00207A9C" w:rsidRPr="00725635" w:rsidRDefault="00207A9C" w:rsidP="00010C31">
      <w:pPr>
        <w:pStyle w:val="FootnoteText"/>
        <w:contextualSpacing/>
        <w:jc w:val="both"/>
        <w:rPr>
          <w:sz w:val="18"/>
          <w:szCs w:val="18"/>
        </w:rPr>
      </w:pPr>
      <w:r w:rsidRPr="00725635">
        <w:rPr>
          <w:rStyle w:val="FootnoteReference"/>
          <w:sz w:val="18"/>
          <w:szCs w:val="18"/>
        </w:rPr>
        <w:footnoteRef/>
      </w:r>
      <w:r w:rsidRPr="00725635">
        <w:rPr>
          <w:sz w:val="18"/>
          <w:szCs w:val="18"/>
        </w:rPr>
        <w:t xml:space="preserve"> Development Project Proposal (DPP) is the Government’s implementation document required to be prepared by the implementing agency and approved for undertaking any activity related to the project.</w:t>
      </w:r>
    </w:p>
  </w:footnote>
  <w:footnote w:id="17">
    <w:p w14:paraId="2174CA1A" w14:textId="09B9F161" w:rsidR="00207A9C" w:rsidRPr="00193CDA" w:rsidRDefault="00207A9C">
      <w:pPr>
        <w:pStyle w:val="FootnoteText"/>
        <w:rPr>
          <w:sz w:val="20"/>
          <w:szCs w:val="20"/>
        </w:rPr>
      </w:pPr>
      <w:r w:rsidRPr="00725635">
        <w:rPr>
          <w:rStyle w:val="FootnoteReference"/>
          <w:sz w:val="18"/>
          <w:szCs w:val="18"/>
        </w:rPr>
        <w:footnoteRef/>
      </w:r>
      <w:r w:rsidRPr="00725635">
        <w:rPr>
          <w:sz w:val="18"/>
          <w:szCs w:val="18"/>
        </w:rPr>
        <w:t xml:space="preserve"> The project supported fully 50 out of the 103 DSCs and provided equipment upgrades and staff training for the remaining 53.</w:t>
      </w:r>
      <w:r w:rsidRPr="00193CDA">
        <w:rPr>
          <w:sz w:val="20"/>
          <w:szCs w:val="20"/>
        </w:rPr>
        <w:t xml:space="preserve"> </w:t>
      </w:r>
    </w:p>
  </w:footnote>
  <w:footnote w:id="18">
    <w:p w14:paraId="06788B06" w14:textId="27E4D8DD" w:rsidR="00207A9C" w:rsidRPr="00C46443" w:rsidRDefault="00207A9C">
      <w:pPr>
        <w:pStyle w:val="FootnoteText"/>
        <w:rPr>
          <w:sz w:val="18"/>
          <w:szCs w:val="18"/>
        </w:rPr>
      </w:pPr>
      <w:r w:rsidRPr="00C46443">
        <w:rPr>
          <w:rStyle w:val="FootnoteReference"/>
          <w:sz w:val="18"/>
          <w:szCs w:val="18"/>
        </w:rPr>
        <w:footnoteRef/>
      </w:r>
      <w:r w:rsidRPr="00C46443">
        <w:rPr>
          <w:rStyle w:val="FootnoteReference"/>
        </w:rPr>
        <w:t xml:space="preserve"> </w:t>
      </w:r>
      <w:r w:rsidRPr="00C46443">
        <w:rPr>
          <w:sz w:val="18"/>
          <w:szCs w:val="18"/>
        </w:rPr>
        <w:t>http://www.thedailystar.net/city/free-cost-therapy-brings-smile-hundreds-1324402</w:t>
      </w:r>
    </w:p>
  </w:footnote>
  <w:footnote w:id="19">
    <w:p w14:paraId="49CC933B" w14:textId="77777777" w:rsidR="00207A9C" w:rsidRDefault="00207A9C" w:rsidP="00835540">
      <w:pPr>
        <w:pStyle w:val="FootnoteText"/>
        <w:jc w:val="both"/>
      </w:pPr>
      <w:r>
        <w:rPr>
          <w:rStyle w:val="FootnoteReference"/>
        </w:rPr>
        <w:footnoteRef/>
      </w:r>
      <w:r>
        <w:t xml:space="preserve"> </w:t>
      </w:r>
      <w:r w:rsidRPr="00760779">
        <w:rPr>
          <w:sz w:val="20"/>
          <w:szCs w:val="20"/>
        </w:rPr>
        <w:t>Restructuring paper from December 2013 states two different numbers: 37,200 registered clients at DSCs based on data from May 2013 and 53,000 based on data from October 2013.</w:t>
      </w:r>
      <w:r w:rsidRPr="00760779">
        <w:rPr>
          <w:sz w:val="28"/>
        </w:rPr>
        <w:t xml:space="preserve"> </w:t>
      </w:r>
    </w:p>
  </w:footnote>
  <w:footnote w:id="20">
    <w:p w14:paraId="65B377C7" w14:textId="35F95622" w:rsidR="00207A9C" w:rsidRPr="00283469" w:rsidRDefault="00207A9C" w:rsidP="00E439C9">
      <w:pPr>
        <w:pStyle w:val="FootnoteText"/>
        <w:contextualSpacing/>
        <w:jc w:val="both"/>
        <w:rPr>
          <w:sz w:val="18"/>
          <w:szCs w:val="18"/>
        </w:rPr>
      </w:pPr>
      <w:r w:rsidRPr="00283469">
        <w:rPr>
          <w:rStyle w:val="FootnoteReference"/>
          <w:sz w:val="18"/>
          <w:szCs w:val="18"/>
        </w:rPr>
        <w:footnoteRef/>
      </w:r>
      <w:r w:rsidRPr="00283469">
        <w:rPr>
          <w:sz w:val="18"/>
          <w:szCs w:val="18"/>
        </w:rPr>
        <w:t xml:space="preserve"> Reaching total of 103 DSCs covering all 64 districts: 50 DSCs are supported fully and equipment upgrading is provided for the remaining 53 government financed DSCs; and a total of 11 ICPSs with each center catering to more than five districts and thus covering more than 55 out of 64 districts.</w:t>
      </w:r>
    </w:p>
  </w:footnote>
  <w:footnote w:id="21">
    <w:p w14:paraId="3BCD91DA" w14:textId="4505149C" w:rsidR="00207A9C" w:rsidRPr="00165719" w:rsidRDefault="00207A9C" w:rsidP="00283469">
      <w:pPr>
        <w:pStyle w:val="FootnoteText"/>
        <w:contextualSpacing/>
        <w:rPr>
          <w:sz w:val="18"/>
          <w:szCs w:val="18"/>
        </w:rPr>
      </w:pPr>
      <w:r w:rsidRPr="00283469">
        <w:rPr>
          <w:rStyle w:val="FootnoteReference"/>
          <w:sz w:val="18"/>
          <w:szCs w:val="18"/>
        </w:rPr>
        <w:footnoteRef/>
      </w:r>
      <w:r w:rsidRPr="00283469">
        <w:rPr>
          <w:sz w:val="18"/>
          <w:szCs w:val="18"/>
        </w:rPr>
        <w:t xml:space="preserve"> Based on documentation from DSS and JPUF.</w:t>
      </w:r>
      <w:r w:rsidRPr="00165719">
        <w:rPr>
          <w:sz w:val="18"/>
          <w:szCs w:val="18"/>
        </w:rPr>
        <w:t xml:space="preserve"> </w:t>
      </w:r>
    </w:p>
  </w:footnote>
  <w:footnote w:id="22">
    <w:p w14:paraId="24584FDB" w14:textId="68D43B8D" w:rsidR="00207A9C" w:rsidRPr="000F359F" w:rsidRDefault="00207A9C" w:rsidP="000F359F">
      <w:pPr>
        <w:pStyle w:val="FootnoteText"/>
        <w:contextualSpacing/>
        <w:rPr>
          <w:sz w:val="18"/>
          <w:szCs w:val="18"/>
        </w:rPr>
      </w:pPr>
      <w:r w:rsidRPr="000F359F">
        <w:rPr>
          <w:rStyle w:val="FootnoteReference"/>
          <w:sz w:val="18"/>
          <w:szCs w:val="18"/>
        </w:rPr>
        <w:footnoteRef/>
      </w:r>
      <w:r w:rsidRPr="000F359F">
        <w:rPr>
          <w:sz w:val="18"/>
          <w:szCs w:val="18"/>
        </w:rPr>
        <w:t xml:space="preserve"> Filmer, D. (2008). Disability, poverty, and schooling in developing countries: results from 14 household surveys. The World Bank Economic Review, 22(1), 141-163.</w:t>
      </w:r>
    </w:p>
  </w:footnote>
  <w:footnote w:id="23">
    <w:p w14:paraId="6D7B4A97" w14:textId="3B72B873" w:rsidR="00207A9C" w:rsidRPr="00952A1F" w:rsidRDefault="00207A9C" w:rsidP="000F359F">
      <w:pPr>
        <w:pStyle w:val="FootnoteText"/>
        <w:contextualSpacing/>
        <w:rPr>
          <w:sz w:val="18"/>
          <w:szCs w:val="18"/>
        </w:rPr>
      </w:pPr>
      <w:r w:rsidRPr="00952A1F">
        <w:rPr>
          <w:rStyle w:val="FootnoteReference"/>
          <w:sz w:val="18"/>
          <w:szCs w:val="18"/>
        </w:rPr>
        <w:footnoteRef/>
      </w:r>
      <w:r w:rsidRPr="00952A1F">
        <w:rPr>
          <w:sz w:val="18"/>
          <w:szCs w:val="18"/>
        </w:rPr>
        <w:t xml:space="preserve"> </w:t>
      </w:r>
      <w:r w:rsidRPr="00952A1F">
        <w:rPr>
          <w:color w:val="222222"/>
          <w:sz w:val="18"/>
          <w:szCs w:val="18"/>
        </w:rPr>
        <w:t xml:space="preserve">Jones, M. K. (2008). Disability and the labour market: a review of the empirical evidence. </w:t>
      </w:r>
      <w:r w:rsidRPr="00952A1F">
        <w:rPr>
          <w:i/>
          <w:iCs/>
          <w:color w:val="222222"/>
          <w:sz w:val="18"/>
          <w:szCs w:val="18"/>
        </w:rPr>
        <w:t>Journal of Economic Studies</w:t>
      </w:r>
      <w:r w:rsidRPr="00952A1F">
        <w:rPr>
          <w:color w:val="222222"/>
          <w:sz w:val="18"/>
          <w:szCs w:val="18"/>
        </w:rPr>
        <w:t xml:space="preserve">, </w:t>
      </w:r>
      <w:r w:rsidRPr="00952A1F">
        <w:rPr>
          <w:i/>
          <w:iCs/>
          <w:color w:val="222222"/>
          <w:sz w:val="18"/>
          <w:szCs w:val="18"/>
        </w:rPr>
        <w:t>35</w:t>
      </w:r>
      <w:r w:rsidRPr="00952A1F">
        <w:rPr>
          <w:color w:val="222222"/>
          <w:sz w:val="18"/>
          <w:szCs w:val="18"/>
        </w:rPr>
        <w:t>(5), 405-424.</w:t>
      </w:r>
    </w:p>
  </w:footnote>
  <w:footnote w:id="24">
    <w:p w14:paraId="2E669F61" w14:textId="659ECA13" w:rsidR="00207A9C" w:rsidRPr="00952A1F" w:rsidRDefault="00207A9C" w:rsidP="000F359F">
      <w:pPr>
        <w:pStyle w:val="FootnoteText"/>
        <w:contextualSpacing/>
        <w:rPr>
          <w:sz w:val="18"/>
          <w:szCs w:val="18"/>
        </w:rPr>
      </w:pPr>
      <w:r w:rsidRPr="00952A1F">
        <w:rPr>
          <w:rStyle w:val="FootnoteReference"/>
          <w:sz w:val="18"/>
          <w:szCs w:val="18"/>
        </w:rPr>
        <w:footnoteRef/>
      </w:r>
      <w:r w:rsidRPr="00952A1F">
        <w:rPr>
          <w:sz w:val="18"/>
          <w:szCs w:val="18"/>
        </w:rPr>
        <w:t xml:space="preserve"> </w:t>
      </w:r>
      <w:r w:rsidRPr="00952A1F">
        <w:rPr>
          <w:color w:val="222222"/>
          <w:sz w:val="18"/>
          <w:szCs w:val="18"/>
        </w:rPr>
        <w:t xml:space="preserve">Cohen, M. A., &amp; Piquero, A. R. (2009). New evidence on the monetary value of saving a high risk youth. </w:t>
      </w:r>
      <w:r w:rsidRPr="00952A1F">
        <w:rPr>
          <w:i/>
          <w:iCs/>
          <w:color w:val="222222"/>
          <w:sz w:val="18"/>
          <w:szCs w:val="18"/>
        </w:rPr>
        <w:t>Journal of Quantitative Criminology</w:t>
      </w:r>
      <w:r w:rsidRPr="00952A1F">
        <w:rPr>
          <w:color w:val="222222"/>
          <w:sz w:val="18"/>
          <w:szCs w:val="18"/>
        </w:rPr>
        <w:t xml:space="preserve">, </w:t>
      </w:r>
      <w:r w:rsidRPr="00952A1F">
        <w:rPr>
          <w:i/>
          <w:iCs/>
          <w:color w:val="222222"/>
          <w:sz w:val="18"/>
          <w:szCs w:val="18"/>
        </w:rPr>
        <w:t>25</w:t>
      </w:r>
      <w:r w:rsidRPr="00952A1F">
        <w:rPr>
          <w:color w:val="222222"/>
          <w:sz w:val="18"/>
          <w:szCs w:val="18"/>
        </w:rPr>
        <w:t>(1), 25-49.</w:t>
      </w:r>
    </w:p>
  </w:footnote>
  <w:footnote w:id="25">
    <w:p w14:paraId="56F883AB" w14:textId="765FF023" w:rsidR="00207A9C" w:rsidRPr="0016093A" w:rsidRDefault="00207A9C" w:rsidP="000F359F">
      <w:pPr>
        <w:pStyle w:val="FootnoteText"/>
        <w:contextualSpacing/>
        <w:rPr>
          <w:sz w:val="18"/>
          <w:szCs w:val="18"/>
        </w:rPr>
      </w:pPr>
      <w:r w:rsidRPr="0016093A">
        <w:rPr>
          <w:rStyle w:val="FootnoteReference"/>
          <w:sz w:val="18"/>
          <w:szCs w:val="18"/>
        </w:rPr>
        <w:footnoteRef/>
      </w:r>
      <w:r w:rsidRPr="0016093A">
        <w:rPr>
          <w:sz w:val="18"/>
          <w:szCs w:val="18"/>
        </w:rPr>
        <w:t xml:space="preserve"> Heckman, J. J., &amp; Masterov, D. V. (2007). The productivity argument for investing in young children. Applied Economic Perspectives and Policy, 29(3), 446-493.</w:t>
      </w:r>
    </w:p>
  </w:footnote>
  <w:footnote w:id="26">
    <w:p w14:paraId="71301782" w14:textId="71BB1AF6" w:rsidR="00207A9C" w:rsidRPr="00FB3CED" w:rsidRDefault="00207A9C">
      <w:pPr>
        <w:pStyle w:val="FootnoteText"/>
        <w:rPr>
          <w:sz w:val="18"/>
          <w:szCs w:val="18"/>
        </w:rPr>
      </w:pPr>
      <w:r w:rsidRPr="00FB3CED">
        <w:rPr>
          <w:rStyle w:val="FootnoteReference"/>
          <w:sz w:val="18"/>
          <w:szCs w:val="18"/>
        </w:rPr>
        <w:footnoteRef/>
      </w:r>
      <w:r w:rsidRPr="00FB3CED">
        <w:rPr>
          <w:sz w:val="18"/>
          <w:szCs w:val="18"/>
        </w:rPr>
        <w:t xml:space="preserve"> Filmer, D. (2008). Disability, poverty, and schooling in developing countries: results from 14 household surveys. The World Bank Economic Review, 22(1), 141-163.</w:t>
      </w:r>
    </w:p>
  </w:footnote>
  <w:footnote w:id="27">
    <w:p w14:paraId="36C6447A" w14:textId="4D9A2873" w:rsidR="00207A9C" w:rsidRPr="000F359F" w:rsidRDefault="00207A9C" w:rsidP="008601AD">
      <w:pPr>
        <w:pStyle w:val="FootnoteText"/>
        <w:contextualSpacing/>
        <w:rPr>
          <w:sz w:val="18"/>
          <w:szCs w:val="18"/>
        </w:rPr>
      </w:pPr>
      <w:r w:rsidRPr="000F359F">
        <w:rPr>
          <w:rStyle w:val="FootnoteReference"/>
          <w:sz w:val="18"/>
          <w:szCs w:val="18"/>
        </w:rPr>
        <w:footnoteRef/>
      </w:r>
      <w:r w:rsidRPr="000F359F">
        <w:rPr>
          <w:sz w:val="18"/>
          <w:szCs w:val="18"/>
        </w:rPr>
        <w:t xml:space="preserve"> Filmer, D. (2008). Disability, poverty, and schooling in developing countries: results from 14 household surveys. The World Bank Economic Review, 22(1), 141-163.</w:t>
      </w:r>
    </w:p>
  </w:footnote>
  <w:footnote w:id="28">
    <w:p w14:paraId="38F1A156" w14:textId="2E0E8FD5" w:rsidR="00207A9C" w:rsidRPr="000F359F" w:rsidRDefault="00207A9C" w:rsidP="008601AD">
      <w:pPr>
        <w:pStyle w:val="FootnoteText"/>
        <w:contextualSpacing/>
        <w:rPr>
          <w:sz w:val="18"/>
          <w:szCs w:val="18"/>
        </w:rPr>
      </w:pPr>
      <w:r w:rsidRPr="000F359F">
        <w:rPr>
          <w:rStyle w:val="FootnoteReference"/>
          <w:sz w:val="18"/>
          <w:szCs w:val="18"/>
        </w:rPr>
        <w:footnoteRef/>
      </w:r>
      <w:r w:rsidRPr="000F359F">
        <w:rPr>
          <w:sz w:val="18"/>
          <w:szCs w:val="18"/>
        </w:rPr>
        <w:t xml:space="preserve">  </w:t>
      </w:r>
      <w:r w:rsidRPr="000F359F">
        <w:rPr>
          <w:color w:val="222222"/>
          <w:sz w:val="18"/>
          <w:szCs w:val="18"/>
        </w:rPr>
        <w:t xml:space="preserve">Jones, M. K. (2008). Disability and the labour market: a review of the empirical evidence. </w:t>
      </w:r>
      <w:r w:rsidRPr="000F359F">
        <w:rPr>
          <w:i/>
          <w:iCs/>
          <w:color w:val="222222"/>
          <w:sz w:val="18"/>
          <w:szCs w:val="18"/>
        </w:rPr>
        <w:t>Journal of Economic Studies</w:t>
      </w:r>
      <w:r w:rsidRPr="000F359F">
        <w:rPr>
          <w:color w:val="222222"/>
          <w:sz w:val="18"/>
          <w:szCs w:val="18"/>
        </w:rPr>
        <w:t xml:space="preserve">, </w:t>
      </w:r>
      <w:r w:rsidRPr="000F359F">
        <w:rPr>
          <w:i/>
          <w:iCs/>
          <w:color w:val="222222"/>
          <w:sz w:val="18"/>
          <w:szCs w:val="18"/>
        </w:rPr>
        <w:t>35</w:t>
      </w:r>
      <w:r w:rsidRPr="000F359F">
        <w:rPr>
          <w:color w:val="222222"/>
          <w:sz w:val="18"/>
          <w:szCs w:val="18"/>
        </w:rPr>
        <w:t>(5), 405-424.</w:t>
      </w:r>
    </w:p>
  </w:footnote>
  <w:footnote w:id="29">
    <w:p w14:paraId="707F6FED" w14:textId="4E66D97A" w:rsidR="00207A9C" w:rsidRDefault="00207A9C" w:rsidP="008601AD">
      <w:pPr>
        <w:pStyle w:val="FootnoteText"/>
        <w:contextualSpacing/>
      </w:pPr>
      <w:r>
        <w:rPr>
          <w:rStyle w:val="FootnoteReference"/>
        </w:rPr>
        <w:footnoteRef/>
      </w:r>
      <w:r>
        <w:t xml:space="preserve"> </w:t>
      </w:r>
      <w:r w:rsidRPr="00952A1F">
        <w:rPr>
          <w:color w:val="222222"/>
          <w:sz w:val="18"/>
          <w:szCs w:val="18"/>
        </w:rPr>
        <w:t xml:space="preserve">Cohen, M. A., &amp; Piquero, A. R. (2009). New evidence on the monetary value of saving a high risk youth. </w:t>
      </w:r>
      <w:r w:rsidRPr="00952A1F">
        <w:rPr>
          <w:i/>
          <w:iCs/>
          <w:color w:val="222222"/>
          <w:sz w:val="18"/>
          <w:szCs w:val="18"/>
        </w:rPr>
        <w:t>Journal of Quantitative Criminology</w:t>
      </w:r>
      <w:r w:rsidRPr="00952A1F">
        <w:rPr>
          <w:color w:val="222222"/>
          <w:sz w:val="18"/>
          <w:szCs w:val="18"/>
        </w:rPr>
        <w:t xml:space="preserve">, </w:t>
      </w:r>
      <w:r w:rsidRPr="00952A1F">
        <w:rPr>
          <w:i/>
          <w:iCs/>
          <w:color w:val="222222"/>
          <w:sz w:val="18"/>
          <w:szCs w:val="18"/>
        </w:rPr>
        <w:t>25</w:t>
      </w:r>
      <w:r w:rsidRPr="00952A1F">
        <w:rPr>
          <w:color w:val="222222"/>
          <w:sz w:val="18"/>
          <w:szCs w:val="18"/>
        </w:rPr>
        <w:t>(1), 25-49.</w:t>
      </w:r>
    </w:p>
  </w:footnote>
  <w:footnote w:id="30">
    <w:p w14:paraId="5570A0E1" w14:textId="77777777" w:rsidR="00207A9C" w:rsidRPr="0016093A" w:rsidRDefault="00207A9C" w:rsidP="008601AD">
      <w:pPr>
        <w:pStyle w:val="FootnoteText"/>
        <w:contextualSpacing/>
        <w:rPr>
          <w:sz w:val="18"/>
          <w:szCs w:val="18"/>
        </w:rPr>
      </w:pPr>
      <w:r w:rsidRPr="000F359F">
        <w:rPr>
          <w:rStyle w:val="FootnoteReference"/>
          <w:sz w:val="18"/>
          <w:szCs w:val="18"/>
        </w:rPr>
        <w:footnoteRef/>
      </w:r>
      <w:r w:rsidRPr="000F359F">
        <w:rPr>
          <w:sz w:val="18"/>
          <w:szCs w:val="18"/>
        </w:rPr>
        <w:t xml:space="preserve"> </w:t>
      </w:r>
      <w:r w:rsidRPr="0016093A">
        <w:rPr>
          <w:sz w:val="18"/>
          <w:szCs w:val="18"/>
        </w:rPr>
        <w:t>Heckman, J. J., &amp; Masterov, D. V. (2007). The productivity argument for investing in young children. Applied Economic Perspectives and Policy, 29(3), 446-493.</w:t>
      </w:r>
    </w:p>
    <w:p w14:paraId="39B4BBCA" w14:textId="1B98F160" w:rsidR="00207A9C" w:rsidRDefault="00207A9C" w:rsidP="000F359F">
      <w:pPr>
        <w:pStyle w:val="FootnoteText"/>
        <w:contextualSpacing/>
      </w:pPr>
    </w:p>
  </w:footnote>
  <w:footnote w:id="31">
    <w:p w14:paraId="1A032CFE" w14:textId="77777777" w:rsidR="00207A9C" w:rsidRPr="000034FB" w:rsidRDefault="00207A9C">
      <w:pPr>
        <w:pStyle w:val="FootnoteText"/>
        <w:contextualSpacing/>
        <w:rPr>
          <w:sz w:val="20"/>
          <w:szCs w:val="20"/>
        </w:rPr>
      </w:pPr>
      <w:r w:rsidRPr="000034FB">
        <w:rPr>
          <w:rStyle w:val="FootnoteReference"/>
          <w:sz w:val="20"/>
          <w:szCs w:val="20"/>
        </w:rPr>
        <w:footnoteRef/>
      </w:r>
      <w:r w:rsidRPr="000034FB">
        <w:rPr>
          <w:sz w:val="20"/>
          <w:szCs w:val="20"/>
        </w:rPr>
        <w:t xml:space="preserve"> </w:t>
      </w:r>
      <w:r>
        <w:rPr>
          <w:sz w:val="20"/>
          <w:szCs w:val="20"/>
        </w:rPr>
        <w:t xml:space="preserve">There is no data to allow for an exact attribution of employment status to the training received and thus the ICR team did not quantify this benefit to be conservative. </w:t>
      </w:r>
    </w:p>
  </w:footnote>
  <w:footnote w:id="32">
    <w:p w14:paraId="06E1C167" w14:textId="0C68DD4B" w:rsidR="00207A9C" w:rsidRDefault="00207A9C">
      <w:pPr>
        <w:pStyle w:val="FootnoteText"/>
        <w:contextualSpacing/>
      </w:pPr>
      <w:r w:rsidRPr="000034FB">
        <w:rPr>
          <w:rStyle w:val="FootnoteReference"/>
          <w:sz w:val="20"/>
          <w:szCs w:val="20"/>
        </w:rPr>
        <w:footnoteRef/>
      </w:r>
      <w:r w:rsidRPr="000034FB">
        <w:rPr>
          <w:sz w:val="20"/>
          <w:szCs w:val="20"/>
        </w:rPr>
        <w:t xml:space="preserve"> </w:t>
      </w:r>
      <w:r w:rsidRPr="00170AE0">
        <w:rPr>
          <w:sz w:val="20"/>
          <w:szCs w:val="20"/>
        </w:rPr>
        <w:t>UN World Health Organization (WHO), World Report on Disability: Summary 2011, WHO/NMH/VIP/11.01 available at http://www.refworld.org/docid/50854a322.html [accessed 25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5989" w14:textId="77777777" w:rsidR="00207A9C" w:rsidRDefault="00207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486"/>
    <w:multiLevelType w:val="hybridMultilevel"/>
    <w:tmpl w:val="080C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3ED4"/>
    <w:multiLevelType w:val="hybridMultilevel"/>
    <w:tmpl w:val="04B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6A7"/>
    <w:multiLevelType w:val="hybridMultilevel"/>
    <w:tmpl w:val="A49474DE"/>
    <w:lvl w:ilvl="0" w:tplc="04090011">
      <w:start w:val="1"/>
      <w:numFmt w:val="decimal"/>
      <w:lvlText w:val="%1)"/>
      <w:lvlJc w:val="left"/>
      <w:pPr>
        <w:ind w:left="360" w:hanging="360"/>
      </w:pPr>
      <w:rPr>
        <w:rFonts w:hint="default"/>
        <w:b/>
      </w:rPr>
    </w:lvl>
    <w:lvl w:ilvl="1" w:tplc="5AFCDAD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D7988"/>
    <w:multiLevelType w:val="multilevel"/>
    <w:tmpl w:val="55E4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57BB3"/>
    <w:multiLevelType w:val="multilevel"/>
    <w:tmpl w:val="BC4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B5F10"/>
    <w:multiLevelType w:val="multilevel"/>
    <w:tmpl w:val="51B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76B3A"/>
    <w:multiLevelType w:val="multilevel"/>
    <w:tmpl w:val="BE7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5F87"/>
    <w:multiLevelType w:val="multilevel"/>
    <w:tmpl w:val="1990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66321"/>
    <w:multiLevelType w:val="multilevel"/>
    <w:tmpl w:val="674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D77ED"/>
    <w:multiLevelType w:val="multilevel"/>
    <w:tmpl w:val="01E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B5584"/>
    <w:multiLevelType w:val="hybridMultilevel"/>
    <w:tmpl w:val="DD80F6CA"/>
    <w:lvl w:ilvl="0" w:tplc="09742238">
      <w:start w:val="1"/>
      <w:numFmt w:val="decimal"/>
      <w:lvlText w:val="%1."/>
      <w:lvlJc w:val="left"/>
      <w:pPr>
        <w:ind w:left="207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6D57488"/>
    <w:multiLevelType w:val="multilevel"/>
    <w:tmpl w:val="C4EE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66DC8"/>
    <w:multiLevelType w:val="hybridMultilevel"/>
    <w:tmpl w:val="DA8E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62C36"/>
    <w:multiLevelType w:val="hybridMultilevel"/>
    <w:tmpl w:val="8D2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E66"/>
    <w:multiLevelType w:val="multilevel"/>
    <w:tmpl w:val="FAD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54B39"/>
    <w:multiLevelType w:val="multilevel"/>
    <w:tmpl w:val="F6D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B64BF"/>
    <w:multiLevelType w:val="multilevel"/>
    <w:tmpl w:val="985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D51D9"/>
    <w:multiLevelType w:val="multilevel"/>
    <w:tmpl w:val="650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875CC"/>
    <w:multiLevelType w:val="hybridMultilevel"/>
    <w:tmpl w:val="E9527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FC7668"/>
    <w:multiLevelType w:val="multilevel"/>
    <w:tmpl w:val="8DE0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B1653"/>
    <w:multiLevelType w:val="multilevel"/>
    <w:tmpl w:val="4FC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73F85"/>
    <w:multiLevelType w:val="multilevel"/>
    <w:tmpl w:val="154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E128E"/>
    <w:multiLevelType w:val="hybridMultilevel"/>
    <w:tmpl w:val="F070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2386B"/>
    <w:multiLevelType w:val="hybridMultilevel"/>
    <w:tmpl w:val="207200EE"/>
    <w:lvl w:ilvl="0" w:tplc="38382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35C23"/>
    <w:multiLevelType w:val="hybridMultilevel"/>
    <w:tmpl w:val="A79A675E"/>
    <w:lvl w:ilvl="0" w:tplc="09742238">
      <w:start w:val="1"/>
      <w:numFmt w:val="decimal"/>
      <w:lvlText w:val="%1."/>
      <w:lvlJc w:val="left"/>
      <w:pPr>
        <w:ind w:left="108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25" w15:restartNumberingAfterBreak="0">
    <w:nsid w:val="4701414A"/>
    <w:multiLevelType w:val="hybridMultilevel"/>
    <w:tmpl w:val="FEF8FCEE"/>
    <w:lvl w:ilvl="0" w:tplc="541404C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D6477"/>
    <w:multiLevelType w:val="multilevel"/>
    <w:tmpl w:val="D764CA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130B49"/>
    <w:multiLevelType w:val="multilevel"/>
    <w:tmpl w:val="4F5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E4E39"/>
    <w:multiLevelType w:val="hybridMultilevel"/>
    <w:tmpl w:val="3DAC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87AF4"/>
    <w:multiLevelType w:val="multilevel"/>
    <w:tmpl w:val="534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6D54C8"/>
    <w:multiLevelType w:val="hybridMultilevel"/>
    <w:tmpl w:val="99D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24F69"/>
    <w:multiLevelType w:val="multilevel"/>
    <w:tmpl w:val="5D1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4B2CEB"/>
    <w:multiLevelType w:val="hybridMultilevel"/>
    <w:tmpl w:val="E47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E074E"/>
    <w:multiLevelType w:val="hybridMultilevel"/>
    <w:tmpl w:val="65BEA714"/>
    <w:lvl w:ilvl="0" w:tplc="8048B6F4">
      <w:start w:val="1"/>
      <w:numFmt w:val="upperLetter"/>
      <w:lvlText w:val="%1."/>
      <w:lvlJc w:val="left"/>
      <w:pPr>
        <w:ind w:left="360" w:hanging="360"/>
      </w:pPr>
      <w:rPr>
        <w:rFonts w:hint="default"/>
        <w:b/>
      </w:rPr>
    </w:lvl>
    <w:lvl w:ilvl="1" w:tplc="5AFCDAD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E5F07"/>
    <w:multiLevelType w:val="multilevel"/>
    <w:tmpl w:val="C80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0070F"/>
    <w:multiLevelType w:val="multilevel"/>
    <w:tmpl w:val="E77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C7506"/>
    <w:multiLevelType w:val="hybridMultilevel"/>
    <w:tmpl w:val="7878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A1F4A"/>
    <w:multiLevelType w:val="hybridMultilevel"/>
    <w:tmpl w:val="2A3E0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F31D1D"/>
    <w:multiLevelType w:val="multilevel"/>
    <w:tmpl w:val="4C5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66AA3"/>
    <w:multiLevelType w:val="multilevel"/>
    <w:tmpl w:val="71C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911811"/>
    <w:multiLevelType w:val="hybridMultilevel"/>
    <w:tmpl w:val="E24A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8763F"/>
    <w:multiLevelType w:val="hybridMultilevel"/>
    <w:tmpl w:val="4A2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1423"/>
    <w:multiLevelType w:val="multilevel"/>
    <w:tmpl w:val="83F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8802ED"/>
    <w:multiLevelType w:val="multilevel"/>
    <w:tmpl w:val="B762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F781B"/>
    <w:multiLevelType w:val="hybridMultilevel"/>
    <w:tmpl w:val="0AD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9419C"/>
    <w:multiLevelType w:val="hybridMultilevel"/>
    <w:tmpl w:val="A79A675E"/>
    <w:lvl w:ilvl="0" w:tplc="09742238">
      <w:start w:val="1"/>
      <w:numFmt w:val="decimal"/>
      <w:lvlText w:val="%1."/>
      <w:lvlJc w:val="left"/>
      <w:pPr>
        <w:ind w:left="207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1"/>
  </w:num>
  <w:num w:numId="2">
    <w:abstractNumId w:val="38"/>
  </w:num>
  <w:num w:numId="3">
    <w:abstractNumId w:val="31"/>
  </w:num>
  <w:num w:numId="4">
    <w:abstractNumId w:val="35"/>
  </w:num>
  <w:num w:numId="5">
    <w:abstractNumId w:val="5"/>
  </w:num>
  <w:num w:numId="6">
    <w:abstractNumId w:val="21"/>
  </w:num>
  <w:num w:numId="7">
    <w:abstractNumId w:val="4"/>
  </w:num>
  <w:num w:numId="8">
    <w:abstractNumId w:val="20"/>
  </w:num>
  <w:num w:numId="9">
    <w:abstractNumId w:val="6"/>
  </w:num>
  <w:num w:numId="10">
    <w:abstractNumId w:val="7"/>
  </w:num>
  <w:num w:numId="11">
    <w:abstractNumId w:val="34"/>
  </w:num>
  <w:num w:numId="12">
    <w:abstractNumId w:val="43"/>
  </w:num>
  <w:num w:numId="13">
    <w:abstractNumId w:val="15"/>
  </w:num>
  <w:num w:numId="14">
    <w:abstractNumId w:val="16"/>
  </w:num>
  <w:num w:numId="15">
    <w:abstractNumId w:val="27"/>
  </w:num>
  <w:num w:numId="16">
    <w:abstractNumId w:val="42"/>
  </w:num>
  <w:num w:numId="17">
    <w:abstractNumId w:val="29"/>
  </w:num>
  <w:num w:numId="18">
    <w:abstractNumId w:val="8"/>
  </w:num>
  <w:num w:numId="19">
    <w:abstractNumId w:val="39"/>
  </w:num>
  <w:num w:numId="20">
    <w:abstractNumId w:val="19"/>
  </w:num>
  <w:num w:numId="21">
    <w:abstractNumId w:val="3"/>
  </w:num>
  <w:num w:numId="22">
    <w:abstractNumId w:val="9"/>
  </w:num>
  <w:num w:numId="23">
    <w:abstractNumId w:val="14"/>
  </w:num>
  <w:num w:numId="24">
    <w:abstractNumId w:val="17"/>
  </w:num>
  <w:num w:numId="25">
    <w:abstractNumId w:val="1"/>
  </w:num>
  <w:num w:numId="26">
    <w:abstractNumId w:val="13"/>
  </w:num>
  <w:num w:numId="27">
    <w:abstractNumId w:val="32"/>
  </w:num>
  <w:num w:numId="28">
    <w:abstractNumId w:val="44"/>
  </w:num>
  <w:num w:numId="29">
    <w:abstractNumId w:val="30"/>
  </w:num>
  <w:num w:numId="30">
    <w:abstractNumId w:val="22"/>
  </w:num>
  <w:num w:numId="31">
    <w:abstractNumId w:val="33"/>
  </w:num>
  <w:num w:numId="32">
    <w:abstractNumId w:val="2"/>
  </w:num>
  <w:num w:numId="33">
    <w:abstractNumId w:val="41"/>
  </w:num>
  <w:num w:numId="34">
    <w:abstractNumId w:val="10"/>
  </w:num>
  <w:num w:numId="35">
    <w:abstractNumId w:val="28"/>
  </w:num>
  <w:num w:numId="36">
    <w:abstractNumId w:val="40"/>
  </w:num>
  <w:num w:numId="37">
    <w:abstractNumId w:val="36"/>
  </w:num>
  <w:num w:numId="38">
    <w:abstractNumId w:val="18"/>
  </w:num>
  <w:num w:numId="39">
    <w:abstractNumId w:val="23"/>
  </w:num>
  <w:num w:numId="40">
    <w:abstractNumId w:val="12"/>
  </w:num>
  <w:num w:numId="41">
    <w:abstractNumId w:val="37"/>
  </w:num>
  <w:num w:numId="42">
    <w:abstractNumId w:val="24"/>
  </w:num>
  <w:num w:numId="43">
    <w:abstractNumId w:val="45"/>
  </w:num>
  <w:num w:numId="44">
    <w:abstractNumId w:val="0"/>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CF"/>
    <w:rsid w:val="000006F9"/>
    <w:rsid w:val="00000FB3"/>
    <w:rsid w:val="00002DFD"/>
    <w:rsid w:val="000034FB"/>
    <w:rsid w:val="000044F4"/>
    <w:rsid w:val="00005191"/>
    <w:rsid w:val="00007703"/>
    <w:rsid w:val="00007811"/>
    <w:rsid w:val="00007887"/>
    <w:rsid w:val="00010C31"/>
    <w:rsid w:val="00012CBB"/>
    <w:rsid w:val="00017249"/>
    <w:rsid w:val="00026B31"/>
    <w:rsid w:val="0003032F"/>
    <w:rsid w:val="00030D96"/>
    <w:rsid w:val="000338DC"/>
    <w:rsid w:val="000339B2"/>
    <w:rsid w:val="0003626A"/>
    <w:rsid w:val="000411CD"/>
    <w:rsid w:val="00041A36"/>
    <w:rsid w:val="000425B1"/>
    <w:rsid w:val="00043881"/>
    <w:rsid w:val="00043D67"/>
    <w:rsid w:val="000450D6"/>
    <w:rsid w:val="0004516B"/>
    <w:rsid w:val="00045E7B"/>
    <w:rsid w:val="000462D8"/>
    <w:rsid w:val="00047254"/>
    <w:rsid w:val="00054BCC"/>
    <w:rsid w:val="00057165"/>
    <w:rsid w:val="0005755C"/>
    <w:rsid w:val="00060232"/>
    <w:rsid w:val="0006242B"/>
    <w:rsid w:val="00062DB3"/>
    <w:rsid w:val="00063021"/>
    <w:rsid w:val="000637F8"/>
    <w:rsid w:val="00063B4B"/>
    <w:rsid w:val="00065B89"/>
    <w:rsid w:val="000679E3"/>
    <w:rsid w:val="00070BED"/>
    <w:rsid w:val="00070BF8"/>
    <w:rsid w:val="00075212"/>
    <w:rsid w:val="00077B1D"/>
    <w:rsid w:val="0008161D"/>
    <w:rsid w:val="00082614"/>
    <w:rsid w:val="00082A77"/>
    <w:rsid w:val="00085B64"/>
    <w:rsid w:val="00085CB5"/>
    <w:rsid w:val="00086288"/>
    <w:rsid w:val="0008702C"/>
    <w:rsid w:val="00090781"/>
    <w:rsid w:val="00092E72"/>
    <w:rsid w:val="000930D1"/>
    <w:rsid w:val="00093133"/>
    <w:rsid w:val="00093EBF"/>
    <w:rsid w:val="000941CF"/>
    <w:rsid w:val="000951A0"/>
    <w:rsid w:val="000962F3"/>
    <w:rsid w:val="000A1C56"/>
    <w:rsid w:val="000A518E"/>
    <w:rsid w:val="000A5E8E"/>
    <w:rsid w:val="000B206B"/>
    <w:rsid w:val="000B5298"/>
    <w:rsid w:val="000C0C4A"/>
    <w:rsid w:val="000C247D"/>
    <w:rsid w:val="000D186B"/>
    <w:rsid w:val="000D298A"/>
    <w:rsid w:val="000E4555"/>
    <w:rsid w:val="000E5D04"/>
    <w:rsid w:val="000F1D83"/>
    <w:rsid w:val="000F326E"/>
    <w:rsid w:val="000F359F"/>
    <w:rsid w:val="000F38F9"/>
    <w:rsid w:val="000F3E94"/>
    <w:rsid w:val="000F6113"/>
    <w:rsid w:val="000F655F"/>
    <w:rsid w:val="000F7F38"/>
    <w:rsid w:val="00100BF6"/>
    <w:rsid w:val="00101018"/>
    <w:rsid w:val="001039D3"/>
    <w:rsid w:val="0010567B"/>
    <w:rsid w:val="0011054E"/>
    <w:rsid w:val="00115CBC"/>
    <w:rsid w:val="00117ED3"/>
    <w:rsid w:val="00120504"/>
    <w:rsid w:val="00120B9D"/>
    <w:rsid w:val="00122D1F"/>
    <w:rsid w:val="001247CC"/>
    <w:rsid w:val="001262AA"/>
    <w:rsid w:val="001307F0"/>
    <w:rsid w:val="001310B6"/>
    <w:rsid w:val="00131952"/>
    <w:rsid w:val="0013587C"/>
    <w:rsid w:val="00135FF0"/>
    <w:rsid w:val="00136568"/>
    <w:rsid w:val="0013704B"/>
    <w:rsid w:val="00137239"/>
    <w:rsid w:val="00140D55"/>
    <w:rsid w:val="001424A7"/>
    <w:rsid w:val="00143C5E"/>
    <w:rsid w:val="0015380A"/>
    <w:rsid w:val="00154591"/>
    <w:rsid w:val="001549B3"/>
    <w:rsid w:val="00154CF6"/>
    <w:rsid w:val="001567DF"/>
    <w:rsid w:val="0016093A"/>
    <w:rsid w:val="00160D38"/>
    <w:rsid w:val="0016149D"/>
    <w:rsid w:val="00165719"/>
    <w:rsid w:val="001662CC"/>
    <w:rsid w:val="0017074C"/>
    <w:rsid w:val="00170AE0"/>
    <w:rsid w:val="00173219"/>
    <w:rsid w:val="001826CE"/>
    <w:rsid w:val="001844E0"/>
    <w:rsid w:val="00184C2D"/>
    <w:rsid w:val="0018582F"/>
    <w:rsid w:val="00190CF4"/>
    <w:rsid w:val="00192D37"/>
    <w:rsid w:val="00192D9A"/>
    <w:rsid w:val="00193CDA"/>
    <w:rsid w:val="00195295"/>
    <w:rsid w:val="00196063"/>
    <w:rsid w:val="001965D4"/>
    <w:rsid w:val="001A2C5A"/>
    <w:rsid w:val="001A3B15"/>
    <w:rsid w:val="001A47F4"/>
    <w:rsid w:val="001A5BEA"/>
    <w:rsid w:val="001A5E5F"/>
    <w:rsid w:val="001A7C98"/>
    <w:rsid w:val="001B2CEE"/>
    <w:rsid w:val="001C00E2"/>
    <w:rsid w:val="001C07E6"/>
    <w:rsid w:val="001C1843"/>
    <w:rsid w:val="001C2E66"/>
    <w:rsid w:val="001C35FA"/>
    <w:rsid w:val="001C3BB2"/>
    <w:rsid w:val="001C5F98"/>
    <w:rsid w:val="001C6B3E"/>
    <w:rsid w:val="001D1353"/>
    <w:rsid w:val="001D5C82"/>
    <w:rsid w:val="001D7A67"/>
    <w:rsid w:val="001D7D17"/>
    <w:rsid w:val="001E0935"/>
    <w:rsid w:val="001E0CA6"/>
    <w:rsid w:val="001E0E8C"/>
    <w:rsid w:val="001E1B10"/>
    <w:rsid w:val="001E1C32"/>
    <w:rsid w:val="001E4E6B"/>
    <w:rsid w:val="001E6E1B"/>
    <w:rsid w:val="001E7F5E"/>
    <w:rsid w:val="001F08A8"/>
    <w:rsid w:val="001F1FA1"/>
    <w:rsid w:val="001F2614"/>
    <w:rsid w:val="001F288D"/>
    <w:rsid w:val="001F37D2"/>
    <w:rsid w:val="001F48BE"/>
    <w:rsid w:val="002040F0"/>
    <w:rsid w:val="00207772"/>
    <w:rsid w:val="00207A9C"/>
    <w:rsid w:val="00207ACE"/>
    <w:rsid w:val="00210891"/>
    <w:rsid w:val="00210F24"/>
    <w:rsid w:val="002118AD"/>
    <w:rsid w:val="00212477"/>
    <w:rsid w:val="00215ABA"/>
    <w:rsid w:val="002168A9"/>
    <w:rsid w:val="00220441"/>
    <w:rsid w:val="00220E38"/>
    <w:rsid w:val="00222484"/>
    <w:rsid w:val="0022264E"/>
    <w:rsid w:val="00222F70"/>
    <w:rsid w:val="00224E1A"/>
    <w:rsid w:val="002256A5"/>
    <w:rsid w:val="0022691A"/>
    <w:rsid w:val="002302D2"/>
    <w:rsid w:val="0023190E"/>
    <w:rsid w:val="00236F93"/>
    <w:rsid w:val="00237DCD"/>
    <w:rsid w:val="002419E1"/>
    <w:rsid w:val="00242150"/>
    <w:rsid w:val="0024359F"/>
    <w:rsid w:val="00245272"/>
    <w:rsid w:val="00246456"/>
    <w:rsid w:val="0025038B"/>
    <w:rsid w:val="00253898"/>
    <w:rsid w:val="002543D5"/>
    <w:rsid w:val="00254477"/>
    <w:rsid w:val="00254559"/>
    <w:rsid w:val="0025656F"/>
    <w:rsid w:val="00257CDC"/>
    <w:rsid w:val="00260209"/>
    <w:rsid w:val="00260D48"/>
    <w:rsid w:val="00261559"/>
    <w:rsid w:val="002623F5"/>
    <w:rsid w:val="00265367"/>
    <w:rsid w:val="0026583D"/>
    <w:rsid w:val="00265DC2"/>
    <w:rsid w:val="00266838"/>
    <w:rsid w:val="0026767A"/>
    <w:rsid w:val="0027063F"/>
    <w:rsid w:val="00271E92"/>
    <w:rsid w:val="00272289"/>
    <w:rsid w:val="0027301A"/>
    <w:rsid w:val="00273853"/>
    <w:rsid w:val="00274775"/>
    <w:rsid w:val="0027505C"/>
    <w:rsid w:val="00277510"/>
    <w:rsid w:val="00280E4B"/>
    <w:rsid w:val="00280F2C"/>
    <w:rsid w:val="00281A26"/>
    <w:rsid w:val="00282D76"/>
    <w:rsid w:val="00283469"/>
    <w:rsid w:val="00283D95"/>
    <w:rsid w:val="00285978"/>
    <w:rsid w:val="002869A8"/>
    <w:rsid w:val="0028767C"/>
    <w:rsid w:val="0028796E"/>
    <w:rsid w:val="00291D20"/>
    <w:rsid w:val="00295A89"/>
    <w:rsid w:val="00297BB6"/>
    <w:rsid w:val="002A12F4"/>
    <w:rsid w:val="002A1CF5"/>
    <w:rsid w:val="002B0615"/>
    <w:rsid w:val="002B1EE1"/>
    <w:rsid w:val="002B43F1"/>
    <w:rsid w:val="002B580D"/>
    <w:rsid w:val="002B628A"/>
    <w:rsid w:val="002B6D7D"/>
    <w:rsid w:val="002B7AA3"/>
    <w:rsid w:val="002C14AB"/>
    <w:rsid w:val="002C3115"/>
    <w:rsid w:val="002C4C78"/>
    <w:rsid w:val="002C5CB0"/>
    <w:rsid w:val="002C6F58"/>
    <w:rsid w:val="002C7A09"/>
    <w:rsid w:val="002C7CA1"/>
    <w:rsid w:val="002D1F64"/>
    <w:rsid w:val="002D325C"/>
    <w:rsid w:val="002D431D"/>
    <w:rsid w:val="002D50FB"/>
    <w:rsid w:val="002D607D"/>
    <w:rsid w:val="002D6512"/>
    <w:rsid w:val="002D6B34"/>
    <w:rsid w:val="002D6EE9"/>
    <w:rsid w:val="002D787B"/>
    <w:rsid w:val="002D7E03"/>
    <w:rsid w:val="002E098A"/>
    <w:rsid w:val="002E2B7C"/>
    <w:rsid w:val="002E30D5"/>
    <w:rsid w:val="002E43DD"/>
    <w:rsid w:val="002E4731"/>
    <w:rsid w:val="002E6B88"/>
    <w:rsid w:val="002E701E"/>
    <w:rsid w:val="002F3061"/>
    <w:rsid w:val="002F415F"/>
    <w:rsid w:val="002F4BBD"/>
    <w:rsid w:val="002F5FFE"/>
    <w:rsid w:val="002F65FB"/>
    <w:rsid w:val="002F6775"/>
    <w:rsid w:val="002F7050"/>
    <w:rsid w:val="002F7140"/>
    <w:rsid w:val="00300820"/>
    <w:rsid w:val="00300F3A"/>
    <w:rsid w:val="003011EB"/>
    <w:rsid w:val="00301C6E"/>
    <w:rsid w:val="00310B1F"/>
    <w:rsid w:val="0031441C"/>
    <w:rsid w:val="003159B7"/>
    <w:rsid w:val="00315D93"/>
    <w:rsid w:val="0031777A"/>
    <w:rsid w:val="00317D95"/>
    <w:rsid w:val="00323B47"/>
    <w:rsid w:val="00327619"/>
    <w:rsid w:val="00330869"/>
    <w:rsid w:val="00332BD0"/>
    <w:rsid w:val="003378E3"/>
    <w:rsid w:val="00347E29"/>
    <w:rsid w:val="003506A2"/>
    <w:rsid w:val="00350A2D"/>
    <w:rsid w:val="0035145D"/>
    <w:rsid w:val="00352F5C"/>
    <w:rsid w:val="00355060"/>
    <w:rsid w:val="00356670"/>
    <w:rsid w:val="003579F9"/>
    <w:rsid w:val="00361319"/>
    <w:rsid w:val="003642F4"/>
    <w:rsid w:val="00364E08"/>
    <w:rsid w:val="00365C38"/>
    <w:rsid w:val="00367F9C"/>
    <w:rsid w:val="003708BB"/>
    <w:rsid w:val="003712B2"/>
    <w:rsid w:val="003712EC"/>
    <w:rsid w:val="00373532"/>
    <w:rsid w:val="00374C9C"/>
    <w:rsid w:val="003802AF"/>
    <w:rsid w:val="00381BF9"/>
    <w:rsid w:val="00382EEB"/>
    <w:rsid w:val="003912F4"/>
    <w:rsid w:val="00391A6C"/>
    <w:rsid w:val="00394C24"/>
    <w:rsid w:val="00396626"/>
    <w:rsid w:val="00397089"/>
    <w:rsid w:val="00397864"/>
    <w:rsid w:val="00397FEA"/>
    <w:rsid w:val="003A1121"/>
    <w:rsid w:val="003A2139"/>
    <w:rsid w:val="003A2D56"/>
    <w:rsid w:val="003A4D03"/>
    <w:rsid w:val="003A62DA"/>
    <w:rsid w:val="003A7225"/>
    <w:rsid w:val="003B04B5"/>
    <w:rsid w:val="003B102B"/>
    <w:rsid w:val="003B3F72"/>
    <w:rsid w:val="003B42E8"/>
    <w:rsid w:val="003B4CBE"/>
    <w:rsid w:val="003B50F6"/>
    <w:rsid w:val="003B5802"/>
    <w:rsid w:val="003B5E9F"/>
    <w:rsid w:val="003B6354"/>
    <w:rsid w:val="003B6448"/>
    <w:rsid w:val="003B6566"/>
    <w:rsid w:val="003B6CF1"/>
    <w:rsid w:val="003B79EF"/>
    <w:rsid w:val="003B7C17"/>
    <w:rsid w:val="003C28F9"/>
    <w:rsid w:val="003C6396"/>
    <w:rsid w:val="003C6786"/>
    <w:rsid w:val="003D044C"/>
    <w:rsid w:val="003D19DB"/>
    <w:rsid w:val="003D4122"/>
    <w:rsid w:val="003D46F8"/>
    <w:rsid w:val="003D5718"/>
    <w:rsid w:val="003D68CC"/>
    <w:rsid w:val="003E0DB5"/>
    <w:rsid w:val="003E231E"/>
    <w:rsid w:val="003E23B2"/>
    <w:rsid w:val="003E40BF"/>
    <w:rsid w:val="003E60B3"/>
    <w:rsid w:val="003E6846"/>
    <w:rsid w:val="003E69FA"/>
    <w:rsid w:val="003E6E8A"/>
    <w:rsid w:val="003E764B"/>
    <w:rsid w:val="003E7754"/>
    <w:rsid w:val="003F083C"/>
    <w:rsid w:val="003F11C6"/>
    <w:rsid w:val="003F32C7"/>
    <w:rsid w:val="003F4954"/>
    <w:rsid w:val="003F63C9"/>
    <w:rsid w:val="003F68C5"/>
    <w:rsid w:val="00404962"/>
    <w:rsid w:val="00404E4D"/>
    <w:rsid w:val="00405D3F"/>
    <w:rsid w:val="004105DE"/>
    <w:rsid w:val="0041206B"/>
    <w:rsid w:val="004122B0"/>
    <w:rsid w:val="00416116"/>
    <w:rsid w:val="004161D9"/>
    <w:rsid w:val="00416A5C"/>
    <w:rsid w:val="00420DDD"/>
    <w:rsid w:val="00420DEB"/>
    <w:rsid w:val="00421645"/>
    <w:rsid w:val="00423348"/>
    <w:rsid w:val="00424804"/>
    <w:rsid w:val="004255FB"/>
    <w:rsid w:val="00426480"/>
    <w:rsid w:val="004274AF"/>
    <w:rsid w:val="004277FF"/>
    <w:rsid w:val="00427BBF"/>
    <w:rsid w:val="0043234D"/>
    <w:rsid w:val="00435814"/>
    <w:rsid w:val="00435DD5"/>
    <w:rsid w:val="00440B4A"/>
    <w:rsid w:val="00443EE9"/>
    <w:rsid w:val="00445A43"/>
    <w:rsid w:val="00446886"/>
    <w:rsid w:val="00446BDE"/>
    <w:rsid w:val="00447D02"/>
    <w:rsid w:val="0045095B"/>
    <w:rsid w:val="00451746"/>
    <w:rsid w:val="00454EDF"/>
    <w:rsid w:val="00456185"/>
    <w:rsid w:val="00457E81"/>
    <w:rsid w:val="004606CD"/>
    <w:rsid w:val="00461092"/>
    <w:rsid w:val="0046274D"/>
    <w:rsid w:val="00462DE6"/>
    <w:rsid w:val="004638FB"/>
    <w:rsid w:val="00465D44"/>
    <w:rsid w:val="004667AE"/>
    <w:rsid w:val="00467E21"/>
    <w:rsid w:val="0047092C"/>
    <w:rsid w:val="00472428"/>
    <w:rsid w:val="00475716"/>
    <w:rsid w:val="004812D4"/>
    <w:rsid w:val="00483ABB"/>
    <w:rsid w:val="00484058"/>
    <w:rsid w:val="0049437D"/>
    <w:rsid w:val="0049537D"/>
    <w:rsid w:val="00497FB6"/>
    <w:rsid w:val="00497FCF"/>
    <w:rsid w:val="004A1423"/>
    <w:rsid w:val="004A5FB2"/>
    <w:rsid w:val="004A6505"/>
    <w:rsid w:val="004A676E"/>
    <w:rsid w:val="004B1BC6"/>
    <w:rsid w:val="004B51B8"/>
    <w:rsid w:val="004C07F8"/>
    <w:rsid w:val="004C0DE8"/>
    <w:rsid w:val="004C41CC"/>
    <w:rsid w:val="004C4F3F"/>
    <w:rsid w:val="004C4F53"/>
    <w:rsid w:val="004C5D7D"/>
    <w:rsid w:val="004D0BED"/>
    <w:rsid w:val="004D15C5"/>
    <w:rsid w:val="004D2B89"/>
    <w:rsid w:val="004D3832"/>
    <w:rsid w:val="004D39F4"/>
    <w:rsid w:val="004D3A01"/>
    <w:rsid w:val="004D6615"/>
    <w:rsid w:val="004E0268"/>
    <w:rsid w:val="004E11F0"/>
    <w:rsid w:val="004E2042"/>
    <w:rsid w:val="004E2718"/>
    <w:rsid w:val="004E30FD"/>
    <w:rsid w:val="004E51FF"/>
    <w:rsid w:val="004E7509"/>
    <w:rsid w:val="004F2160"/>
    <w:rsid w:val="004F6075"/>
    <w:rsid w:val="00500882"/>
    <w:rsid w:val="005009A7"/>
    <w:rsid w:val="00500AB2"/>
    <w:rsid w:val="00503D31"/>
    <w:rsid w:val="00504F64"/>
    <w:rsid w:val="0050546B"/>
    <w:rsid w:val="005055B5"/>
    <w:rsid w:val="00506012"/>
    <w:rsid w:val="00507513"/>
    <w:rsid w:val="00507C6A"/>
    <w:rsid w:val="00514A3F"/>
    <w:rsid w:val="00515266"/>
    <w:rsid w:val="00515840"/>
    <w:rsid w:val="005172CC"/>
    <w:rsid w:val="0051746C"/>
    <w:rsid w:val="00517873"/>
    <w:rsid w:val="00520696"/>
    <w:rsid w:val="00523BDD"/>
    <w:rsid w:val="00524521"/>
    <w:rsid w:val="00526252"/>
    <w:rsid w:val="00526F3B"/>
    <w:rsid w:val="00527284"/>
    <w:rsid w:val="00527B50"/>
    <w:rsid w:val="00530946"/>
    <w:rsid w:val="005317DF"/>
    <w:rsid w:val="005358D6"/>
    <w:rsid w:val="00537251"/>
    <w:rsid w:val="005374D1"/>
    <w:rsid w:val="005403DD"/>
    <w:rsid w:val="005405AD"/>
    <w:rsid w:val="0054093D"/>
    <w:rsid w:val="00541BA5"/>
    <w:rsid w:val="005425BC"/>
    <w:rsid w:val="00543E1F"/>
    <w:rsid w:val="00544B73"/>
    <w:rsid w:val="005521CB"/>
    <w:rsid w:val="005533C5"/>
    <w:rsid w:val="00553D49"/>
    <w:rsid w:val="00554CAB"/>
    <w:rsid w:val="00555352"/>
    <w:rsid w:val="005556E3"/>
    <w:rsid w:val="00560D15"/>
    <w:rsid w:val="0056494F"/>
    <w:rsid w:val="00565825"/>
    <w:rsid w:val="00571D4B"/>
    <w:rsid w:val="00572B36"/>
    <w:rsid w:val="00572B94"/>
    <w:rsid w:val="00572F7E"/>
    <w:rsid w:val="00574498"/>
    <w:rsid w:val="00574BBB"/>
    <w:rsid w:val="0057542B"/>
    <w:rsid w:val="00576FEF"/>
    <w:rsid w:val="00584AEF"/>
    <w:rsid w:val="005853B5"/>
    <w:rsid w:val="0058586C"/>
    <w:rsid w:val="00585D71"/>
    <w:rsid w:val="005868D4"/>
    <w:rsid w:val="005903DE"/>
    <w:rsid w:val="00590BBC"/>
    <w:rsid w:val="00591DBC"/>
    <w:rsid w:val="005929F7"/>
    <w:rsid w:val="00594E56"/>
    <w:rsid w:val="0059502C"/>
    <w:rsid w:val="005967AD"/>
    <w:rsid w:val="005971D4"/>
    <w:rsid w:val="005974E2"/>
    <w:rsid w:val="005A12CC"/>
    <w:rsid w:val="005A175D"/>
    <w:rsid w:val="005A18A7"/>
    <w:rsid w:val="005A311F"/>
    <w:rsid w:val="005B0A88"/>
    <w:rsid w:val="005B1BC4"/>
    <w:rsid w:val="005B65F8"/>
    <w:rsid w:val="005C1682"/>
    <w:rsid w:val="005C2554"/>
    <w:rsid w:val="005C36DC"/>
    <w:rsid w:val="005C4F19"/>
    <w:rsid w:val="005C6251"/>
    <w:rsid w:val="005C7F45"/>
    <w:rsid w:val="005D0104"/>
    <w:rsid w:val="005D235F"/>
    <w:rsid w:val="005D2C17"/>
    <w:rsid w:val="005D31A8"/>
    <w:rsid w:val="005D640E"/>
    <w:rsid w:val="005E1809"/>
    <w:rsid w:val="005E26FA"/>
    <w:rsid w:val="005E509A"/>
    <w:rsid w:val="005E5FC4"/>
    <w:rsid w:val="005E65B0"/>
    <w:rsid w:val="005F2404"/>
    <w:rsid w:val="005F29E9"/>
    <w:rsid w:val="005F3BC4"/>
    <w:rsid w:val="005F3E75"/>
    <w:rsid w:val="005F5006"/>
    <w:rsid w:val="005F5D9A"/>
    <w:rsid w:val="005F6625"/>
    <w:rsid w:val="005F74D5"/>
    <w:rsid w:val="006014DE"/>
    <w:rsid w:val="00603ABE"/>
    <w:rsid w:val="00604528"/>
    <w:rsid w:val="006052A3"/>
    <w:rsid w:val="006142D1"/>
    <w:rsid w:val="006147AF"/>
    <w:rsid w:val="00616828"/>
    <w:rsid w:val="00620CD1"/>
    <w:rsid w:val="00623347"/>
    <w:rsid w:val="006244DD"/>
    <w:rsid w:val="00624B83"/>
    <w:rsid w:val="00625153"/>
    <w:rsid w:val="006258B2"/>
    <w:rsid w:val="00626B96"/>
    <w:rsid w:val="00626CC6"/>
    <w:rsid w:val="006319BA"/>
    <w:rsid w:val="006320F2"/>
    <w:rsid w:val="006333EA"/>
    <w:rsid w:val="006347D4"/>
    <w:rsid w:val="00635BA0"/>
    <w:rsid w:val="006362C9"/>
    <w:rsid w:val="006365D1"/>
    <w:rsid w:val="00637136"/>
    <w:rsid w:val="00647CC5"/>
    <w:rsid w:val="00651DE6"/>
    <w:rsid w:val="00653671"/>
    <w:rsid w:val="006536FE"/>
    <w:rsid w:val="0065527D"/>
    <w:rsid w:val="00656155"/>
    <w:rsid w:val="00660A3A"/>
    <w:rsid w:val="0066477D"/>
    <w:rsid w:val="00665931"/>
    <w:rsid w:val="00665DC8"/>
    <w:rsid w:val="006662C5"/>
    <w:rsid w:val="00666AA0"/>
    <w:rsid w:val="00670E24"/>
    <w:rsid w:val="00671F6A"/>
    <w:rsid w:val="00674AA0"/>
    <w:rsid w:val="00674C18"/>
    <w:rsid w:val="00675573"/>
    <w:rsid w:val="00680241"/>
    <w:rsid w:val="00680B59"/>
    <w:rsid w:val="00681421"/>
    <w:rsid w:val="0068568D"/>
    <w:rsid w:val="0068595C"/>
    <w:rsid w:val="00685E6A"/>
    <w:rsid w:val="0068672E"/>
    <w:rsid w:val="00686C3E"/>
    <w:rsid w:val="0068740B"/>
    <w:rsid w:val="00693E50"/>
    <w:rsid w:val="00694065"/>
    <w:rsid w:val="006955C4"/>
    <w:rsid w:val="00696740"/>
    <w:rsid w:val="006A3BCA"/>
    <w:rsid w:val="006A4819"/>
    <w:rsid w:val="006A5346"/>
    <w:rsid w:val="006A68BD"/>
    <w:rsid w:val="006A761E"/>
    <w:rsid w:val="006A7C52"/>
    <w:rsid w:val="006B2B47"/>
    <w:rsid w:val="006B322D"/>
    <w:rsid w:val="006B37A7"/>
    <w:rsid w:val="006B3D61"/>
    <w:rsid w:val="006B5693"/>
    <w:rsid w:val="006B618F"/>
    <w:rsid w:val="006B62B9"/>
    <w:rsid w:val="006B6D20"/>
    <w:rsid w:val="006B724A"/>
    <w:rsid w:val="006C1C18"/>
    <w:rsid w:val="006C222B"/>
    <w:rsid w:val="006C2A35"/>
    <w:rsid w:val="006C2BCF"/>
    <w:rsid w:val="006C5EBA"/>
    <w:rsid w:val="006C6612"/>
    <w:rsid w:val="006D1470"/>
    <w:rsid w:val="006D2890"/>
    <w:rsid w:val="006D429F"/>
    <w:rsid w:val="006D6100"/>
    <w:rsid w:val="006D64BC"/>
    <w:rsid w:val="006D6953"/>
    <w:rsid w:val="006D6ED3"/>
    <w:rsid w:val="006D7D29"/>
    <w:rsid w:val="006E0ADF"/>
    <w:rsid w:val="006E0EB9"/>
    <w:rsid w:val="006E22AF"/>
    <w:rsid w:val="006E4579"/>
    <w:rsid w:val="006E61F4"/>
    <w:rsid w:val="006E6601"/>
    <w:rsid w:val="006F0E66"/>
    <w:rsid w:val="006F50BA"/>
    <w:rsid w:val="006F7F47"/>
    <w:rsid w:val="00701799"/>
    <w:rsid w:val="007042AF"/>
    <w:rsid w:val="00710413"/>
    <w:rsid w:val="0071210D"/>
    <w:rsid w:val="00713BBA"/>
    <w:rsid w:val="0071425C"/>
    <w:rsid w:val="007162A0"/>
    <w:rsid w:val="007165D2"/>
    <w:rsid w:val="00717A8E"/>
    <w:rsid w:val="0072064F"/>
    <w:rsid w:val="007216F4"/>
    <w:rsid w:val="00722E68"/>
    <w:rsid w:val="00725123"/>
    <w:rsid w:val="00725635"/>
    <w:rsid w:val="00725B70"/>
    <w:rsid w:val="0072795A"/>
    <w:rsid w:val="00730997"/>
    <w:rsid w:val="00734019"/>
    <w:rsid w:val="0073468D"/>
    <w:rsid w:val="00743288"/>
    <w:rsid w:val="007433E5"/>
    <w:rsid w:val="00746783"/>
    <w:rsid w:val="00746ED2"/>
    <w:rsid w:val="0074710F"/>
    <w:rsid w:val="0075201D"/>
    <w:rsid w:val="00760779"/>
    <w:rsid w:val="00760E94"/>
    <w:rsid w:val="00761BCA"/>
    <w:rsid w:val="007628AD"/>
    <w:rsid w:val="0076315E"/>
    <w:rsid w:val="00763B52"/>
    <w:rsid w:val="007649A5"/>
    <w:rsid w:val="00764D48"/>
    <w:rsid w:val="007672BA"/>
    <w:rsid w:val="00770FF0"/>
    <w:rsid w:val="007725E2"/>
    <w:rsid w:val="00772864"/>
    <w:rsid w:val="00772BE7"/>
    <w:rsid w:val="00772D12"/>
    <w:rsid w:val="00773532"/>
    <w:rsid w:val="007743DB"/>
    <w:rsid w:val="00775151"/>
    <w:rsid w:val="00781B41"/>
    <w:rsid w:val="00782717"/>
    <w:rsid w:val="00782FE2"/>
    <w:rsid w:val="007834E5"/>
    <w:rsid w:val="0078530B"/>
    <w:rsid w:val="00785CD8"/>
    <w:rsid w:val="007861CF"/>
    <w:rsid w:val="007864C8"/>
    <w:rsid w:val="007926FD"/>
    <w:rsid w:val="00792B20"/>
    <w:rsid w:val="007968C3"/>
    <w:rsid w:val="0079781B"/>
    <w:rsid w:val="007A077F"/>
    <w:rsid w:val="007A18E1"/>
    <w:rsid w:val="007A3040"/>
    <w:rsid w:val="007A334C"/>
    <w:rsid w:val="007A3D02"/>
    <w:rsid w:val="007A4152"/>
    <w:rsid w:val="007A53F2"/>
    <w:rsid w:val="007B06F5"/>
    <w:rsid w:val="007B2561"/>
    <w:rsid w:val="007B315E"/>
    <w:rsid w:val="007B3428"/>
    <w:rsid w:val="007B5952"/>
    <w:rsid w:val="007B620F"/>
    <w:rsid w:val="007B70F3"/>
    <w:rsid w:val="007C2D61"/>
    <w:rsid w:val="007C5924"/>
    <w:rsid w:val="007C5BF1"/>
    <w:rsid w:val="007D08BB"/>
    <w:rsid w:val="007D1DBB"/>
    <w:rsid w:val="007D543D"/>
    <w:rsid w:val="007D7533"/>
    <w:rsid w:val="007E025F"/>
    <w:rsid w:val="007E3244"/>
    <w:rsid w:val="007E5237"/>
    <w:rsid w:val="007E6280"/>
    <w:rsid w:val="007F0A11"/>
    <w:rsid w:val="007F0E1F"/>
    <w:rsid w:val="007F3134"/>
    <w:rsid w:val="007F5D5D"/>
    <w:rsid w:val="007F6668"/>
    <w:rsid w:val="007F6878"/>
    <w:rsid w:val="007F6FDE"/>
    <w:rsid w:val="007F7E13"/>
    <w:rsid w:val="008007D7"/>
    <w:rsid w:val="00802D55"/>
    <w:rsid w:val="00803917"/>
    <w:rsid w:val="00804971"/>
    <w:rsid w:val="00806675"/>
    <w:rsid w:val="008105F4"/>
    <w:rsid w:val="00810A12"/>
    <w:rsid w:val="00812F8D"/>
    <w:rsid w:val="00815F9D"/>
    <w:rsid w:val="00817677"/>
    <w:rsid w:val="00820A61"/>
    <w:rsid w:val="00822AE6"/>
    <w:rsid w:val="008245FD"/>
    <w:rsid w:val="00825302"/>
    <w:rsid w:val="00826DDC"/>
    <w:rsid w:val="00831C5B"/>
    <w:rsid w:val="00832228"/>
    <w:rsid w:val="00835540"/>
    <w:rsid w:val="008360E4"/>
    <w:rsid w:val="00836C03"/>
    <w:rsid w:val="00836E21"/>
    <w:rsid w:val="008374D5"/>
    <w:rsid w:val="00837E8D"/>
    <w:rsid w:val="008409D8"/>
    <w:rsid w:val="0084462A"/>
    <w:rsid w:val="00844B74"/>
    <w:rsid w:val="00844CBC"/>
    <w:rsid w:val="00853C43"/>
    <w:rsid w:val="0085575F"/>
    <w:rsid w:val="008565D9"/>
    <w:rsid w:val="008574EC"/>
    <w:rsid w:val="0085764E"/>
    <w:rsid w:val="008576D1"/>
    <w:rsid w:val="008601AD"/>
    <w:rsid w:val="0086081C"/>
    <w:rsid w:val="00863384"/>
    <w:rsid w:val="0086376A"/>
    <w:rsid w:val="00864340"/>
    <w:rsid w:val="00864C49"/>
    <w:rsid w:val="00865830"/>
    <w:rsid w:val="00870D27"/>
    <w:rsid w:val="008714C6"/>
    <w:rsid w:val="0087298E"/>
    <w:rsid w:val="00874EF0"/>
    <w:rsid w:val="008761B6"/>
    <w:rsid w:val="0087631B"/>
    <w:rsid w:val="00876A27"/>
    <w:rsid w:val="00877283"/>
    <w:rsid w:val="00880449"/>
    <w:rsid w:val="0088186E"/>
    <w:rsid w:val="00881FAF"/>
    <w:rsid w:val="00881FCD"/>
    <w:rsid w:val="0088246C"/>
    <w:rsid w:val="008837BF"/>
    <w:rsid w:val="00884778"/>
    <w:rsid w:val="00885ED5"/>
    <w:rsid w:val="00890D80"/>
    <w:rsid w:val="00891A2D"/>
    <w:rsid w:val="00891FF0"/>
    <w:rsid w:val="00897BD5"/>
    <w:rsid w:val="00897CEF"/>
    <w:rsid w:val="008A3F84"/>
    <w:rsid w:val="008A4509"/>
    <w:rsid w:val="008A7E21"/>
    <w:rsid w:val="008B03E9"/>
    <w:rsid w:val="008B16FD"/>
    <w:rsid w:val="008B25C2"/>
    <w:rsid w:val="008B26AD"/>
    <w:rsid w:val="008B52AB"/>
    <w:rsid w:val="008B78CD"/>
    <w:rsid w:val="008C0733"/>
    <w:rsid w:val="008C41E7"/>
    <w:rsid w:val="008C55EA"/>
    <w:rsid w:val="008C731F"/>
    <w:rsid w:val="008C7C1E"/>
    <w:rsid w:val="008C7C21"/>
    <w:rsid w:val="008C7E3E"/>
    <w:rsid w:val="008D10B2"/>
    <w:rsid w:val="008D15C7"/>
    <w:rsid w:val="008D405B"/>
    <w:rsid w:val="008D5E39"/>
    <w:rsid w:val="008D7F5E"/>
    <w:rsid w:val="008E0E42"/>
    <w:rsid w:val="008E1844"/>
    <w:rsid w:val="008E2A72"/>
    <w:rsid w:val="008E2D5A"/>
    <w:rsid w:val="008E4E91"/>
    <w:rsid w:val="008F010D"/>
    <w:rsid w:val="008F1F6E"/>
    <w:rsid w:val="008F4A5E"/>
    <w:rsid w:val="008F516B"/>
    <w:rsid w:val="008F5ED1"/>
    <w:rsid w:val="008F621E"/>
    <w:rsid w:val="00901114"/>
    <w:rsid w:val="009031D0"/>
    <w:rsid w:val="00904109"/>
    <w:rsid w:val="00904A1C"/>
    <w:rsid w:val="009073E0"/>
    <w:rsid w:val="00910274"/>
    <w:rsid w:val="009102BC"/>
    <w:rsid w:val="009133D9"/>
    <w:rsid w:val="00913DDA"/>
    <w:rsid w:val="00914CAB"/>
    <w:rsid w:val="00916E31"/>
    <w:rsid w:val="00920E41"/>
    <w:rsid w:val="00922C64"/>
    <w:rsid w:val="0092352B"/>
    <w:rsid w:val="00924B9F"/>
    <w:rsid w:val="009266A1"/>
    <w:rsid w:val="009272B8"/>
    <w:rsid w:val="00930F9F"/>
    <w:rsid w:val="00931DAA"/>
    <w:rsid w:val="00932332"/>
    <w:rsid w:val="00933B40"/>
    <w:rsid w:val="00940846"/>
    <w:rsid w:val="009437F7"/>
    <w:rsid w:val="00944A4E"/>
    <w:rsid w:val="0094795C"/>
    <w:rsid w:val="00950D71"/>
    <w:rsid w:val="00952A1F"/>
    <w:rsid w:val="0095545B"/>
    <w:rsid w:val="009558DD"/>
    <w:rsid w:val="00956677"/>
    <w:rsid w:val="00957B94"/>
    <w:rsid w:val="00957F24"/>
    <w:rsid w:val="00961612"/>
    <w:rsid w:val="0096196A"/>
    <w:rsid w:val="009620DB"/>
    <w:rsid w:val="00962F25"/>
    <w:rsid w:val="009640CE"/>
    <w:rsid w:val="00964CB8"/>
    <w:rsid w:val="009673EE"/>
    <w:rsid w:val="00967438"/>
    <w:rsid w:val="0096774F"/>
    <w:rsid w:val="0097523F"/>
    <w:rsid w:val="00975B90"/>
    <w:rsid w:val="00980F13"/>
    <w:rsid w:val="00981893"/>
    <w:rsid w:val="009831F3"/>
    <w:rsid w:val="00983300"/>
    <w:rsid w:val="009844BA"/>
    <w:rsid w:val="009879BA"/>
    <w:rsid w:val="00992AB3"/>
    <w:rsid w:val="00992B9F"/>
    <w:rsid w:val="009931B2"/>
    <w:rsid w:val="009936EF"/>
    <w:rsid w:val="00993BA4"/>
    <w:rsid w:val="00994AE5"/>
    <w:rsid w:val="00994C0C"/>
    <w:rsid w:val="009A245A"/>
    <w:rsid w:val="009A279C"/>
    <w:rsid w:val="009A3D5C"/>
    <w:rsid w:val="009A50FF"/>
    <w:rsid w:val="009B154B"/>
    <w:rsid w:val="009B1788"/>
    <w:rsid w:val="009B2EBB"/>
    <w:rsid w:val="009B6F78"/>
    <w:rsid w:val="009C06C6"/>
    <w:rsid w:val="009C0C10"/>
    <w:rsid w:val="009C1FA9"/>
    <w:rsid w:val="009C220F"/>
    <w:rsid w:val="009C43B6"/>
    <w:rsid w:val="009C5C53"/>
    <w:rsid w:val="009D1921"/>
    <w:rsid w:val="009D21AF"/>
    <w:rsid w:val="009D390D"/>
    <w:rsid w:val="009D40AA"/>
    <w:rsid w:val="009D49DC"/>
    <w:rsid w:val="009D60CE"/>
    <w:rsid w:val="009E0239"/>
    <w:rsid w:val="009E0C22"/>
    <w:rsid w:val="009E0D59"/>
    <w:rsid w:val="009E62CC"/>
    <w:rsid w:val="009F1708"/>
    <w:rsid w:val="009F18B8"/>
    <w:rsid w:val="009F1E9D"/>
    <w:rsid w:val="009F214A"/>
    <w:rsid w:val="009F3A2B"/>
    <w:rsid w:val="009F3CDE"/>
    <w:rsid w:val="009F6E96"/>
    <w:rsid w:val="00A00601"/>
    <w:rsid w:val="00A0110F"/>
    <w:rsid w:val="00A01774"/>
    <w:rsid w:val="00A01B9C"/>
    <w:rsid w:val="00A02EE8"/>
    <w:rsid w:val="00A047CE"/>
    <w:rsid w:val="00A04898"/>
    <w:rsid w:val="00A048A4"/>
    <w:rsid w:val="00A04CBE"/>
    <w:rsid w:val="00A055D7"/>
    <w:rsid w:val="00A06F2D"/>
    <w:rsid w:val="00A107F0"/>
    <w:rsid w:val="00A12D7F"/>
    <w:rsid w:val="00A14B19"/>
    <w:rsid w:val="00A150F1"/>
    <w:rsid w:val="00A15384"/>
    <w:rsid w:val="00A16778"/>
    <w:rsid w:val="00A16D2A"/>
    <w:rsid w:val="00A2094D"/>
    <w:rsid w:val="00A21273"/>
    <w:rsid w:val="00A25486"/>
    <w:rsid w:val="00A32849"/>
    <w:rsid w:val="00A37D36"/>
    <w:rsid w:val="00A41AE2"/>
    <w:rsid w:val="00A41D73"/>
    <w:rsid w:val="00A421F5"/>
    <w:rsid w:val="00A453DA"/>
    <w:rsid w:val="00A45AED"/>
    <w:rsid w:val="00A47D90"/>
    <w:rsid w:val="00A5397A"/>
    <w:rsid w:val="00A555EA"/>
    <w:rsid w:val="00A561A8"/>
    <w:rsid w:val="00A57D89"/>
    <w:rsid w:val="00A6172C"/>
    <w:rsid w:val="00A61745"/>
    <w:rsid w:val="00A61984"/>
    <w:rsid w:val="00A62DA4"/>
    <w:rsid w:val="00A64045"/>
    <w:rsid w:val="00A6531D"/>
    <w:rsid w:val="00A66231"/>
    <w:rsid w:val="00A71E3B"/>
    <w:rsid w:val="00A72BAE"/>
    <w:rsid w:val="00A7516E"/>
    <w:rsid w:val="00A75685"/>
    <w:rsid w:val="00A83400"/>
    <w:rsid w:val="00A83D32"/>
    <w:rsid w:val="00A902F7"/>
    <w:rsid w:val="00A90979"/>
    <w:rsid w:val="00A92331"/>
    <w:rsid w:val="00A966A2"/>
    <w:rsid w:val="00AA1284"/>
    <w:rsid w:val="00AA3CA3"/>
    <w:rsid w:val="00AA5FCE"/>
    <w:rsid w:val="00AB05D8"/>
    <w:rsid w:val="00AB1BC6"/>
    <w:rsid w:val="00AB5765"/>
    <w:rsid w:val="00AB5902"/>
    <w:rsid w:val="00AB5ED8"/>
    <w:rsid w:val="00AC42BB"/>
    <w:rsid w:val="00AC4ADB"/>
    <w:rsid w:val="00AC79F5"/>
    <w:rsid w:val="00AD1078"/>
    <w:rsid w:val="00AD5FC9"/>
    <w:rsid w:val="00AE06B5"/>
    <w:rsid w:val="00AE18A6"/>
    <w:rsid w:val="00AE18AD"/>
    <w:rsid w:val="00AE2D43"/>
    <w:rsid w:val="00AE3D9A"/>
    <w:rsid w:val="00AE3E96"/>
    <w:rsid w:val="00AF1994"/>
    <w:rsid w:val="00AF19C5"/>
    <w:rsid w:val="00AF1A49"/>
    <w:rsid w:val="00AF20E5"/>
    <w:rsid w:val="00AF426B"/>
    <w:rsid w:val="00AF7096"/>
    <w:rsid w:val="00B00854"/>
    <w:rsid w:val="00B02A9D"/>
    <w:rsid w:val="00B030AB"/>
    <w:rsid w:val="00B038EE"/>
    <w:rsid w:val="00B05788"/>
    <w:rsid w:val="00B06917"/>
    <w:rsid w:val="00B11797"/>
    <w:rsid w:val="00B11CF8"/>
    <w:rsid w:val="00B129DB"/>
    <w:rsid w:val="00B1396A"/>
    <w:rsid w:val="00B165CF"/>
    <w:rsid w:val="00B16E77"/>
    <w:rsid w:val="00B16EF3"/>
    <w:rsid w:val="00B17966"/>
    <w:rsid w:val="00B202B0"/>
    <w:rsid w:val="00B24E16"/>
    <w:rsid w:val="00B25433"/>
    <w:rsid w:val="00B26560"/>
    <w:rsid w:val="00B26B5F"/>
    <w:rsid w:val="00B2705A"/>
    <w:rsid w:val="00B2729C"/>
    <w:rsid w:val="00B31A50"/>
    <w:rsid w:val="00B3229E"/>
    <w:rsid w:val="00B331E6"/>
    <w:rsid w:val="00B40B74"/>
    <w:rsid w:val="00B40DF3"/>
    <w:rsid w:val="00B41935"/>
    <w:rsid w:val="00B44811"/>
    <w:rsid w:val="00B45382"/>
    <w:rsid w:val="00B50638"/>
    <w:rsid w:val="00B509B8"/>
    <w:rsid w:val="00B515D9"/>
    <w:rsid w:val="00B5292D"/>
    <w:rsid w:val="00B5375A"/>
    <w:rsid w:val="00B54A18"/>
    <w:rsid w:val="00B640D2"/>
    <w:rsid w:val="00B660C4"/>
    <w:rsid w:val="00B67D1F"/>
    <w:rsid w:val="00B701A8"/>
    <w:rsid w:val="00B71B22"/>
    <w:rsid w:val="00B720E7"/>
    <w:rsid w:val="00B7575F"/>
    <w:rsid w:val="00B7591E"/>
    <w:rsid w:val="00B8058F"/>
    <w:rsid w:val="00B81ABC"/>
    <w:rsid w:val="00B83147"/>
    <w:rsid w:val="00B83C6F"/>
    <w:rsid w:val="00B84042"/>
    <w:rsid w:val="00B85A2D"/>
    <w:rsid w:val="00B85D57"/>
    <w:rsid w:val="00B861F0"/>
    <w:rsid w:val="00B916F2"/>
    <w:rsid w:val="00B95669"/>
    <w:rsid w:val="00BA028B"/>
    <w:rsid w:val="00BA0622"/>
    <w:rsid w:val="00BA0BAA"/>
    <w:rsid w:val="00BA45AA"/>
    <w:rsid w:val="00BA6E33"/>
    <w:rsid w:val="00BB17A6"/>
    <w:rsid w:val="00BB1EB2"/>
    <w:rsid w:val="00BB2739"/>
    <w:rsid w:val="00BB2ECA"/>
    <w:rsid w:val="00BB4772"/>
    <w:rsid w:val="00BB49FA"/>
    <w:rsid w:val="00BC2100"/>
    <w:rsid w:val="00BC4C94"/>
    <w:rsid w:val="00BC5FA4"/>
    <w:rsid w:val="00BC68C3"/>
    <w:rsid w:val="00BC7AF8"/>
    <w:rsid w:val="00BD0719"/>
    <w:rsid w:val="00BD33B5"/>
    <w:rsid w:val="00BD4842"/>
    <w:rsid w:val="00BD490A"/>
    <w:rsid w:val="00BD4F2C"/>
    <w:rsid w:val="00BD762C"/>
    <w:rsid w:val="00BD768E"/>
    <w:rsid w:val="00BD7AA5"/>
    <w:rsid w:val="00BE006D"/>
    <w:rsid w:val="00BE16C2"/>
    <w:rsid w:val="00BE23CF"/>
    <w:rsid w:val="00BE27FA"/>
    <w:rsid w:val="00BE3262"/>
    <w:rsid w:val="00BE7AAB"/>
    <w:rsid w:val="00BF3D15"/>
    <w:rsid w:val="00BF4281"/>
    <w:rsid w:val="00BF4DE8"/>
    <w:rsid w:val="00C00C11"/>
    <w:rsid w:val="00C02142"/>
    <w:rsid w:val="00C02E5A"/>
    <w:rsid w:val="00C05A7C"/>
    <w:rsid w:val="00C06AB2"/>
    <w:rsid w:val="00C13AC1"/>
    <w:rsid w:val="00C16565"/>
    <w:rsid w:val="00C20500"/>
    <w:rsid w:val="00C2168D"/>
    <w:rsid w:val="00C23F5D"/>
    <w:rsid w:val="00C25466"/>
    <w:rsid w:val="00C26391"/>
    <w:rsid w:val="00C30F37"/>
    <w:rsid w:val="00C315B1"/>
    <w:rsid w:val="00C3204D"/>
    <w:rsid w:val="00C35F3A"/>
    <w:rsid w:val="00C37A2B"/>
    <w:rsid w:val="00C40A9C"/>
    <w:rsid w:val="00C42101"/>
    <w:rsid w:val="00C431C5"/>
    <w:rsid w:val="00C45B7D"/>
    <w:rsid w:val="00C461DA"/>
    <w:rsid w:val="00C46443"/>
    <w:rsid w:val="00C47D57"/>
    <w:rsid w:val="00C5191A"/>
    <w:rsid w:val="00C52891"/>
    <w:rsid w:val="00C53F76"/>
    <w:rsid w:val="00C54418"/>
    <w:rsid w:val="00C57432"/>
    <w:rsid w:val="00C57AB9"/>
    <w:rsid w:val="00C62284"/>
    <w:rsid w:val="00C645DB"/>
    <w:rsid w:val="00C6468E"/>
    <w:rsid w:val="00C65E01"/>
    <w:rsid w:val="00C672CC"/>
    <w:rsid w:val="00C67D43"/>
    <w:rsid w:val="00C723EB"/>
    <w:rsid w:val="00C73227"/>
    <w:rsid w:val="00C85E0D"/>
    <w:rsid w:val="00C86DED"/>
    <w:rsid w:val="00C9032F"/>
    <w:rsid w:val="00C93ADC"/>
    <w:rsid w:val="00C976E6"/>
    <w:rsid w:val="00CA00BF"/>
    <w:rsid w:val="00CA0A29"/>
    <w:rsid w:val="00CA0B80"/>
    <w:rsid w:val="00CA2491"/>
    <w:rsid w:val="00CA517C"/>
    <w:rsid w:val="00CA543D"/>
    <w:rsid w:val="00CB229D"/>
    <w:rsid w:val="00CB260F"/>
    <w:rsid w:val="00CB2841"/>
    <w:rsid w:val="00CB2892"/>
    <w:rsid w:val="00CB3242"/>
    <w:rsid w:val="00CB6D01"/>
    <w:rsid w:val="00CB7D07"/>
    <w:rsid w:val="00CC2020"/>
    <w:rsid w:val="00CC68C4"/>
    <w:rsid w:val="00CC6AD9"/>
    <w:rsid w:val="00CC78F2"/>
    <w:rsid w:val="00CD3651"/>
    <w:rsid w:val="00CD4381"/>
    <w:rsid w:val="00CD49EA"/>
    <w:rsid w:val="00CD58FF"/>
    <w:rsid w:val="00CE1B3F"/>
    <w:rsid w:val="00CE1D64"/>
    <w:rsid w:val="00CE28D0"/>
    <w:rsid w:val="00CE3E66"/>
    <w:rsid w:val="00CE7C45"/>
    <w:rsid w:val="00CE7E4C"/>
    <w:rsid w:val="00CF1E9C"/>
    <w:rsid w:val="00CF4BAC"/>
    <w:rsid w:val="00D02354"/>
    <w:rsid w:val="00D0377D"/>
    <w:rsid w:val="00D05BB5"/>
    <w:rsid w:val="00D1184D"/>
    <w:rsid w:val="00D14DDC"/>
    <w:rsid w:val="00D16C69"/>
    <w:rsid w:val="00D17CEC"/>
    <w:rsid w:val="00D2108C"/>
    <w:rsid w:val="00D23188"/>
    <w:rsid w:val="00D23204"/>
    <w:rsid w:val="00D23531"/>
    <w:rsid w:val="00D23661"/>
    <w:rsid w:val="00D2402D"/>
    <w:rsid w:val="00D251F0"/>
    <w:rsid w:val="00D303B3"/>
    <w:rsid w:val="00D30944"/>
    <w:rsid w:val="00D310B2"/>
    <w:rsid w:val="00D31830"/>
    <w:rsid w:val="00D33169"/>
    <w:rsid w:val="00D400B9"/>
    <w:rsid w:val="00D417F9"/>
    <w:rsid w:val="00D41EA5"/>
    <w:rsid w:val="00D42C11"/>
    <w:rsid w:val="00D4640E"/>
    <w:rsid w:val="00D50DF4"/>
    <w:rsid w:val="00D52897"/>
    <w:rsid w:val="00D5391E"/>
    <w:rsid w:val="00D53973"/>
    <w:rsid w:val="00D55C60"/>
    <w:rsid w:val="00D57479"/>
    <w:rsid w:val="00D60D31"/>
    <w:rsid w:val="00D6442C"/>
    <w:rsid w:val="00D64C69"/>
    <w:rsid w:val="00D65FB0"/>
    <w:rsid w:val="00D661B0"/>
    <w:rsid w:val="00D66544"/>
    <w:rsid w:val="00D7358B"/>
    <w:rsid w:val="00D74898"/>
    <w:rsid w:val="00D75A31"/>
    <w:rsid w:val="00D80408"/>
    <w:rsid w:val="00D810CB"/>
    <w:rsid w:val="00D83D4F"/>
    <w:rsid w:val="00D8583F"/>
    <w:rsid w:val="00D864F1"/>
    <w:rsid w:val="00D87A44"/>
    <w:rsid w:val="00D921C8"/>
    <w:rsid w:val="00D92434"/>
    <w:rsid w:val="00D92CCB"/>
    <w:rsid w:val="00D942E7"/>
    <w:rsid w:val="00D94638"/>
    <w:rsid w:val="00D94D43"/>
    <w:rsid w:val="00DA0D01"/>
    <w:rsid w:val="00DA2592"/>
    <w:rsid w:val="00DA25B8"/>
    <w:rsid w:val="00DA2A94"/>
    <w:rsid w:val="00DA2D24"/>
    <w:rsid w:val="00DA2F77"/>
    <w:rsid w:val="00DB088C"/>
    <w:rsid w:val="00DB108F"/>
    <w:rsid w:val="00DB2643"/>
    <w:rsid w:val="00DB50BB"/>
    <w:rsid w:val="00DB6448"/>
    <w:rsid w:val="00DC0522"/>
    <w:rsid w:val="00DC13EA"/>
    <w:rsid w:val="00DC3EFB"/>
    <w:rsid w:val="00DC4F75"/>
    <w:rsid w:val="00DC6712"/>
    <w:rsid w:val="00DC6E53"/>
    <w:rsid w:val="00DC6EAC"/>
    <w:rsid w:val="00DC735E"/>
    <w:rsid w:val="00DC7698"/>
    <w:rsid w:val="00DD2F48"/>
    <w:rsid w:val="00DD75E3"/>
    <w:rsid w:val="00DE186E"/>
    <w:rsid w:val="00DE1A14"/>
    <w:rsid w:val="00DE1BA7"/>
    <w:rsid w:val="00DE27AF"/>
    <w:rsid w:val="00DE2966"/>
    <w:rsid w:val="00DE3193"/>
    <w:rsid w:val="00DE61C5"/>
    <w:rsid w:val="00DE6863"/>
    <w:rsid w:val="00DE765F"/>
    <w:rsid w:val="00DF0207"/>
    <w:rsid w:val="00DF0921"/>
    <w:rsid w:val="00DF13F7"/>
    <w:rsid w:val="00DF1745"/>
    <w:rsid w:val="00DF1FEE"/>
    <w:rsid w:val="00DF3DAF"/>
    <w:rsid w:val="00DF3E45"/>
    <w:rsid w:val="00DF53E1"/>
    <w:rsid w:val="00DF6B54"/>
    <w:rsid w:val="00DF7988"/>
    <w:rsid w:val="00DF7D3F"/>
    <w:rsid w:val="00E00FD8"/>
    <w:rsid w:val="00E01B20"/>
    <w:rsid w:val="00E01B51"/>
    <w:rsid w:val="00E0351D"/>
    <w:rsid w:val="00E03DE1"/>
    <w:rsid w:val="00E043A4"/>
    <w:rsid w:val="00E0462B"/>
    <w:rsid w:val="00E049A2"/>
    <w:rsid w:val="00E078C7"/>
    <w:rsid w:val="00E07BAC"/>
    <w:rsid w:val="00E137CC"/>
    <w:rsid w:val="00E13A32"/>
    <w:rsid w:val="00E1534B"/>
    <w:rsid w:val="00E153CE"/>
    <w:rsid w:val="00E22A19"/>
    <w:rsid w:val="00E24BEA"/>
    <w:rsid w:val="00E2650E"/>
    <w:rsid w:val="00E37D81"/>
    <w:rsid w:val="00E40D8C"/>
    <w:rsid w:val="00E40FFF"/>
    <w:rsid w:val="00E4104F"/>
    <w:rsid w:val="00E439C9"/>
    <w:rsid w:val="00E43A82"/>
    <w:rsid w:val="00E45DCA"/>
    <w:rsid w:val="00E470F1"/>
    <w:rsid w:val="00E50EA4"/>
    <w:rsid w:val="00E53266"/>
    <w:rsid w:val="00E54683"/>
    <w:rsid w:val="00E54FDA"/>
    <w:rsid w:val="00E5633F"/>
    <w:rsid w:val="00E63750"/>
    <w:rsid w:val="00E65F0B"/>
    <w:rsid w:val="00E6685A"/>
    <w:rsid w:val="00E702DE"/>
    <w:rsid w:val="00E726C8"/>
    <w:rsid w:val="00E72AFF"/>
    <w:rsid w:val="00E73512"/>
    <w:rsid w:val="00E7533E"/>
    <w:rsid w:val="00E769B8"/>
    <w:rsid w:val="00E76C02"/>
    <w:rsid w:val="00E80543"/>
    <w:rsid w:val="00E81B5D"/>
    <w:rsid w:val="00E826D5"/>
    <w:rsid w:val="00E837F8"/>
    <w:rsid w:val="00E90C08"/>
    <w:rsid w:val="00E91038"/>
    <w:rsid w:val="00E913F7"/>
    <w:rsid w:val="00E92372"/>
    <w:rsid w:val="00E92910"/>
    <w:rsid w:val="00E97C27"/>
    <w:rsid w:val="00EA09E2"/>
    <w:rsid w:val="00EA2EED"/>
    <w:rsid w:val="00EA434A"/>
    <w:rsid w:val="00EA4A83"/>
    <w:rsid w:val="00EA6CFC"/>
    <w:rsid w:val="00EB0B63"/>
    <w:rsid w:val="00EB36DD"/>
    <w:rsid w:val="00EB499E"/>
    <w:rsid w:val="00EB57E6"/>
    <w:rsid w:val="00EB6CDC"/>
    <w:rsid w:val="00EB7FA1"/>
    <w:rsid w:val="00EC0CAB"/>
    <w:rsid w:val="00EC1535"/>
    <w:rsid w:val="00EC1B69"/>
    <w:rsid w:val="00EC3DAC"/>
    <w:rsid w:val="00EC62B6"/>
    <w:rsid w:val="00EC74E5"/>
    <w:rsid w:val="00ED0161"/>
    <w:rsid w:val="00ED3946"/>
    <w:rsid w:val="00ED5D32"/>
    <w:rsid w:val="00ED70BC"/>
    <w:rsid w:val="00EE0036"/>
    <w:rsid w:val="00EF007A"/>
    <w:rsid w:val="00EF0BEA"/>
    <w:rsid w:val="00EF1D4C"/>
    <w:rsid w:val="00EF466C"/>
    <w:rsid w:val="00EF5011"/>
    <w:rsid w:val="00EF7EAE"/>
    <w:rsid w:val="00F02428"/>
    <w:rsid w:val="00F03230"/>
    <w:rsid w:val="00F03D24"/>
    <w:rsid w:val="00F12ACE"/>
    <w:rsid w:val="00F12FCE"/>
    <w:rsid w:val="00F12FD6"/>
    <w:rsid w:val="00F132E4"/>
    <w:rsid w:val="00F1357D"/>
    <w:rsid w:val="00F16C50"/>
    <w:rsid w:val="00F16FC1"/>
    <w:rsid w:val="00F23EBC"/>
    <w:rsid w:val="00F243F3"/>
    <w:rsid w:val="00F249E4"/>
    <w:rsid w:val="00F27688"/>
    <w:rsid w:val="00F30B30"/>
    <w:rsid w:val="00F31B43"/>
    <w:rsid w:val="00F31FAA"/>
    <w:rsid w:val="00F353A9"/>
    <w:rsid w:val="00F37959"/>
    <w:rsid w:val="00F42214"/>
    <w:rsid w:val="00F43CB1"/>
    <w:rsid w:val="00F44D14"/>
    <w:rsid w:val="00F46317"/>
    <w:rsid w:val="00F46A8C"/>
    <w:rsid w:val="00F47CF6"/>
    <w:rsid w:val="00F50EB9"/>
    <w:rsid w:val="00F513C3"/>
    <w:rsid w:val="00F5172F"/>
    <w:rsid w:val="00F51ED7"/>
    <w:rsid w:val="00F5473E"/>
    <w:rsid w:val="00F54B57"/>
    <w:rsid w:val="00F55354"/>
    <w:rsid w:val="00F55BEB"/>
    <w:rsid w:val="00F57BDF"/>
    <w:rsid w:val="00F6128C"/>
    <w:rsid w:val="00F64151"/>
    <w:rsid w:val="00F647F4"/>
    <w:rsid w:val="00F656EB"/>
    <w:rsid w:val="00F65F8C"/>
    <w:rsid w:val="00F65F94"/>
    <w:rsid w:val="00F6798F"/>
    <w:rsid w:val="00F734CB"/>
    <w:rsid w:val="00F74687"/>
    <w:rsid w:val="00F74C4A"/>
    <w:rsid w:val="00F74F04"/>
    <w:rsid w:val="00F754B3"/>
    <w:rsid w:val="00F75A82"/>
    <w:rsid w:val="00F75C43"/>
    <w:rsid w:val="00F77986"/>
    <w:rsid w:val="00F86A58"/>
    <w:rsid w:val="00F920FD"/>
    <w:rsid w:val="00F92EA9"/>
    <w:rsid w:val="00F936E9"/>
    <w:rsid w:val="00F96C41"/>
    <w:rsid w:val="00FA1488"/>
    <w:rsid w:val="00FA148C"/>
    <w:rsid w:val="00FA46A8"/>
    <w:rsid w:val="00FA5A8B"/>
    <w:rsid w:val="00FA61E0"/>
    <w:rsid w:val="00FB03A6"/>
    <w:rsid w:val="00FB1A61"/>
    <w:rsid w:val="00FB2F47"/>
    <w:rsid w:val="00FB2F48"/>
    <w:rsid w:val="00FB37E0"/>
    <w:rsid w:val="00FB3CED"/>
    <w:rsid w:val="00FB58B0"/>
    <w:rsid w:val="00FB6BEA"/>
    <w:rsid w:val="00FC1274"/>
    <w:rsid w:val="00FC180B"/>
    <w:rsid w:val="00FC298B"/>
    <w:rsid w:val="00FC2E77"/>
    <w:rsid w:val="00FC3004"/>
    <w:rsid w:val="00FC3478"/>
    <w:rsid w:val="00FC466B"/>
    <w:rsid w:val="00FC5085"/>
    <w:rsid w:val="00FC5646"/>
    <w:rsid w:val="00FC785A"/>
    <w:rsid w:val="00FC7CC7"/>
    <w:rsid w:val="00FD1DB4"/>
    <w:rsid w:val="00FD2995"/>
    <w:rsid w:val="00FD32B5"/>
    <w:rsid w:val="00FD492C"/>
    <w:rsid w:val="00FE3CCF"/>
    <w:rsid w:val="00FE7C53"/>
    <w:rsid w:val="00FF201B"/>
    <w:rsid w:val="00FF2C25"/>
    <w:rsid w:val="00FF5871"/>
    <w:rsid w:val="00FF6BF5"/>
    <w:rsid w:val="00FF6D34"/>
    <w:rsid w:val="00FF7B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A32DED0"/>
  <w15:docId w15:val="{EC232403-BAFA-4B56-B4F4-8BF23F98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qFormat/>
    <w:pPr>
      <w:spacing w:before="100" w:beforeAutospacing="1"/>
      <w:textAlignment w:val="top"/>
      <w:outlineLvl w:val="0"/>
    </w:pPr>
    <w:rPr>
      <w:b/>
      <w:bCs/>
      <w:color w:val="000000"/>
      <w:kern w:val="36"/>
      <w:sz w:val="31"/>
      <w:szCs w:val="31"/>
    </w:rPr>
  </w:style>
  <w:style w:type="paragraph" w:styleId="Heading2">
    <w:name w:val="heading 2"/>
    <w:basedOn w:val="Normal"/>
    <w:link w:val="Heading2Char"/>
    <w:qFormat/>
    <w:pPr>
      <w:spacing w:before="100" w:beforeAutospacing="1"/>
      <w:textAlignment w:val="top"/>
      <w:outlineLvl w:val="1"/>
    </w:pPr>
    <w:rPr>
      <w:b/>
      <w:bCs/>
      <w:color w:val="000000"/>
      <w:sz w:val="25"/>
      <w:szCs w:val="25"/>
    </w:rPr>
  </w:style>
  <w:style w:type="paragraph" w:styleId="Heading3">
    <w:name w:val="heading 3"/>
    <w:basedOn w:val="Normal"/>
    <w:link w:val="Heading3Char"/>
    <w:qFormat/>
    <w:pPr>
      <w:spacing w:before="100" w:beforeAutospacing="1"/>
      <w:textAlignment w:val="top"/>
      <w:outlineLvl w:val="2"/>
    </w:pPr>
    <w:rPr>
      <w:b/>
      <w:bCs/>
      <w:color w:val="000000"/>
      <w:sz w:val="22"/>
      <w:szCs w:val="22"/>
    </w:rPr>
  </w:style>
  <w:style w:type="paragraph" w:styleId="Heading4">
    <w:name w:val="heading 4"/>
    <w:basedOn w:val="Normal"/>
    <w:qFormat/>
    <w:pPr>
      <w:spacing w:before="100" w:beforeAutospacing="1"/>
      <w:textAlignment w:val="top"/>
      <w:outlineLvl w:val="3"/>
    </w:pPr>
    <w:rPr>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rPr>
  </w:style>
  <w:style w:type="character" w:styleId="FollowedHyperlink">
    <w:name w:val="FollowedHyperlink"/>
    <w:uiPriority w:val="99"/>
    <w:rPr>
      <w:strike w:val="0"/>
      <w:dstrike w:val="0"/>
      <w:color w:val="0000FF"/>
      <w:u w:val="none"/>
      <w:effect w:val="none"/>
    </w:rPr>
  </w:style>
  <w:style w:type="paragraph" w:customStyle="1" w:styleId="table100per">
    <w:name w:val="table100per"/>
    <w:basedOn w:val="Normal"/>
    <w:pPr>
      <w:spacing w:before="100" w:beforeAutospacing="1" w:after="100" w:afterAutospacing="1"/>
    </w:pPr>
  </w:style>
  <w:style w:type="paragraph" w:customStyle="1" w:styleId="tablegridbrdrcolorblackaw">
    <w:name w:val="tablegridbrdrcolorblack_aw"/>
    <w:basedOn w:val="Normal"/>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pPr>
      <w:spacing w:before="100" w:beforeAutospacing="1" w:after="100" w:afterAutospacing="1"/>
    </w:pPr>
  </w:style>
  <w:style w:type="paragraph" w:customStyle="1" w:styleId="tablebrdrcolorblackaw">
    <w:name w:val="tablebrdrcolorblack_aw"/>
    <w:basedOn w:val="Normal"/>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pPr>
      <w:pBdr>
        <w:top w:val="single" w:sz="4" w:space="3" w:color="000000"/>
      </w:pBdr>
      <w:spacing w:before="100" w:beforeAutospacing="1" w:after="100" w:afterAutospacing="1"/>
    </w:pPr>
  </w:style>
  <w:style w:type="paragraph" w:customStyle="1" w:styleId="tablebrdrblackbottomaw">
    <w:name w:val="tablebrdrblackbottom_aw"/>
    <w:basedOn w:val="Normal"/>
    <w:pPr>
      <w:pBdr>
        <w:bottom w:val="single" w:sz="4" w:space="1" w:color="000000"/>
      </w:pBdr>
      <w:spacing w:before="100" w:beforeAutospacing="1" w:after="100" w:afterAutospacing="1"/>
    </w:pPr>
  </w:style>
  <w:style w:type="paragraph" w:customStyle="1" w:styleId="tablebrdrblackbottomsidesaw">
    <w:name w:val="tablebrdrblackbottomsides_aw"/>
    <w:basedOn w:val="Normal"/>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pPr>
      <w:spacing w:before="100" w:beforeAutospacing="1" w:after="100" w:afterAutospacing="1"/>
      <w:textAlignment w:val="top"/>
    </w:pPr>
    <w:rPr>
      <w:color w:val="000000"/>
      <w:sz w:val="22"/>
      <w:szCs w:val="22"/>
    </w:rPr>
  </w:style>
  <w:style w:type="paragraph" w:customStyle="1" w:styleId="aligncenter">
    <w:name w:val="aligncenter"/>
    <w:basedOn w:val="Normal"/>
    <w:pPr>
      <w:spacing w:before="100" w:beforeAutospacing="1" w:after="100" w:afterAutospacing="1"/>
      <w:jc w:val="center"/>
      <w:textAlignment w:val="top"/>
    </w:pPr>
  </w:style>
  <w:style w:type="paragraph" w:customStyle="1" w:styleId="contenttimesxsmall">
    <w:name w:val="contenttimesxsmall"/>
    <w:basedOn w:val="Normal"/>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pPr>
      <w:spacing w:before="100" w:beforeAutospacing="1" w:after="100" w:afterAutospacing="1" w:line="160" w:lineRule="atLeast"/>
    </w:pPr>
    <w:rPr>
      <w:color w:val="000000"/>
      <w:sz w:val="22"/>
      <w:szCs w:val="22"/>
    </w:rPr>
  </w:style>
  <w:style w:type="paragraph" w:customStyle="1" w:styleId="contenttreb70per">
    <w:name w:val="contenttreb70per"/>
    <w:basedOn w:val="Normal"/>
    <w:pPr>
      <w:spacing w:before="100" w:beforeAutospacing="1" w:after="100" w:afterAutospacing="1" w:line="200" w:lineRule="atLeast"/>
    </w:pPr>
    <w:rPr>
      <w:color w:val="000000"/>
      <w:sz w:val="22"/>
      <w:szCs w:val="22"/>
    </w:rPr>
  </w:style>
  <w:style w:type="paragraph" w:customStyle="1" w:styleId="contenttreb70peri">
    <w:name w:val="contenttreb70peri"/>
    <w:basedOn w:val="Normal"/>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pPr>
      <w:spacing w:before="100" w:beforeAutospacing="1" w:after="100" w:afterAutospacing="1" w:line="180" w:lineRule="atLeast"/>
    </w:pPr>
    <w:rPr>
      <w:color w:val="000000"/>
      <w:sz w:val="18"/>
      <w:szCs w:val="18"/>
    </w:rPr>
  </w:style>
  <w:style w:type="paragraph" w:customStyle="1" w:styleId="unnamed1">
    <w:name w:val="unnamed1"/>
    <w:basedOn w:val="Normal"/>
    <w:pPr>
      <w:spacing w:before="100" w:beforeAutospacing="1" w:after="100" w:afterAutospacing="1"/>
    </w:pPr>
    <w:rPr>
      <w:sz w:val="11"/>
      <w:szCs w:val="11"/>
    </w:rPr>
  </w:style>
  <w:style w:type="paragraph" w:customStyle="1" w:styleId="unnamed2">
    <w:name w:val="unnamed2"/>
    <w:basedOn w:val="Normal"/>
    <w:pPr>
      <w:spacing w:before="100" w:beforeAutospacing="1" w:after="100" w:afterAutospacing="1"/>
    </w:pPr>
    <w:rPr>
      <w:sz w:val="17"/>
      <w:szCs w:val="17"/>
    </w:rPr>
  </w:style>
  <w:style w:type="paragraph" w:customStyle="1" w:styleId="contentverdana70per">
    <w:name w:val="contentverdana70per"/>
    <w:basedOn w:val="Normal"/>
    <w:pPr>
      <w:spacing w:before="100" w:beforeAutospacing="1" w:after="100" w:afterAutospacing="1"/>
      <w:textAlignment w:val="top"/>
    </w:pPr>
    <w:rPr>
      <w:color w:val="000000"/>
      <w:sz w:val="17"/>
      <w:szCs w:val="17"/>
    </w:rPr>
  </w:style>
  <w:style w:type="paragraph" w:customStyle="1" w:styleId="bg-greycolorlevel1">
    <w:name w:val="bg-greycolorlevel1"/>
    <w:basedOn w:val="Normal"/>
    <w:pPr>
      <w:shd w:val="clear" w:color="auto" w:fill="E2E2E2"/>
      <w:spacing w:before="100" w:beforeAutospacing="1" w:after="100" w:afterAutospacing="1"/>
    </w:pPr>
  </w:style>
  <w:style w:type="paragraph" w:customStyle="1" w:styleId="bg-greycolorlevel2">
    <w:name w:val="bg-greycolorlevel2"/>
    <w:basedOn w:val="Normal"/>
    <w:pPr>
      <w:shd w:val="clear" w:color="auto" w:fill="F1F1F1"/>
      <w:spacing w:before="100" w:beforeAutospacing="1" w:after="100" w:afterAutospacing="1"/>
    </w:pPr>
  </w:style>
  <w:style w:type="paragraph" w:customStyle="1" w:styleId="bg-greycolorlevel3">
    <w:name w:val="bg-greycolorlevel3"/>
    <w:basedOn w:val="Normal"/>
    <w:pPr>
      <w:shd w:val="clear" w:color="auto" w:fill="F8F8F8"/>
      <w:spacing w:before="100" w:beforeAutospacing="1" w:after="100" w:afterAutospacing="1"/>
    </w:pPr>
  </w:style>
  <w:style w:type="paragraph" w:customStyle="1" w:styleId="tableheaderlevel1">
    <w:name w:val="tableheaderlevel1"/>
    <w:basedOn w:val="Normal"/>
    <w:pPr>
      <w:shd w:val="clear" w:color="auto" w:fill="CDCCCC"/>
      <w:spacing w:before="100" w:beforeAutospacing="1" w:after="100" w:afterAutospacing="1"/>
    </w:pPr>
    <w:rPr>
      <w:color w:val="000000"/>
    </w:rPr>
  </w:style>
  <w:style w:type="paragraph" w:customStyle="1" w:styleId="contentverdana70perbold">
    <w:name w:val="contentverdana70perbold"/>
    <w:basedOn w:val="Normal"/>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pPr>
      <w:spacing w:before="100" w:beforeAutospacing="1" w:after="100" w:afterAutospacing="1"/>
      <w:textAlignment w:val="top"/>
    </w:pPr>
    <w:rPr>
      <w:color w:val="000000"/>
    </w:rPr>
  </w:style>
  <w:style w:type="paragraph" w:customStyle="1" w:styleId="tableheaderlevel3">
    <w:name w:val="tableheaderlevel3"/>
    <w:basedOn w:val="Normal"/>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pPr>
      <w:shd w:val="clear" w:color="auto" w:fill="E2E2E2"/>
      <w:spacing w:before="100" w:beforeAutospacing="1" w:after="100" w:afterAutospacing="1"/>
    </w:pPr>
    <w:rPr>
      <w:color w:val="000000"/>
    </w:rPr>
  </w:style>
  <w:style w:type="paragraph" w:customStyle="1" w:styleId="contentverdanasuper">
    <w:name w:val="contentverdanasuper"/>
    <w:basedOn w:val="Normal"/>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customStyle="1" w:styleId="contenttreb70per1">
    <w:name w:val="contenttreb70per1"/>
    <w:rPr>
      <w:rFonts w:ascii="Times New Roman" w:hAnsi="Times New Roman" w:cs="Times New Roman" w:hint="default"/>
      <w:strike w:val="0"/>
      <w:dstrike w:val="0"/>
      <w:color w:val="000000"/>
      <w:sz w:val="22"/>
      <w:szCs w:val="22"/>
      <w:u w:val="none"/>
      <w:effect w:val="none"/>
    </w:rPr>
  </w:style>
  <w:style w:type="character" w:styleId="Emphasis">
    <w:name w:val="Emphasis"/>
    <w:qFormat/>
    <w:rPr>
      <w:i/>
      <w:iCs/>
    </w:rPr>
  </w:style>
  <w:style w:type="paragraph" w:customStyle="1" w:styleId="outline">
    <w:name w:val="outline"/>
    <w:basedOn w:val="Normal"/>
    <w:pPr>
      <w:spacing w:before="100" w:beforeAutospacing="1" w:after="100" w:afterAutospacing="1"/>
    </w:pPr>
  </w:style>
  <w:style w:type="character" w:customStyle="1" w:styleId="tableheaderlevel21">
    <w:name w:val="tableheaderlevel21"/>
    <w:basedOn w:val="DefaultParagraphFont"/>
  </w:style>
  <w:style w:type="paragraph" w:customStyle="1" w:styleId="chapternumber">
    <w:name w:val="chapternumber"/>
    <w:basedOn w:val="Normal"/>
    <w:pPr>
      <w:spacing w:before="100" w:beforeAutospacing="1" w:after="100" w:afterAutospacing="1"/>
    </w:pPr>
  </w:style>
  <w:style w:type="paragraph" w:styleId="FootnoteText">
    <w:name w:val="footnote text"/>
    <w:basedOn w:val="Normal"/>
    <w:link w:val="FootnoteTextChar"/>
    <w:pPr>
      <w:spacing w:before="100" w:beforeAutospacing="1" w:after="100" w:afterAutospacing="1"/>
    </w:pPr>
  </w:style>
  <w:style w:type="character" w:customStyle="1" w:styleId="tableheaderlevel22">
    <w:name w:val="tableheaderlevel22"/>
    <w:rPr>
      <w:rFonts w:ascii="Times New Roman" w:hAnsi="Times New Roman" w:cs="Times New Roman" w:hint="default"/>
      <w:color w:val="000000"/>
      <w:shd w:val="clear" w:color="auto" w:fill="E2E2E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DB088C"/>
    <w:pPr>
      <w:tabs>
        <w:tab w:val="center" w:pos="4320"/>
        <w:tab w:val="right" w:pos="8640"/>
      </w:tabs>
    </w:pPr>
  </w:style>
  <w:style w:type="paragraph" w:styleId="TOC2">
    <w:name w:val="toc 2"/>
    <w:basedOn w:val="Normal"/>
    <w:next w:val="Normal"/>
    <w:autoRedefine/>
    <w:semiHidden/>
    <w:rsid w:val="00E7533E"/>
    <w:pPr>
      <w:tabs>
        <w:tab w:val="right" w:leader="dot" w:pos="8630"/>
      </w:tabs>
      <w:ind w:left="245"/>
    </w:pPr>
  </w:style>
  <w:style w:type="table" w:styleId="TableGrid">
    <w:name w:val="Table Grid"/>
    <w:basedOn w:val="TableNormal"/>
    <w:rsid w:val="00E0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49537D"/>
    <w:rPr>
      <w:b/>
      <w:bCs/>
    </w:rPr>
  </w:style>
  <w:style w:type="paragraph" w:styleId="HTMLPreformatted">
    <w:name w:val="HTML Preformatted"/>
    <w:basedOn w:val="Normal"/>
    <w:link w:val="HTMLPreformattedChar"/>
    <w:rsid w:val="0001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ListParagraph">
    <w:name w:val="List Paragraph"/>
    <w:basedOn w:val="Normal"/>
    <w:uiPriority w:val="34"/>
    <w:qFormat/>
    <w:rsid w:val="005F74D5"/>
    <w:pPr>
      <w:ind w:left="720"/>
      <w:contextualSpacing/>
    </w:pPr>
  </w:style>
  <w:style w:type="character" w:styleId="CommentReference">
    <w:name w:val="annotation reference"/>
    <w:basedOn w:val="DefaultParagraphFont"/>
    <w:semiHidden/>
    <w:unhideWhenUsed/>
    <w:rsid w:val="006147AF"/>
    <w:rPr>
      <w:sz w:val="16"/>
      <w:szCs w:val="16"/>
    </w:rPr>
  </w:style>
  <w:style w:type="paragraph" w:styleId="CommentText">
    <w:name w:val="annotation text"/>
    <w:basedOn w:val="Normal"/>
    <w:link w:val="CommentTextChar"/>
    <w:semiHidden/>
    <w:unhideWhenUsed/>
    <w:rsid w:val="006147AF"/>
    <w:rPr>
      <w:sz w:val="20"/>
      <w:szCs w:val="20"/>
    </w:rPr>
  </w:style>
  <w:style w:type="character" w:customStyle="1" w:styleId="CommentTextChar">
    <w:name w:val="Comment Text Char"/>
    <w:basedOn w:val="DefaultParagraphFont"/>
    <w:link w:val="CommentText"/>
    <w:semiHidden/>
    <w:rsid w:val="006147AF"/>
    <w:rPr>
      <w:lang w:eastAsia="ja-JP"/>
    </w:rPr>
  </w:style>
  <w:style w:type="paragraph" w:styleId="CommentSubject">
    <w:name w:val="annotation subject"/>
    <w:basedOn w:val="CommentText"/>
    <w:next w:val="CommentText"/>
    <w:link w:val="CommentSubjectChar"/>
    <w:semiHidden/>
    <w:unhideWhenUsed/>
    <w:rsid w:val="006147AF"/>
    <w:rPr>
      <w:b/>
      <w:bCs/>
    </w:rPr>
  </w:style>
  <w:style w:type="character" w:customStyle="1" w:styleId="CommentSubjectChar">
    <w:name w:val="Comment Subject Char"/>
    <w:basedOn w:val="CommentTextChar"/>
    <w:link w:val="CommentSubject"/>
    <w:semiHidden/>
    <w:rsid w:val="006147AF"/>
    <w:rPr>
      <w:b/>
      <w:bCs/>
      <w:lang w:eastAsia="ja-JP"/>
    </w:rPr>
  </w:style>
  <w:style w:type="paragraph" w:styleId="BalloonText">
    <w:name w:val="Balloon Text"/>
    <w:basedOn w:val="Normal"/>
    <w:link w:val="BalloonTextChar"/>
    <w:semiHidden/>
    <w:unhideWhenUsed/>
    <w:rsid w:val="006147AF"/>
    <w:rPr>
      <w:rFonts w:ascii="Segoe UI" w:hAnsi="Segoe UI" w:cs="Segoe UI"/>
      <w:sz w:val="18"/>
      <w:szCs w:val="18"/>
    </w:rPr>
  </w:style>
  <w:style w:type="character" w:customStyle="1" w:styleId="BalloonTextChar">
    <w:name w:val="Balloon Text Char"/>
    <w:basedOn w:val="DefaultParagraphFont"/>
    <w:link w:val="BalloonText"/>
    <w:semiHidden/>
    <w:rsid w:val="006147AF"/>
    <w:rPr>
      <w:rFonts w:ascii="Segoe UI" w:hAnsi="Segoe UI" w:cs="Segoe UI"/>
      <w:sz w:val="18"/>
      <w:szCs w:val="18"/>
      <w:lang w:eastAsia="ja-JP"/>
    </w:rPr>
  </w:style>
  <w:style w:type="character" w:styleId="FootnoteReference">
    <w:name w:val="footnote reference"/>
    <w:basedOn w:val="DefaultParagraphFont"/>
    <w:semiHidden/>
    <w:unhideWhenUsed/>
    <w:rsid w:val="006147AF"/>
    <w:rPr>
      <w:vertAlign w:val="superscript"/>
    </w:rPr>
  </w:style>
  <w:style w:type="paragraph" w:styleId="BodyTextIndent2">
    <w:name w:val="Body Text Indent 2"/>
    <w:basedOn w:val="Normal"/>
    <w:link w:val="BodyTextIndent2Char"/>
    <w:rsid w:val="006B62B9"/>
    <w:pPr>
      <w:ind w:left="720"/>
    </w:pPr>
    <w:rPr>
      <w:rFonts w:eastAsia="Times New Roman"/>
      <w:szCs w:val="20"/>
      <w:lang w:eastAsia="en-US"/>
    </w:rPr>
  </w:style>
  <w:style w:type="character" w:customStyle="1" w:styleId="BodyTextIndent2Char">
    <w:name w:val="Body Text Indent 2 Char"/>
    <w:basedOn w:val="DefaultParagraphFont"/>
    <w:link w:val="BodyTextIndent2"/>
    <w:rsid w:val="006B62B9"/>
    <w:rPr>
      <w:rFonts w:eastAsia="Times New Roman"/>
      <w:sz w:val="24"/>
    </w:rPr>
  </w:style>
  <w:style w:type="character" w:customStyle="1" w:styleId="Heading2Char">
    <w:name w:val="Heading 2 Char"/>
    <w:basedOn w:val="DefaultParagraphFont"/>
    <w:link w:val="Heading2"/>
    <w:rsid w:val="00136568"/>
    <w:rPr>
      <w:b/>
      <w:bCs/>
      <w:color w:val="000000"/>
      <w:sz w:val="25"/>
      <w:szCs w:val="25"/>
      <w:lang w:eastAsia="ja-JP"/>
    </w:rPr>
  </w:style>
  <w:style w:type="character" w:customStyle="1" w:styleId="Heading3Char">
    <w:name w:val="Heading 3 Char"/>
    <w:basedOn w:val="DefaultParagraphFont"/>
    <w:link w:val="Heading3"/>
    <w:rsid w:val="00136568"/>
    <w:rPr>
      <w:b/>
      <w:bCs/>
      <w:color w:val="000000"/>
      <w:sz w:val="22"/>
      <w:szCs w:val="22"/>
      <w:lang w:eastAsia="ja-JP"/>
    </w:rPr>
  </w:style>
  <w:style w:type="character" w:customStyle="1" w:styleId="m1">
    <w:name w:val="m1"/>
    <w:basedOn w:val="DefaultParagraphFont"/>
    <w:rsid w:val="00136568"/>
    <w:rPr>
      <w:color w:val="0000FF"/>
    </w:rPr>
  </w:style>
  <w:style w:type="character" w:customStyle="1" w:styleId="t1">
    <w:name w:val="t1"/>
    <w:basedOn w:val="DefaultParagraphFont"/>
    <w:rsid w:val="00136568"/>
    <w:rPr>
      <w:color w:val="990000"/>
    </w:rPr>
  </w:style>
  <w:style w:type="character" w:customStyle="1" w:styleId="b1">
    <w:name w:val="b1"/>
    <w:basedOn w:val="DefaultParagraphFont"/>
    <w:rsid w:val="00136568"/>
    <w:rPr>
      <w:rFonts w:ascii="Courier New" w:hAnsi="Courier New" w:cs="Courier New" w:hint="default"/>
      <w:b/>
      <w:bCs/>
      <w:strike w:val="0"/>
      <w:dstrike w:val="0"/>
      <w:color w:val="FF0000"/>
      <w:u w:val="none"/>
      <w:effect w:val="none"/>
    </w:rPr>
  </w:style>
  <w:style w:type="paragraph" w:customStyle="1" w:styleId="ICRTOC">
    <w:name w:val="ICR TOC"/>
    <w:next w:val="Normal"/>
    <w:rsid w:val="00136568"/>
    <w:pPr>
      <w:keepNext/>
    </w:pPr>
    <w:rPr>
      <w:rFonts w:eastAsia="Times New Roman"/>
      <w:b/>
      <w:bCs/>
      <w:color w:val="000000"/>
      <w:sz w:val="25"/>
      <w:szCs w:val="25"/>
    </w:rPr>
  </w:style>
  <w:style w:type="paragraph" w:styleId="TOC1">
    <w:name w:val="toc 1"/>
    <w:basedOn w:val="Normal"/>
    <w:next w:val="Normal"/>
    <w:autoRedefine/>
    <w:semiHidden/>
    <w:rsid w:val="00136568"/>
    <w:rPr>
      <w:rFonts w:eastAsia="Times New Roman"/>
      <w:lang w:eastAsia="en-US"/>
    </w:rPr>
  </w:style>
  <w:style w:type="character" w:customStyle="1" w:styleId="FooterChar">
    <w:name w:val="Footer Char"/>
    <w:basedOn w:val="DefaultParagraphFont"/>
    <w:link w:val="Footer"/>
    <w:rsid w:val="00136568"/>
    <w:rPr>
      <w:sz w:val="24"/>
      <w:szCs w:val="24"/>
      <w:lang w:eastAsia="ja-JP"/>
    </w:rPr>
  </w:style>
  <w:style w:type="character" w:customStyle="1" w:styleId="HeaderChar">
    <w:name w:val="Header Char"/>
    <w:basedOn w:val="DefaultParagraphFont"/>
    <w:link w:val="Header"/>
    <w:rsid w:val="00136568"/>
    <w:rPr>
      <w:sz w:val="24"/>
      <w:szCs w:val="24"/>
      <w:lang w:eastAsia="ja-JP"/>
    </w:rPr>
  </w:style>
  <w:style w:type="character" w:customStyle="1" w:styleId="HTMLPreformattedChar">
    <w:name w:val="HTML Preformatted Char"/>
    <w:basedOn w:val="DefaultParagraphFont"/>
    <w:link w:val="HTMLPreformatted"/>
    <w:rsid w:val="0028796E"/>
    <w:rPr>
      <w:rFonts w:ascii="Courier New" w:eastAsia="Times New Roman" w:hAnsi="Courier New" w:cs="Courier New"/>
    </w:rPr>
  </w:style>
  <w:style w:type="character" w:customStyle="1" w:styleId="FootnoteTextChar">
    <w:name w:val="Footnote Text Char"/>
    <w:basedOn w:val="DefaultParagraphFont"/>
    <w:link w:val="FootnoteText"/>
    <w:rsid w:val="0083554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654">
      <w:bodyDiv w:val="1"/>
      <w:marLeft w:val="0"/>
      <w:marRight w:val="0"/>
      <w:marTop w:val="0"/>
      <w:marBottom w:val="0"/>
      <w:divBdr>
        <w:top w:val="none" w:sz="0" w:space="0" w:color="auto"/>
        <w:left w:val="none" w:sz="0" w:space="0" w:color="auto"/>
        <w:bottom w:val="none" w:sz="0" w:space="0" w:color="auto"/>
        <w:right w:val="none" w:sz="0" w:space="0" w:color="auto"/>
      </w:divBdr>
    </w:div>
    <w:div w:id="362288082">
      <w:bodyDiv w:val="1"/>
      <w:marLeft w:val="0"/>
      <w:marRight w:val="0"/>
      <w:marTop w:val="0"/>
      <w:marBottom w:val="0"/>
      <w:divBdr>
        <w:top w:val="none" w:sz="0" w:space="0" w:color="auto"/>
        <w:left w:val="none" w:sz="0" w:space="0" w:color="auto"/>
        <w:bottom w:val="none" w:sz="0" w:space="0" w:color="auto"/>
        <w:right w:val="none" w:sz="0" w:space="0" w:color="auto"/>
      </w:divBdr>
    </w:div>
    <w:div w:id="382948434">
      <w:bodyDiv w:val="1"/>
      <w:marLeft w:val="0"/>
      <w:marRight w:val="0"/>
      <w:marTop w:val="0"/>
      <w:marBottom w:val="0"/>
      <w:divBdr>
        <w:top w:val="none" w:sz="0" w:space="0" w:color="auto"/>
        <w:left w:val="none" w:sz="0" w:space="0" w:color="auto"/>
        <w:bottom w:val="none" w:sz="0" w:space="0" w:color="auto"/>
        <w:right w:val="none" w:sz="0" w:space="0" w:color="auto"/>
      </w:divBdr>
    </w:div>
    <w:div w:id="421607687">
      <w:bodyDiv w:val="1"/>
      <w:marLeft w:val="0"/>
      <w:marRight w:val="0"/>
      <w:marTop w:val="0"/>
      <w:marBottom w:val="0"/>
      <w:divBdr>
        <w:top w:val="none" w:sz="0" w:space="0" w:color="auto"/>
        <w:left w:val="none" w:sz="0" w:space="0" w:color="auto"/>
        <w:bottom w:val="none" w:sz="0" w:space="0" w:color="auto"/>
        <w:right w:val="none" w:sz="0" w:space="0" w:color="auto"/>
      </w:divBdr>
    </w:div>
    <w:div w:id="453523888">
      <w:bodyDiv w:val="1"/>
      <w:marLeft w:val="0"/>
      <w:marRight w:val="0"/>
      <w:marTop w:val="0"/>
      <w:marBottom w:val="0"/>
      <w:divBdr>
        <w:top w:val="none" w:sz="0" w:space="0" w:color="auto"/>
        <w:left w:val="none" w:sz="0" w:space="0" w:color="auto"/>
        <w:bottom w:val="none" w:sz="0" w:space="0" w:color="auto"/>
        <w:right w:val="none" w:sz="0" w:space="0" w:color="auto"/>
      </w:divBdr>
    </w:div>
    <w:div w:id="474227806">
      <w:bodyDiv w:val="1"/>
      <w:marLeft w:val="0"/>
      <w:marRight w:val="0"/>
      <w:marTop w:val="0"/>
      <w:marBottom w:val="0"/>
      <w:divBdr>
        <w:top w:val="none" w:sz="0" w:space="0" w:color="auto"/>
        <w:left w:val="none" w:sz="0" w:space="0" w:color="auto"/>
        <w:bottom w:val="none" w:sz="0" w:space="0" w:color="auto"/>
        <w:right w:val="none" w:sz="0" w:space="0" w:color="auto"/>
      </w:divBdr>
    </w:div>
    <w:div w:id="505824316">
      <w:bodyDiv w:val="1"/>
      <w:marLeft w:val="0"/>
      <w:marRight w:val="0"/>
      <w:marTop w:val="0"/>
      <w:marBottom w:val="0"/>
      <w:divBdr>
        <w:top w:val="none" w:sz="0" w:space="0" w:color="auto"/>
        <w:left w:val="none" w:sz="0" w:space="0" w:color="auto"/>
        <w:bottom w:val="none" w:sz="0" w:space="0" w:color="auto"/>
        <w:right w:val="none" w:sz="0" w:space="0" w:color="auto"/>
      </w:divBdr>
    </w:div>
    <w:div w:id="536162928">
      <w:bodyDiv w:val="1"/>
      <w:marLeft w:val="0"/>
      <w:marRight w:val="0"/>
      <w:marTop w:val="0"/>
      <w:marBottom w:val="0"/>
      <w:divBdr>
        <w:top w:val="none" w:sz="0" w:space="0" w:color="auto"/>
        <w:left w:val="none" w:sz="0" w:space="0" w:color="auto"/>
        <w:bottom w:val="none" w:sz="0" w:space="0" w:color="auto"/>
        <w:right w:val="none" w:sz="0" w:space="0" w:color="auto"/>
      </w:divBdr>
    </w:div>
    <w:div w:id="545600636">
      <w:bodyDiv w:val="1"/>
      <w:marLeft w:val="0"/>
      <w:marRight w:val="0"/>
      <w:marTop w:val="0"/>
      <w:marBottom w:val="0"/>
      <w:divBdr>
        <w:top w:val="none" w:sz="0" w:space="0" w:color="auto"/>
        <w:left w:val="none" w:sz="0" w:space="0" w:color="auto"/>
        <w:bottom w:val="none" w:sz="0" w:space="0" w:color="auto"/>
        <w:right w:val="none" w:sz="0" w:space="0" w:color="auto"/>
      </w:divBdr>
    </w:div>
    <w:div w:id="561332205">
      <w:bodyDiv w:val="1"/>
      <w:marLeft w:val="0"/>
      <w:marRight w:val="0"/>
      <w:marTop w:val="0"/>
      <w:marBottom w:val="0"/>
      <w:divBdr>
        <w:top w:val="none" w:sz="0" w:space="0" w:color="auto"/>
        <w:left w:val="none" w:sz="0" w:space="0" w:color="auto"/>
        <w:bottom w:val="none" w:sz="0" w:space="0" w:color="auto"/>
        <w:right w:val="none" w:sz="0" w:space="0" w:color="auto"/>
      </w:divBdr>
    </w:div>
    <w:div w:id="572473010">
      <w:bodyDiv w:val="1"/>
      <w:marLeft w:val="0"/>
      <w:marRight w:val="0"/>
      <w:marTop w:val="0"/>
      <w:marBottom w:val="0"/>
      <w:divBdr>
        <w:top w:val="none" w:sz="0" w:space="0" w:color="auto"/>
        <w:left w:val="none" w:sz="0" w:space="0" w:color="auto"/>
        <w:bottom w:val="none" w:sz="0" w:space="0" w:color="auto"/>
        <w:right w:val="none" w:sz="0" w:space="0" w:color="auto"/>
      </w:divBdr>
    </w:div>
    <w:div w:id="606425343">
      <w:bodyDiv w:val="1"/>
      <w:marLeft w:val="0"/>
      <w:marRight w:val="0"/>
      <w:marTop w:val="0"/>
      <w:marBottom w:val="0"/>
      <w:divBdr>
        <w:top w:val="none" w:sz="0" w:space="0" w:color="auto"/>
        <w:left w:val="none" w:sz="0" w:space="0" w:color="auto"/>
        <w:bottom w:val="none" w:sz="0" w:space="0" w:color="auto"/>
        <w:right w:val="none" w:sz="0" w:space="0" w:color="auto"/>
      </w:divBdr>
    </w:div>
    <w:div w:id="694501665">
      <w:marLeft w:val="0"/>
      <w:marRight w:val="0"/>
      <w:marTop w:val="0"/>
      <w:marBottom w:val="0"/>
      <w:divBdr>
        <w:top w:val="none" w:sz="0" w:space="0" w:color="auto"/>
        <w:left w:val="none" w:sz="0" w:space="0" w:color="auto"/>
        <w:bottom w:val="none" w:sz="0" w:space="0" w:color="auto"/>
        <w:right w:val="none" w:sz="0" w:space="0" w:color="auto"/>
      </w:divBdr>
    </w:div>
    <w:div w:id="697124449">
      <w:bodyDiv w:val="1"/>
      <w:marLeft w:val="0"/>
      <w:marRight w:val="0"/>
      <w:marTop w:val="0"/>
      <w:marBottom w:val="0"/>
      <w:divBdr>
        <w:top w:val="none" w:sz="0" w:space="0" w:color="auto"/>
        <w:left w:val="none" w:sz="0" w:space="0" w:color="auto"/>
        <w:bottom w:val="none" w:sz="0" w:space="0" w:color="auto"/>
        <w:right w:val="none" w:sz="0" w:space="0" w:color="auto"/>
      </w:divBdr>
    </w:div>
    <w:div w:id="730156410">
      <w:bodyDiv w:val="1"/>
      <w:marLeft w:val="0"/>
      <w:marRight w:val="0"/>
      <w:marTop w:val="0"/>
      <w:marBottom w:val="0"/>
      <w:divBdr>
        <w:top w:val="none" w:sz="0" w:space="0" w:color="auto"/>
        <w:left w:val="none" w:sz="0" w:space="0" w:color="auto"/>
        <w:bottom w:val="none" w:sz="0" w:space="0" w:color="auto"/>
        <w:right w:val="none" w:sz="0" w:space="0" w:color="auto"/>
      </w:divBdr>
    </w:div>
    <w:div w:id="738553075">
      <w:marLeft w:val="0"/>
      <w:marRight w:val="0"/>
      <w:marTop w:val="0"/>
      <w:marBottom w:val="0"/>
      <w:divBdr>
        <w:top w:val="none" w:sz="0" w:space="0" w:color="auto"/>
        <w:left w:val="none" w:sz="0" w:space="0" w:color="auto"/>
        <w:bottom w:val="none" w:sz="0" w:space="0" w:color="auto"/>
        <w:right w:val="none" w:sz="0" w:space="0" w:color="auto"/>
      </w:divBdr>
      <w:divsChild>
        <w:div w:id="1460689985">
          <w:marLeft w:val="0"/>
          <w:marRight w:val="0"/>
          <w:marTop w:val="0"/>
          <w:marBottom w:val="0"/>
          <w:divBdr>
            <w:top w:val="none" w:sz="0" w:space="0" w:color="auto"/>
            <w:left w:val="none" w:sz="0" w:space="0" w:color="auto"/>
            <w:bottom w:val="none" w:sz="0" w:space="0" w:color="auto"/>
            <w:right w:val="none" w:sz="0" w:space="0" w:color="auto"/>
          </w:divBdr>
        </w:div>
      </w:divsChild>
    </w:div>
    <w:div w:id="822895657">
      <w:marLeft w:val="0"/>
      <w:marRight w:val="0"/>
      <w:marTop w:val="0"/>
      <w:marBottom w:val="0"/>
      <w:divBdr>
        <w:top w:val="none" w:sz="0" w:space="0" w:color="auto"/>
        <w:left w:val="none" w:sz="0" w:space="0" w:color="auto"/>
        <w:bottom w:val="none" w:sz="0" w:space="0" w:color="auto"/>
        <w:right w:val="none" w:sz="0" w:space="0" w:color="auto"/>
      </w:divBdr>
    </w:div>
    <w:div w:id="830410279">
      <w:bodyDiv w:val="1"/>
      <w:marLeft w:val="0"/>
      <w:marRight w:val="0"/>
      <w:marTop w:val="0"/>
      <w:marBottom w:val="0"/>
      <w:divBdr>
        <w:top w:val="none" w:sz="0" w:space="0" w:color="auto"/>
        <w:left w:val="none" w:sz="0" w:space="0" w:color="auto"/>
        <w:bottom w:val="none" w:sz="0" w:space="0" w:color="auto"/>
        <w:right w:val="none" w:sz="0" w:space="0" w:color="auto"/>
      </w:divBdr>
    </w:div>
    <w:div w:id="852766946">
      <w:bodyDiv w:val="1"/>
      <w:marLeft w:val="0"/>
      <w:marRight w:val="0"/>
      <w:marTop w:val="0"/>
      <w:marBottom w:val="0"/>
      <w:divBdr>
        <w:top w:val="none" w:sz="0" w:space="0" w:color="auto"/>
        <w:left w:val="none" w:sz="0" w:space="0" w:color="auto"/>
        <w:bottom w:val="none" w:sz="0" w:space="0" w:color="auto"/>
        <w:right w:val="none" w:sz="0" w:space="0" w:color="auto"/>
      </w:divBdr>
    </w:div>
    <w:div w:id="911965803">
      <w:bodyDiv w:val="1"/>
      <w:marLeft w:val="0"/>
      <w:marRight w:val="0"/>
      <w:marTop w:val="0"/>
      <w:marBottom w:val="0"/>
      <w:divBdr>
        <w:top w:val="none" w:sz="0" w:space="0" w:color="auto"/>
        <w:left w:val="none" w:sz="0" w:space="0" w:color="auto"/>
        <w:bottom w:val="none" w:sz="0" w:space="0" w:color="auto"/>
        <w:right w:val="none" w:sz="0" w:space="0" w:color="auto"/>
      </w:divBdr>
    </w:div>
    <w:div w:id="939023503">
      <w:bodyDiv w:val="1"/>
      <w:marLeft w:val="0"/>
      <w:marRight w:val="0"/>
      <w:marTop w:val="0"/>
      <w:marBottom w:val="0"/>
      <w:divBdr>
        <w:top w:val="none" w:sz="0" w:space="0" w:color="auto"/>
        <w:left w:val="none" w:sz="0" w:space="0" w:color="auto"/>
        <w:bottom w:val="none" w:sz="0" w:space="0" w:color="auto"/>
        <w:right w:val="none" w:sz="0" w:space="0" w:color="auto"/>
      </w:divBdr>
    </w:div>
    <w:div w:id="984891066">
      <w:bodyDiv w:val="1"/>
      <w:marLeft w:val="0"/>
      <w:marRight w:val="0"/>
      <w:marTop w:val="0"/>
      <w:marBottom w:val="0"/>
      <w:divBdr>
        <w:top w:val="none" w:sz="0" w:space="0" w:color="auto"/>
        <w:left w:val="none" w:sz="0" w:space="0" w:color="auto"/>
        <w:bottom w:val="none" w:sz="0" w:space="0" w:color="auto"/>
        <w:right w:val="none" w:sz="0" w:space="0" w:color="auto"/>
      </w:divBdr>
    </w:div>
    <w:div w:id="1039739519">
      <w:marLeft w:val="0"/>
      <w:marRight w:val="0"/>
      <w:marTop w:val="0"/>
      <w:marBottom w:val="0"/>
      <w:divBdr>
        <w:top w:val="none" w:sz="0" w:space="0" w:color="auto"/>
        <w:left w:val="none" w:sz="0" w:space="0" w:color="auto"/>
        <w:bottom w:val="none" w:sz="0" w:space="0" w:color="auto"/>
        <w:right w:val="none" w:sz="0" w:space="0" w:color="auto"/>
      </w:divBdr>
    </w:div>
    <w:div w:id="1172572544">
      <w:bodyDiv w:val="1"/>
      <w:marLeft w:val="0"/>
      <w:marRight w:val="0"/>
      <w:marTop w:val="0"/>
      <w:marBottom w:val="0"/>
      <w:divBdr>
        <w:top w:val="none" w:sz="0" w:space="0" w:color="auto"/>
        <w:left w:val="none" w:sz="0" w:space="0" w:color="auto"/>
        <w:bottom w:val="none" w:sz="0" w:space="0" w:color="auto"/>
        <w:right w:val="none" w:sz="0" w:space="0" w:color="auto"/>
      </w:divBdr>
    </w:div>
    <w:div w:id="11876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20">
      <w:bodyDiv w:val="1"/>
      <w:marLeft w:val="0"/>
      <w:marRight w:val="0"/>
      <w:marTop w:val="0"/>
      <w:marBottom w:val="0"/>
      <w:divBdr>
        <w:top w:val="none" w:sz="0" w:space="0" w:color="auto"/>
        <w:left w:val="none" w:sz="0" w:space="0" w:color="auto"/>
        <w:bottom w:val="none" w:sz="0" w:space="0" w:color="auto"/>
        <w:right w:val="none" w:sz="0" w:space="0" w:color="auto"/>
      </w:divBdr>
    </w:div>
    <w:div w:id="1227227278">
      <w:bodyDiv w:val="1"/>
      <w:marLeft w:val="0"/>
      <w:marRight w:val="360"/>
      <w:marTop w:val="0"/>
      <w:marBottom w:val="0"/>
      <w:divBdr>
        <w:top w:val="none" w:sz="0" w:space="0" w:color="auto"/>
        <w:left w:val="none" w:sz="0" w:space="0" w:color="auto"/>
        <w:bottom w:val="none" w:sz="0" w:space="0" w:color="auto"/>
        <w:right w:val="none" w:sz="0" w:space="0" w:color="auto"/>
      </w:divBdr>
      <w:divsChild>
        <w:div w:id="736636366">
          <w:marLeft w:val="240"/>
          <w:marRight w:val="240"/>
          <w:marTop w:val="0"/>
          <w:marBottom w:val="0"/>
          <w:divBdr>
            <w:top w:val="none" w:sz="0" w:space="0" w:color="auto"/>
            <w:left w:val="none" w:sz="0" w:space="0" w:color="auto"/>
            <w:bottom w:val="none" w:sz="0" w:space="0" w:color="auto"/>
            <w:right w:val="none" w:sz="0" w:space="0" w:color="auto"/>
          </w:divBdr>
          <w:divsChild>
            <w:div w:id="17633035">
              <w:marLeft w:val="0"/>
              <w:marRight w:val="0"/>
              <w:marTop w:val="0"/>
              <w:marBottom w:val="0"/>
              <w:divBdr>
                <w:top w:val="none" w:sz="0" w:space="0" w:color="auto"/>
                <w:left w:val="none" w:sz="0" w:space="0" w:color="auto"/>
                <w:bottom w:val="none" w:sz="0" w:space="0" w:color="auto"/>
                <w:right w:val="none" w:sz="0" w:space="0" w:color="auto"/>
              </w:divBdr>
              <w:divsChild>
                <w:div w:id="1907106405">
                  <w:marLeft w:val="240"/>
                  <w:marRight w:val="240"/>
                  <w:marTop w:val="0"/>
                  <w:marBottom w:val="0"/>
                  <w:divBdr>
                    <w:top w:val="none" w:sz="0" w:space="0" w:color="auto"/>
                    <w:left w:val="none" w:sz="0" w:space="0" w:color="auto"/>
                    <w:bottom w:val="none" w:sz="0" w:space="0" w:color="auto"/>
                    <w:right w:val="none" w:sz="0" w:space="0" w:color="auto"/>
                  </w:divBdr>
                  <w:divsChild>
                    <w:div w:id="1815175578">
                      <w:marLeft w:val="0"/>
                      <w:marRight w:val="0"/>
                      <w:marTop w:val="0"/>
                      <w:marBottom w:val="0"/>
                      <w:divBdr>
                        <w:top w:val="none" w:sz="0" w:space="0" w:color="auto"/>
                        <w:left w:val="none" w:sz="0" w:space="0" w:color="auto"/>
                        <w:bottom w:val="none" w:sz="0" w:space="0" w:color="auto"/>
                        <w:right w:val="none" w:sz="0" w:space="0" w:color="auto"/>
                      </w:divBdr>
                      <w:divsChild>
                        <w:div w:id="2023511209">
                          <w:marLeft w:val="240"/>
                          <w:marRight w:val="240"/>
                          <w:marTop w:val="0"/>
                          <w:marBottom w:val="0"/>
                          <w:divBdr>
                            <w:top w:val="none" w:sz="0" w:space="0" w:color="auto"/>
                            <w:left w:val="none" w:sz="0" w:space="0" w:color="auto"/>
                            <w:bottom w:val="none" w:sz="0" w:space="0" w:color="auto"/>
                            <w:right w:val="none" w:sz="0" w:space="0" w:color="auto"/>
                          </w:divBdr>
                          <w:divsChild>
                            <w:div w:id="1010448364">
                              <w:marLeft w:val="0"/>
                              <w:marRight w:val="0"/>
                              <w:marTop w:val="0"/>
                              <w:marBottom w:val="0"/>
                              <w:divBdr>
                                <w:top w:val="none" w:sz="0" w:space="0" w:color="auto"/>
                                <w:left w:val="none" w:sz="0" w:space="0" w:color="auto"/>
                                <w:bottom w:val="none" w:sz="0" w:space="0" w:color="auto"/>
                                <w:right w:val="none" w:sz="0" w:space="0" w:color="auto"/>
                              </w:divBdr>
                              <w:divsChild>
                                <w:div w:id="1932080140">
                                  <w:marLeft w:val="240"/>
                                  <w:marRight w:val="240"/>
                                  <w:marTop w:val="0"/>
                                  <w:marBottom w:val="0"/>
                                  <w:divBdr>
                                    <w:top w:val="none" w:sz="0" w:space="0" w:color="auto"/>
                                    <w:left w:val="none" w:sz="0" w:space="0" w:color="auto"/>
                                    <w:bottom w:val="none" w:sz="0" w:space="0" w:color="auto"/>
                                    <w:right w:val="none" w:sz="0" w:space="0" w:color="auto"/>
                                  </w:divBdr>
                                  <w:divsChild>
                                    <w:div w:id="1181044314">
                                      <w:marLeft w:val="0"/>
                                      <w:marRight w:val="0"/>
                                      <w:marTop w:val="0"/>
                                      <w:marBottom w:val="0"/>
                                      <w:divBdr>
                                        <w:top w:val="none" w:sz="0" w:space="0" w:color="auto"/>
                                        <w:left w:val="none" w:sz="0" w:space="0" w:color="auto"/>
                                        <w:bottom w:val="none" w:sz="0" w:space="0" w:color="auto"/>
                                        <w:right w:val="none" w:sz="0" w:space="0" w:color="auto"/>
                                      </w:divBdr>
                                      <w:divsChild>
                                        <w:div w:id="1852790632">
                                          <w:marLeft w:val="240"/>
                                          <w:marRight w:val="240"/>
                                          <w:marTop w:val="0"/>
                                          <w:marBottom w:val="0"/>
                                          <w:divBdr>
                                            <w:top w:val="none" w:sz="0" w:space="0" w:color="auto"/>
                                            <w:left w:val="none" w:sz="0" w:space="0" w:color="auto"/>
                                            <w:bottom w:val="none" w:sz="0" w:space="0" w:color="auto"/>
                                            <w:right w:val="none" w:sz="0" w:space="0" w:color="auto"/>
                                          </w:divBdr>
                                          <w:divsChild>
                                            <w:div w:id="1777675730">
                                              <w:marLeft w:val="0"/>
                                              <w:marRight w:val="0"/>
                                              <w:marTop w:val="0"/>
                                              <w:marBottom w:val="0"/>
                                              <w:divBdr>
                                                <w:top w:val="none" w:sz="0" w:space="0" w:color="auto"/>
                                                <w:left w:val="none" w:sz="0" w:space="0" w:color="auto"/>
                                                <w:bottom w:val="none" w:sz="0" w:space="0" w:color="auto"/>
                                                <w:right w:val="none" w:sz="0" w:space="0" w:color="auto"/>
                                              </w:divBdr>
                                              <w:divsChild>
                                                <w:div w:id="15818625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008929">
      <w:bodyDiv w:val="1"/>
      <w:marLeft w:val="0"/>
      <w:marRight w:val="0"/>
      <w:marTop w:val="0"/>
      <w:marBottom w:val="0"/>
      <w:divBdr>
        <w:top w:val="none" w:sz="0" w:space="0" w:color="auto"/>
        <w:left w:val="none" w:sz="0" w:space="0" w:color="auto"/>
        <w:bottom w:val="none" w:sz="0" w:space="0" w:color="auto"/>
        <w:right w:val="none" w:sz="0" w:space="0" w:color="auto"/>
      </w:divBdr>
    </w:div>
    <w:div w:id="1300115689">
      <w:bodyDiv w:val="1"/>
      <w:marLeft w:val="0"/>
      <w:marRight w:val="0"/>
      <w:marTop w:val="0"/>
      <w:marBottom w:val="0"/>
      <w:divBdr>
        <w:top w:val="none" w:sz="0" w:space="0" w:color="auto"/>
        <w:left w:val="none" w:sz="0" w:space="0" w:color="auto"/>
        <w:bottom w:val="none" w:sz="0" w:space="0" w:color="auto"/>
        <w:right w:val="none" w:sz="0" w:space="0" w:color="auto"/>
      </w:divBdr>
    </w:div>
    <w:div w:id="1332298601">
      <w:bodyDiv w:val="1"/>
      <w:marLeft w:val="0"/>
      <w:marRight w:val="0"/>
      <w:marTop w:val="0"/>
      <w:marBottom w:val="0"/>
      <w:divBdr>
        <w:top w:val="none" w:sz="0" w:space="0" w:color="auto"/>
        <w:left w:val="none" w:sz="0" w:space="0" w:color="auto"/>
        <w:bottom w:val="none" w:sz="0" w:space="0" w:color="auto"/>
        <w:right w:val="none" w:sz="0" w:space="0" w:color="auto"/>
      </w:divBdr>
    </w:div>
    <w:div w:id="1351491513">
      <w:bodyDiv w:val="1"/>
      <w:marLeft w:val="0"/>
      <w:marRight w:val="0"/>
      <w:marTop w:val="0"/>
      <w:marBottom w:val="0"/>
      <w:divBdr>
        <w:top w:val="none" w:sz="0" w:space="0" w:color="auto"/>
        <w:left w:val="none" w:sz="0" w:space="0" w:color="auto"/>
        <w:bottom w:val="none" w:sz="0" w:space="0" w:color="auto"/>
        <w:right w:val="none" w:sz="0" w:space="0" w:color="auto"/>
      </w:divBdr>
    </w:div>
    <w:div w:id="1406611246">
      <w:bodyDiv w:val="1"/>
      <w:marLeft w:val="0"/>
      <w:marRight w:val="0"/>
      <w:marTop w:val="0"/>
      <w:marBottom w:val="0"/>
      <w:divBdr>
        <w:top w:val="none" w:sz="0" w:space="0" w:color="auto"/>
        <w:left w:val="none" w:sz="0" w:space="0" w:color="auto"/>
        <w:bottom w:val="none" w:sz="0" w:space="0" w:color="auto"/>
        <w:right w:val="none" w:sz="0" w:space="0" w:color="auto"/>
      </w:divBdr>
    </w:div>
    <w:div w:id="1468738817">
      <w:bodyDiv w:val="1"/>
      <w:marLeft w:val="0"/>
      <w:marRight w:val="0"/>
      <w:marTop w:val="0"/>
      <w:marBottom w:val="0"/>
      <w:divBdr>
        <w:top w:val="none" w:sz="0" w:space="0" w:color="auto"/>
        <w:left w:val="none" w:sz="0" w:space="0" w:color="auto"/>
        <w:bottom w:val="none" w:sz="0" w:space="0" w:color="auto"/>
        <w:right w:val="none" w:sz="0" w:space="0" w:color="auto"/>
      </w:divBdr>
    </w:div>
    <w:div w:id="1577785088">
      <w:bodyDiv w:val="1"/>
      <w:marLeft w:val="0"/>
      <w:marRight w:val="0"/>
      <w:marTop w:val="0"/>
      <w:marBottom w:val="0"/>
      <w:divBdr>
        <w:top w:val="none" w:sz="0" w:space="0" w:color="auto"/>
        <w:left w:val="none" w:sz="0" w:space="0" w:color="auto"/>
        <w:bottom w:val="none" w:sz="0" w:space="0" w:color="auto"/>
        <w:right w:val="none" w:sz="0" w:space="0" w:color="auto"/>
      </w:divBdr>
    </w:div>
    <w:div w:id="1626421358">
      <w:bodyDiv w:val="1"/>
      <w:marLeft w:val="0"/>
      <w:marRight w:val="0"/>
      <w:marTop w:val="0"/>
      <w:marBottom w:val="0"/>
      <w:divBdr>
        <w:top w:val="none" w:sz="0" w:space="0" w:color="auto"/>
        <w:left w:val="none" w:sz="0" w:space="0" w:color="auto"/>
        <w:bottom w:val="none" w:sz="0" w:space="0" w:color="auto"/>
        <w:right w:val="none" w:sz="0" w:space="0" w:color="auto"/>
      </w:divBdr>
    </w:div>
    <w:div w:id="1742438119">
      <w:bodyDiv w:val="1"/>
      <w:marLeft w:val="0"/>
      <w:marRight w:val="0"/>
      <w:marTop w:val="0"/>
      <w:marBottom w:val="0"/>
      <w:divBdr>
        <w:top w:val="none" w:sz="0" w:space="0" w:color="auto"/>
        <w:left w:val="none" w:sz="0" w:space="0" w:color="auto"/>
        <w:bottom w:val="none" w:sz="0" w:space="0" w:color="auto"/>
        <w:right w:val="none" w:sz="0" w:space="0" w:color="auto"/>
      </w:divBdr>
    </w:div>
    <w:div w:id="1758286022">
      <w:bodyDiv w:val="1"/>
      <w:marLeft w:val="0"/>
      <w:marRight w:val="0"/>
      <w:marTop w:val="0"/>
      <w:marBottom w:val="0"/>
      <w:divBdr>
        <w:top w:val="none" w:sz="0" w:space="0" w:color="auto"/>
        <w:left w:val="none" w:sz="0" w:space="0" w:color="auto"/>
        <w:bottom w:val="none" w:sz="0" w:space="0" w:color="auto"/>
        <w:right w:val="none" w:sz="0" w:space="0" w:color="auto"/>
      </w:divBdr>
    </w:div>
    <w:div w:id="1786345570">
      <w:bodyDiv w:val="1"/>
      <w:marLeft w:val="0"/>
      <w:marRight w:val="0"/>
      <w:marTop w:val="0"/>
      <w:marBottom w:val="0"/>
      <w:divBdr>
        <w:top w:val="none" w:sz="0" w:space="0" w:color="auto"/>
        <w:left w:val="none" w:sz="0" w:space="0" w:color="auto"/>
        <w:bottom w:val="none" w:sz="0" w:space="0" w:color="auto"/>
        <w:right w:val="none" w:sz="0" w:space="0" w:color="auto"/>
      </w:divBdr>
    </w:div>
    <w:div w:id="1841309789">
      <w:bodyDiv w:val="1"/>
      <w:marLeft w:val="0"/>
      <w:marRight w:val="0"/>
      <w:marTop w:val="0"/>
      <w:marBottom w:val="0"/>
      <w:divBdr>
        <w:top w:val="none" w:sz="0" w:space="0" w:color="auto"/>
        <w:left w:val="none" w:sz="0" w:space="0" w:color="auto"/>
        <w:bottom w:val="none" w:sz="0" w:space="0" w:color="auto"/>
        <w:right w:val="none" w:sz="0" w:space="0" w:color="auto"/>
      </w:divBdr>
    </w:div>
    <w:div w:id="1922984975">
      <w:bodyDiv w:val="1"/>
      <w:marLeft w:val="0"/>
      <w:marRight w:val="0"/>
      <w:marTop w:val="0"/>
      <w:marBottom w:val="0"/>
      <w:divBdr>
        <w:top w:val="none" w:sz="0" w:space="0" w:color="auto"/>
        <w:left w:val="none" w:sz="0" w:space="0" w:color="auto"/>
        <w:bottom w:val="none" w:sz="0" w:space="0" w:color="auto"/>
        <w:right w:val="none" w:sz="0" w:space="0" w:color="auto"/>
      </w:divBdr>
    </w:div>
    <w:div w:id="1937784049">
      <w:bodyDiv w:val="1"/>
      <w:marLeft w:val="0"/>
      <w:marRight w:val="0"/>
      <w:marTop w:val="0"/>
      <w:marBottom w:val="0"/>
      <w:divBdr>
        <w:top w:val="none" w:sz="0" w:space="0" w:color="auto"/>
        <w:left w:val="none" w:sz="0" w:space="0" w:color="auto"/>
        <w:bottom w:val="none" w:sz="0" w:space="0" w:color="auto"/>
        <w:right w:val="none" w:sz="0" w:space="0" w:color="auto"/>
      </w:divBdr>
    </w:div>
    <w:div w:id="1957443659">
      <w:bodyDiv w:val="1"/>
      <w:marLeft w:val="0"/>
      <w:marRight w:val="0"/>
      <w:marTop w:val="0"/>
      <w:marBottom w:val="0"/>
      <w:divBdr>
        <w:top w:val="none" w:sz="0" w:space="0" w:color="auto"/>
        <w:left w:val="none" w:sz="0" w:space="0" w:color="auto"/>
        <w:bottom w:val="none" w:sz="0" w:space="0" w:color="auto"/>
        <w:right w:val="none" w:sz="0" w:space="0" w:color="auto"/>
      </w:divBdr>
    </w:div>
    <w:div w:id="1996761740">
      <w:bodyDiv w:val="1"/>
      <w:marLeft w:val="0"/>
      <w:marRight w:val="0"/>
      <w:marTop w:val="0"/>
      <w:marBottom w:val="0"/>
      <w:divBdr>
        <w:top w:val="none" w:sz="0" w:space="0" w:color="auto"/>
        <w:left w:val="none" w:sz="0" w:space="0" w:color="auto"/>
        <w:bottom w:val="none" w:sz="0" w:space="0" w:color="auto"/>
        <w:right w:val="none" w:sz="0" w:space="0" w:color="auto"/>
      </w:divBdr>
    </w:div>
    <w:div w:id="2002928628">
      <w:bodyDiv w:val="1"/>
      <w:marLeft w:val="0"/>
      <w:marRight w:val="0"/>
      <w:marTop w:val="0"/>
      <w:marBottom w:val="0"/>
      <w:divBdr>
        <w:top w:val="none" w:sz="0" w:space="0" w:color="auto"/>
        <w:left w:val="none" w:sz="0" w:space="0" w:color="auto"/>
        <w:bottom w:val="none" w:sz="0" w:space="0" w:color="auto"/>
        <w:right w:val="none" w:sz="0" w:space="0" w:color="auto"/>
      </w:divBdr>
    </w:div>
    <w:div w:id="2027828848">
      <w:bodyDiv w:val="1"/>
      <w:marLeft w:val="0"/>
      <w:marRight w:val="0"/>
      <w:marTop w:val="0"/>
      <w:marBottom w:val="0"/>
      <w:divBdr>
        <w:top w:val="none" w:sz="0" w:space="0" w:color="auto"/>
        <w:left w:val="none" w:sz="0" w:space="0" w:color="auto"/>
        <w:bottom w:val="none" w:sz="0" w:space="0" w:color="auto"/>
        <w:right w:val="none" w:sz="0" w:space="0" w:color="auto"/>
      </w:divBdr>
    </w:div>
    <w:div w:id="2042438419">
      <w:bodyDiv w:val="1"/>
      <w:marLeft w:val="0"/>
      <w:marRight w:val="0"/>
      <w:marTop w:val="0"/>
      <w:marBottom w:val="0"/>
      <w:divBdr>
        <w:top w:val="none" w:sz="0" w:space="0" w:color="auto"/>
        <w:left w:val="none" w:sz="0" w:space="0" w:color="auto"/>
        <w:bottom w:val="none" w:sz="0" w:space="0" w:color="auto"/>
        <w:right w:val="none" w:sz="0" w:space="0" w:color="auto"/>
      </w:divBdr>
    </w:div>
    <w:div w:id="2068648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projportal.worldbank.org/shared/SiteResources/ICR/DISB_CHART/P106332.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T_ICR_MAIN_DOC\P106332205813ICR_October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ECENTER-17-646</_dlc_DocId>
    <_dlc_DocIdUrl xmlns="abd7fad0-8e9a-4f24-82a0-e4a690a7a66d">
      <Url>https://ispan.worldbank.org/sites/BOS/_layouts/15/DocIdRedir.aspx?ID=ECENTER-17-646</Url>
      <Description>ECENTER-17-646</Description>
    </_dlc_DocIdUrl>
    <DocumentDate xmlns="1e565efc-c76f-4e3a-ad62-733aa42cc28d">2016-12-27T05:00:00+00:00</DocumentDate>
    <unid xmlns="1e565efc-c76f-4e3a-ad62-733aa42cc28d" xsi:nil="true"/>
    <Volume_x0020_Title xmlns="1e565efc-c76f-4e3a-ad62-733aa42cc28d">Bangladesh - Disability and Children-at-Risk Project - Implementation Completion and Results Report</Volume_x0020_Title>
    <Disclosure_x0020_Type xmlns="1e565efc-c76f-4e3a-ad62-733aa42cc28d" xsi:nil="true"/>
    <Unit_x0020_Owning_x0020_or_x0020_Responsible xmlns="1e565efc-c76f-4e3a-ad62-733aa42cc28d">GSP06</Unit_x0020_Owning_x0020_or_x0020_Responsible>
    <RObjectID xmlns="1e565efc-c76f-4e3a-ad62-733aa42cc28d">090224b084828014</RObjectID>
    <Document_x0020_Type xmlns="1e565efc-c76f-4e3a-ad62-733aa42cc28d">Board Report</Document_x0020_Type>
    <Bank_x0020_Group_x0020_Institution xmlns="1e565efc-c76f-4e3a-ad62-733aa42cc28d">IDA</Bank_x0020_Group_x0020_Institution>
    <Project_x0020_ID xmlns="1e565efc-c76f-4e3a-ad62-733aa42cc28d" xsi:nil="true"/>
    <Report_x0020_Number xmlns="1e565efc-c76f-4e3a-ad62-733aa42cc28d">ICR00003897</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 xsi:nil="true"/>
    <Board_x0020_Meeting_x0020_Type xmlns="1e565efc-c76f-4e3a-ad62-733aa42cc28d">Board Meeting</Board_x0020_Meeting_x0020_Type>
    <UpdateEntityID xmlns="1e565efc-c76f-4e3a-ad62-733aa42cc28d">3f909e5e-77c8-e611-9497-005056953af8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Country_x0020_Region xmlns="1e565efc-c76f-4e3a-ad62-733aa42cc28d">Bangladesh</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Language xmlns="1e565efc-c76f-4e3a-ad62-733aa42cc28d">English</Language>
    <Board_x0020_Meeting_x0020_Date xmlns="1e565efc-c76f-4e3a-ad62-733aa42cc28d" xsi:nil="true"/>
    <Archive xmlns="1e565efc-c76f-4e3a-ad62-733aa42cc28d">true</Archive>
    <ArchivedDate xmlns="1e565efc-c76f-4e3a-ad62-733aa42cc28d">2016-12-30T19:47:59+00:00</ArchivedDate>
    <PublicClassificationDecidedby xmlns="1e565efc-c76f-4e3a-ad62-733aa42cc28d">Srinivas Varadan</PublicClassificationDecidedby>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Props1.xml><?xml version="1.0" encoding="utf-8"?>
<ds:datastoreItem xmlns:ds="http://schemas.openxmlformats.org/officeDocument/2006/customXml" ds:itemID="{8D97D009-3B76-4075-979B-CB88F99252BB}"/>
</file>

<file path=customXml/itemProps2.xml><?xml version="1.0" encoding="utf-8"?>
<ds:datastoreItem xmlns:ds="http://schemas.openxmlformats.org/officeDocument/2006/customXml" ds:itemID="{600C2D3C-113D-4EFA-B2D3-823C756724C0}"/>
</file>

<file path=customXml/itemProps3.xml><?xml version="1.0" encoding="utf-8"?>
<ds:datastoreItem xmlns:ds="http://schemas.openxmlformats.org/officeDocument/2006/customXml" ds:itemID="{6230BE12-7244-43DE-89FC-A975420C405C}"/>
</file>

<file path=customXml/itemProps4.xml><?xml version="1.0" encoding="utf-8"?>
<ds:datastoreItem xmlns:ds="http://schemas.openxmlformats.org/officeDocument/2006/customXml" ds:itemID="{325A3FA5-F4F9-4C64-A172-191B4EBD3994}"/>
</file>

<file path=customXml/itemProps5.xml><?xml version="1.0" encoding="utf-8"?>
<ds:datastoreItem xmlns:ds="http://schemas.openxmlformats.org/officeDocument/2006/customXml" ds:itemID="{8FA7FFB8-63B3-49F0-86C8-802680AF1AC7}"/>
</file>

<file path=docProps/app.xml><?xml version="1.0" encoding="utf-8"?>
<Properties xmlns="http://schemas.openxmlformats.org/officeDocument/2006/extended-properties" xmlns:vt="http://schemas.openxmlformats.org/officeDocument/2006/docPropsVTypes">
  <Template>P106332205813ICR_October_2014.dot</Template>
  <TotalTime>0</TotalTime>
  <Pages>5</Pages>
  <Words>22015</Words>
  <Characters>125490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ICR IL</vt:lpstr>
    </vt:vector>
  </TitlesOfParts>
  <Company>The World Bank Group</Company>
  <LinksUpToDate>false</LinksUpToDate>
  <CharactersWithSpaces>147211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 Disability and Children-at-Risk Project - Implementation Completion and Results Report</dc:title>
  <dc:subject/>
  <dc:creator>SYSTEM</dc:creator>
  <cp:keywords/>
  <dc:description/>
  <cp:lastModifiedBy>Srinivas Varadan</cp:lastModifiedBy>
  <cp:revision>2</cp:revision>
  <cp:lastPrinted>2016-12-13T19:08:00Z</cp:lastPrinted>
  <dcterms:created xsi:type="dcterms:W3CDTF">2016-12-22T18:44:00Z</dcterms:created>
  <dcterms:modified xsi:type="dcterms:W3CDTF">2016-12-22T18:44:00Z</dcterms:modified>
  <cp:category>Main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BT_ICR_MAIN_DOC</vt:lpwstr>
  </property>
  <property fmtid="{D5CDD505-2E9C-101B-9397-08002B2CF9AE}" pid="3" name="ContentTypeId">
    <vt:lpwstr>0x0101008B7ED80168BFC54D8B2E9A470A96603D</vt:lpwstr>
  </property>
  <property fmtid="{D5CDD505-2E9C-101B-9397-08002B2CF9AE}" pid="4" name="_dlc_DocIdItemGuid">
    <vt:lpwstr>87d34667-7e89-4aea-8aef-3386533e861f</vt:lpwstr>
  </property>
</Properties>
</file>