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CA" w:rsidRDefault="00DF38CA" w:rsidP="002A53D6">
      <w:pPr>
        <w:spacing w:after="0"/>
        <w:jc w:val="center"/>
        <w:rPr>
          <w:rFonts w:asciiTheme="majorBidi" w:hAnsiTheme="majorBidi" w:cstheme="majorBidi"/>
          <w:b/>
          <w:bCs/>
        </w:rPr>
      </w:pPr>
      <w:r w:rsidRPr="0056293F">
        <w:rPr>
          <w:rFonts w:asciiTheme="majorBidi" w:hAnsiTheme="majorBidi" w:cstheme="majorBidi"/>
          <w:b/>
          <w:bCs/>
        </w:rPr>
        <w:t>FORMULAIRE DES DONN</w:t>
      </w:r>
      <w:r w:rsidR="0083171E" w:rsidRPr="0056293F">
        <w:rPr>
          <w:rFonts w:asciiTheme="majorBidi" w:hAnsiTheme="majorBidi" w:cstheme="majorBidi"/>
          <w:b/>
          <w:bCs/>
        </w:rPr>
        <w:t>É</w:t>
      </w:r>
      <w:r w:rsidRPr="0056293F">
        <w:rPr>
          <w:rFonts w:asciiTheme="majorBidi" w:hAnsiTheme="majorBidi" w:cstheme="majorBidi"/>
          <w:b/>
          <w:bCs/>
        </w:rPr>
        <w:t>ES INT</w:t>
      </w:r>
      <w:r w:rsidR="0083171E" w:rsidRPr="0056293F">
        <w:rPr>
          <w:rFonts w:asciiTheme="majorBidi" w:hAnsiTheme="majorBidi" w:cstheme="majorBidi"/>
          <w:b/>
          <w:bCs/>
        </w:rPr>
        <w:t>É</w:t>
      </w:r>
      <w:r w:rsidRPr="0056293F">
        <w:rPr>
          <w:rFonts w:asciiTheme="majorBidi" w:hAnsiTheme="majorBidi" w:cstheme="majorBidi"/>
          <w:b/>
          <w:bCs/>
        </w:rPr>
        <w:t>GR</w:t>
      </w:r>
      <w:r w:rsidR="0083171E" w:rsidRPr="0056293F">
        <w:rPr>
          <w:rFonts w:asciiTheme="majorBidi" w:hAnsiTheme="majorBidi" w:cstheme="majorBidi"/>
          <w:b/>
          <w:bCs/>
        </w:rPr>
        <w:t>É</w:t>
      </w:r>
      <w:r w:rsidRPr="0056293F">
        <w:rPr>
          <w:rFonts w:asciiTheme="majorBidi" w:hAnsiTheme="majorBidi" w:cstheme="majorBidi"/>
          <w:b/>
          <w:bCs/>
        </w:rPr>
        <w:t>ES DE SAUVEGARDE</w:t>
      </w:r>
    </w:p>
    <w:p w:rsidR="009D39AE" w:rsidRPr="0056293F" w:rsidRDefault="009D39AE" w:rsidP="002A53D6">
      <w:pPr>
        <w:spacing w:after="0"/>
        <w:jc w:val="center"/>
        <w:rPr>
          <w:rFonts w:asciiTheme="majorBidi" w:hAnsiTheme="majorBidi" w:cstheme="majorBidi"/>
          <w:b/>
          <w:bCs/>
        </w:rPr>
      </w:pPr>
    </w:p>
    <w:p w:rsidR="00DF38CA" w:rsidRPr="0056293F" w:rsidRDefault="002A53D6" w:rsidP="002A53D6">
      <w:pPr>
        <w:spacing w:after="0"/>
        <w:jc w:val="center"/>
        <w:rPr>
          <w:rFonts w:asciiTheme="majorBidi" w:hAnsiTheme="majorBidi" w:cstheme="majorBidi"/>
          <w:b/>
          <w:bCs/>
        </w:rPr>
      </w:pPr>
      <w:r w:rsidRPr="0056293F">
        <w:rPr>
          <w:rFonts w:asciiTheme="majorBidi" w:hAnsiTheme="majorBidi" w:cstheme="majorBidi"/>
          <w:b/>
          <w:bCs/>
        </w:rPr>
        <w:t>ETAPE DE LA CONCEPTION DU PROJET</w:t>
      </w:r>
    </w:p>
    <w:p w:rsidR="002A53D6" w:rsidRPr="0056293F" w:rsidRDefault="002A53D6" w:rsidP="002A53D6">
      <w:pPr>
        <w:spacing w:after="0"/>
        <w:jc w:val="center"/>
        <w:rPr>
          <w:rFonts w:asciiTheme="majorBidi" w:hAnsiTheme="majorBidi" w:cstheme="majorBidi"/>
          <w:b/>
          <w:bCs/>
        </w:rPr>
      </w:pPr>
    </w:p>
    <w:p w:rsidR="002A53D6" w:rsidRPr="0056293F" w:rsidRDefault="002A53D6" w:rsidP="002A53D6">
      <w:pPr>
        <w:spacing w:after="0"/>
        <w:jc w:val="center"/>
        <w:rPr>
          <w:rFonts w:asciiTheme="majorBidi" w:hAnsiTheme="majorBidi" w:cstheme="majorBidi"/>
          <w:b/>
          <w:bCs/>
        </w:rPr>
      </w:pPr>
    </w:p>
    <w:tbl>
      <w:tblPr>
        <w:tblW w:w="9918" w:type="dxa"/>
        <w:tblLayout w:type="fixed"/>
        <w:tblLook w:val="0000"/>
      </w:tblPr>
      <w:tblGrid>
        <w:gridCol w:w="4968"/>
        <w:gridCol w:w="1980"/>
        <w:gridCol w:w="2970"/>
      </w:tblGrid>
      <w:tr w:rsidR="00DF38CA" w:rsidRPr="0056293F" w:rsidTr="00EE0432">
        <w:tc>
          <w:tcPr>
            <w:tcW w:w="4968" w:type="dxa"/>
          </w:tcPr>
          <w:p w:rsidR="00DF38CA" w:rsidRPr="0056293F" w:rsidRDefault="00DF38CA" w:rsidP="00EA4219">
            <w:pPr>
              <w:spacing w:after="0"/>
              <w:rPr>
                <w:rFonts w:asciiTheme="majorBidi" w:hAnsiTheme="majorBidi" w:cstheme="majorBidi"/>
              </w:rPr>
            </w:pPr>
            <w:r w:rsidRPr="0056293F">
              <w:rPr>
                <w:rFonts w:asciiTheme="majorBidi" w:hAnsiTheme="majorBidi" w:cstheme="majorBidi"/>
              </w:rPr>
              <w:t>Date de préparation/mise à jour:</w:t>
            </w:r>
            <w:r w:rsidR="00EA4219">
              <w:rPr>
                <w:rFonts w:asciiTheme="majorBidi" w:hAnsiTheme="majorBidi" w:cstheme="majorBidi"/>
              </w:rPr>
              <w:t xml:space="preserve"> 21 décembre </w:t>
            </w:r>
            <w:r w:rsidRPr="0056293F">
              <w:rPr>
                <w:rFonts w:asciiTheme="majorBidi" w:hAnsiTheme="majorBidi" w:cstheme="majorBidi"/>
              </w:rPr>
              <w:t>2011</w:t>
            </w:r>
          </w:p>
        </w:tc>
        <w:tc>
          <w:tcPr>
            <w:tcW w:w="4950" w:type="dxa"/>
            <w:gridSpan w:val="2"/>
          </w:tcPr>
          <w:p w:rsidR="00DF38CA" w:rsidRPr="0056293F" w:rsidRDefault="00DF38CA" w:rsidP="00EA4219">
            <w:pPr>
              <w:spacing w:after="0"/>
              <w:ind w:left="2052"/>
              <w:rPr>
                <w:rFonts w:asciiTheme="majorBidi" w:hAnsiTheme="majorBidi" w:cstheme="majorBidi"/>
              </w:rPr>
            </w:pPr>
            <w:r w:rsidRPr="0056293F">
              <w:rPr>
                <w:rFonts w:asciiTheme="majorBidi" w:hAnsiTheme="majorBidi" w:cstheme="majorBidi"/>
              </w:rPr>
              <w:t>Rapport No.</w:t>
            </w:r>
            <w:r w:rsidR="00EA4219" w:rsidRPr="0056293F">
              <w:rPr>
                <w:rFonts w:asciiTheme="majorBidi" w:hAnsiTheme="majorBidi" w:cstheme="majorBidi"/>
              </w:rPr>
              <w:t>: ISDSC334</w:t>
            </w:r>
          </w:p>
        </w:tc>
      </w:tr>
      <w:tr w:rsidR="002A53D6" w:rsidRPr="0056293F" w:rsidTr="00EE0432">
        <w:tc>
          <w:tcPr>
            <w:tcW w:w="4968" w:type="dxa"/>
          </w:tcPr>
          <w:p w:rsidR="002A53D6" w:rsidRPr="0056293F" w:rsidRDefault="002A53D6" w:rsidP="00EE0432">
            <w:pPr>
              <w:spacing w:after="0"/>
              <w:rPr>
                <w:rFonts w:asciiTheme="majorBidi" w:hAnsiTheme="majorBidi" w:cstheme="majorBidi"/>
              </w:rPr>
            </w:pPr>
          </w:p>
        </w:tc>
        <w:tc>
          <w:tcPr>
            <w:tcW w:w="4950" w:type="dxa"/>
            <w:gridSpan w:val="2"/>
          </w:tcPr>
          <w:p w:rsidR="002A53D6" w:rsidRPr="0056293F" w:rsidRDefault="002A53D6" w:rsidP="002A53D6">
            <w:pPr>
              <w:spacing w:after="0"/>
              <w:rPr>
                <w:rFonts w:asciiTheme="majorBidi" w:hAnsiTheme="majorBidi" w:cstheme="majorBidi"/>
              </w:rPr>
            </w:pPr>
          </w:p>
        </w:tc>
      </w:tr>
      <w:tr w:rsidR="00DF38CA" w:rsidRPr="0056293F" w:rsidTr="00EE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4968" w:type="dxa"/>
            <w:tcBorders>
              <w:top w:val="nil"/>
              <w:left w:val="nil"/>
              <w:bottom w:val="nil"/>
              <w:right w:val="nil"/>
            </w:tcBorders>
          </w:tcPr>
          <w:p w:rsidR="002A53D6" w:rsidRPr="0056293F" w:rsidRDefault="002A53D6" w:rsidP="00EA4219">
            <w:pPr>
              <w:pStyle w:val="ListParagraph"/>
              <w:numPr>
                <w:ilvl w:val="0"/>
                <w:numId w:val="8"/>
              </w:numPr>
              <w:ind w:left="720"/>
              <w:rPr>
                <w:rFonts w:asciiTheme="majorBidi" w:hAnsiTheme="majorBidi" w:cstheme="majorBidi"/>
                <w:b/>
                <w:bCs/>
                <w:smallCaps/>
                <w:sz w:val="22"/>
                <w:szCs w:val="22"/>
              </w:rPr>
            </w:pPr>
            <w:r w:rsidRPr="0056293F">
              <w:rPr>
                <w:rFonts w:asciiTheme="majorBidi" w:hAnsiTheme="majorBidi" w:cstheme="majorBidi"/>
                <w:b/>
                <w:bCs/>
                <w:smallCaps/>
                <w:sz w:val="22"/>
                <w:szCs w:val="22"/>
              </w:rPr>
              <w:t>Informations de base</w:t>
            </w:r>
          </w:p>
          <w:p w:rsidR="00DF38CA" w:rsidRPr="0056293F" w:rsidRDefault="00DF38CA" w:rsidP="002A53D6">
            <w:pPr>
              <w:spacing w:after="0"/>
              <w:rPr>
                <w:rFonts w:asciiTheme="majorBidi" w:hAnsiTheme="majorBidi" w:cstheme="majorBidi"/>
              </w:rPr>
            </w:pPr>
          </w:p>
        </w:tc>
        <w:tc>
          <w:tcPr>
            <w:tcW w:w="4950" w:type="dxa"/>
            <w:gridSpan w:val="2"/>
            <w:tcBorders>
              <w:top w:val="nil"/>
              <w:left w:val="nil"/>
              <w:bottom w:val="nil"/>
              <w:right w:val="nil"/>
            </w:tcBorders>
          </w:tcPr>
          <w:p w:rsidR="00DF38CA" w:rsidRPr="0056293F" w:rsidRDefault="00DF38CA" w:rsidP="002A53D6">
            <w:pPr>
              <w:spacing w:after="0"/>
              <w:rPr>
                <w:rFonts w:asciiTheme="majorBidi" w:hAnsiTheme="majorBidi" w:cstheme="majorBidi"/>
              </w:rPr>
            </w:pPr>
          </w:p>
        </w:tc>
      </w:tr>
      <w:tr w:rsidR="00DF38CA" w:rsidRPr="0056293F" w:rsidTr="00EE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8" w:type="dxa"/>
            <w:tcBorders>
              <w:top w:val="nil"/>
              <w:left w:val="nil"/>
              <w:bottom w:val="single" w:sz="4" w:space="0" w:color="auto"/>
              <w:right w:val="nil"/>
            </w:tcBorders>
          </w:tcPr>
          <w:p w:rsidR="00EE0432" w:rsidRPr="0056293F" w:rsidRDefault="00DF38CA" w:rsidP="00EA4219">
            <w:pPr>
              <w:spacing w:after="0"/>
              <w:ind w:left="-90"/>
              <w:rPr>
                <w:rFonts w:asciiTheme="majorBidi" w:hAnsiTheme="majorBidi" w:cstheme="majorBidi"/>
                <w:b/>
                <w:bCs/>
              </w:rPr>
            </w:pPr>
            <w:r w:rsidRPr="0056293F">
              <w:rPr>
                <w:rFonts w:asciiTheme="majorBidi" w:hAnsiTheme="majorBidi" w:cstheme="majorBidi"/>
                <w:b/>
                <w:bCs/>
              </w:rPr>
              <w:t>A. Données de base sur le Projet</w:t>
            </w:r>
          </w:p>
          <w:p w:rsidR="00DF38CA" w:rsidRPr="0056293F" w:rsidRDefault="00DF38CA" w:rsidP="002A53D6">
            <w:pPr>
              <w:spacing w:after="0"/>
              <w:rPr>
                <w:rFonts w:asciiTheme="majorBidi" w:hAnsiTheme="majorBidi" w:cstheme="majorBidi"/>
                <w:b/>
                <w:bCs/>
              </w:rPr>
            </w:pPr>
            <w:r w:rsidRPr="0056293F">
              <w:rPr>
                <w:rFonts w:asciiTheme="majorBidi" w:hAnsiTheme="majorBidi" w:cstheme="majorBidi"/>
                <w:b/>
                <w:bCs/>
              </w:rPr>
              <w:t xml:space="preserve"> </w:t>
            </w:r>
          </w:p>
        </w:tc>
        <w:tc>
          <w:tcPr>
            <w:tcW w:w="4950" w:type="dxa"/>
            <w:gridSpan w:val="2"/>
            <w:tcBorders>
              <w:top w:val="nil"/>
              <w:left w:val="nil"/>
              <w:bottom w:val="single" w:sz="4" w:space="0" w:color="auto"/>
              <w:right w:val="nil"/>
            </w:tcBorders>
          </w:tcPr>
          <w:p w:rsidR="00DF38CA" w:rsidRPr="0056293F" w:rsidRDefault="00DF38CA" w:rsidP="002A53D6">
            <w:pPr>
              <w:spacing w:after="0"/>
              <w:rPr>
                <w:rFonts w:asciiTheme="majorBidi" w:hAnsiTheme="majorBidi" w:cstheme="majorBidi"/>
              </w:rPr>
            </w:pPr>
          </w:p>
        </w:tc>
      </w:tr>
      <w:tr w:rsidR="00DF38CA" w:rsidRPr="0056293F" w:rsidTr="00EE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8" w:type="dxa"/>
            <w:tcBorders>
              <w:top w:val="single" w:sz="4" w:space="0" w:color="auto"/>
              <w:bottom w:val="single" w:sz="4" w:space="0" w:color="auto"/>
            </w:tcBorders>
          </w:tcPr>
          <w:p w:rsidR="00DF38CA" w:rsidRPr="0056293F" w:rsidRDefault="00DF38CA" w:rsidP="002A53D6">
            <w:pPr>
              <w:spacing w:after="0"/>
              <w:rPr>
                <w:rFonts w:asciiTheme="majorBidi" w:hAnsiTheme="majorBidi" w:cstheme="majorBidi"/>
              </w:rPr>
            </w:pPr>
            <w:r w:rsidRPr="0056293F">
              <w:rPr>
                <w:rFonts w:asciiTheme="majorBidi" w:hAnsiTheme="majorBidi" w:cstheme="majorBidi"/>
              </w:rPr>
              <w:t>Pays: Royaume du Maroc</w:t>
            </w:r>
          </w:p>
        </w:tc>
        <w:tc>
          <w:tcPr>
            <w:tcW w:w="4950" w:type="dxa"/>
            <w:gridSpan w:val="2"/>
            <w:tcBorders>
              <w:top w:val="single" w:sz="4" w:space="0" w:color="auto"/>
              <w:bottom w:val="single" w:sz="4" w:space="0" w:color="auto"/>
            </w:tcBorders>
          </w:tcPr>
          <w:p w:rsidR="00F4668A" w:rsidRPr="0056293F" w:rsidRDefault="00DF38CA" w:rsidP="001B6553">
            <w:pPr>
              <w:spacing w:after="0"/>
              <w:rPr>
                <w:rFonts w:asciiTheme="majorBidi" w:hAnsiTheme="majorBidi" w:cstheme="majorBidi"/>
              </w:rPr>
            </w:pPr>
            <w:r w:rsidRPr="0056293F">
              <w:rPr>
                <w:rFonts w:asciiTheme="majorBidi" w:hAnsiTheme="majorBidi" w:cstheme="majorBidi"/>
              </w:rPr>
              <w:t>ID du Projet: P116201</w:t>
            </w:r>
          </w:p>
        </w:tc>
      </w:tr>
      <w:tr w:rsidR="00DF38CA" w:rsidRPr="0056293F" w:rsidTr="00EE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18" w:type="dxa"/>
            <w:gridSpan w:val="3"/>
            <w:tcBorders>
              <w:top w:val="single" w:sz="4" w:space="0" w:color="auto"/>
              <w:bottom w:val="single" w:sz="4" w:space="0" w:color="auto"/>
            </w:tcBorders>
          </w:tcPr>
          <w:p w:rsidR="00DF38CA" w:rsidRPr="0056293F" w:rsidRDefault="002A53D6" w:rsidP="002A53D6">
            <w:pPr>
              <w:spacing w:after="0"/>
              <w:rPr>
                <w:rFonts w:asciiTheme="majorBidi" w:hAnsiTheme="majorBidi" w:cstheme="majorBidi"/>
              </w:rPr>
            </w:pPr>
            <w:r w:rsidRPr="0056293F">
              <w:rPr>
                <w:rFonts w:asciiTheme="majorBidi" w:hAnsiTheme="majorBidi" w:cstheme="majorBidi"/>
              </w:rPr>
              <w:t>Intitulé</w:t>
            </w:r>
            <w:r w:rsidR="00DF38CA" w:rsidRPr="0056293F">
              <w:rPr>
                <w:rFonts w:asciiTheme="majorBidi" w:hAnsiTheme="majorBidi" w:cstheme="majorBidi"/>
              </w:rPr>
              <w:t xml:space="preserve"> du Projet : Initiative National pour le Développement Humain 2</w:t>
            </w:r>
            <w:r w:rsidRPr="0056293F">
              <w:rPr>
                <w:rFonts w:asciiTheme="majorBidi" w:hAnsiTheme="majorBidi" w:cstheme="majorBidi"/>
              </w:rPr>
              <w:t xml:space="preserve"> (</w:t>
            </w:r>
            <w:r w:rsidR="001E6F86" w:rsidRPr="0056293F">
              <w:rPr>
                <w:rFonts w:asciiTheme="majorBidi" w:hAnsiTheme="majorBidi" w:cstheme="majorBidi"/>
              </w:rPr>
              <w:t>P116201)</w:t>
            </w:r>
          </w:p>
          <w:p w:rsidR="00EE0432" w:rsidRPr="0056293F" w:rsidRDefault="00EE0432" w:rsidP="002A53D6">
            <w:pPr>
              <w:spacing w:after="0"/>
              <w:rPr>
                <w:rFonts w:asciiTheme="majorBidi" w:hAnsiTheme="majorBidi" w:cstheme="majorBidi"/>
              </w:rPr>
            </w:pPr>
          </w:p>
        </w:tc>
      </w:tr>
      <w:tr w:rsidR="00DF38CA" w:rsidRPr="0056293F" w:rsidTr="00EE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18" w:type="dxa"/>
            <w:gridSpan w:val="3"/>
            <w:tcBorders>
              <w:top w:val="single" w:sz="4" w:space="0" w:color="auto"/>
              <w:bottom w:val="single" w:sz="4" w:space="0" w:color="auto"/>
            </w:tcBorders>
          </w:tcPr>
          <w:p w:rsidR="00DF38CA" w:rsidRPr="0056293F" w:rsidRDefault="00FF60E9" w:rsidP="00FF60E9">
            <w:pPr>
              <w:spacing w:after="0"/>
              <w:rPr>
                <w:rFonts w:asciiTheme="majorBidi" w:hAnsiTheme="majorBidi" w:cstheme="majorBidi"/>
              </w:rPr>
            </w:pPr>
            <w:r w:rsidRPr="0056293F">
              <w:rPr>
                <w:rFonts w:asciiTheme="majorBidi" w:hAnsiTheme="majorBidi" w:cstheme="majorBidi"/>
              </w:rPr>
              <w:t>R</w:t>
            </w:r>
            <w:r w:rsidR="00DF38CA" w:rsidRPr="0056293F">
              <w:rPr>
                <w:rFonts w:asciiTheme="majorBidi" w:hAnsiTheme="majorBidi" w:cstheme="majorBidi"/>
              </w:rPr>
              <w:t>esponsab</w:t>
            </w:r>
            <w:r w:rsidRPr="0056293F">
              <w:rPr>
                <w:rFonts w:asciiTheme="majorBidi" w:hAnsiTheme="majorBidi" w:cstheme="majorBidi"/>
              </w:rPr>
              <w:t>le du projet: Mohammed Medouar</w:t>
            </w:r>
          </w:p>
          <w:p w:rsidR="00EE0432" w:rsidRPr="0056293F" w:rsidRDefault="00EE0432" w:rsidP="002A53D6">
            <w:pPr>
              <w:spacing w:after="0"/>
              <w:rPr>
                <w:rFonts w:asciiTheme="majorBidi" w:hAnsiTheme="majorBidi" w:cstheme="majorBidi"/>
              </w:rPr>
            </w:pPr>
          </w:p>
        </w:tc>
      </w:tr>
      <w:tr w:rsidR="00DF38CA" w:rsidRPr="0056293F" w:rsidTr="00EE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8" w:type="dxa"/>
            <w:tcBorders>
              <w:top w:val="single" w:sz="4" w:space="0" w:color="auto"/>
              <w:bottom w:val="single" w:sz="4" w:space="0" w:color="auto"/>
            </w:tcBorders>
          </w:tcPr>
          <w:p w:rsidR="00DF38CA" w:rsidRPr="0056293F" w:rsidRDefault="00DF38CA" w:rsidP="002A53D6">
            <w:pPr>
              <w:spacing w:after="0"/>
              <w:rPr>
                <w:rFonts w:asciiTheme="majorBidi" w:hAnsiTheme="majorBidi" w:cstheme="majorBidi"/>
              </w:rPr>
            </w:pPr>
            <w:r w:rsidRPr="0056293F">
              <w:rPr>
                <w:rFonts w:asciiTheme="majorBidi" w:hAnsiTheme="majorBidi" w:cstheme="majorBidi"/>
              </w:rPr>
              <w:t>Date prévue d’évaluation : 21 Mars 2012</w:t>
            </w:r>
          </w:p>
        </w:tc>
        <w:tc>
          <w:tcPr>
            <w:tcW w:w="4950" w:type="dxa"/>
            <w:gridSpan w:val="2"/>
            <w:tcBorders>
              <w:top w:val="single" w:sz="4" w:space="0" w:color="auto"/>
              <w:bottom w:val="single" w:sz="4" w:space="0" w:color="auto"/>
            </w:tcBorders>
          </w:tcPr>
          <w:p w:rsidR="00DF38CA" w:rsidRPr="0056293F" w:rsidRDefault="00DF38CA" w:rsidP="002A53D6">
            <w:pPr>
              <w:spacing w:after="0"/>
              <w:rPr>
                <w:rFonts w:asciiTheme="majorBidi" w:hAnsiTheme="majorBidi" w:cstheme="majorBidi"/>
              </w:rPr>
            </w:pPr>
            <w:r w:rsidRPr="0056293F">
              <w:rPr>
                <w:rFonts w:asciiTheme="majorBidi" w:hAnsiTheme="majorBidi" w:cstheme="majorBidi"/>
              </w:rPr>
              <w:t>Date prévue du Conseil: 31 mai 2012</w:t>
            </w:r>
          </w:p>
          <w:p w:rsidR="00EE0432" w:rsidRPr="0056293F" w:rsidRDefault="00EE0432" w:rsidP="002A53D6">
            <w:pPr>
              <w:spacing w:after="0"/>
              <w:rPr>
                <w:rFonts w:asciiTheme="majorBidi" w:hAnsiTheme="majorBidi" w:cstheme="majorBidi"/>
              </w:rPr>
            </w:pPr>
          </w:p>
        </w:tc>
      </w:tr>
      <w:tr w:rsidR="00DF38CA" w:rsidRPr="0056293F" w:rsidTr="00EE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8" w:type="dxa"/>
            <w:tcBorders>
              <w:top w:val="single" w:sz="4" w:space="0" w:color="auto"/>
              <w:bottom w:val="single" w:sz="4" w:space="0" w:color="auto"/>
            </w:tcBorders>
          </w:tcPr>
          <w:p w:rsidR="00DF38CA" w:rsidRPr="0056293F" w:rsidRDefault="00DF38CA" w:rsidP="001B6553">
            <w:pPr>
              <w:spacing w:after="0"/>
              <w:rPr>
                <w:rFonts w:asciiTheme="majorBidi" w:hAnsiTheme="majorBidi" w:cstheme="majorBidi"/>
              </w:rPr>
            </w:pPr>
            <w:r w:rsidRPr="0056293F">
              <w:rPr>
                <w:rFonts w:asciiTheme="majorBidi" w:hAnsiTheme="majorBidi" w:cstheme="majorBidi"/>
              </w:rPr>
              <w:t>Unité de Gestion : MNSSD</w:t>
            </w:r>
          </w:p>
        </w:tc>
        <w:tc>
          <w:tcPr>
            <w:tcW w:w="4950" w:type="dxa"/>
            <w:gridSpan w:val="2"/>
            <w:tcBorders>
              <w:top w:val="single" w:sz="4" w:space="0" w:color="auto"/>
              <w:bottom w:val="single" w:sz="4" w:space="0" w:color="auto"/>
            </w:tcBorders>
          </w:tcPr>
          <w:p w:rsidR="00DF38CA" w:rsidRPr="0056293F" w:rsidRDefault="001E6F86" w:rsidP="004033A6">
            <w:pPr>
              <w:spacing w:after="0"/>
              <w:rPr>
                <w:rFonts w:asciiTheme="majorBidi" w:hAnsiTheme="majorBidi" w:cstheme="majorBidi"/>
              </w:rPr>
            </w:pPr>
            <w:r w:rsidRPr="0056293F">
              <w:rPr>
                <w:rFonts w:asciiTheme="majorBidi" w:hAnsiTheme="majorBidi" w:cstheme="majorBidi"/>
              </w:rPr>
              <w:t xml:space="preserve">Type </w:t>
            </w:r>
            <w:r w:rsidR="00DF38CA" w:rsidRPr="0056293F">
              <w:rPr>
                <w:rFonts w:asciiTheme="majorBidi" w:hAnsiTheme="majorBidi" w:cstheme="majorBidi"/>
              </w:rPr>
              <w:t xml:space="preserve">de </w:t>
            </w:r>
            <w:r w:rsidR="004033A6">
              <w:rPr>
                <w:rFonts w:asciiTheme="majorBidi" w:hAnsiTheme="majorBidi" w:cstheme="majorBidi"/>
              </w:rPr>
              <w:t>P</w:t>
            </w:r>
            <w:r w:rsidR="00DF38CA" w:rsidRPr="0056293F">
              <w:rPr>
                <w:rFonts w:asciiTheme="majorBidi" w:hAnsiTheme="majorBidi" w:cstheme="majorBidi"/>
              </w:rPr>
              <w:t xml:space="preserve">rêt: Prêt d’Investissement Spécifique </w:t>
            </w:r>
          </w:p>
          <w:p w:rsidR="00EE0432" w:rsidRPr="0056293F" w:rsidRDefault="00EE0432" w:rsidP="002A53D6">
            <w:pPr>
              <w:spacing w:after="0"/>
              <w:rPr>
                <w:rFonts w:asciiTheme="majorBidi" w:hAnsiTheme="majorBidi" w:cstheme="majorBidi"/>
              </w:rPr>
            </w:pPr>
          </w:p>
        </w:tc>
      </w:tr>
      <w:tr w:rsidR="00DF38CA" w:rsidRPr="0056293F" w:rsidTr="00EE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18" w:type="dxa"/>
            <w:gridSpan w:val="3"/>
            <w:tcBorders>
              <w:top w:val="single" w:sz="4" w:space="0" w:color="auto"/>
              <w:bottom w:val="single" w:sz="4" w:space="0" w:color="auto"/>
            </w:tcBorders>
          </w:tcPr>
          <w:p w:rsidR="00DF38CA" w:rsidRPr="0056293F" w:rsidRDefault="00DF38CA" w:rsidP="002A53D6">
            <w:pPr>
              <w:spacing w:after="0"/>
              <w:rPr>
                <w:rFonts w:asciiTheme="majorBidi" w:hAnsiTheme="majorBidi" w:cstheme="majorBidi"/>
              </w:rPr>
            </w:pPr>
            <w:r w:rsidRPr="0056293F">
              <w:rPr>
                <w:rFonts w:asciiTheme="majorBidi" w:hAnsiTheme="majorBidi" w:cstheme="majorBidi"/>
              </w:rPr>
              <w:t>Secteur : Autres Services Sociaux (60 %) ; Administration  publique générale (20%) ; Agriculture Générale, Pêches et Forets (10 %); Secteurs généraux de l’eau, de l’assainissement et de la protection contre les inondations (10%)</w:t>
            </w:r>
          </w:p>
        </w:tc>
      </w:tr>
      <w:tr w:rsidR="00DF38CA" w:rsidRPr="0056293F" w:rsidTr="00EE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18" w:type="dxa"/>
            <w:gridSpan w:val="3"/>
            <w:tcBorders>
              <w:top w:val="single" w:sz="4" w:space="0" w:color="auto"/>
              <w:bottom w:val="single" w:sz="4" w:space="0" w:color="auto"/>
            </w:tcBorders>
          </w:tcPr>
          <w:p w:rsidR="00EE0432" w:rsidRPr="0056293F" w:rsidRDefault="00DF38CA" w:rsidP="004033A6">
            <w:pPr>
              <w:spacing w:after="0"/>
              <w:rPr>
                <w:rFonts w:asciiTheme="majorBidi" w:hAnsiTheme="majorBidi" w:cstheme="majorBidi"/>
              </w:rPr>
            </w:pPr>
            <w:r w:rsidRPr="0056293F">
              <w:rPr>
                <w:rFonts w:asciiTheme="majorBidi" w:hAnsiTheme="majorBidi" w:cstheme="majorBidi"/>
              </w:rPr>
              <w:t>Thèmes: Participation et Engagement Civique</w:t>
            </w:r>
            <w:r w:rsidR="001E6F86" w:rsidRPr="0056293F">
              <w:rPr>
                <w:rFonts w:asciiTheme="majorBidi" w:hAnsiTheme="majorBidi" w:cstheme="majorBidi"/>
              </w:rPr>
              <w:t xml:space="preserve"> (23%)</w:t>
            </w:r>
            <w:r w:rsidRPr="0056293F">
              <w:rPr>
                <w:rFonts w:asciiTheme="majorBidi" w:hAnsiTheme="majorBidi" w:cstheme="majorBidi"/>
              </w:rPr>
              <w:t>; autres développements sociaux</w:t>
            </w:r>
            <w:r w:rsidR="001E6F86" w:rsidRPr="0056293F">
              <w:rPr>
                <w:rFonts w:asciiTheme="majorBidi" w:hAnsiTheme="majorBidi" w:cstheme="majorBidi"/>
              </w:rPr>
              <w:t xml:space="preserve"> (22%)</w:t>
            </w:r>
            <w:r w:rsidRPr="0056293F">
              <w:rPr>
                <w:rFonts w:asciiTheme="majorBidi" w:hAnsiTheme="majorBidi" w:cstheme="majorBidi"/>
              </w:rPr>
              <w:t>; Services Ruraux et Infrastructures</w:t>
            </w:r>
            <w:r w:rsidR="001E6F86" w:rsidRPr="0056293F">
              <w:rPr>
                <w:rFonts w:asciiTheme="majorBidi" w:hAnsiTheme="majorBidi" w:cstheme="majorBidi"/>
              </w:rPr>
              <w:t xml:space="preserve"> (22%)</w:t>
            </w:r>
            <w:r w:rsidRPr="0056293F">
              <w:rPr>
                <w:rFonts w:asciiTheme="majorBidi" w:hAnsiTheme="majorBidi" w:cstheme="majorBidi"/>
              </w:rPr>
              <w:t>; services urbains et logement pour les pauvres</w:t>
            </w:r>
            <w:r w:rsidR="001E6F86" w:rsidRPr="0056293F">
              <w:rPr>
                <w:rFonts w:asciiTheme="majorBidi" w:hAnsiTheme="majorBidi" w:cstheme="majorBidi"/>
              </w:rPr>
              <w:t xml:space="preserve"> (22%)</w:t>
            </w:r>
            <w:r w:rsidRPr="0056293F">
              <w:rPr>
                <w:rFonts w:asciiTheme="majorBidi" w:hAnsiTheme="majorBidi" w:cstheme="majorBidi"/>
              </w:rPr>
              <w:t>; évaluation de la vulnérabilité et suivi</w:t>
            </w:r>
            <w:r w:rsidR="001E6F86" w:rsidRPr="0056293F">
              <w:rPr>
                <w:rFonts w:asciiTheme="majorBidi" w:hAnsiTheme="majorBidi" w:cstheme="majorBidi"/>
              </w:rPr>
              <w:t xml:space="preserve"> (11%)</w:t>
            </w:r>
          </w:p>
        </w:tc>
      </w:tr>
      <w:tr w:rsidR="004033A6" w:rsidRPr="0056293F" w:rsidTr="00EE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18" w:type="dxa"/>
            <w:gridSpan w:val="3"/>
            <w:tcBorders>
              <w:top w:val="single" w:sz="4" w:space="0" w:color="auto"/>
              <w:bottom w:val="single" w:sz="4" w:space="0" w:color="auto"/>
            </w:tcBorders>
          </w:tcPr>
          <w:p w:rsidR="004033A6" w:rsidRPr="0056293F" w:rsidRDefault="004033A6" w:rsidP="004033A6">
            <w:pPr>
              <w:spacing w:after="0"/>
              <w:rPr>
                <w:rFonts w:asciiTheme="majorBidi" w:hAnsiTheme="majorBidi" w:cstheme="majorBidi"/>
              </w:rPr>
            </w:pPr>
            <w:r w:rsidRPr="0056293F">
              <w:rPr>
                <w:rFonts w:asciiTheme="majorBidi" w:hAnsiTheme="majorBidi" w:cstheme="majorBidi"/>
              </w:rPr>
              <w:t>Source de financement</w:t>
            </w:r>
            <w:r>
              <w:rPr>
                <w:rFonts w:asciiTheme="majorBidi" w:hAnsiTheme="majorBidi" w:cstheme="majorBidi"/>
              </w:rPr>
              <w:t xml:space="preserve"> (</w:t>
            </w:r>
            <w:proofErr w:type="spellStart"/>
            <w:r>
              <w:rPr>
                <w:rFonts w:asciiTheme="majorBidi" w:hAnsiTheme="majorBidi" w:cstheme="majorBidi"/>
              </w:rPr>
              <w:t>US$m</w:t>
            </w:r>
            <w:proofErr w:type="spellEnd"/>
            <w:r>
              <w:rPr>
                <w:rFonts w:asciiTheme="majorBidi" w:hAnsiTheme="majorBidi" w:cstheme="majorBidi"/>
              </w:rPr>
              <w:t>.)</w:t>
            </w:r>
          </w:p>
        </w:tc>
      </w:tr>
      <w:tr w:rsidR="00DF38CA" w:rsidRPr="0056293F" w:rsidTr="00EE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18" w:type="dxa"/>
            <w:gridSpan w:val="3"/>
            <w:tcBorders>
              <w:bottom w:val="nil"/>
            </w:tcBorders>
          </w:tcPr>
          <w:p w:rsidR="00DF38CA" w:rsidRPr="0056293F" w:rsidRDefault="0056293F" w:rsidP="004033A6">
            <w:pPr>
              <w:spacing w:after="0"/>
              <w:rPr>
                <w:rFonts w:asciiTheme="majorBidi" w:hAnsiTheme="majorBidi" w:cstheme="majorBidi"/>
              </w:rPr>
            </w:pPr>
            <w:r w:rsidRPr="0056293F">
              <w:rPr>
                <w:rFonts w:asciiTheme="majorBidi" w:hAnsiTheme="majorBidi" w:cstheme="majorBidi"/>
              </w:rPr>
              <w:t>Banque internationale pour la reconstruction et le développement</w:t>
            </w:r>
            <w:r w:rsidR="00DF38CA" w:rsidRPr="0056293F">
              <w:rPr>
                <w:rFonts w:asciiTheme="majorBidi" w:hAnsiTheme="majorBidi" w:cstheme="majorBidi"/>
              </w:rPr>
              <w:tab/>
            </w:r>
            <w:r w:rsidR="004033A6">
              <w:rPr>
                <w:rFonts w:asciiTheme="majorBidi" w:hAnsiTheme="majorBidi" w:cstheme="majorBidi"/>
              </w:rPr>
              <w:t xml:space="preserve">     </w:t>
            </w:r>
            <w:r w:rsidR="001B6553">
              <w:rPr>
                <w:rFonts w:asciiTheme="majorBidi" w:hAnsiTheme="majorBidi" w:cstheme="majorBidi"/>
              </w:rPr>
              <w:t xml:space="preserve">                                 </w:t>
            </w:r>
            <w:r w:rsidR="004033A6">
              <w:rPr>
                <w:rFonts w:asciiTheme="majorBidi" w:hAnsiTheme="majorBidi" w:cstheme="majorBidi"/>
              </w:rPr>
              <w:t xml:space="preserve">                     </w:t>
            </w:r>
            <w:r w:rsidR="001E6F86" w:rsidRPr="0056293F">
              <w:rPr>
                <w:rFonts w:asciiTheme="majorBidi" w:hAnsiTheme="majorBidi" w:cstheme="majorBidi"/>
              </w:rPr>
              <w:t>200,00</w:t>
            </w:r>
            <w:r w:rsidR="00DF38CA" w:rsidRPr="0056293F">
              <w:rPr>
                <w:rFonts w:asciiTheme="majorBidi" w:hAnsiTheme="majorBidi" w:cstheme="majorBidi"/>
              </w:rPr>
              <w:t xml:space="preserve"> </w:t>
            </w:r>
          </w:p>
          <w:p w:rsidR="00DF38CA" w:rsidRPr="0056293F" w:rsidRDefault="00DF38CA" w:rsidP="002A53D6">
            <w:pPr>
              <w:spacing w:after="0"/>
              <w:rPr>
                <w:rFonts w:asciiTheme="majorBidi" w:hAnsiTheme="majorBidi" w:cstheme="majorBidi"/>
              </w:rPr>
            </w:pPr>
          </w:p>
        </w:tc>
      </w:tr>
      <w:tr w:rsidR="00DF38CA" w:rsidRPr="0056293F" w:rsidTr="00EE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18" w:type="dxa"/>
            <w:gridSpan w:val="3"/>
            <w:tcBorders>
              <w:top w:val="nil"/>
              <w:left w:val="single" w:sz="4" w:space="0" w:color="auto"/>
            </w:tcBorders>
          </w:tcPr>
          <w:p w:rsidR="00DF38CA" w:rsidRPr="0056293F" w:rsidRDefault="0056293F" w:rsidP="001B6553">
            <w:pPr>
              <w:spacing w:after="0"/>
              <w:rPr>
                <w:rFonts w:asciiTheme="majorBidi" w:hAnsiTheme="majorBidi" w:cstheme="majorBidi"/>
              </w:rPr>
            </w:pPr>
            <w:r w:rsidRPr="0056293F">
              <w:rPr>
                <w:rFonts w:asciiTheme="majorBidi" w:hAnsiTheme="majorBidi" w:cstheme="majorBidi"/>
              </w:rPr>
              <w:t>Emprunteur</w:t>
            </w:r>
            <w:r w:rsidR="00EA4219">
              <w:rPr>
                <w:rFonts w:asciiTheme="majorBidi" w:hAnsiTheme="majorBidi" w:cstheme="majorBidi"/>
              </w:rPr>
              <w:t xml:space="preserve"> </w:t>
            </w:r>
            <w:r w:rsidR="004033A6">
              <w:rPr>
                <w:rFonts w:asciiTheme="majorBidi" w:hAnsiTheme="majorBidi" w:cstheme="majorBidi"/>
              </w:rPr>
              <w:t xml:space="preserve">                                                                                                </w:t>
            </w:r>
            <w:r w:rsidR="001B6553">
              <w:rPr>
                <w:rFonts w:asciiTheme="majorBidi" w:hAnsiTheme="majorBidi" w:cstheme="majorBidi"/>
              </w:rPr>
              <w:t xml:space="preserve">                                 </w:t>
            </w:r>
            <w:r w:rsidR="004033A6">
              <w:rPr>
                <w:rFonts w:asciiTheme="majorBidi" w:hAnsiTheme="majorBidi" w:cstheme="majorBidi"/>
              </w:rPr>
              <w:t xml:space="preserve">                  </w:t>
            </w:r>
            <w:r w:rsidR="00DF38CA" w:rsidRPr="0056293F">
              <w:rPr>
                <w:rFonts w:asciiTheme="majorBidi" w:hAnsiTheme="majorBidi" w:cstheme="majorBidi"/>
              </w:rPr>
              <w:t>1890</w:t>
            </w:r>
          </w:p>
        </w:tc>
      </w:tr>
      <w:tr w:rsidR="00DF38CA" w:rsidRPr="0056293F" w:rsidTr="00EE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18" w:type="dxa"/>
            <w:gridSpan w:val="3"/>
            <w:tcBorders>
              <w:top w:val="single" w:sz="4" w:space="0" w:color="auto"/>
              <w:bottom w:val="single" w:sz="4" w:space="0" w:color="auto"/>
            </w:tcBorders>
          </w:tcPr>
          <w:p w:rsidR="0056293F" w:rsidRDefault="0056293F" w:rsidP="001E6F86">
            <w:pPr>
              <w:spacing w:after="0"/>
              <w:rPr>
                <w:rFonts w:asciiTheme="majorBidi" w:hAnsiTheme="majorBidi" w:cstheme="majorBidi"/>
              </w:rPr>
            </w:pPr>
          </w:p>
          <w:p w:rsidR="00EE0432" w:rsidRPr="0056293F" w:rsidRDefault="001E6F86" w:rsidP="00EA4219">
            <w:pPr>
              <w:spacing w:after="0"/>
              <w:rPr>
                <w:rFonts w:asciiTheme="majorBidi" w:hAnsiTheme="majorBidi" w:cstheme="majorBidi"/>
              </w:rPr>
            </w:pPr>
            <w:r w:rsidRPr="0056293F">
              <w:rPr>
                <w:rFonts w:asciiTheme="majorBidi" w:hAnsiTheme="majorBidi" w:cstheme="majorBidi"/>
              </w:rPr>
              <w:t xml:space="preserve">Total                                                                                                         </w:t>
            </w:r>
            <w:r w:rsidR="001B6553">
              <w:rPr>
                <w:rFonts w:asciiTheme="majorBidi" w:hAnsiTheme="majorBidi" w:cstheme="majorBidi"/>
              </w:rPr>
              <w:t xml:space="preserve">                                 </w:t>
            </w:r>
            <w:r w:rsidRPr="0056293F">
              <w:rPr>
                <w:rFonts w:asciiTheme="majorBidi" w:hAnsiTheme="majorBidi" w:cstheme="majorBidi"/>
              </w:rPr>
              <w:t xml:space="preserve">                2090,00 </w:t>
            </w:r>
          </w:p>
        </w:tc>
      </w:tr>
      <w:tr w:rsidR="00DF38CA" w:rsidRPr="0056293F" w:rsidTr="00EE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68" w:type="dxa"/>
            <w:tcBorders>
              <w:top w:val="single" w:sz="4" w:space="0" w:color="auto"/>
              <w:bottom w:val="single" w:sz="4" w:space="0" w:color="auto"/>
              <w:right w:val="nil"/>
            </w:tcBorders>
          </w:tcPr>
          <w:p w:rsidR="00DF38CA" w:rsidRPr="0056293F" w:rsidRDefault="001E6F86" w:rsidP="001E6F86">
            <w:pPr>
              <w:spacing w:after="0"/>
              <w:rPr>
                <w:rFonts w:asciiTheme="majorBidi" w:hAnsiTheme="majorBidi" w:cstheme="majorBidi"/>
              </w:rPr>
            </w:pPr>
            <w:r w:rsidRPr="0056293F">
              <w:rPr>
                <w:rFonts w:asciiTheme="majorBidi" w:hAnsiTheme="majorBidi" w:cstheme="majorBidi"/>
              </w:rPr>
              <w:t>Catégorie environnementale: B -  Evaluation partielle</w:t>
            </w:r>
          </w:p>
        </w:tc>
        <w:tc>
          <w:tcPr>
            <w:tcW w:w="1980" w:type="dxa"/>
            <w:tcBorders>
              <w:top w:val="single" w:sz="4" w:space="0" w:color="auto"/>
              <w:left w:val="nil"/>
              <w:right w:val="nil"/>
            </w:tcBorders>
          </w:tcPr>
          <w:p w:rsidR="00DF38CA" w:rsidRPr="0056293F" w:rsidRDefault="00DF38CA" w:rsidP="002A53D6">
            <w:pPr>
              <w:spacing w:after="0"/>
              <w:rPr>
                <w:rFonts w:asciiTheme="majorBidi" w:hAnsiTheme="majorBidi" w:cstheme="majorBidi"/>
              </w:rPr>
            </w:pPr>
          </w:p>
        </w:tc>
        <w:tc>
          <w:tcPr>
            <w:tcW w:w="2970" w:type="dxa"/>
            <w:tcBorders>
              <w:top w:val="single" w:sz="4" w:space="0" w:color="auto"/>
              <w:left w:val="nil"/>
            </w:tcBorders>
          </w:tcPr>
          <w:p w:rsidR="00EE0432" w:rsidRPr="0056293F" w:rsidRDefault="00EE0432" w:rsidP="002A53D6">
            <w:pPr>
              <w:spacing w:after="0"/>
              <w:rPr>
                <w:rFonts w:asciiTheme="majorBidi" w:hAnsiTheme="majorBidi" w:cstheme="majorBidi"/>
              </w:rPr>
            </w:pPr>
          </w:p>
        </w:tc>
      </w:tr>
    </w:tbl>
    <w:p w:rsidR="001E6F86" w:rsidRDefault="001E6F86" w:rsidP="001E6F86">
      <w:pPr>
        <w:spacing w:after="0"/>
        <w:jc w:val="both"/>
        <w:rPr>
          <w:rFonts w:asciiTheme="majorBidi" w:hAnsiTheme="majorBidi" w:cstheme="majorBidi"/>
        </w:rPr>
      </w:pPr>
    </w:p>
    <w:p w:rsidR="001B6553" w:rsidRPr="0056293F" w:rsidRDefault="001B6553" w:rsidP="001E6F86">
      <w:pPr>
        <w:spacing w:after="0"/>
        <w:jc w:val="both"/>
        <w:rPr>
          <w:rFonts w:asciiTheme="majorBidi" w:hAnsiTheme="majorBidi" w:cstheme="majorBidi"/>
        </w:rPr>
      </w:pPr>
    </w:p>
    <w:p w:rsidR="00DF38CA" w:rsidRPr="0056293F" w:rsidRDefault="00EE0432" w:rsidP="002A53D6">
      <w:pPr>
        <w:spacing w:after="0"/>
        <w:rPr>
          <w:rFonts w:asciiTheme="majorBidi" w:hAnsiTheme="majorBidi" w:cstheme="majorBidi"/>
          <w:b/>
          <w:bCs/>
        </w:rPr>
      </w:pPr>
      <w:r w:rsidRPr="0056293F">
        <w:rPr>
          <w:rFonts w:asciiTheme="majorBidi" w:hAnsiTheme="majorBidi" w:cstheme="majorBidi"/>
          <w:b/>
          <w:bCs/>
        </w:rPr>
        <w:t>B</w:t>
      </w:r>
      <w:r w:rsidR="00DF38CA" w:rsidRPr="0056293F">
        <w:rPr>
          <w:rFonts w:asciiTheme="majorBidi" w:hAnsiTheme="majorBidi" w:cstheme="majorBidi"/>
          <w:b/>
          <w:bCs/>
        </w:rPr>
        <w:t xml:space="preserve">. </w:t>
      </w:r>
      <w:r w:rsidR="001B6553">
        <w:rPr>
          <w:rFonts w:asciiTheme="majorBidi" w:hAnsiTheme="majorBidi" w:cstheme="majorBidi"/>
          <w:b/>
          <w:bCs/>
        </w:rPr>
        <w:tab/>
      </w:r>
      <w:r w:rsidR="00DF38CA" w:rsidRPr="0056293F">
        <w:rPr>
          <w:rFonts w:asciiTheme="majorBidi" w:hAnsiTheme="majorBidi" w:cstheme="majorBidi"/>
          <w:b/>
          <w:bCs/>
        </w:rPr>
        <w:t>Objectif</w:t>
      </w:r>
      <w:r w:rsidR="00F4668A" w:rsidRPr="0056293F">
        <w:rPr>
          <w:rFonts w:asciiTheme="majorBidi" w:hAnsiTheme="majorBidi" w:cstheme="majorBidi"/>
          <w:b/>
          <w:bCs/>
        </w:rPr>
        <w:t>s</w:t>
      </w:r>
      <w:r w:rsidR="00DF38CA" w:rsidRPr="0056293F">
        <w:rPr>
          <w:rFonts w:asciiTheme="majorBidi" w:hAnsiTheme="majorBidi" w:cstheme="majorBidi"/>
          <w:b/>
          <w:bCs/>
        </w:rPr>
        <w:t xml:space="preserve"> du Projet </w:t>
      </w:r>
    </w:p>
    <w:p w:rsidR="00F4668A" w:rsidRPr="0056293F" w:rsidRDefault="00F4668A" w:rsidP="002A53D6">
      <w:pPr>
        <w:spacing w:after="0"/>
        <w:rPr>
          <w:rFonts w:asciiTheme="majorBidi" w:hAnsiTheme="majorBidi" w:cstheme="majorBidi"/>
          <w:b/>
          <w:bCs/>
        </w:rPr>
      </w:pPr>
    </w:p>
    <w:p w:rsidR="00DF38CA" w:rsidRPr="0056293F" w:rsidRDefault="00DF38CA" w:rsidP="00F4668A">
      <w:pPr>
        <w:spacing w:after="0"/>
        <w:ind w:right="-810"/>
        <w:jc w:val="both"/>
        <w:rPr>
          <w:rFonts w:asciiTheme="majorBidi" w:hAnsiTheme="majorBidi" w:cstheme="majorBidi"/>
        </w:rPr>
      </w:pPr>
      <w:bookmarkStart w:id="0" w:name="ISDS_DOTEXT"/>
      <w:r w:rsidRPr="0056293F">
        <w:rPr>
          <w:rFonts w:asciiTheme="majorBidi" w:hAnsiTheme="majorBidi" w:cstheme="majorBidi"/>
        </w:rPr>
        <w:t>L’objectif de développement de l’opération est d’aider les groupes cibles de l’INDH à bénéficier d’un meilleur accès aux et une utilisation accrue des mécanismes participatifs de la gouvernance locale,</w:t>
      </w:r>
      <w:r w:rsidR="00F4668A" w:rsidRPr="0056293F">
        <w:rPr>
          <w:rFonts w:asciiTheme="majorBidi" w:hAnsiTheme="majorBidi" w:cstheme="majorBidi"/>
        </w:rPr>
        <w:t xml:space="preserve"> aux infrastructures de base, </w:t>
      </w:r>
      <w:r w:rsidRPr="0056293F">
        <w:rPr>
          <w:rFonts w:asciiTheme="majorBidi" w:hAnsiTheme="majorBidi" w:cstheme="majorBidi"/>
        </w:rPr>
        <w:t xml:space="preserve">aux services sociaux et aux opportunités économiques.   </w:t>
      </w:r>
    </w:p>
    <w:p w:rsidR="00DF38CA" w:rsidRPr="0056293F" w:rsidRDefault="00DF38CA" w:rsidP="00EE0432">
      <w:pPr>
        <w:spacing w:after="0"/>
        <w:ind w:right="-810"/>
        <w:jc w:val="both"/>
        <w:rPr>
          <w:rFonts w:asciiTheme="majorBidi" w:hAnsiTheme="majorBidi" w:cstheme="majorBidi"/>
        </w:rPr>
      </w:pPr>
    </w:p>
    <w:bookmarkEnd w:id="0"/>
    <w:p w:rsidR="00DF38CA" w:rsidRPr="0056293F" w:rsidRDefault="00F4668A" w:rsidP="00EE0432">
      <w:pPr>
        <w:spacing w:after="0"/>
        <w:ind w:right="-810"/>
        <w:jc w:val="both"/>
        <w:rPr>
          <w:rFonts w:asciiTheme="majorBidi" w:hAnsiTheme="majorBidi" w:cstheme="majorBidi"/>
          <w:b/>
          <w:bCs/>
        </w:rPr>
      </w:pPr>
      <w:r w:rsidRPr="0056293F">
        <w:rPr>
          <w:rFonts w:asciiTheme="majorBidi" w:hAnsiTheme="majorBidi" w:cstheme="majorBidi"/>
          <w:b/>
          <w:bCs/>
        </w:rPr>
        <w:t>C</w:t>
      </w:r>
      <w:r w:rsidR="00DF38CA" w:rsidRPr="0056293F">
        <w:rPr>
          <w:rFonts w:asciiTheme="majorBidi" w:hAnsiTheme="majorBidi" w:cstheme="majorBidi"/>
          <w:b/>
          <w:bCs/>
        </w:rPr>
        <w:t xml:space="preserve">. </w:t>
      </w:r>
      <w:r w:rsidR="001B6553">
        <w:rPr>
          <w:rFonts w:asciiTheme="majorBidi" w:hAnsiTheme="majorBidi" w:cstheme="majorBidi"/>
          <w:b/>
          <w:bCs/>
        </w:rPr>
        <w:tab/>
      </w:r>
      <w:r w:rsidR="00DF38CA" w:rsidRPr="0056293F">
        <w:rPr>
          <w:rFonts w:asciiTheme="majorBidi" w:hAnsiTheme="majorBidi" w:cstheme="majorBidi"/>
          <w:b/>
          <w:bCs/>
        </w:rPr>
        <w:t xml:space="preserve">Description du Projet </w:t>
      </w:r>
    </w:p>
    <w:p w:rsidR="00F4668A" w:rsidRPr="0056293F" w:rsidRDefault="00F4668A" w:rsidP="00EE0432">
      <w:pPr>
        <w:spacing w:after="0"/>
        <w:ind w:right="-810"/>
        <w:jc w:val="both"/>
        <w:rPr>
          <w:rFonts w:asciiTheme="majorBidi" w:hAnsiTheme="majorBidi" w:cstheme="majorBidi"/>
          <w:b/>
          <w:bCs/>
        </w:rPr>
      </w:pPr>
    </w:p>
    <w:p w:rsidR="009D39AE" w:rsidRDefault="00DF38CA" w:rsidP="009D39AE">
      <w:pPr>
        <w:spacing w:after="0"/>
        <w:ind w:right="-810"/>
        <w:jc w:val="both"/>
        <w:rPr>
          <w:rFonts w:asciiTheme="majorBidi" w:hAnsiTheme="majorBidi" w:cstheme="majorBidi"/>
        </w:rPr>
      </w:pPr>
      <w:bookmarkStart w:id="1" w:name="ISDS_PROJDESC_TEXT"/>
      <w:r w:rsidRPr="0056293F">
        <w:rPr>
          <w:rFonts w:asciiTheme="majorBidi" w:hAnsiTheme="majorBidi" w:cstheme="majorBidi"/>
        </w:rPr>
        <w:t>L’Initiative Nationale pour le Développement Humain 2 (INDH2) compte</w:t>
      </w:r>
      <w:r w:rsidR="00EE0432" w:rsidRPr="0056293F">
        <w:rPr>
          <w:rFonts w:asciiTheme="majorBidi" w:hAnsiTheme="majorBidi" w:cstheme="majorBidi"/>
        </w:rPr>
        <w:t xml:space="preserve"> cinq sous-programmes, comprenant</w:t>
      </w:r>
      <w:r w:rsidRPr="0056293F">
        <w:rPr>
          <w:rFonts w:asciiTheme="majorBidi" w:hAnsiTheme="majorBidi" w:cstheme="majorBidi"/>
        </w:rPr>
        <w:t>: (1) le Sous-programme Rural</w:t>
      </w:r>
      <w:r w:rsidRPr="0056293F">
        <w:rPr>
          <w:rFonts w:asciiTheme="majorBidi" w:hAnsiTheme="majorBidi" w:cstheme="majorBidi"/>
          <w:b/>
          <w:bCs/>
        </w:rPr>
        <w:t xml:space="preserve"> (</w:t>
      </w:r>
      <w:r w:rsidRPr="0056293F">
        <w:rPr>
          <w:rFonts w:asciiTheme="majorBidi" w:hAnsiTheme="majorBidi" w:cstheme="majorBidi"/>
        </w:rPr>
        <w:t xml:space="preserve">US$374 millions) ; (2) le Sous-programme Urbain (US$410 millions) ; (3) le Sous-programme Transversal </w:t>
      </w:r>
      <w:r w:rsidRPr="0056293F">
        <w:rPr>
          <w:rFonts w:asciiTheme="majorBidi" w:hAnsiTheme="majorBidi" w:cstheme="majorBidi"/>
          <w:b/>
          <w:bCs/>
        </w:rPr>
        <w:t>(</w:t>
      </w:r>
      <w:r w:rsidRPr="0056293F">
        <w:rPr>
          <w:rFonts w:asciiTheme="majorBidi" w:hAnsiTheme="majorBidi" w:cstheme="majorBidi"/>
        </w:rPr>
        <w:t xml:space="preserve">US$331 millions) ; (4)  le </w:t>
      </w:r>
      <w:r w:rsidRPr="0056293F">
        <w:rPr>
          <w:rFonts w:asciiTheme="majorBidi" w:hAnsiTheme="majorBidi" w:cstheme="majorBidi"/>
          <w:bCs/>
        </w:rPr>
        <w:t>Sous-programme Précarité</w:t>
      </w:r>
      <w:r w:rsidRPr="0056293F">
        <w:rPr>
          <w:rFonts w:asciiTheme="majorBidi" w:hAnsiTheme="majorBidi" w:cstheme="majorBidi"/>
          <w:b/>
        </w:rPr>
        <w:t xml:space="preserve"> </w:t>
      </w:r>
      <w:r w:rsidRPr="0056293F">
        <w:rPr>
          <w:rFonts w:asciiTheme="majorBidi" w:hAnsiTheme="majorBidi" w:cstheme="majorBidi"/>
          <w:b/>
          <w:bCs/>
        </w:rPr>
        <w:t>(</w:t>
      </w:r>
      <w:r w:rsidRPr="0056293F">
        <w:rPr>
          <w:rFonts w:asciiTheme="majorBidi" w:hAnsiTheme="majorBidi" w:cstheme="majorBidi"/>
        </w:rPr>
        <w:t>US$168 millions) et (5) Sous-programme Mise à Niveau</w:t>
      </w:r>
      <w:r w:rsidR="009D39AE">
        <w:rPr>
          <w:rFonts w:asciiTheme="majorBidi" w:hAnsiTheme="majorBidi" w:cstheme="majorBidi"/>
        </w:rPr>
        <w:t xml:space="preserve"> Territoriale (US$602 millions).</w:t>
      </w:r>
    </w:p>
    <w:p w:rsidR="009D39AE" w:rsidRDefault="009D39AE" w:rsidP="009D39AE">
      <w:pPr>
        <w:spacing w:after="0"/>
        <w:ind w:right="-810"/>
        <w:jc w:val="both"/>
        <w:rPr>
          <w:rFonts w:asciiTheme="majorBidi" w:hAnsiTheme="majorBidi" w:cstheme="majorBidi"/>
        </w:rPr>
      </w:pPr>
    </w:p>
    <w:p w:rsidR="00DF38CA" w:rsidRDefault="00DF38CA" w:rsidP="009D39AE">
      <w:pPr>
        <w:spacing w:after="0"/>
        <w:ind w:right="-810"/>
        <w:jc w:val="both"/>
        <w:rPr>
          <w:rFonts w:asciiTheme="majorBidi" w:hAnsiTheme="majorBidi" w:cstheme="majorBidi"/>
        </w:rPr>
      </w:pPr>
      <w:r w:rsidRPr="0056293F">
        <w:rPr>
          <w:rFonts w:asciiTheme="majorBidi" w:hAnsiTheme="majorBidi" w:cstheme="majorBidi"/>
        </w:rPr>
        <w:t>L’engagement de la Banque sera centré sur les activités liées aux trois sous-programmes suivants : (1) le Sous-programme Rural ; (2) le Sous-programme Urbain et (3)</w:t>
      </w:r>
      <w:r w:rsidR="00EE0432" w:rsidRPr="0056293F">
        <w:rPr>
          <w:rFonts w:asciiTheme="majorBidi" w:hAnsiTheme="majorBidi" w:cstheme="majorBidi"/>
        </w:rPr>
        <w:t xml:space="preserve"> le Sous-programme Transversal.</w:t>
      </w:r>
      <w:r w:rsidRPr="0056293F">
        <w:rPr>
          <w:rFonts w:asciiTheme="majorBidi" w:hAnsiTheme="majorBidi" w:cstheme="majorBidi"/>
        </w:rPr>
        <w:t xml:space="preserve"> Les activités financées par la Banque comprennent les quatre composantes suivantes : </w:t>
      </w:r>
    </w:p>
    <w:p w:rsidR="001B6553" w:rsidRPr="0056293F" w:rsidRDefault="001B6553" w:rsidP="009D39AE">
      <w:pPr>
        <w:spacing w:after="0"/>
        <w:ind w:right="-810"/>
        <w:jc w:val="both"/>
        <w:rPr>
          <w:rFonts w:asciiTheme="majorBidi" w:hAnsiTheme="majorBidi" w:cstheme="majorBidi"/>
        </w:rPr>
      </w:pPr>
    </w:p>
    <w:p w:rsidR="00DF38CA" w:rsidRPr="0056293F" w:rsidRDefault="00DF38CA" w:rsidP="001E6F86">
      <w:pPr>
        <w:numPr>
          <w:ilvl w:val="0"/>
          <w:numId w:val="3"/>
        </w:numPr>
        <w:spacing w:after="0"/>
        <w:ind w:hanging="720"/>
        <w:jc w:val="both"/>
        <w:rPr>
          <w:rFonts w:asciiTheme="majorBidi" w:hAnsiTheme="majorBidi" w:cstheme="majorBidi"/>
        </w:rPr>
      </w:pPr>
      <w:r w:rsidRPr="0056293F">
        <w:rPr>
          <w:rFonts w:asciiTheme="majorBidi" w:hAnsiTheme="majorBidi" w:cstheme="majorBidi"/>
          <w:bCs/>
        </w:rPr>
        <w:lastRenderedPageBreak/>
        <w:t>Amélioration de l’</w:t>
      </w:r>
      <w:r w:rsidR="001E6F86" w:rsidRPr="0056293F">
        <w:rPr>
          <w:rFonts w:asciiTheme="majorBidi" w:hAnsiTheme="majorBidi" w:cstheme="majorBidi"/>
          <w:bCs/>
        </w:rPr>
        <w:t>a</w:t>
      </w:r>
      <w:r w:rsidRPr="0056293F">
        <w:rPr>
          <w:rFonts w:asciiTheme="majorBidi" w:hAnsiTheme="majorBidi" w:cstheme="majorBidi"/>
          <w:bCs/>
        </w:rPr>
        <w:t xml:space="preserve">ccès aux et de la </w:t>
      </w:r>
      <w:r w:rsidR="001E6F86" w:rsidRPr="0056293F">
        <w:rPr>
          <w:rFonts w:asciiTheme="majorBidi" w:hAnsiTheme="majorBidi" w:cstheme="majorBidi"/>
          <w:bCs/>
        </w:rPr>
        <w:t>q</w:t>
      </w:r>
      <w:r w:rsidRPr="0056293F">
        <w:rPr>
          <w:rFonts w:asciiTheme="majorBidi" w:hAnsiTheme="majorBidi" w:cstheme="majorBidi"/>
          <w:bCs/>
        </w:rPr>
        <w:t xml:space="preserve">ualité des </w:t>
      </w:r>
      <w:r w:rsidR="001E6F86" w:rsidRPr="0056293F">
        <w:rPr>
          <w:rFonts w:asciiTheme="majorBidi" w:hAnsiTheme="majorBidi" w:cstheme="majorBidi"/>
          <w:bCs/>
        </w:rPr>
        <w:t>p</w:t>
      </w:r>
      <w:r w:rsidRPr="0056293F">
        <w:rPr>
          <w:rFonts w:asciiTheme="majorBidi" w:hAnsiTheme="majorBidi" w:cstheme="majorBidi"/>
          <w:bCs/>
        </w:rPr>
        <w:t xml:space="preserve">restations de </w:t>
      </w:r>
      <w:r w:rsidR="001E6F86" w:rsidRPr="0056293F">
        <w:rPr>
          <w:rFonts w:asciiTheme="majorBidi" w:hAnsiTheme="majorBidi" w:cstheme="majorBidi"/>
          <w:bCs/>
        </w:rPr>
        <w:t>s</w:t>
      </w:r>
      <w:r w:rsidRPr="0056293F">
        <w:rPr>
          <w:rFonts w:asciiTheme="majorBidi" w:hAnsiTheme="majorBidi" w:cstheme="majorBidi"/>
          <w:bCs/>
        </w:rPr>
        <w:t>ervices.  L’appui dans</w:t>
      </w:r>
      <w:r w:rsidRPr="0056293F">
        <w:rPr>
          <w:rFonts w:asciiTheme="majorBidi" w:hAnsiTheme="majorBidi" w:cstheme="majorBidi"/>
        </w:rPr>
        <w:t xml:space="preserve"> ce domaine sera orienté de manière à : </w:t>
      </w:r>
    </w:p>
    <w:p w:rsidR="007A4093" w:rsidRPr="0056293F" w:rsidRDefault="00DF38CA" w:rsidP="007A4093">
      <w:pPr>
        <w:pStyle w:val="ListParagraph"/>
        <w:numPr>
          <w:ilvl w:val="0"/>
          <w:numId w:val="9"/>
        </w:numPr>
        <w:jc w:val="both"/>
        <w:rPr>
          <w:rFonts w:asciiTheme="majorBidi" w:hAnsiTheme="majorBidi" w:cstheme="majorBidi"/>
          <w:sz w:val="22"/>
          <w:szCs w:val="22"/>
        </w:rPr>
      </w:pPr>
      <w:r w:rsidRPr="0056293F">
        <w:rPr>
          <w:rFonts w:asciiTheme="majorBidi" w:hAnsiTheme="majorBidi" w:cstheme="majorBidi"/>
          <w:sz w:val="22"/>
          <w:szCs w:val="22"/>
        </w:rPr>
        <w:t>S’assurer que les ministères sectoriels son</w:t>
      </w:r>
      <w:r w:rsidR="001E6F86" w:rsidRPr="0056293F">
        <w:rPr>
          <w:rFonts w:asciiTheme="majorBidi" w:hAnsiTheme="majorBidi" w:cstheme="majorBidi"/>
          <w:sz w:val="22"/>
          <w:szCs w:val="22"/>
        </w:rPr>
        <w:t xml:space="preserve">t préparés pour la fourniture </w:t>
      </w:r>
      <w:r w:rsidRPr="0056293F">
        <w:rPr>
          <w:rFonts w:asciiTheme="majorBidi" w:hAnsiTheme="majorBidi" w:cstheme="majorBidi"/>
          <w:sz w:val="22"/>
          <w:szCs w:val="22"/>
        </w:rPr>
        <w:t>d’intrants complémentaires (coûts de personnel, d’équipement et d’entretien) et le financement conjoint des investissements de l’INDH, afi</w:t>
      </w:r>
      <w:r w:rsidR="001E6F86" w:rsidRPr="0056293F">
        <w:rPr>
          <w:rFonts w:asciiTheme="majorBidi" w:hAnsiTheme="majorBidi" w:cstheme="majorBidi"/>
          <w:sz w:val="22"/>
          <w:szCs w:val="22"/>
        </w:rPr>
        <w:t>n d’en accroître la durabilité ;</w:t>
      </w:r>
    </w:p>
    <w:p w:rsidR="00DF38CA" w:rsidRPr="0056293F" w:rsidRDefault="001E6F86" w:rsidP="007A4093">
      <w:pPr>
        <w:pStyle w:val="ListParagraph"/>
        <w:numPr>
          <w:ilvl w:val="0"/>
          <w:numId w:val="9"/>
        </w:numPr>
        <w:jc w:val="both"/>
        <w:rPr>
          <w:rFonts w:asciiTheme="majorBidi" w:hAnsiTheme="majorBidi" w:cstheme="majorBidi"/>
          <w:sz w:val="22"/>
          <w:szCs w:val="22"/>
        </w:rPr>
      </w:pPr>
      <w:r w:rsidRPr="0056293F">
        <w:rPr>
          <w:rFonts w:asciiTheme="majorBidi" w:hAnsiTheme="majorBidi" w:cstheme="majorBidi"/>
          <w:sz w:val="22"/>
          <w:szCs w:val="22"/>
        </w:rPr>
        <w:t>O</w:t>
      </w:r>
      <w:r w:rsidR="00DF38CA" w:rsidRPr="0056293F">
        <w:rPr>
          <w:rFonts w:asciiTheme="majorBidi" w:hAnsiTheme="majorBidi" w:cstheme="majorBidi"/>
          <w:sz w:val="22"/>
          <w:szCs w:val="22"/>
        </w:rPr>
        <w:t>rienter les systèmes de planification, et de suivi et évaluation (S&amp;E) de l’INDH pour assurer un meilleur suivi des extrants et pour se concentrer davantage sur les résultats effectifs (par ex. les taux d’utilisation, les taux d’inscription, etc.) ;</w:t>
      </w:r>
    </w:p>
    <w:p w:rsidR="00DF38CA" w:rsidRPr="0056293F" w:rsidRDefault="00DF38CA" w:rsidP="007A4093">
      <w:pPr>
        <w:pStyle w:val="ListParagraph"/>
        <w:numPr>
          <w:ilvl w:val="0"/>
          <w:numId w:val="9"/>
        </w:numPr>
        <w:jc w:val="both"/>
        <w:rPr>
          <w:rFonts w:asciiTheme="majorBidi" w:hAnsiTheme="majorBidi" w:cstheme="majorBidi"/>
          <w:sz w:val="22"/>
          <w:szCs w:val="22"/>
        </w:rPr>
      </w:pPr>
      <w:r w:rsidRPr="0056293F">
        <w:rPr>
          <w:rFonts w:asciiTheme="majorBidi" w:hAnsiTheme="majorBidi" w:cstheme="majorBidi"/>
          <w:sz w:val="22"/>
          <w:szCs w:val="22"/>
        </w:rPr>
        <w:t>Accroître le rendement des projets d’infrastructures de base de l’INDH à travers l’établissement de systèmes pour le contrôle technique de la qualité et pour l’</w:t>
      </w:r>
      <w:r w:rsidR="001E6F86" w:rsidRPr="0056293F">
        <w:rPr>
          <w:rFonts w:asciiTheme="majorBidi" w:hAnsiTheme="majorBidi" w:cstheme="majorBidi"/>
          <w:sz w:val="22"/>
          <w:szCs w:val="22"/>
        </w:rPr>
        <w:t>e</w:t>
      </w:r>
      <w:r w:rsidRPr="0056293F">
        <w:rPr>
          <w:rFonts w:asciiTheme="majorBidi" w:hAnsiTheme="majorBidi" w:cstheme="majorBidi"/>
          <w:sz w:val="22"/>
          <w:szCs w:val="22"/>
        </w:rPr>
        <w:t>xploitation et la maintenance (E&amp;M) normalisé</w:t>
      </w:r>
      <w:r w:rsidR="007A4093" w:rsidRPr="0056293F">
        <w:rPr>
          <w:rFonts w:asciiTheme="majorBidi" w:hAnsiTheme="majorBidi" w:cstheme="majorBidi"/>
          <w:sz w:val="22"/>
          <w:szCs w:val="22"/>
        </w:rPr>
        <w:t>e</w:t>
      </w:r>
      <w:r w:rsidRPr="0056293F">
        <w:rPr>
          <w:rFonts w:asciiTheme="majorBidi" w:hAnsiTheme="majorBidi" w:cstheme="majorBidi"/>
          <w:sz w:val="22"/>
          <w:szCs w:val="22"/>
        </w:rPr>
        <w:t>s, et ;</w:t>
      </w:r>
    </w:p>
    <w:p w:rsidR="00DF38CA" w:rsidRPr="0056293F" w:rsidRDefault="00DF38CA" w:rsidP="007A4093">
      <w:pPr>
        <w:pStyle w:val="ListParagraph"/>
        <w:numPr>
          <w:ilvl w:val="0"/>
          <w:numId w:val="9"/>
        </w:numPr>
        <w:jc w:val="both"/>
        <w:rPr>
          <w:rFonts w:asciiTheme="majorBidi" w:hAnsiTheme="majorBidi" w:cstheme="majorBidi"/>
          <w:sz w:val="22"/>
          <w:szCs w:val="22"/>
        </w:rPr>
      </w:pPr>
      <w:r w:rsidRPr="0056293F">
        <w:rPr>
          <w:rFonts w:asciiTheme="majorBidi" w:hAnsiTheme="majorBidi" w:cstheme="majorBidi"/>
          <w:sz w:val="22"/>
          <w:szCs w:val="22"/>
        </w:rPr>
        <w:t>Veiller à ce que les groupes cibles prioritaires de l’INDH (à savoir les femmes, les jeunes, etc.) bénéficient de manière suffisante des sous-projets de l’INDH</w:t>
      </w:r>
      <w:r w:rsidR="007A4093" w:rsidRPr="0056293F">
        <w:rPr>
          <w:rFonts w:asciiTheme="majorBidi" w:hAnsiTheme="majorBidi" w:cstheme="majorBidi"/>
          <w:sz w:val="22"/>
          <w:szCs w:val="22"/>
        </w:rPr>
        <w:t>.</w:t>
      </w:r>
    </w:p>
    <w:p w:rsidR="00DF38CA" w:rsidRPr="0056293F" w:rsidRDefault="00DF38CA" w:rsidP="001E6F86">
      <w:pPr>
        <w:spacing w:after="0"/>
        <w:ind w:left="720"/>
        <w:jc w:val="both"/>
        <w:rPr>
          <w:rFonts w:asciiTheme="majorBidi" w:hAnsiTheme="majorBidi" w:cstheme="majorBidi"/>
        </w:rPr>
      </w:pPr>
    </w:p>
    <w:p w:rsidR="00DF38CA" w:rsidRPr="0056293F" w:rsidRDefault="00DF38CA" w:rsidP="007A4093">
      <w:pPr>
        <w:numPr>
          <w:ilvl w:val="0"/>
          <w:numId w:val="3"/>
        </w:numPr>
        <w:spacing w:after="0"/>
        <w:ind w:hanging="720"/>
        <w:jc w:val="both"/>
        <w:rPr>
          <w:rFonts w:asciiTheme="majorBidi" w:hAnsiTheme="majorBidi" w:cstheme="majorBidi"/>
        </w:rPr>
      </w:pPr>
      <w:r w:rsidRPr="0056293F">
        <w:rPr>
          <w:rFonts w:asciiTheme="majorBidi" w:hAnsiTheme="majorBidi" w:cstheme="majorBidi"/>
          <w:bCs/>
        </w:rPr>
        <w:t xml:space="preserve">Renforcer la </w:t>
      </w:r>
      <w:r w:rsidR="007A4093" w:rsidRPr="0056293F">
        <w:rPr>
          <w:rFonts w:asciiTheme="majorBidi" w:hAnsiTheme="majorBidi" w:cstheme="majorBidi"/>
          <w:bCs/>
        </w:rPr>
        <w:t>g</w:t>
      </w:r>
      <w:r w:rsidRPr="0056293F">
        <w:rPr>
          <w:rFonts w:asciiTheme="majorBidi" w:hAnsiTheme="majorBidi" w:cstheme="majorBidi"/>
          <w:bCs/>
        </w:rPr>
        <w:t xml:space="preserve">ouvernance </w:t>
      </w:r>
      <w:r w:rsidR="007A4093" w:rsidRPr="0056293F">
        <w:rPr>
          <w:rFonts w:asciiTheme="majorBidi" w:hAnsiTheme="majorBidi" w:cstheme="majorBidi"/>
          <w:bCs/>
        </w:rPr>
        <w:t>l</w:t>
      </w:r>
      <w:r w:rsidRPr="0056293F">
        <w:rPr>
          <w:rFonts w:asciiTheme="majorBidi" w:hAnsiTheme="majorBidi" w:cstheme="majorBidi"/>
          <w:bCs/>
        </w:rPr>
        <w:t xml:space="preserve">ocale </w:t>
      </w:r>
      <w:r w:rsidR="007A4093" w:rsidRPr="0056293F">
        <w:rPr>
          <w:rFonts w:asciiTheme="majorBidi" w:hAnsiTheme="majorBidi" w:cstheme="majorBidi"/>
          <w:bCs/>
        </w:rPr>
        <w:t>p</w:t>
      </w:r>
      <w:r w:rsidRPr="0056293F">
        <w:rPr>
          <w:rFonts w:asciiTheme="majorBidi" w:hAnsiTheme="majorBidi" w:cstheme="majorBidi"/>
          <w:bCs/>
        </w:rPr>
        <w:t xml:space="preserve">articipative et la </w:t>
      </w:r>
      <w:r w:rsidR="007A4093" w:rsidRPr="0056293F">
        <w:rPr>
          <w:rFonts w:asciiTheme="majorBidi" w:hAnsiTheme="majorBidi" w:cstheme="majorBidi"/>
          <w:bCs/>
        </w:rPr>
        <w:t>r</w:t>
      </w:r>
      <w:r w:rsidRPr="0056293F">
        <w:rPr>
          <w:rFonts w:asciiTheme="majorBidi" w:hAnsiTheme="majorBidi" w:cstheme="majorBidi"/>
          <w:bCs/>
        </w:rPr>
        <w:t xml:space="preserve">esponsabilité </w:t>
      </w:r>
      <w:r w:rsidR="007A4093" w:rsidRPr="0056293F">
        <w:rPr>
          <w:rFonts w:asciiTheme="majorBidi" w:hAnsiTheme="majorBidi" w:cstheme="majorBidi"/>
          <w:bCs/>
        </w:rPr>
        <w:t>s</w:t>
      </w:r>
      <w:r w:rsidRPr="0056293F">
        <w:rPr>
          <w:rFonts w:asciiTheme="majorBidi" w:hAnsiTheme="majorBidi" w:cstheme="majorBidi"/>
          <w:bCs/>
        </w:rPr>
        <w:t>ociale</w:t>
      </w:r>
      <w:r w:rsidR="007A4093" w:rsidRPr="0056293F">
        <w:rPr>
          <w:rFonts w:asciiTheme="majorBidi" w:hAnsiTheme="majorBidi" w:cstheme="majorBidi"/>
          <w:bCs/>
        </w:rPr>
        <w:t xml:space="preserve">. </w:t>
      </w:r>
      <w:r w:rsidRPr="0056293F">
        <w:rPr>
          <w:rFonts w:asciiTheme="majorBidi" w:hAnsiTheme="majorBidi" w:cstheme="majorBidi"/>
          <w:bCs/>
        </w:rPr>
        <w:t>Appuyer</w:t>
      </w:r>
      <w:r w:rsidRPr="0056293F">
        <w:rPr>
          <w:rFonts w:asciiTheme="majorBidi" w:hAnsiTheme="majorBidi" w:cstheme="majorBidi"/>
        </w:rPr>
        <w:t xml:space="preserve"> les actions destinées à autonomiser les communautés ciblées par l’INDH et consolider la responsabilité sociale à travers : </w:t>
      </w:r>
    </w:p>
    <w:p w:rsidR="00DF38CA" w:rsidRPr="0056293F" w:rsidRDefault="007A4093" w:rsidP="007A4093">
      <w:pPr>
        <w:pStyle w:val="ListParagraph"/>
        <w:numPr>
          <w:ilvl w:val="1"/>
          <w:numId w:val="10"/>
        </w:numPr>
        <w:jc w:val="both"/>
        <w:rPr>
          <w:rFonts w:asciiTheme="majorBidi" w:eastAsiaTheme="minorHAnsi" w:hAnsiTheme="majorBidi" w:cstheme="majorBidi"/>
          <w:sz w:val="22"/>
          <w:szCs w:val="22"/>
        </w:rPr>
      </w:pPr>
      <w:r w:rsidRPr="0056293F">
        <w:rPr>
          <w:rFonts w:asciiTheme="majorBidi" w:eastAsiaTheme="minorHAnsi" w:hAnsiTheme="majorBidi" w:cstheme="majorBidi"/>
          <w:sz w:val="22"/>
          <w:szCs w:val="22"/>
        </w:rPr>
        <w:t>La</w:t>
      </w:r>
      <w:r w:rsidR="00DF38CA" w:rsidRPr="0056293F">
        <w:rPr>
          <w:rFonts w:asciiTheme="majorBidi" w:eastAsiaTheme="minorHAnsi" w:hAnsiTheme="majorBidi" w:cstheme="majorBidi"/>
          <w:sz w:val="22"/>
          <w:szCs w:val="22"/>
        </w:rPr>
        <w:t xml:space="preserve"> décentralisation accrue de l’exécution au niveau local ;</w:t>
      </w:r>
    </w:p>
    <w:p w:rsidR="00DF38CA" w:rsidRPr="0056293F" w:rsidRDefault="007A4093" w:rsidP="007A4093">
      <w:pPr>
        <w:pStyle w:val="ListParagraph"/>
        <w:numPr>
          <w:ilvl w:val="1"/>
          <w:numId w:val="10"/>
        </w:numPr>
        <w:jc w:val="both"/>
        <w:rPr>
          <w:rFonts w:asciiTheme="majorBidi" w:eastAsiaTheme="minorHAnsi" w:hAnsiTheme="majorBidi" w:cstheme="majorBidi"/>
          <w:sz w:val="22"/>
          <w:szCs w:val="22"/>
        </w:rPr>
      </w:pPr>
      <w:r w:rsidRPr="0056293F">
        <w:rPr>
          <w:rFonts w:asciiTheme="majorBidi" w:eastAsiaTheme="minorHAnsi" w:hAnsiTheme="majorBidi" w:cstheme="majorBidi"/>
          <w:sz w:val="22"/>
          <w:szCs w:val="22"/>
        </w:rPr>
        <w:t xml:space="preserve">L’assurance que </w:t>
      </w:r>
      <w:r w:rsidR="00DF38CA" w:rsidRPr="0056293F">
        <w:rPr>
          <w:rFonts w:asciiTheme="majorBidi" w:eastAsiaTheme="minorHAnsi" w:hAnsiTheme="majorBidi" w:cstheme="majorBidi"/>
          <w:sz w:val="22"/>
          <w:szCs w:val="22"/>
        </w:rPr>
        <w:t>la représentation de la société civile dans les entités décisionnelles au niveau local se fait par le biais d’associations élues et non nommées</w:t>
      </w:r>
      <w:r w:rsidR="008D4043" w:rsidRPr="0056293F">
        <w:rPr>
          <w:rFonts w:asciiTheme="majorBidi" w:eastAsiaTheme="minorHAnsi" w:hAnsiTheme="majorBidi" w:cstheme="majorBidi"/>
          <w:sz w:val="22"/>
          <w:szCs w:val="22"/>
        </w:rPr>
        <w:t>.</w:t>
      </w:r>
    </w:p>
    <w:p w:rsidR="00DF38CA" w:rsidRPr="0056293F" w:rsidRDefault="00DF38CA" w:rsidP="007A4093">
      <w:pPr>
        <w:pStyle w:val="ListParagraph"/>
        <w:numPr>
          <w:ilvl w:val="1"/>
          <w:numId w:val="10"/>
        </w:numPr>
        <w:jc w:val="both"/>
        <w:rPr>
          <w:rFonts w:asciiTheme="majorBidi" w:eastAsiaTheme="minorHAnsi" w:hAnsiTheme="majorBidi" w:cstheme="majorBidi"/>
          <w:sz w:val="22"/>
          <w:szCs w:val="22"/>
        </w:rPr>
      </w:pPr>
      <w:r w:rsidRPr="0056293F">
        <w:rPr>
          <w:rFonts w:asciiTheme="majorBidi" w:eastAsiaTheme="minorHAnsi" w:hAnsiTheme="majorBidi" w:cstheme="majorBidi"/>
          <w:sz w:val="22"/>
          <w:szCs w:val="22"/>
        </w:rPr>
        <w:t>L</w:t>
      </w:r>
      <w:r w:rsidR="007A4093" w:rsidRPr="0056293F">
        <w:rPr>
          <w:rFonts w:asciiTheme="majorBidi" w:eastAsiaTheme="minorHAnsi" w:hAnsiTheme="majorBidi" w:cstheme="majorBidi"/>
          <w:sz w:val="22"/>
          <w:szCs w:val="22"/>
        </w:rPr>
        <w:t>e renforcement des pouvoirs des</w:t>
      </w:r>
      <w:r w:rsidRPr="0056293F">
        <w:rPr>
          <w:rFonts w:asciiTheme="majorBidi" w:eastAsiaTheme="minorHAnsi" w:hAnsiTheme="majorBidi" w:cstheme="majorBidi"/>
          <w:sz w:val="22"/>
          <w:szCs w:val="22"/>
        </w:rPr>
        <w:t xml:space="preserve"> représentants des organisations de la société civile dans les organismes de gouvernance locale de l’INDH en leur donnant des fonctions explicites </w:t>
      </w:r>
      <w:r w:rsidR="007A4093" w:rsidRPr="0056293F">
        <w:rPr>
          <w:rFonts w:asciiTheme="majorBidi" w:eastAsiaTheme="minorHAnsi" w:hAnsiTheme="majorBidi" w:cstheme="majorBidi"/>
          <w:sz w:val="22"/>
          <w:szCs w:val="22"/>
        </w:rPr>
        <w:t xml:space="preserve">de responsabilité sociale, de </w:t>
      </w:r>
      <w:r w:rsidRPr="0056293F">
        <w:rPr>
          <w:rFonts w:asciiTheme="majorBidi" w:eastAsiaTheme="minorHAnsi" w:hAnsiTheme="majorBidi" w:cstheme="majorBidi"/>
          <w:sz w:val="22"/>
          <w:szCs w:val="22"/>
        </w:rPr>
        <w:t xml:space="preserve">formation adéquate, des possibilités de se mettre et </w:t>
      </w:r>
      <w:r w:rsidR="007A4093" w:rsidRPr="0056293F">
        <w:rPr>
          <w:rFonts w:asciiTheme="majorBidi" w:eastAsiaTheme="minorHAnsi" w:hAnsiTheme="majorBidi" w:cstheme="majorBidi"/>
          <w:sz w:val="22"/>
          <w:szCs w:val="22"/>
        </w:rPr>
        <w:t xml:space="preserve">de </w:t>
      </w:r>
      <w:r w:rsidRPr="0056293F">
        <w:rPr>
          <w:rFonts w:asciiTheme="majorBidi" w:eastAsiaTheme="minorHAnsi" w:hAnsiTheme="majorBidi" w:cstheme="majorBidi"/>
          <w:sz w:val="22"/>
          <w:szCs w:val="22"/>
        </w:rPr>
        <w:t>travailler en réseau et en les dotant de ressources suffisantes ;</w:t>
      </w:r>
    </w:p>
    <w:p w:rsidR="008D4043" w:rsidRPr="0056293F" w:rsidRDefault="007A4093" w:rsidP="007A4093">
      <w:pPr>
        <w:pStyle w:val="ListParagraph"/>
        <w:numPr>
          <w:ilvl w:val="1"/>
          <w:numId w:val="10"/>
        </w:numPr>
        <w:jc w:val="both"/>
        <w:rPr>
          <w:rFonts w:asciiTheme="majorBidi" w:hAnsiTheme="majorBidi" w:cstheme="majorBidi"/>
          <w:sz w:val="22"/>
          <w:szCs w:val="22"/>
        </w:rPr>
      </w:pPr>
      <w:r w:rsidRPr="0056293F">
        <w:rPr>
          <w:rFonts w:asciiTheme="majorBidi" w:hAnsiTheme="majorBidi" w:cstheme="majorBidi"/>
          <w:sz w:val="22"/>
          <w:szCs w:val="22"/>
        </w:rPr>
        <w:t>L’introduction d’</w:t>
      </w:r>
      <w:r w:rsidR="00DF38CA" w:rsidRPr="0056293F">
        <w:rPr>
          <w:rFonts w:asciiTheme="majorBidi" w:hAnsiTheme="majorBidi" w:cstheme="majorBidi"/>
          <w:sz w:val="22"/>
          <w:szCs w:val="22"/>
        </w:rPr>
        <w:t xml:space="preserve">outils de gouvernance axés sur la demande (par ex. les audits sociaux, les bilans communautaires.) pour aider les organisations de la société civile et le gouvernement à contrôler et assurer le suivi de l’efficacité des activités de niveau local soutenues par l’INDH; </w:t>
      </w:r>
    </w:p>
    <w:p w:rsidR="008D4043" w:rsidRPr="0056293F" w:rsidRDefault="007A4093" w:rsidP="007A4093">
      <w:pPr>
        <w:pStyle w:val="ListParagraph"/>
        <w:numPr>
          <w:ilvl w:val="1"/>
          <w:numId w:val="10"/>
        </w:numPr>
        <w:jc w:val="both"/>
        <w:rPr>
          <w:rFonts w:asciiTheme="majorBidi" w:hAnsiTheme="majorBidi" w:cstheme="majorBidi"/>
          <w:sz w:val="22"/>
          <w:szCs w:val="22"/>
        </w:rPr>
      </w:pPr>
      <w:r w:rsidRPr="0056293F">
        <w:rPr>
          <w:rFonts w:asciiTheme="majorBidi" w:hAnsiTheme="majorBidi" w:cstheme="majorBidi"/>
          <w:sz w:val="22"/>
          <w:szCs w:val="22"/>
        </w:rPr>
        <w:t>L’accroissement de</w:t>
      </w:r>
      <w:r w:rsidR="00DF38CA" w:rsidRPr="0056293F">
        <w:rPr>
          <w:rFonts w:asciiTheme="majorBidi" w:hAnsiTheme="majorBidi" w:cstheme="majorBidi"/>
          <w:sz w:val="22"/>
          <w:szCs w:val="22"/>
        </w:rPr>
        <w:t xml:space="preserve"> la représentation des femmes et des jeunes dans les organismes de gouvernance de l’INDH; </w:t>
      </w:r>
    </w:p>
    <w:p w:rsidR="00DF38CA" w:rsidRPr="0056293F" w:rsidRDefault="007A4093" w:rsidP="007A4093">
      <w:pPr>
        <w:pStyle w:val="ListParagraph"/>
        <w:numPr>
          <w:ilvl w:val="1"/>
          <w:numId w:val="10"/>
        </w:numPr>
        <w:jc w:val="both"/>
        <w:rPr>
          <w:rFonts w:asciiTheme="majorBidi" w:hAnsiTheme="majorBidi" w:cstheme="majorBidi"/>
          <w:sz w:val="22"/>
          <w:szCs w:val="22"/>
        </w:rPr>
      </w:pPr>
      <w:r w:rsidRPr="0056293F">
        <w:rPr>
          <w:rFonts w:asciiTheme="majorBidi" w:hAnsiTheme="majorBidi" w:cstheme="majorBidi"/>
          <w:sz w:val="22"/>
          <w:szCs w:val="22"/>
        </w:rPr>
        <w:t>Le renforcement</w:t>
      </w:r>
      <w:r w:rsidR="00DF38CA" w:rsidRPr="0056293F">
        <w:rPr>
          <w:rFonts w:asciiTheme="majorBidi" w:hAnsiTheme="majorBidi" w:cstheme="majorBidi"/>
          <w:sz w:val="22"/>
          <w:szCs w:val="22"/>
        </w:rPr>
        <w:t xml:space="preserve"> davantage </w:t>
      </w:r>
      <w:r w:rsidRPr="0056293F">
        <w:rPr>
          <w:rFonts w:asciiTheme="majorBidi" w:hAnsiTheme="majorBidi" w:cstheme="majorBidi"/>
          <w:sz w:val="22"/>
          <w:szCs w:val="22"/>
        </w:rPr>
        <w:t>du</w:t>
      </w:r>
      <w:r w:rsidR="00DF38CA" w:rsidRPr="0056293F">
        <w:rPr>
          <w:rFonts w:asciiTheme="majorBidi" w:hAnsiTheme="majorBidi" w:cstheme="majorBidi"/>
          <w:sz w:val="22"/>
          <w:szCs w:val="22"/>
        </w:rPr>
        <w:t xml:space="preserve"> processus de planification participatif en renforçant les capacités de la société civile et en élargissant sa sphère d’engagement, particulièrement au niveau local, et </w:t>
      </w:r>
    </w:p>
    <w:p w:rsidR="00DF38CA" w:rsidRPr="0056293F" w:rsidRDefault="007A4093" w:rsidP="007A4093">
      <w:pPr>
        <w:pStyle w:val="ListParagraph"/>
        <w:numPr>
          <w:ilvl w:val="1"/>
          <w:numId w:val="10"/>
        </w:numPr>
        <w:jc w:val="both"/>
        <w:rPr>
          <w:rFonts w:asciiTheme="majorBidi" w:hAnsiTheme="majorBidi" w:cstheme="majorBidi"/>
          <w:sz w:val="22"/>
          <w:szCs w:val="22"/>
        </w:rPr>
      </w:pPr>
      <w:r w:rsidRPr="0056293F">
        <w:rPr>
          <w:rFonts w:asciiTheme="majorBidi" w:hAnsiTheme="majorBidi" w:cstheme="majorBidi"/>
          <w:sz w:val="22"/>
          <w:szCs w:val="22"/>
        </w:rPr>
        <w:t>La mise</w:t>
      </w:r>
      <w:r w:rsidR="00DF38CA" w:rsidRPr="0056293F">
        <w:rPr>
          <w:rFonts w:asciiTheme="majorBidi" w:hAnsiTheme="majorBidi" w:cstheme="majorBidi"/>
          <w:sz w:val="22"/>
          <w:szCs w:val="22"/>
        </w:rPr>
        <w:t xml:space="preserve"> en place des responsabilités formelles pour la gouvernance participative et pour la responsabilité sociale aux niveaux local et provincial.</w:t>
      </w:r>
    </w:p>
    <w:p w:rsidR="00DF38CA" w:rsidRPr="0056293F" w:rsidRDefault="00DF38CA" w:rsidP="002A53D6">
      <w:pPr>
        <w:spacing w:after="0"/>
        <w:jc w:val="both"/>
        <w:rPr>
          <w:rFonts w:asciiTheme="majorBidi" w:hAnsiTheme="majorBidi" w:cstheme="majorBidi"/>
        </w:rPr>
      </w:pPr>
    </w:p>
    <w:p w:rsidR="00DF38CA" w:rsidRPr="0056293F" w:rsidRDefault="00DF38CA" w:rsidP="00EE0432">
      <w:pPr>
        <w:numPr>
          <w:ilvl w:val="0"/>
          <w:numId w:val="3"/>
        </w:numPr>
        <w:spacing w:after="0"/>
        <w:ind w:hanging="720"/>
        <w:jc w:val="both"/>
        <w:rPr>
          <w:rFonts w:asciiTheme="majorBidi" w:hAnsiTheme="majorBidi" w:cstheme="majorBidi"/>
        </w:rPr>
      </w:pPr>
      <w:r w:rsidRPr="0056293F">
        <w:rPr>
          <w:rFonts w:asciiTheme="majorBidi" w:hAnsiTheme="majorBidi" w:cstheme="majorBidi"/>
          <w:bCs/>
        </w:rPr>
        <w:t>Accroître l’inclusion économique : l’assistance technique et les indicateurs liés aux</w:t>
      </w:r>
      <w:r w:rsidRPr="0056293F">
        <w:rPr>
          <w:rFonts w:asciiTheme="majorBidi" w:hAnsiTheme="majorBidi" w:cstheme="majorBidi"/>
        </w:rPr>
        <w:t xml:space="preserve"> décaissements (ILD) </w:t>
      </w:r>
      <w:r w:rsidR="008D4043" w:rsidRPr="0056293F">
        <w:rPr>
          <w:rFonts w:asciiTheme="majorBidi" w:hAnsiTheme="majorBidi" w:cstheme="majorBidi"/>
        </w:rPr>
        <w:t>dans</w:t>
      </w:r>
      <w:bookmarkStart w:id="2" w:name="_GoBack"/>
      <w:bookmarkEnd w:id="2"/>
      <w:r w:rsidRPr="0056293F">
        <w:rPr>
          <w:rFonts w:asciiTheme="majorBidi" w:hAnsiTheme="majorBidi" w:cstheme="majorBidi"/>
        </w:rPr>
        <w:t xml:space="preserve"> ce domaine seront ainsi axés sur : </w:t>
      </w:r>
    </w:p>
    <w:p w:rsidR="00DF38CA" w:rsidRPr="0056293F" w:rsidRDefault="00EE0432" w:rsidP="00EE0432">
      <w:pPr>
        <w:pStyle w:val="ListParagraph"/>
        <w:numPr>
          <w:ilvl w:val="0"/>
          <w:numId w:val="11"/>
        </w:numPr>
        <w:jc w:val="both"/>
        <w:rPr>
          <w:rFonts w:asciiTheme="majorBidi" w:hAnsiTheme="majorBidi" w:cstheme="majorBidi"/>
          <w:sz w:val="22"/>
          <w:szCs w:val="22"/>
        </w:rPr>
      </w:pPr>
      <w:r w:rsidRPr="0056293F">
        <w:rPr>
          <w:rFonts w:asciiTheme="majorBidi" w:hAnsiTheme="majorBidi" w:cstheme="majorBidi"/>
          <w:sz w:val="22"/>
          <w:szCs w:val="22"/>
        </w:rPr>
        <w:t>L</w:t>
      </w:r>
      <w:r w:rsidR="00DF38CA" w:rsidRPr="0056293F">
        <w:rPr>
          <w:rFonts w:asciiTheme="majorBidi" w:hAnsiTheme="majorBidi" w:cstheme="majorBidi"/>
          <w:sz w:val="22"/>
          <w:szCs w:val="22"/>
        </w:rPr>
        <w:t xml:space="preserve">e renforcement de l’appui technique aux porteurs des projets (en règle générale des associations et des coopératives) de sorte qu’elles aient la viabilité commerciale et qu’elles soient liées à des filières et chaînes de valeur prometteuses; </w:t>
      </w:r>
    </w:p>
    <w:p w:rsidR="00DF38CA" w:rsidRPr="0056293F" w:rsidRDefault="00EE0432" w:rsidP="00EE0432">
      <w:pPr>
        <w:pStyle w:val="ListParagraph"/>
        <w:numPr>
          <w:ilvl w:val="0"/>
          <w:numId w:val="11"/>
        </w:numPr>
        <w:jc w:val="both"/>
        <w:rPr>
          <w:rFonts w:asciiTheme="majorBidi" w:hAnsiTheme="majorBidi" w:cstheme="majorBidi"/>
          <w:sz w:val="22"/>
          <w:szCs w:val="22"/>
        </w:rPr>
      </w:pPr>
      <w:r w:rsidRPr="0056293F">
        <w:rPr>
          <w:rFonts w:asciiTheme="majorBidi" w:hAnsiTheme="majorBidi" w:cstheme="majorBidi"/>
          <w:sz w:val="22"/>
          <w:szCs w:val="22"/>
        </w:rPr>
        <w:t>L</w:t>
      </w:r>
      <w:r w:rsidR="00DF38CA" w:rsidRPr="0056293F">
        <w:rPr>
          <w:rFonts w:asciiTheme="majorBidi" w:hAnsiTheme="majorBidi" w:cstheme="majorBidi"/>
          <w:sz w:val="22"/>
          <w:szCs w:val="22"/>
        </w:rPr>
        <w:t>a simplification des procédures d’accès aux fon</w:t>
      </w:r>
      <w:r w:rsidRPr="0056293F">
        <w:rPr>
          <w:rFonts w:asciiTheme="majorBidi" w:hAnsiTheme="majorBidi" w:cstheme="majorBidi"/>
          <w:sz w:val="22"/>
          <w:szCs w:val="22"/>
        </w:rPr>
        <w:t xml:space="preserve">ds sur la base de critères de </w:t>
      </w:r>
      <w:r w:rsidR="00DF38CA" w:rsidRPr="0056293F">
        <w:rPr>
          <w:rFonts w:asciiTheme="majorBidi" w:hAnsiTheme="majorBidi" w:cstheme="majorBidi"/>
          <w:sz w:val="22"/>
          <w:szCs w:val="22"/>
        </w:rPr>
        <w:t xml:space="preserve">clairs de notation; </w:t>
      </w:r>
    </w:p>
    <w:p w:rsidR="00DF38CA" w:rsidRPr="0056293F" w:rsidRDefault="00EE0432" w:rsidP="00EE0432">
      <w:pPr>
        <w:pStyle w:val="ListParagraph"/>
        <w:numPr>
          <w:ilvl w:val="0"/>
          <w:numId w:val="11"/>
        </w:numPr>
        <w:jc w:val="both"/>
        <w:rPr>
          <w:rFonts w:asciiTheme="majorBidi" w:hAnsiTheme="majorBidi" w:cstheme="majorBidi"/>
          <w:sz w:val="22"/>
          <w:szCs w:val="22"/>
        </w:rPr>
      </w:pPr>
      <w:r w:rsidRPr="0056293F">
        <w:rPr>
          <w:rFonts w:asciiTheme="majorBidi" w:hAnsiTheme="majorBidi" w:cstheme="majorBidi"/>
          <w:sz w:val="22"/>
          <w:szCs w:val="22"/>
        </w:rPr>
        <w:t>L</w:t>
      </w:r>
      <w:r w:rsidR="00DF38CA" w:rsidRPr="0056293F">
        <w:rPr>
          <w:rFonts w:asciiTheme="majorBidi" w:hAnsiTheme="majorBidi" w:cstheme="majorBidi"/>
          <w:sz w:val="22"/>
          <w:szCs w:val="22"/>
        </w:rPr>
        <w:t xml:space="preserve">’introduction d’un système d’appui ciblé pour le perfectionnement des compétences et pour l’insertion professionnelle des jeunes; et </w:t>
      </w:r>
    </w:p>
    <w:p w:rsidR="00DF38CA" w:rsidRPr="0056293F" w:rsidRDefault="00EE0432" w:rsidP="00EE0432">
      <w:pPr>
        <w:pStyle w:val="ListParagraph"/>
        <w:numPr>
          <w:ilvl w:val="0"/>
          <w:numId w:val="11"/>
        </w:numPr>
        <w:jc w:val="both"/>
        <w:rPr>
          <w:rFonts w:asciiTheme="majorBidi" w:hAnsiTheme="majorBidi" w:cstheme="majorBidi"/>
          <w:sz w:val="22"/>
          <w:szCs w:val="22"/>
        </w:rPr>
      </w:pPr>
      <w:r w:rsidRPr="0056293F">
        <w:rPr>
          <w:rFonts w:asciiTheme="majorBidi" w:hAnsiTheme="majorBidi" w:cstheme="majorBidi"/>
          <w:sz w:val="22"/>
          <w:szCs w:val="22"/>
        </w:rPr>
        <w:t>L</w:t>
      </w:r>
      <w:r w:rsidR="00DF38CA" w:rsidRPr="0056293F">
        <w:rPr>
          <w:rFonts w:asciiTheme="majorBidi" w:hAnsiTheme="majorBidi" w:cstheme="majorBidi"/>
          <w:sz w:val="22"/>
          <w:szCs w:val="22"/>
        </w:rPr>
        <w:t xml:space="preserve">e renforcement du potentiel de création de postes de travail des projets d’infrastructure et d’Activités Génératrices de Revenus (AGR) de l’INDH. </w:t>
      </w:r>
    </w:p>
    <w:p w:rsidR="00EE0432" w:rsidRPr="0056293F" w:rsidRDefault="00EE0432" w:rsidP="00EE0432">
      <w:pPr>
        <w:spacing w:after="0"/>
        <w:ind w:firstLine="720"/>
        <w:jc w:val="both"/>
        <w:rPr>
          <w:rFonts w:asciiTheme="majorBidi" w:hAnsiTheme="majorBidi" w:cstheme="majorBidi"/>
        </w:rPr>
      </w:pPr>
    </w:p>
    <w:p w:rsidR="00F4668A" w:rsidRPr="0056293F" w:rsidRDefault="00F4668A" w:rsidP="00EE0432">
      <w:pPr>
        <w:spacing w:after="0"/>
        <w:ind w:firstLine="720"/>
        <w:jc w:val="both"/>
        <w:rPr>
          <w:rFonts w:asciiTheme="majorBidi" w:hAnsiTheme="majorBidi" w:cstheme="majorBidi"/>
        </w:rPr>
      </w:pPr>
    </w:p>
    <w:p w:rsidR="00DF38CA" w:rsidRPr="0056293F" w:rsidRDefault="00DF38CA" w:rsidP="00EE0432">
      <w:pPr>
        <w:numPr>
          <w:ilvl w:val="0"/>
          <w:numId w:val="3"/>
        </w:numPr>
        <w:spacing w:after="0"/>
        <w:ind w:hanging="720"/>
        <w:jc w:val="both"/>
        <w:rPr>
          <w:rFonts w:asciiTheme="majorBidi" w:hAnsiTheme="majorBidi" w:cstheme="majorBidi"/>
          <w:bCs/>
        </w:rPr>
      </w:pPr>
      <w:r w:rsidRPr="0056293F">
        <w:rPr>
          <w:rFonts w:asciiTheme="majorBidi" w:hAnsiTheme="majorBidi" w:cstheme="majorBidi"/>
          <w:bCs/>
        </w:rPr>
        <w:lastRenderedPageBreak/>
        <w:t>L’appui au Renforcement des Capacités et à l’Amél</w:t>
      </w:r>
      <w:r w:rsidR="00EE0432" w:rsidRPr="0056293F">
        <w:rPr>
          <w:rFonts w:asciiTheme="majorBidi" w:hAnsiTheme="majorBidi" w:cstheme="majorBidi"/>
          <w:bCs/>
        </w:rPr>
        <w:t>ioration des Systèmes : L’appui</w:t>
      </w:r>
      <w:r w:rsidRPr="0056293F">
        <w:rPr>
          <w:rFonts w:asciiTheme="majorBidi" w:hAnsiTheme="majorBidi" w:cstheme="majorBidi"/>
          <w:bCs/>
        </w:rPr>
        <w:t xml:space="preserve">: </w:t>
      </w:r>
    </w:p>
    <w:p w:rsidR="00DF38CA" w:rsidRPr="0056293F" w:rsidRDefault="00F4668A" w:rsidP="00F4668A">
      <w:pPr>
        <w:pStyle w:val="ListParagraph"/>
        <w:numPr>
          <w:ilvl w:val="0"/>
          <w:numId w:val="14"/>
        </w:numPr>
        <w:jc w:val="both"/>
        <w:rPr>
          <w:rFonts w:asciiTheme="majorBidi" w:hAnsiTheme="majorBidi" w:cstheme="majorBidi"/>
          <w:sz w:val="22"/>
          <w:szCs w:val="22"/>
        </w:rPr>
      </w:pPr>
      <w:r w:rsidRPr="0056293F">
        <w:rPr>
          <w:rFonts w:asciiTheme="majorBidi" w:hAnsiTheme="majorBidi" w:cstheme="majorBidi"/>
          <w:sz w:val="22"/>
          <w:szCs w:val="22"/>
        </w:rPr>
        <w:t>A</w:t>
      </w:r>
      <w:r w:rsidR="00DF38CA" w:rsidRPr="0056293F">
        <w:rPr>
          <w:rFonts w:asciiTheme="majorBidi" w:hAnsiTheme="majorBidi" w:cstheme="majorBidi"/>
          <w:sz w:val="22"/>
          <w:szCs w:val="22"/>
        </w:rPr>
        <w:t xml:space="preserve">u SIG et S&amp;E – rationaliser les exigences de  données, l’ajout d’informations critiques, la facilitation de l’accès à et de l’utilisation des données par les collectivités locales, le renforcement de la transparence des informations et l’appui au cycle suivant de l’évaluation d’impacts; </w:t>
      </w:r>
    </w:p>
    <w:p w:rsidR="00DF38CA" w:rsidRPr="0056293F" w:rsidRDefault="00DF38CA" w:rsidP="00F4668A">
      <w:pPr>
        <w:pStyle w:val="ListParagraph"/>
        <w:numPr>
          <w:ilvl w:val="0"/>
          <w:numId w:val="14"/>
        </w:numPr>
        <w:jc w:val="both"/>
        <w:rPr>
          <w:rFonts w:asciiTheme="majorBidi" w:hAnsiTheme="majorBidi" w:cstheme="majorBidi"/>
          <w:sz w:val="22"/>
          <w:szCs w:val="22"/>
        </w:rPr>
      </w:pPr>
      <w:r w:rsidRPr="0056293F">
        <w:rPr>
          <w:rFonts w:asciiTheme="majorBidi" w:hAnsiTheme="majorBidi" w:cstheme="majorBidi"/>
          <w:sz w:val="22"/>
          <w:szCs w:val="22"/>
        </w:rPr>
        <w:t xml:space="preserve">aux systèmes de gestion environnementale et sociale – la simplification des cadres actuels, en mettant l’accent sur les effets environnementaux cumulatifs et les problématiques d’acquisition du foncier; </w:t>
      </w:r>
    </w:p>
    <w:p w:rsidR="00DF38CA" w:rsidRPr="0056293F" w:rsidRDefault="00F4668A" w:rsidP="00F4668A">
      <w:pPr>
        <w:pStyle w:val="ListParagraph"/>
        <w:numPr>
          <w:ilvl w:val="0"/>
          <w:numId w:val="14"/>
        </w:numPr>
        <w:jc w:val="both"/>
        <w:rPr>
          <w:rFonts w:asciiTheme="majorBidi" w:hAnsiTheme="majorBidi" w:cstheme="majorBidi"/>
          <w:sz w:val="22"/>
          <w:szCs w:val="22"/>
        </w:rPr>
      </w:pPr>
      <w:r w:rsidRPr="0056293F">
        <w:rPr>
          <w:rFonts w:asciiTheme="majorBidi" w:hAnsiTheme="majorBidi" w:cstheme="majorBidi"/>
          <w:sz w:val="22"/>
          <w:szCs w:val="22"/>
        </w:rPr>
        <w:t>A</w:t>
      </w:r>
      <w:r w:rsidR="00DF38CA" w:rsidRPr="0056293F">
        <w:rPr>
          <w:rFonts w:asciiTheme="majorBidi" w:hAnsiTheme="majorBidi" w:cstheme="majorBidi"/>
          <w:sz w:val="22"/>
          <w:szCs w:val="22"/>
        </w:rPr>
        <w:t xml:space="preserve"> la facilitation de la formation et du renforcement des capacités pour les agents responsables des processus fiduciaires; </w:t>
      </w:r>
    </w:p>
    <w:p w:rsidR="00DF38CA" w:rsidRPr="0056293F" w:rsidRDefault="00F4668A" w:rsidP="00F4668A">
      <w:pPr>
        <w:pStyle w:val="ListParagraph"/>
        <w:numPr>
          <w:ilvl w:val="0"/>
          <w:numId w:val="14"/>
        </w:numPr>
        <w:jc w:val="both"/>
        <w:rPr>
          <w:rFonts w:asciiTheme="majorBidi" w:hAnsiTheme="majorBidi" w:cstheme="majorBidi"/>
          <w:sz w:val="22"/>
          <w:szCs w:val="22"/>
        </w:rPr>
      </w:pPr>
      <w:r w:rsidRPr="0056293F">
        <w:rPr>
          <w:rFonts w:asciiTheme="majorBidi" w:hAnsiTheme="majorBidi" w:cstheme="majorBidi"/>
          <w:sz w:val="22"/>
          <w:szCs w:val="22"/>
        </w:rPr>
        <w:t>A</w:t>
      </w:r>
      <w:r w:rsidR="00DF38CA" w:rsidRPr="0056293F">
        <w:rPr>
          <w:rFonts w:asciiTheme="majorBidi" w:hAnsiTheme="majorBidi" w:cstheme="majorBidi"/>
          <w:sz w:val="22"/>
          <w:szCs w:val="22"/>
        </w:rPr>
        <w:t xml:space="preserve">ux mécanismes de plaintes et de recours – la mise en place de procédures normalisées de réception, de tri et de résolution des plaintes, d’attribution de responsabilités, de sensibilisation et de création d’une base de données centrale pour les réclamations, l’ensemble conforme aux règles de responsabilité sociale et </w:t>
      </w:r>
    </w:p>
    <w:p w:rsidR="00DF38CA" w:rsidRPr="0056293F" w:rsidRDefault="00F4668A" w:rsidP="00F4668A">
      <w:pPr>
        <w:pStyle w:val="ListParagraph"/>
        <w:numPr>
          <w:ilvl w:val="0"/>
          <w:numId w:val="14"/>
        </w:numPr>
        <w:jc w:val="both"/>
        <w:rPr>
          <w:rFonts w:asciiTheme="majorBidi" w:hAnsiTheme="majorBidi" w:cstheme="majorBidi"/>
          <w:sz w:val="22"/>
          <w:szCs w:val="22"/>
        </w:rPr>
      </w:pPr>
      <w:r w:rsidRPr="0056293F">
        <w:rPr>
          <w:rFonts w:asciiTheme="majorBidi" w:hAnsiTheme="majorBidi" w:cstheme="majorBidi"/>
          <w:sz w:val="22"/>
          <w:szCs w:val="22"/>
        </w:rPr>
        <w:t>Le</w:t>
      </w:r>
      <w:r w:rsidR="00DF38CA" w:rsidRPr="0056293F">
        <w:rPr>
          <w:rFonts w:asciiTheme="majorBidi" w:hAnsiTheme="majorBidi" w:cstheme="majorBidi"/>
          <w:sz w:val="22"/>
          <w:szCs w:val="22"/>
        </w:rPr>
        <w:t xml:space="preserve"> ciblage – la révision de critères et le ciblage de l’unité pour la composante urbaine, et l’insertion des critères de pauvreté par tête pour la composante </w:t>
      </w:r>
      <w:r w:rsidRPr="0056293F">
        <w:rPr>
          <w:rFonts w:asciiTheme="majorBidi" w:hAnsiTheme="majorBidi" w:cstheme="majorBidi"/>
          <w:sz w:val="22"/>
          <w:szCs w:val="22"/>
        </w:rPr>
        <w:t>rurale.</w:t>
      </w:r>
    </w:p>
    <w:p w:rsidR="00DF38CA" w:rsidRPr="0056293F" w:rsidRDefault="00DF38CA" w:rsidP="002A53D6">
      <w:pPr>
        <w:spacing w:after="0"/>
        <w:rPr>
          <w:rFonts w:asciiTheme="majorBidi" w:hAnsiTheme="majorBidi" w:cstheme="majorBidi"/>
        </w:rPr>
      </w:pPr>
    </w:p>
    <w:p w:rsidR="00EA4219" w:rsidRDefault="00EA4219" w:rsidP="002A53D6">
      <w:pPr>
        <w:spacing w:after="0"/>
        <w:rPr>
          <w:rFonts w:asciiTheme="majorBidi" w:hAnsiTheme="majorBidi" w:cstheme="majorBidi"/>
          <w:b/>
          <w:bCs/>
        </w:rPr>
      </w:pPr>
    </w:p>
    <w:p w:rsidR="00DF38CA" w:rsidRPr="0056293F" w:rsidRDefault="00DF38CA" w:rsidP="002A53D6">
      <w:pPr>
        <w:spacing w:after="0"/>
        <w:rPr>
          <w:rFonts w:asciiTheme="majorBidi" w:hAnsiTheme="majorBidi" w:cstheme="majorBidi"/>
          <w:b/>
          <w:bCs/>
        </w:rPr>
      </w:pPr>
      <w:r w:rsidRPr="0056293F">
        <w:rPr>
          <w:rFonts w:asciiTheme="majorBidi" w:hAnsiTheme="majorBidi" w:cstheme="majorBidi"/>
          <w:b/>
          <w:bCs/>
        </w:rPr>
        <w:t xml:space="preserve">D. </w:t>
      </w:r>
      <w:r w:rsidR="001B6553">
        <w:rPr>
          <w:rFonts w:asciiTheme="majorBidi" w:hAnsiTheme="majorBidi" w:cstheme="majorBidi"/>
          <w:b/>
          <w:bCs/>
        </w:rPr>
        <w:tab/>
      </w:r>
      <w:r w:rsidRPr="0056293F">
        <w:rPr>
          <w:rFonts w:asciiTheme="majorBidi" w:hAnsiTheme="majorBidi" w:cstheme="majorBidi"/>
          <w:b/>
          <w:bCs/>
        </w:rPr>
        <w:t>Emplacement du Projet et principales caractéristiques physiques pertinentes à l’analyse de sauvegarde (s’ils ont été identifiés)</w:t>
      </w:r>
    </w:p>
    <w:p w:rsidR="00F4668A" w:rsidRPr="0056293F" w:rsidRDefault="00F4668A" w:rsidP="002A53D6">
      <w:pPr>
        <w:spacing w:after="0"/>
        <w:jc w:val="both"/>
        <w:rPr>
          <w:rFonts w:asciiTheme="majorBidi" w:hAnsiTheme="majorBidi" w:cstheme="majorBidi"/>
        </w:rPr>
      </w:pPr>
    </w:p>
    <w:p w:rsidR="00DF38CA" w:rsidRPr="0056293F" w:rsidRDefault="00DF38CA" w:rsidP="002A53D6">
      <w:pPr>
        <w:spacing w:after="0"/>
        <w:jc w:val="both"/>
        <w:rPr>
          <w:rFonts w:asciiTheme="majorBidi" w:hAnsiTheme="majorBidi" w:cstheme="majorBidi"/>
        </w:rPr>
      </w:pPr>
      <w:r w:rsidRPr="0056293F">
        <w:rPr>
          <w:rFonts w:asciiTheme="majorBidi" w:hAnsiTheme="majorBidi" w:cstheme="majorBidi"/>
        </w:rPr>
        <w:t xml:space="preserve">Le financement par la Banque ciblera des zones géographiques définies qui feront l’objet d’un accord ultérieur avec le Gouvernement et incluront à la fois des régions urbaines et rurales, parmi celles sélectionnées pour recevoir le soutien de l’INDH 2. </w:t>
      </w:r>
    </w:p>
    <w:p w:rsidR="00F4668A" w:rsidRPr="0056293F" w:rsidRDefault="00F4668A" w:rsidP="002A53D6">
      <w:pPr>
        <w:spacing w:after="0"/>
        <w:jc w:val="both"/>
        <w:rPr>
          <w:rFonts w:asciiTheme="majorBidi" w:hAnsiTheme="majorBidi" w:cstheme="majorBidi"/>
        </w:rPr>
      </w:pPr>
    </w:p>
    <w:p w:rsidR="00DF38CA" w:rsidRPr="0056293F" w:rsidRDefault="00DF38CA" w:rsidP="002A53D6">
      <w:pPr>
        <w:spacing w:after="0"/>
        <w:jc w:val="both"/>
        <w:rPr>
          <w:rFonts w:asciiTheme="majorBidi" w:hAnsiTheme="majorBidi" w:cstheme="majorBidi"/>
        </w:rPr>
      </w:pPr>
      <w:r w:rsidRPr="0056293F">
        <w:rPr>
          <w:rFonts w:asciiTheme="majorBidi" w:hAnsiTheme="majorBidi" w:cstheme="majorBidi"/>
        </w:rPr>
        <w:t xml:space="preserve">Des cadres Environnementaux et sociaux pour faire le criblage des </w:t>
      </w:r>
      <w:r w:rsidR="0056293F">
        <w:rPr>
          <w:rFonts w:asciiTheme="majorBidi" w:hAnsiTheme="majorBidi" w:cstheme="majorBidi"/>
        </w:rPr>
        <w:t xml:space="preserve"> sous-projets sélectionnés et </w:t>
      </w:r>
      <w:r w:rsidRPr="0056293F">
        <w:rPr>
          <w:rFonts w:asciiTheme="majorBidi" w:hAnsiTheme="majorBidi" w:cstheme="majorBidi"/>
        </w:rPr>
        <w:t>identifier des mesures d’atténuation des impacts potentiels   ont été établis aux fins de l’exécution de l’INDH 1 et il est prévu de les évaluer et réviser en vue de leur utilisation aux fins de l’INDH 2. Ils feront l’objet d’une amélioration en vue d’inclure l’évaluation et la réduction de tout effet cumulatif</w:t>
      </w:r>
      <w:r w:rsidR="00F4668A" w:rsidRPr="0056293F">
        <w:rPr>
          <w:rFonts w:asciiTheme="majorBidi" w:hAnsiTheme="majorBidi" w:cstheme="majorBidi"/>
        </w:rPr>
        <w:t xml:space="preserve"> né des activités de l’INDH 2. </w:t>
      </w:r>
      <w:r w:rsidRPr="0056293F">
        <w:rPr>
          <w:rFonts w:asciiTheme="majorBidi" w:hAnsiTheme="majorBidi" w:cstheme="majorBidi"/>
        </w:rPr>
        <w:t xml:space="preserve">Etant donné que les sous-projets de l’INDH sont dans leur majorité   de petite taille, leur potentiel respectif de production d’impacts environnementaux significatifs est généralement limité. Toutefois, l’existence de sous-projets multiples dans certaines zones et de travaux d’infrastructures de base implique des risques liés à des effets et impacts cumulatifs éventuels.  </w:t>
      </w:r>
    </w:p>
    <w:p w:rsidR="00F4668A" w:rsidRPr="0056293F" w:rsidRDefault="00F4668A" w:rsidP="002A53D6">
      <w:pPr>
        <w:spacing w:after="0"/>
        <w:jc w:val="both"/>
        <w:rPr>
          <w:rFonts w:asciiTheme="majorBidi" w:hAnsiTheme="majorBidi" w:cstheme="majorBidi"/>
        </w:rPr>
      </w:pPr>
    </w:p>
    <w:p w:rsidR="00DF38CA" w:rsidRPr="0056293F" w:rsidRDefault="00DF38CA" w:rsidP="002A53D6">
      <w:pPr>
        <w:spacing w:after="0"/>
        <w:jc w:val="both"/>
        <w:rPr>
          <w:rFonts w:asciiTheme="majorBidi" w:hAnsiTheme="majorBidi" w:cstheme="majorBidi"/>
        </w:rPr>
      </w:pPr>
      <w:r w:rsidRPr="0056293F">
        <w:rPr>
          <w:rFonts w:asciiTheme="majorBidi" w:hAnsiTheme="majorBidi" w:cstheme="majorBidi"/>
        </w:rPr>
        <w:t>Les mesures de sauvegarde devront être traitées comme suit :</w:t>
      </w:r>
    </w:p>
    <w:p w:rsidR="00F4668A" w:rsidRPr="0056293F" w:rsidRDefault="00F4668A" w:rsidP="002A53D6">
      <w:pPr>
        <w:spacing w:after="0"/>
        <w:jc w:val="both"/>
        <w:rPr>
          <w:rFonts w:asciiTheme="majorBidi" w:hAnsiTheme="majorBidi" w:cstheme="majorBidi"/>
        </w:rPr>
      </w:pPr>
    </w:p>
    <w:p w:rsidR="00DF38CA" w:rsidRPr="0056293F" w:rsidRDefault="00DF38CA" w:rsidP="00684B30">
      <w:pPr>
        <w:spacing w:after="0"/>
        <w:jc w:val="both"/>
        <w:rPr>
          <w:rFonts w:asciiTheme="majorBidi" w:hAnsiTheme="majorBidi" w:cstheme="majorBidi"/>
        </w:rPr>
      </w:pPr>
      <w:r w:rsidRPr="0056293F">
        <w:rPr>
          <w:rFonts w:asciiTheme="majorBidi" w:hAnsiTheme="majorBidi" w:cstheme="majorBidi"/>
        </w:rPr>
        <w:t>Afin de faire face aux impacts environnementaux et sociaux des activités de l’INDH 2, l’Emprunteur capitalise les enseignements tirés de l’INDH 1 et des autres pratiques de l’Emprunteur dans la gestion environnementale et sociale pour des activités similaires. Les activités qui seront soutenues à travers l’INDH 2 seront évaluées par rapport aux tâches environnementales et sociales à exécuter et à l’échelle des impacts potentiels. L’Emprunteur élaborera et fournira un processus général de criblage et un Cadre des Impacts Environnementaux et Sociaux (ESIAF) qui définiront: les principes, les règles, les processus et les résultats de l’évaluation environnementale et sociale et la revue des sous-projets devant être finan</w:t>
      </w:r>
      <w:r w:rsidR="00F4668A" w:rsidRPr="0056293F">
        <w:rPr>
          <w:rFonts w:asciiTheme="majorBidi" w:hAnsiTheme="majorBidi" w:cstheme="majorBidi"/>
        </w:rPr>
        <w:t xml:space="preserve">cés dans le cadre de l’INDH 2. </w:t>
      </w:r>
      <w:r w:rsidRPr="0056293F">
        <w:rPr>
          <w:rFonts w:asciiTheme="majorBidi" w:hAnsiTheme="majorBidi" w:cstheme="majorBidi"/>
        </w:rPr>
        <w:t>L’ESIAF prendra en compte tous les aspects organisationnels et les processus relatifs à la gestion environnementale et sociale aux activités de l’INDH 2, dont les cadres légaux et réglementaires</w:t>
      </w:r>
      <w:r w:rsidR="00F4668A" w:rsidRPr="0056293F">
        <w:rPr>
          <w:rFonts w:asciiTheme="majorBidi" w:hAnsiTheme="majorBidi" w:cstheme="majorBidi"/>
        </w:rPr>
        <w:t xml:space="preserve"> </w:t>
      </w:r>
      <w:r w:rsidRPr="0056293F">
        <w:rPr>
          <w:rFonts w:asciiTheme="majorBidi" w:hAnsiTheme="majorBidi" w:cstheme="majorBidi"/>
        </w:rPr>
        <w:t>applicables ainsi que les dispositions i</w:t>
      </w:r>
      <w:r w:rsidR="00F4668A" w:rsidRPr="0056293F">
        <w:rPr>
          <w:rFonts w:asciiTheme="majorBidi" w:hAnsiTheme="majorBidi" w:cstheme="majorBidi"/>
        </w:rPr>
        <w:t xml:space="preserve">nstitutionnelles y afférentes. </w:t>
      </w:r>
      <w:r w:rsidRPr="0056293F">
        <w:rPr>
          <w:rFonts w:asciiTheme="majorBidi" w:hAnsiTheme="majorBidi" w:cstheme="majorBidi"/>
        </w:rPr>
        <w:t xml:space="preserve">Les résultats escomptés comprendront les mesures d’atténuations appropriées nécessaires et/ou un Plan de Gestion Environnemental et Social (ESMP) et les systèmes de suivi, selon le besoin. L’ESIAF, les mesures d’atténuation et l’ESMP seront élaborés conformément aux exigences de la PO  4.01, le cadre juridique et réglementaire marocain applicables aux activités de l’INDH 2 et les leçons </w:t>
      </w:r>
      <w:r w:rsidRPr="0056293F">
        <w:rPr>
          <w:rFonts w:asciiTheme="majorBidi" w:hAnsiTheme="majorBidi" w:cstheme="majorBidi"/>
        </w:rPr>
        <w:lastRenderedPageBreak/>
        <w:t>tiré</w:t>
      </w:r>
      <w:r w:rsidR="00684B30" w:rsidRPr="0056293F">
        <w:rPr>
          <w:rFonts w:asciiTheme="majorBidi" w:hAnsiTheme="majorBidi" w:cstheme="majorBidi"/>
        </w:rPr>
        <w:t>e</w:t>
      </w:r>
      <w:r w:rsidRPr="0056293F">
        <w:rPr>
          <w:rFonts w:asciiTheme="majorBidi" w:hAnsiTheme="majorBidi" w:cstheme="majorBidi"/>
        </w:rPr>
        <w:t xml:space="preserve">s de l’INDH 1. Etant donné que l’INDH 2 comporte plusieurs sous-projets qui pourraient ne pas avoir d’impacts significatifs individuellement, mais dont les effets cumulés pourraient être significatifs, une évaluation des effets cumulatifs sera nécessaire et fera l’objet d’une </w:t>
      </w:r>
      <w:r w:rsidR="00F4668A" w:rsidRPr="0056293F">
        <w:rPr>
          <w:rFonts w:asciiTheme="majorBidi" w:hAnsiTheme="majorBidi" w:cstheme="majorBidi"/>
        </w:rPr>
        <w:t>revue.</w:t>
      </w:r>
      <w:r w:rsidRPr="0056293F">
        <w:rPr>
          <w:rFonts w:asciiTheme="majorBidi" w:hAnsiTheme="majorBidi" w:cstheme="majorBidi"/>
        </w:rPr>
        <w:t xml:space="preserve">  Finalement, l’ESIAF et l’ESMP seront élaborés en coordination et en consultation avec l’ensemble des institutions et les parties prenantes impliquées dans l’INDH et devront faire l’objet de divulgation.  </w:t>
      </w:r>
    </w:p>
    <w:p w:rsidR="00DF38CA" w:rsidRPr="0056293F" w:rsidRDefault="00DF38CA" w:rsidP="002A53D6">
      <w:pPr>
        <w:spacing w:after="0"/>
        <w:jc w:val="both"/>
        <w:rPr>
          <w:rFonts w:asciiTheme="majorBidi" w:hAnsiTheme="majorBidi" w:cstheme="majorBidi"/>
        </w:rPr>
      </w:pPr>
    </w:p>
    <w:p w:rsidR="0083171E" w:rsidRPr="0056293F" w:rsidRDefault="00DF38CA" w:rsidP="00684B30">
      <w:pPr>
        <w:spacing w:after="0"/>
        <w:jc w:val="both"/>
        <w:rPr>
          <w:rFonts w:asciiTheme="majorBidi" w:hAnsiTheme="majorBidi" w:cstheme="majorBidi"/>
          <w:b/>
          <w:bCs/>
        </w:rPr>
      </w:pPr>
      <w:r w:rsidRPr="0056293F">
        <w:rPr>
          <w:rFonts w:asciiTheme="majorBidi" w:hAnsiTheme="majorBidi" w:cstheme="majorBidi"/>
        </w:rPr>
        <w:t xml:space="preserve">Certains sous-projets peuvent nécessiter l'acquisition de terrains et donner lieu à une politique de réinstallation forcée. En vertu de la Phase 1, un Cadre de Politique de Réinstallation </w:t>
      </w:r>
      <w:r w:rsidR="00684B30" w:rsidRPr="0056293F">
        <w:rPr>
          <w:rFonts w:asciiTheme="majorBidi" w:hAnsiTheme="majorBidi" w:cstheme="majorBidi"/>
        </w:rPr>
        <w:t xml:space="preserve">(CPR) </w:t>
      </w:r>
      <w:r w:rsidRPr="0056293F">
        <w:rPr>
          <w:rFonts w:asciiTheme="majorBidi" w:hAnsiTheme="majorBidi" w:cstheme="majorBidi"/>
        </w:rPr>
        <w:t>a été adopté en vue de présélectionner et de régir l'acquisition de terrains pour les sous-projets, mais aucune réinstallation involontaire n’a eu lieu. En règle générale, des systèmes pour l'acquisition de terrains et les mécanismes de plainte et recours sont mis en œuvre de manière satisfaisante par le gouvernement dans le cadre de son programme d’éradication des bidonvilles, réduisant les risques de déplacement forcé. Aux fins de toute acquisition de terrain et de réinstallation involontaire potentielles, l'INDH 2 sera muni d’un Cadre d</w:t>
      </w:r>
      <w:r w:rsidR="00F4668A" w:rsidRPr="0056293F">
        <w:rPr>
          <w:rFonts w:asciiTheme="majorBidi" w:hAnsiTheme="majorBidi" w:cstheme="majorBidi"/>
        </w:rPr>
        <w:t xml:space="preserve">e Politique de Réinstallation </w:t>
      </w:r>
      <w:r w:rsidRPr="0056293F">
        <w:rPr>
          <w:rFonts w:asciiTheme="majorBidi" w:hAnsiTheme="majorBidi" w:cstheme="majorBidi"/>
        </w:rPr>
        <w:t>conformément à PO 4.12 et au cadre juridique et réglementaire du Maroc.</w:t>
      </w:r>
      <w:r w:rsidRPr="0056293F">
        <w:rPr>
          <w:rFonts w:asciiTheme="majorBidi" w:hAnsiTheme="majorBidi" w:cstheme="majorBidi"/>
          <w:b/>
          <w:bCs/>
        </w:rPr>
        <w:t xml:space="preserve">  </w:t>
      </w:r>
    </w:p>
    <w:p w:rsidR="00F4668A" w:rsidRPr="0056293F" w:rsidRDefault="00F4668A" w:rsidP="002A53D6">
      <w:pPr>
        <w:spacing w:after="0"/>
        <w:jc w:val="both"/>
        <w:rPr>
          <w:rFonts w:asciiTheme="majorBidi" w:hAnsiTheme="majorBidi" w:cstheme="majorBidi"/>
          <w:b/>
          <w:bCs/>
        </w:rPr>
      </w:pPr>
    </w:p>
    <w:p w:rsidR="0083171E" w:rsidRPr="0056293F" w:rsidRDefault="00F4668A" w:rsidP="002A53D6">
      <w:pPr>
        <w:spacing w:after="0"/>
        <w:jc w:val="both"/>
        <w:rPr>
          <w:rFonts w:asciiTheme="majorBidi" w:hAnsiTheme="majorBidi" w:cstheme="majorBidi"/>
        </w:rPr>
      </w:pPr>
      <w:r w:rsidRPr="0056293F">
        <w:rPr>
          <w:rFonts w:asciiTheme="majorBidi" w:hAnsiTheme="majorBidi" w:cstheme="majorBidi"/>
          <w:b/>
          <w:bCs/>
        </w:rPr>
        <w:t xml:space="preserve">E. </w:t>
      </w:r>
      <w:r w:rsidR="001B6553">
        <w:rPr>
          <w:rFonts w:asciiTheme="majorBidi" w:hAnsiTheme="majorBidi" w:cstheme="majorBidi"/>
          <w:b/>
          <w:bCs/>
        </w:rPr>
        <w:tab/>
      </w:r>
      <w:r w:rsidR="00DF38CA" w:rsidRPr="0056293F">
        <w:rPr>
          <w:rFonts w:asciiTheme="majorBidi" w:hAnsiTheme="majorBidi" w:cstheme="majorBidi"/>
          <w:b/>
          <w:bCs/>
        </w:rPr>
        <w:t>Capacité Institutionnelle des Emprunteurs pour les Politiques de Sauvegarde</w:t>
      </w:r>
      <w:r w:rsidR="00DF38CA" w:rsidRPr="0056293F">
        <w:rPr>
          <w:rFonts w:asciiTheme="majorBidi" w:hAnsiTheme="majorBidi" w:cstheme="majorBidi"/>
        </w:rPr>
        <w:t xml:space="preserve"> </w:t>
      </w:r>
    </w:p>
    <w:p w:rsidR="00F4668A" w:rsidRPr="0056293F" w:rsidRDefault="00F4668A" w:rsidP="002A53D6">
      <w:pPr>
        <w:spacing w:after="0"/>
        <w:jc w:val="both"/>
        <w:rPr>
          <w:rFonts w:asciiTheme="majorBidi" w:hAnsiTheme="majorBidi" w:cstheme="majorBidi"/>
        </w:rPr>
      </w:pPr>
    </w:p>
    <w:p w:rsidR="0083171E" w:rsidRPr="0056293F" w:rsidRDefault="00DF38CA" w:rsidP="002A53D6">
      <w:pPr>
        <w:spacing w:after="0"/>
        <w:jc w:val="both"/>
        <w:rPr>
          <w:rFonts w:asciiTheme="majorBidi" w:hAnsiTheme="majorBidi" w:cstheme="majorBidi"/>
        </w:rPr>
      </w:pPr>
      <w:r w:rsidRPr="0056293F">
        <w:rPr>
          <w:rFonts w:asciiTheme="majorBidi" w:hAnsiTheme="majorBidi" w:cstheme="majorBidi"/>
        </w:rPr>
        <w:t>Pendant la dernière décennie, le Maroc a pu développer sa capacité de gestion environnementale globale de manière remarqua</w:t>
      </w:r>
      <w:r w:rsidR="00F4668A" w:rsidRPr="0056293F">
        <w:rPr>
          <w:rFonts w:asciiTheme="majorBidi" w:hAnsiTheme="majorBidi" w:cstheme="majorBidi"/>
        </w:rPr>
        <w:t>ble, notamment en procédant à</w:t>
      </w:r>
      <w:r w:rsidRPr="0056293F">
        <w:rPr>
          <w:rFonts w:asciiTheme="majorBidi" w:hAnsiTheme="majorBidi" w:cstheme="majorBidi"/>
        </w:rPr>
        <w:t xml:space="preserve"> l'adoption d'un cadre juridique et réglementaire global et à la création d'institutions dans le but de superviser la mise en œuvre et l’exécution des lois, règlements et normes en matière d’environnement.  Les ressources humaines et institutionnelles nécessaires au secteur de l’environnement ont également augmenté au niveau national, régional et dans les grandes entreprises nationales. Le Maroc est également engagé dans un programme permanent de renforcement des capacités dans lequel il est assisté par plusieurs bailleurs de fonds, à travers plusieurs projets.</w:t>
      </w:r>
      <w:r w:rsidR="0083171E" w:rsidRPr="0056293F">
        <w:rPr>
          <w:rFonts w:asciiTheme="majorBidi" w:hAnsiTheme="majorBidi" w:cstheme="majorBidi"/>
        </w:rPr>
        <w:t xml:space="preserve"> A l’instar de l’INDH 1, l’INDH 2 bénéficiera de cet engagement.  Certaines faiblesses au niveau des capacités de sauvegarde environnementales et sociales avaient été relevées dans des provinces et communes. Ces provinces et communes bénéficieront du processus en cours de déconcentration d’experts techniques du Ministère de l'Environnement au niveau provincial. L’INDH 2 contribuera, entre </w:t>
      </w:r>
      <w:r w:rsidR="00F4668A" w:rsidRPr="0056293F">
        <w:rPr>
          <w:rFonts w:asciiTheme="majorBidi" w:hAnsiTheme="majorBidi" w:cstheme="majorBidi"/>
        </w:rPr>
        <w:t>autres, à</w:t>
      </w:r>
      <w:r w:rsidR="0083171E" w:rsidRPr="0056293F">
        <w:rPr>
          <w:rFonts w:asciiTheme="majorBidi" w:hAnsiTheme="majorBidi" w:cstheme="majorBidi"/>
        </w:rPr>
        <w:t xml:space="preserve"> mieux affiner les processus de sélection et à renforcer les capacités de gestion environnementale des parties prenantes à l’INDH.  </w:t>
      </w:r>
    </w:p>
    <w:p w:rsidR="00F4668A" w:rsidRPr="0056293F" w:rsidRDefault="00F4668A" w:rsidP="002A53D6">
      <w:pPr>
        <w:spacing w:after="0"/>
        <w:jc w:val="both"/>
        <w:rPr>
          <w:rFonts w:asciiTheme="majorBidi" w:hAnsiTheme="majorBidi" w:cstheme="majorBidi"/>
        </w:rPr>
      </w:pPr>
    </w:p>
    <w:p w:rsidR="00DF38CA" w:rsidRPr="0056293F" w:rsidRDefault="0083171E" w:rsidP="00684B30">
      <w:pPr>
        <w:spacing w:after="0"/>
        <w:jc w:val="both"/>
        <w:rPr>
          <w:rFonts w:asciiTheme="majorBidi" w:hAnsiTheme="majorBidi" w:cstheme="majorBidi"/>
        </w:rPr>
      </w:pPr>
      <w:r w:rsidRPr="0056293F">
        <w:rPr>
          <w:rFonts w:asciiTheme="majorBidi" w:hAnsiTheme="majorBidi" w:cstheme="majorBidi"/>
        </w:rPr>
        <w:t xml:space="preserve">De manière spécifique, </w:t>
      </w:r>
      <w:r w:rsidR="00DF38CA" w:rsidRPr="0056293F">
        <w:rPr>
          <w:rFonts w:asciiTheme="majorBidi" w:hAnsiTheme="majorBidi" w:cstheme="majorBidi"/>
        </w:rPr>
        <w:t>Le projet de rapport d’achèvement (ICR) mentionne que l</w:t>
      </w:r>
      <w:r w:rsidR="00684B30" w:rsidRPr="0056293F">
        <w:rPr>
          <w:rFonts w:asciiTheme="majorBidi" w:hAnsiTheme="majorBidi" w:cstheme="majorBidi"/>
        </w:rPr>
        <w:t xml:space="preserve">’INDH 1 a été mis en œuvre </w:t>
      </w:r>
      <w:r w:rsidR="00DF38CA" w:rsidRPr="0056293F">
        <w:rPr>
          <w:rFonts w:asciiTheme="majorBidi" w:hAnsiTheme="majorBidi" w:cstheme="majorBidi"/>
        </w:rPr>
        <w:t>dans un cadre participatif, englobant les communautés locales, les élus locaux et d'autres représentants de la société civile. Une formation a été fournie et les capacités ont été renforcées pour mettre en œuvre les mesures nécessaires à l’atténuation des impacts environnementaux et sociaux des activités de l'INDH1. L’engagement du gouvernement et l'implication des parties prenantes étaient forts. Les sous-projets ont été essentiellement identifiés au moyen d’un processus ascendant et participatif, dans lequel les collectivités locales avaient  leur mot à dire aussi bien dans le processus décisionnel que dans l’exécution de l’ensemble des investissements de l’INDH1. L’expérience de l’INDH1, y compris les enseignements qui en ont été tirés, contribuera  certainement à définir les modalités, les processus et les règles pour l’exécution et le suivi des mesures d'atténuation et pour l'amélioration des impacts environnementaux et sociaux positifs de l’INDH2. Ce faisant, une attention particulière sera consacrée à capitaliser le processus participatif solide réalisé dans le cadre l'INDH 1 et l’élaboration d</w:t>
      </w:r>
      <w:r w:rsidR="00684B30" w:rsidRPr="0056293F">
        <w:rPr>
          <w:rFonts w:asciiTheme="majorBidi" w:hAnsiTheme="majorBidi" w:cstheme="majorBidi"/>
        </w:rPr>
        <w:t>’</w:t>
      </w:r>
      <w:r w:rsidR="00DF38CA" w:rsidRPr="0056293F">
        <w:rPr>
          <w:rFonts w:asciiTheme="majorBidi" w:hAnsiTheme="majorBidi" w:cstheme="majorBidi"/>
        </w:rPr>
        <w:t>instruments et processus à même de renforcer davantage les processus de consultation et de veiller à ce qu’ils soient conçus afin de faciliter la participation des groupes vulnérables, en prenant en considération les sensibilités culturelles et les compétences linguistiques.</w:t>
      </w:r>
    </w:p>
    <w:tbl>
      <w:tblPr>
        <w:tblW w:w="10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tblPr>
      <w:tblGrid>
        <w:gridCol w:w="50"/>
        <w:gridCol w:w="4590"/>
        <w:gridCol w:w="810"/>
        <w:gridCol w:w="786"/>
        <w:gridCol w:w="900"/>
        <w:gridCol w:w="1368"/>
        <w:gridCol w:w="1602"/>
        <w:gridCol w:w="223"/>
      </w:tblGrid>
      <w:tr w:rsidR="00DF38CA" w:rsidRPr="0056293F" w:rsidTr="00152DFD">
        <w:trPr>
          <w:gridBefore w:val="1"/>
          <w:gridAfter w:val="1"/>
          <w:wBefore w:w="50" w:type="dxa"/>
          <w:wAfter w:w="223" w:type="dxa"/>
        </w:trPr>
        <w:tc>
          <w:tcPr>
            <w:tcW w:w="10056" w:type="dxa"/>
            <w:gridSpan w:val="6"/>
            <w:tcBorders>
              <w:top w:val="nil"/>
              <w:left w:val="nil"/>
              <w:bottom w:val="nil"/>
              <w:right w:val="nil"/>
            </w:tcBorders>
            <w:shd w:val="clear" w:color="auto" w:fill="FFFFFF"/>
            <w:tcMar>
              <w:top w:w="50" w:type="dxa"/>
              <w:left w:w="50" w:type="dxa"/>
              <w:bottom w:w="50" w:type="dxa"/>
              <w:right w:w="50" w:type="dxa"/>
            </w:tcMar>
            <w:vAlign w:val="center"/>
          </w:tcPr>
          <w:p w:rsidR="00F02D05" w:rsidRPr="0056293F" w:rsidRDefault="00F02D05" w:rsidP="002A53D6">
            <w:pPr>
              <w:spacing w:after="0"/>
              <w:rPr>
                <w:rFonts w:asciiTheme="majorBidi" w:hAnsiTheme="majorBidi" w:cstheme="majorBidi"/>
                <w:b/>
                <w:bCs/>
              </w:rPr>
            </w:pPr>
          </w:p>
          <w:p w:rsidR="00F02D05" w:rsidRPr="0056293F" w:rsidRDefault="00F02D05" w:rsidP="002A53D6">
            <w:pPr>
              <w:spacing w:after="0"/>
              <w:rPr>
                <w:rFonts w:asciiTheme="majorBidi" w:hAnsiTheme="majorBidi" w:cstheme="majorBidi"/>
                <w:b/>
                <w:bCs/>
              </w:rPr>
            </w:pPr>
          </w:p>
          <w:p w:rsidR="00DF38CA" w:rsidRPr="0056293F" w:rsidRDefault="00DF38CA" w:rsidP="002A53D6">
            <w:pPr>
              <w:spacing w:after="0"/>
              <w:rPr>
                <w:rFonts w:asciiTheme="majorBidi" w:hAnsiTheme="majorBidi" w:cstheme="majorBidi"/>
              </w:rPr>
            </w:pPr>
            <w:r w:rsidRPr="0056293F">
              <w:rPr>
                <w:rFonts w:asciiTheme="majorBidi" w:hAnsiTheme="majorBidi" w:cstheme="majorBidi"/>
                <w:b/>
                <w:bCs/>
              </w:rPr>
              <w:t xml:space="preserve">F. </w:t>
            </w:r>
            <w:r w:rsidR="001B6553">
              <w:rPr>
                <w:rFonts w:asciiTheme="majorBidi" w:hAnsiTheme="majorBidi" w:cstheme="majorBidi"/>
                <w:b/>
                <w:bCs/>
              </w:rPr>
              <w:t xml:space="preserve"> </w:t>
            </w:r>
            <w:r w:rsidRPr="0056293F">
              <w:rPr>
                <w:rFonts w:asciiTheme="majorBidi" w:hAnsiTheme="majorBidi" w:cstheme="majorBidi"/>
                <w:b/>
                <w:bCs/>
              </w:rPr>
              <w:t>Spécialistes en matière de sauvegarde environnementale et sociale composant l’équipe</w:t>
            </w:r>
          </w:p>
        </w:tc>
      </w:tr>
      <w:tr w:rsidR="00DF38CA" w:rsidRPr="0056293F" w:rsidTr="00152DFD">
        <w:trPr>
          <w:gridBefore w:val="1"/>
          <w:gridAfter w:val="1"/>
          <w:wBefore w:w="50" w:type="dxa"/>
          <w:wAfter w:w="223" w:type="dxa"/>
        </w:trPr>
        <w:tc>
          <w:tcPr>
            <w:tcW w:w="10056" w:type="dxa"/>
            <w:gridSpan w:val="6"/>
            <w:tcBorders>
              <w:top w:val="nil"/>
              <w:left w:val="nil"/>
              <w:bottom w:val="nil"/>
              <w:right w:val="nil"/>
            </w:tcBorders>
            <w:shd w:val="clear" w:color="auto" w:fill="FFFFFF"/>
            <w:tcMar>
              <w:top w:w="50" w:type="dxa"/>
              <w:left w:w="50" w:type="dxa"/>
              <w:bottom w:w="50" w:type="dxa"/>
              <w:right w:w="50" w:type="dxa"/>
            </w:tcMar>
            <w:vAlign w:val="center"/>
          </w:tcPr>
          <w:p w:rsidR="00DF38CA" w:rsidRPr="0056293F" w:rsidRDefault="00122F39" w:rsidP="00122F39">
            <w:pPr>
              <w:spacing w:after="0"/>
              <w:rPr>
                <w:rFonts w:asciiTheme="majorBidi" w:hAnsiTheme="majorBidi" w:cstheme="majorBidi"/>
              </w:rPr>
            </w:pPr>
            <w:r w:rsidRPr="0056293F">
              <w:rPr>
                <w:rFonts w:asciiTheme="majorBidi" w:hAnsiTheme="majorBidi" w:cstheme="majorBidi"/>
              </w:rPr>
              <w:lastRenderedPageBreak/>
              <w:t>Andrea Liverani (MNSSO)</w:t>
            </w:r>
          </w:p>
        </w:tc>
      </w:tr>
      <w:tr w:rsidR="00DF38CA" w:rsidRPr="0056293F" w:rsidTr="00152DFD">
        <w:trPr>
          <w:gridBefore w:val="1"/>
          <w:gridAfter w:val="1"/>
          <w:wBefore w:w="50" w:type="dxa"/>
          <w:wAfter w:w="223" w:type="dxa"/>
        </w:trPr>
        <w:tc>
          <w:tcPr>
            <w:tcW w:w="10056" w:type="dxa"/>
            <w:gridSpan w:val="6"/>
            <w:tcBorders>
              <w:top w:val="nil"/>
              <w:left w:val="nil"/>
              <w:bottom w:val="nil"/>
              <w:right w:val="nil"/>
            </w:tcBorders>
            <w:shd w:val="clear" w:color="auto" w:fill="FFFFFF"/>
            <w:tcMar>
              <w:top w:w="50" w:type="dxa"/>
              <w:left w:w="50" w:type="dxa"/>
              <w:bottom w:w="50" w:type="dxa"/>
              <w:right w:w="50" w:type="dxa"/>
            </w:tcMar>
            <w:vAlign w:val="center"/>
          </w:tcPr>
          <w:p w:rsidR="00DF38CA" w:rsidRPr="0056293F" w:rsidRDefault="00122F39" w:rsidP="00122F39">
            <w:pPr>
              <w:spacing w:after="0"/>
              <w:rPr>
                <w:rFonts w:asciiTheme="majorBidi" w:hAnsiTheme="majorBidi" w:cstheme="majorBidi"/>
              </w:rPr>
            </w:pPr>
            <w:proofErr w:type="spellStart"/>
            <w:r w:rsidRPr="0056293F">
              <w:rPr>
                <w:rFonts w:asciiTheme="majorBidi" w:hAnsiTheme="majorBidi" w:cstheme="majorBidi"/>
              </w:rPr>
              <w:t>Gael</w:t>
            </w:r>
            <w:proofErr w:type="spellEnd"/>
            <w:r w:rsidRPr="0056293F">
              <w:rPr>
                <w:rFonts w:asciiTheme="majorBidi" w:hAnsiTheme="majorBidi" w:cstheme="majorBidi"/>
              </w:rPr>
              <w:t xml:space="preserve"> </w:t>
            </w:r>
            <w:proofErr w:type="spellStart"/>
            <w:r w:rsidRPr="0056293F">
              <w:rPr>
                <w:rFonts w:asciiTheme="majorBidi" w:hAnsiTheme="majorBidi" w:cstheme="majorBidi"/>
              </w:rPr>
              <w:t>Gregoire</w:t>
            </w:r>
            <w:proofErr w:type="spellEnd"/>
            <w:r w:rsidRPr="0056293F">
              <w:rPr>
                <w:rFonts w:asciiTheme="majorBidi" w:hAnsiTheme="majorBidi" w:cstheme="majorBidi"/>
              </w:rPr>
              <w:t xml:space="preserve"> (MNSEN)</w:t>
            </w:r>
          </w:p>
        </w:tc>
      </w:tr>
      <w:tr w:rsidR="00DF38CA" w:rsidRPr="0056293F" w:rsidTr="00152DFD">
        <w:trPr>
          <w:gridBefore w:val="1"/>
          <w:gridAfter w:val="1"/>
          <w:wBefore w:w="50" w:type="dxa"/>
          <w:wAfter w:w="223" w:type="dxa"/>
        </w:trPr>
        <w:tc>
          <w:tcPr>
            <w:tcW w:w="10056" w:type="dxa"/>
            <w:gridSpan w:val="6"/>
            <w:tcBorders>
              <w:top w:val="nil"/>
              <w:left w:val="nil"/>
              <w:bottom w:val="nil"/>
              <w:right w:val="nil"/>
            </w:tcBorders>
            <w:shd w:val="clear" w:color="auto" w:fill="FFFFFF"/>
            <w:tcMar>
              <w:top w:w="50" w:type="dxa"/>
              <w:left w:w="50" w:type="dxa"/>
              <w:bottom w:w="50" w:type="dxa"/>
              <w:right w:w="50" w:type="dxa"/>
            </w:tcMar>
            <w:vAlign w:val="center"/>
          </w:tcPr>
          <w:p w:rsidR="00DF38CA" w:rsidRPr="0056293F" w:rsidRDefault="00122F39" w:rsidP="002A53D6">
            <w:pPr>
              <w:spacing w:after="0"/>
              <w:rPr>
                <w:rFonts w:asciiTheme="majorBidi" w:hAnsiTheme="majorBidi" w:cstheme="majorBidi"/>
              </w:rPr>
            </w:pPr>
            <w:r w:rsidRPr="0056293F">
              <w:rPr>
                <w:rFonts w:asciiTheme="majorBidi" w:hAnsiTheme="majorBidi" w:cstheme="majorBidi"/>
              </w:rPr>
              <w:t xml:space="preserve">Mohammed A. </w:t>
            </w:r>
            <w:proofErr w:type="spellStart"/>
            <w:r w:rsidRPr="0056293F">
              <w:rPr>
                <w:rFonts w:asciiTheme="majorBidi" w:hAnsiTheme="majorBidi" w:cstheme="majorBidi"/>
              </w:rPr>
              <w:t>Bekhechi</w:t>
            </w:r>
            <w:proofErr w:type="spellEnd"/>
          </w:p>
        </w:tc>
      </w:tr>
      <w:tr w:rsidR="00DF38CA" w:rsidRPr="0056293F" w:rsidTr="00152DFD">
        <w:trPr>
          <w:gridBefore w:val="1"/>
          <w:wBefore w:w="50" w:type="dxa"/>
        </w:trPr>
        <w:tc>
          <w:tcPr>
            <w:tcW w:w="10279" w:type="dxa"/>
            <w:gridSpan w:val="7"/>
            <w:tcBorders>
              <w:top w:val="nil"/>
              <w:left w:val="nil"/>
              <w:bottom w:val="nil"/>
              <w:right w:val="nil"/>
            </w:tcBorders>
            <w:shd w:val="clear" w:color="auto" w:fill="FFFFFF"/>
            <w:tcMar>
              <w:top w:w="50" w:type="dxa"/>
              <w:left w:w="50" w:type="dxa"/>
              <w:bottom w:w="50" w:type="dxa"/>
              <w:right w:w="50" w:type="dxa"/>
            </w:tcMar>
            <w:vAlign w:val="center"/>
          </w:tcPr>
          <w:p w:rsidR="00DF38CA" w:rsidRPr="0056293F" w:rsidRDefault="00754A48" w:rsidP="00EC6295">
            <w:pPr>
              <w:spacing w:after="0"/>
              <w:rPr>
                <w:rFonts w:asciiTheme="majorBidi" w:hAnsiTheme="majorBidi" w:cstheme="majorBidi"/>
              </w:rPr>
            </w:pPr>
            <w:r w:rsidRPr="0056293F">
              <w:rPr>
                <w:rFonts w:asciiTheme="majorBidi" w:hAnsiTheme="majorBidi" w:cstheme="majorBidi"/>
              </w:rPr>
              <w:t xml:space="preserve">Najat </w:t>
            </w:r>
            <w:proofErr w:type="spellStart"/>
            <w:r w:rsidRPr="0056293F">
              <w:rPr>
                <w:rFonts w:asciiTheme="majorBidi" w:hAnsiTheme="majorBidi" w:cstheme="majorBidi"/>
              </w:rPr>
              <w:t>Maalla</w:t>
            </w:r>
            <w:proofErr w:type="spellEnd"/>
            <w:r w:rsidRPr="0056293F">
              <w:rPr>
                <w:rFonts w:asciiTheme="majorBidi" w:hAnsiTheme="majorBidi" w:cstheme="majorBidi"/>
              </w:rPr>
              <w:t xml:space="preserve"> M'</w:t>
            </w:r>
            <w:proofErr w:type="spellStart"/>
            <w:r w:rsidRPr="0056293F">
              <w:rPr>
                <w:rFonts w:asciiTheme="majorBidi" w:hAnsiTheme="majorBidi" w:cstheme="majorBidi"/>
              </w:rPr>
              <w:t>Jid</w:t>
            </w:r>
            <w:proofErr w:type="spellEnd"/>
          </w:p>
        </w:tc>
      </w:tr>
      <w:tr w:rsidR="00DF38CA" w:rsidRPr="0056293F" w:rsidTr="00152DFD">
        <w:trPr>
          <w:gridBefore w:val="1"/>
          <w:wBefore w:w="50" w:type="dxa"/>
        </w:trPr>
        <w:tc>
          <w:tcPr>
            <w:tcW w:w="10279" w:type="dxa"/>
            <w:gridSpan w:val="7"/>
            <w:tcBorders>
              <w:top w:val="nil"/>
              <w:left w:val="nil"/>
              <w:bottom w:val="nil"/>
              <w:right w:val="nil"/>
            </w:tcBorders>
            <w:shd w:val="clear" w:color="auto" w:fill="FFFFFF"/>
            <w:tcMar>
              <w:top w:w="50" w:type="dxa"/>
              <w:left w:w="50" w:type="dxa"/>
              <w:bottom w:w="50" w:type="dxa"/>
              <w:right w:w="50" w:type="dxa"/>
            </w:tcMar>
            <w:vAlign w:val="center"/>
          </w:tcPr>
          <w:p w:rsidR="00DF38CA" w:rsidRPr="0056293F" w:rsidRDefault="00754A48" w:rsidP="00EC6295">
            <w:pPr>
              <w:spacing w:after="0"/>
              <w:rPr>
                <w:rFonts w:asciiTheme="majorBidi" w:hAnsiTheme="majorBidi" w:cstheme="majorBidi"/>
              </w:rPr>
            </w:pPr>
            <w:r w:rsidRPr="0056293F">
              <w:rPr>
                <w:rFonts w:asciiTheme="majorBidi" w:hAnsiTheme="majorBidi" w:cstheme="majorBidi"/>
              </w:rPr>
              <w:t xml:space="preserve">Khalid Anouar </w:t>
            </w:r>
          </w:p>
        </w:tc>
      </w:tr>
      <w:tr w:rsidR="00DF38CA" w:rsidRPr="0056293F" w:rsidTr="00152DFD">
        <w:trPr>
          <w:gridBefore w:val="1"/>
          <w:wBefore w:w="50" w:type="dxa"/>
        </w:trPr>
        <w:tc>
          <w:tcPr>
            <w:tcW w:w="10279" w:type="dxa"/>
            <w:gridSpan w:val="7"/>
            <w:tcBorders>
              <w:top w:val="nil"/>
              <w:left w:val="nil"/>
              <w:bottom w:val="nil"/>
              <w:right w:val="nil"/>
            </w:tcBorders>
            <w:shd w:val="clear" w:color="auto" w:fill="FFFFFF"/>
            <w:tcMar>
              <w:top w:w="50" w:type="dxa"/>
              <w:left w:w="50" w:type="dxa"/>
              <w:bottom w:w="50" w:type="dxa"/>
              <w:right w:w="50" w:type="dxa"/>
            </w:tcMar>
            <w:vAlign w:val="center"/>
          </w:tcPr>
          <w:p w:rsidR="00004D21" w:rsidRDefault="00004D21" w:rsidP="002A53D6">
            <w:pPr>
              <w:spacing w:after="0"/>
              <w:rPr>
                <w:rFonts w:asciiTheme="majorBidi" w:hAnsiTheme="majorBidi" w:cstheme="majorBidi"/>
                <w:b/>
                <w:bCs/>
              </w:rPr>
            </w:pPr>
          </w:p>
          <w:p w:rsidR="00DF38CA" w:rsidRPr="0056293F" w:rsidRDefault="00DF38CA" w:rsidP="002A53D6">
            <w:pPr>
              <w:spacing w:after="0"/>
              <w:rPr>
                <w:rFonts w:asciiTheme="majorBidi" w:hAnsiTheme="majorBidi" w:cstheme="majorBidi"/>
                <w:b/>
                <w:bCs/>
              </w:rPr>
            </w:pPr>
            <w:r w:rsidRPr="0056293F">
              <w:rPr>
                <w:rFonts w:asciiTheme="majorBidi" w:hAnsiTheme="majorBidi" w:cstheme="majorBidi"/>
                <w:b/>
                <w:bCs/>
              </w:rPr>
              <w:t>II. POLITIQUES DE SAUVEGARDE SUSCEPTIBLES D’ETRE APPLIQUÉES</w:t>
            </w:r>
          </w:p>
          <w:p w:rsidR="00684B30" w:rsidRPr="0056293F" w:rsidRDefault="00684B30" w:rsidP="002A53D6">
            <w:pPr>
              <w:spacing w:after="0"/>
              <w:rPr>
                <w:rFonts w:asciiTheme="majorBidi" w:hAnsiTheme="majorBidi" w:cstheme="majorBidi"/>
              </w:rPr>
            </w:pPr>
          </w:p>
        </w:tc>
      </w:tr>
      <w:tr w:rsidR="00DF38CA" w:rsidRPr="0056293F" w:rsidTr="00152DFD">
        <w:trPr>
          <w:gridAfter w:val="2"/>
          <w:wAfter w:w="1825" w:type="dxa"/>
        </w:trPr>
        <w:tc>
          <w:tcPr>
            <w:tcW w:w="46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b/>
                <w:bCs/>
              </w:rPr>
              <w:t>Politiques de Sauvegarde Déclenchées</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b/>
                <w:bCs/>
              </w:rPr>
              <w:t>Oui</w:t>
            </w:r>
          </w:p>
        </w:tc>
        <w:tc>
          <w:tcPr>
            <w:tcW w:w="78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b/>
                <w:bCs/>
              </w:rPr>
              <w:t>Non</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b/>
                <w:bCs/>
              </w:rPr>
              <w:t>À définir</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b/>
                <w:bCs/>
              </w:rPr>
              <w:t>Explication</w:t>
            </w:r>
          </w:p>
        </w:tc>
      </w:tr>
      <w:tr w:rsidR="00DF38CA" w:rsidRPr="0056293F" w:rsidTr="00152DFD">
        <w:trPr>
          <w:gridAfter w:val="2"/>
          <w:wAfter w:w="1825" w:type="dxa"/>
        </w:trPr>
        <w:tc>
          <w:tcPr>
            <w:tcW w:w="46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rPr>
              <w:t>Evaluation environnementale OP/BP 4.01</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b/>
                <w:bCs/>
              </w:rPr>
              <w:t>X</w:t>
            </w:r>
          </w:p>
        </w:tc>
        <w:tc>
          <w:tcPr>
            <w:tcW w:w="78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r>
      <w:tr w:rsidR="00DF38CA" w:rsidRPr="0056293F" w:rsidTr="00152DFD">
        <w:trPr>
          <w:gridAfter w:val="2"/>
          <w:wAfter w:w="1825" w:type="dxa"/>
        </w:trPr>
        <w:tc>
          <w:tcPr>
            <w:tcW w:w="46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rPr>
              <w:t>Habitats Naturels OP/BP 4.04</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b/>
                <w:bCs/>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r>
      <w:tr w:rsidR="00DF38CA" w:rsidRPr="0056293F" w:rsidTr="00152DFD">
        <w:trPr>
          <w:gridAfter w:val="2"/>
          <w:wAfter w:w="1825" w:type="dxa"/>
        </w:trPr>
        <w:tc>
          <w:tcPr>
            <w:tcW w:w="46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rPr>
              <w:t>Forêts OP/BP 4.36</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b/>
                <w:bCs/>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r>
      <w:tr w:rsidR="00DF38CA" w:rsidRPr="0056293F" w:rsidTr="00152DFD">
        <w:trPr>
          <w:gridAfter w:val="2"/>
          <w:wAfter w:w="1825" w:type="dxa"/>
        </w:trPr>
        <w:tc>
          <w:tcPr>
            <w:tcW w:w="46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rPr>
              <w:t>Lutte contre les ravageurs OP 4.09</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b/>
                <w:bCs/>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r>
      <w:tr w:rsidR="00DF38CA" w:rsidRPr="0056293F" w:rsidTr="00152DFD">
        <w:trPr>
          <w:gridAfter w:val="2"/>
          <w:wAfter w:w="1825" w:type="dxa"/>
        </w:trPr>
        <w:tc>
          <w:tcPr>
            <w:tcW w:w="46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rPr>
              <w:t>Ressources Culturelles Physiques OP/BP 4.11</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b/>
                <w:bCs/>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r>
      <w:tr w:rsidR="00DF38CA" w:rsidRPr="0056293F" w:rsidTr="00152DFD">
        <w:trPr>
          <w:gridAfter w:val="2"/>
          <w:wAfter w:w="1825" w:type="dxa"/>
        </w:trPr>
        <w:tc>
          <w:tcPr>
            <w:tcW w:w="46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rPr>
              <w:t>Peuples autochtones OP/BP 4.10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b/>
                <w:bCs/>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r>
      <w:tr w:rsidR="00DF38CA" w:rsidRPr="0056293F" w:rsidTr="00152DFD">
        <w:trPr>
          <w:gridAfter w:val="2"/>
          <w:wAfter w:w="1825" w:type="dxa"/>
        </w:trPr>
        <w:tc>
          <w:tcPr>
            <w:tcW w:w="46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rPr>
              <w:t>Déplacements involontaires OP/BP 4.12</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b/>
                <w:bCs/>
              </w:rPr>
              <w:t>X</w:t>
            </w:r>
          </w:p>
        </w:tc>
        <w:tc>
          <w:tcPr>
            <w:tcW w:w="78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r>
      <w:tr w:rsidR="00DF38CA" w:rsidRPr="0056293F" w:rsidTr="00152DFD">
        <w:trPr>
          <w:gridAfter w:val="2"/>
          <w:wAfter w:w="1825" w:type="dxa"/>
        </w:trPr>
        <w:tc>
          <w:tcPr>
            <w:tcW w:w="46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rPr>
              <w:t>Sécurité des barrages OP/BP 4.37</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b/>
                <w:bCs/>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r>
      <w:tr w:rsidR="00DF38CA" w:rsidRPr="0056293F" w:rsidTr="00152DFD">
        <w:trPr>
          <w:gridAfter w:val="2"/>
          <w:wAfter w:w="1825" w:type="dxa"/>
        </w:trPr>
        <w:tc>
          <w:tcPr>
            <w:tcW w:w="46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152DFD">
            <w:pPr>
              <w:spacing w:after="0"/>
              <w:rPr>
                <w:rFonts w:asciiTheme="majorBidi" w:hAnsiTheme="majorBidi" w:cstheme="majorBidi"/>
              </w:rPr>
            </w:pPr>
            <w:r w:rsidRPr="0056293F">
              <w:rPr>
                <w:rFonts w:asciiTheme="majorBidi" w:hAnsiTheme="majorBidi" w:cstheme="majorBidi"/>
              </w:rPr>
              <w:t xml:space="preserve">Projets </w:t>
            </w:r>
            <w:r w:rsidR="0056293F">
              <w:rPr>
                <w:rFonts w:asciiTheme="majorBidi" w:hAnsiTheme="majorBidi" w:cstheme="majorBidi"/>
              </w:rPr>
              <w:t xml:space="preserve">sur les </w:t>
            </w:r>
            <w:r w:rsidRPr="0056293F">
              <w:rPr>
                <w:rFonts w:asciiTheme="majorBidi" w:hAnsiTheme="majorBidi" w:cstheme="majorBidi"/>
              </w:rPr>
              <w:t>voies maritimes internationales OP/BP 7.50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b/>
                <w:bCs/>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r>
      <w:tr w:rsidR="00152DFD" w:rsidRPr="0056293F" w:rsidTr="00152DFD">
        <w:trPr>
          <w:gridAfter w:val="2"/>
          <w:wAfter w:w="1825" w:type="dxa"/>
        </w:trPr>
        <w:tc>
          <w:tcPr>
            <w:tcW w:w="46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52DFD" w:rsidRPr="0056293F" w:rsidRDefault="00152DFD" w:rsidP="0056293F">
            <w:pPr>
              <w:spacing w:after="0"/>
              <w:rPr>
                <w:rFonts w:asciiTheme="majorBidi" w:hAnsiTheme="majorBidi" w:cstheme="majorBidi"/>
              </w:rPr>
            </w:pPr>
            <w:r w:rsidRPr="0056293F">
              <w:rPr>
                <w:rFonts w:asciiTheme="majorBidi" w:hAnsiTheme="majorBidi" w:cstheme="majorBidi"/>
              </w:rPr>
              <w:t xml:space="preserve">Projets </w:t>
            </w:r>
            <w:r>
              <w:rPr>
                <w:rFonts w:asciiTheme="majorBidi" w:hAnsiTheme="majorBidi" w:cstheme="majorBidi"/>
              </w:rPr>
              <w:t>sur</w:t>
            </w:r>
            <w:r w:rsidRPr="0056293F">
              <w:rPr>
                <w:rFonts w:asciiTheme="majorBidi" w:hAnsiTheme="majorBidi" w:cstheme="majorBidi"/>
              </w:rPr>
              <w:t xml:space="preserve"> des zones contestées OP/BP 7.60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52DFD" w:rsidRPr="0056293F" w:rsidRDefault="00152DFD" w:rsidP="002A53D6">
            <w:pPr>
              <w:spacing w:after="0"/>
              <w:rPr>
                <w:rFonts w:asciiTheme="majorBidi" w:hAnsiTheme="majorBidi" w:cstheme="majorBidi"/>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52DFD" w:rsidRPr="0056293F" w:rsidRDefault="00152DFD" w:rsidP="002A53D6">
            <w:pPr>
              <w:spacing w:after="0"/>
              <w:rPr>
                <w:rFonts w:asciiTheme="majorBidi" w:hAnsiTheme="majorBidi" w:cstheme="majorBidi"/>
                <w:b/>
                <w:bCs/>
              </w:rPr>
            </w:pPr>
            <w:r>
              <w:rPr>
                <w:rFonts w:asciiTheme="majorBidi" w:hAnsiTheme="majorBidi" w:cstheme="majorBidi"/>
                <w:b/>
                <w:bCs/>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52DFD" w:rsidRPr="0056293F" w:rsidRDefault="00152DFD" w:rsidP="002A53D6">
            <w:pPr>
              <w:spacing w:after="0"/>
              <w:rPr>
                <w:rFonts w:asciiTheme="majorBidi" w:hAnsiTheme="majorBidi" w:cstheme="majorBidi"/>
              </w:rPr>
            </w:pP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52DFD" w:rsidRPr="0056293F" w:rsidRDefault="00152DFD" w:rsidP="002A53D6">
            <w:pPr>
              <w:spacing w:after="0"/>
              <w:rPr>
                <w:rFonts w:asciiTheme="majorBidi" w:hAnsiTheme="majorBidi" w:cstheme="majorBidi"/>
              </w:rPr>
            </w:pPr>
          </w:p>
        </w:tc>
      </w:tr>
      <w:tr w:rsidR="00DF38CA" w:rsidRPr="0056293F" w:rsidTr="00152DFD">
        <w:trPr>
          <w:gridBefore w:val="1"/>
          <w:wBefore w:w="50" w:type="dxa"/>
        </w:trPr>
        <w:tc>
          <w:tcPr>
            <w:tcW w:w="10279" w:type="dxa"/>
            <w:gridSpan w:val="7"/>
            <w:tcBorders>
              <w:top w:val="nil"/>
              <w:left w:val="nil"/>
              <w:bottom w:val="nil"/>
              <w:right w:val="nil"/>
            </w:tcBorders>
            <w:shd w:val="clear" w:color="auto" w:fill="FFFFFF"/>
            <w:tcMar>
              <w:top w:w="50" w:type="dxa"/>
              <w:left w:w="50" w:type="dxa"/>
              <w:bottom w:w="50" w:type="dxa"/>
              <w:right w:w="50" w:type="dxa"/>
            </w:tcMar>
            <w:vAlign w:val="center"/>
          </w:tcPr>
          <w:p w:rsidR="00684B30" w:rsidRPr="0056293F" w:rsidRDefault="00684B30" w:rsidP="002A53D6">
            <w:pPr>
              <w:spacing w:after="0"/>
              <w:rPr>
                <w:rFonts w:asciiTheme="majorBidi" w:hAnsiTheme="majorBidi" w:cstheme="majorBidi"/>
                <w:b/>
                <w:bCs/>
              </w:rPr>
            </w:pPr>
          </w:p>
          <w:p w:rsidR="000610BF" w:rsidRPr="0056293F" w:rsidRDefault="000610BF" w:rsidP="002A53D6">
            <w:pPr>
              <w:spacing w:after="0"/>
              <w:rPr>
                <w:rFonts w:asciiTheme="majorBidi" w:hAnsiTheme="majorBidi" w:cstheme="majorBidi"/>
                <w:b/>
                <w:bCs/>
              </w:rPr>
            </w:pPr>
          </w:p>
          <w:p w:rsidR="00684B30" w:rsidRPr="0056293F" w:rsidRDefault="00684B30" w:rsidP="00684B30">
            <w:pPr>
              <w:pStyle w:val="ListParagraph"/>
              <w:ind w:left="80"/>
              <w:rPr>
                <w:rFonts w:asciiTheme="majorBidi" w:hAnsiTheme="majorBidi" w:cstheme="majorBidi"/>
                <w:b/>
                <w:bCs/>
              </w:rPr>
            </w:pPr>
            <w:r w:rsidRPr="0056293F">
              <w:rPr>
                <w:rFonts w:asciiTheme="majorBidi" w:hAnsiTheme="majorBidi" w:cstheme="majorBidi"/>
                <w:b/>
                <w:bCs/>
              </w:rPr>
              <w:t>III. PLAN DE PREPARATION DES SAUVEGARDES</w:t>
            </w:r>
          </w:p>
          <w:p w:rsidR="00684B30" w:rsidRPr="0056293F" w:rsidRDefault="00684B30" w:rsidP="00684B30">
            <w:pPr>
              <w:pStyle w:val="ListParagraph"/>
              <w:ind w:left="80"/>
              <w:rPr>
                <w:rFonts w:asciiTheme="majorBidi" w:hAnsiTheme="majorBidi" w:cstheme="majorBidi"/>
                <w:b/>
                <w:bCs/>
                <w:sz w:val="22"/>
                <w:szCs w:val="22"/>
              </w:rPr>
            </w:pPr>
          </w:p>
          <w:p w:rsidR="00684B30" w:rsidRPr="0056293F" w:rsidRDefault="00684B30" w:rsidP="00684B30">
            <w:pPr>
              <w:pStyle w:val="ListParagraph"/>
              <w:numPr>
                <w:ilvl w:val="0"/>
                <w:numId w:val="16"/>
              </w:numPr>
              <w:rPr>
                <w:rFonts w:asciiTheme="majorBidi" w:hAnsiTheme="majorBidi" w:cstheme="majorBidi"/>
              </w:rPr>
            </w:pPr>
            <w:r w:rsidRPr="0056293F">
              <w:rPr>
                <w:rFonts w:asciiTheme="majorBidi" w:hAnsiTheme="majorBidi" w:cstheme="majorBidi"/>
                <w:sz w:val="22"/>
                <w:szCs w:val="22"/>
              </w:rPr>
              <w:t>Date cible provisoire pour la préparation de l’ISDS, étape PAD : Le 15 mars 2012</w:t>
            </w:r>
          </w:p>
          <w:p w:rsidR="000610BF" w:rsidRPr="0056293F" w:rsidRDefault="000610BF" w:rsidP="000610BF">
            <w:pPr>
              <w:pStyle w:val="ListParagraph"/>
              <w:ind w:left="440"/>
              <w:rPr>
                <w:rFonts w:asciiTheme="majorBidi" w:hAnsiTheme="majorBidi" w:cstheme="majorBidi"/>
              </w:rPr>
            </w:pPr>
          </w:p>
          <w:p w:rsidR="00684B30" w:rsidRPr="0056293F" w:rsidRDefault="00684B30" w:rsidP="009D39AE">
            <w:pPr>
              <w:pStyle w:val="ListParagraph"/>
              <w:numPr>
                <w:ilvl w:val="0"/>
                <w:numId w:val="16"/>
              </w:numPr>
              <w:ind w:right="353"/>
              <w:rPr>
                <w:rFonts w:asciiTheme="majorBidi" w:hAnsiTheme="majorBidi" w:cstheme="majorBidi"/>
              </w:rPr>
            </w:pPr>
            <w:r w:rsidRPr="0056293F">
              <w:rPr>
                <w:rFonts w:asciiTheme="majorBidi" w:hAnsiTheme="majorBidi" w:cstheme="majorBidi"/>
                <w:sz w:val="22"/>
                <w:szCs w:val="22"/>
              </w:rPr>
              <w:t>Calendrier pour le lancement et l’achèvement d’études portant su</w:t>
            </w:r>
            <w:r w:rsidR="000610BF" w:rsidRPr="0056293F">
              <w:rPr>
                <w:rFonts w:asciiTheme="majorBidi" w:hAnsiTheme="majorBidi" w:cstheme="majorBidi"/>
                <w:sz w:val="22"/>
                <w:szCs w:val="22"/>
              </w:rPr>
              <w:t xml:space="preserve">r les sauvegardes susceptibles </w:t>
            </w:r>
            <w:r w:rsidRPr="0056293F">
              <w:rPr>
                <w:rFonts w:asciiTheme="majorBidi" w:hAnsiTheme="majorBidi" w:cstheme="majorBidi"/>
                <w:sz w:val="22"/>
                <w:szCs w:val="22"/>
              </w:rPr>
              <w:t>d’être nécessaires. Les études spécifiques et le choix du moment</w:t>
            </w:r>
            <w:r w:rsidR="009D39AE">
              <w:rPr>
                <w:rFonts w:asciiTheme="majorBidi" w:hAnsiTheme="majorBidi" w:cstheme="majorBidi"/>
                <w:sz w:val="22"/>
                <w:szCs w:val="22"/>
              </w:rPr>
              <w:t xml:space="preserve"> </w:t>
            </w:r>
            <w:r w:rsidR="009D39AE">
              <w:rPr>
                <w:rStyle w:val="FootnoteReference"/>
                <w:rFonts w:asciiTheme="majorBidi" w:hAnsiTheme="majorBidi" w:cstheme="majorBidi"/>
                <w:i/>
                <w:iCs/>
                <w:sz w:val="20"/>
                <w:szCs w:val="20"/>
              </w:rPr>
              <w:footnoteReference w:id="1"/>
            </w:r>
            <w:r w:rsidRPr="0056293F">
              <w:rPr>
                <w:rFonts w:asciiTheme="majorBidi" w:hAnsiTheme="majorBidi" w:cstheme="majorBidi"/>
                <w:sz w:val="22"/>
                <w:szCs w:val="22"/>
              </w:rPr>
              <w:t xml:space="preserve"> de leur lancement devr</w:t>
            </w:r>
            <w:r w:rsidR="000610BF" w:rsidRPr="0056293F">
              <w:rPr>
                <w:rFonts w:asciiTheme="majorBidi" w:hAnsiTheme="majorBidi" w:cstheme="majorBidi"/>
                <w:sz w:val="22"/>
                <w:szCs w:val="22"/>
              </w:rPr>
              <w:t>aient être spécifiés dans l’ISDS à l’</w:t>
            </w:r>
            <w:r w:rsidRPr="0056293F">
              <w:rPr>
                <w:rFonts w:asciiTheme="majorBidi" w:hAnsiTheme="majorBidi" w:cstheme="majorBidi"/>
                <w:sz w:val="22"/>
                <w:szCs w:val="22"/>
              </w:rPr>
              <w:t xml:space="preserve">étape </w:t>
            </w:r>
            <w:r w:rsidR="000610BF" w:rsidRPr="0056293F">
              <w:rPr>
                <w:rFonts w:asciiTheme="majorBidi" w:hAnsiTheme="majorBidi" w:cstheme="majorBidi"/>
                <w:sz w:val="22"/>
                <w:szCs w:val="22"/>
              </w:rPr>
              <w:t xml:space="preserve">du </w:t>
            </w:r>
            <w:r w:rsidRPr="0056293F">
              <w:rPr>
                <w:rFonts w:asciiTheme="majorBidi" w:hAnsiTheme="majorBidi" w:cstheme="majorBidi"/>
                <w:sz w:val="22"/>
                <w:szCs w:val="22"/>
              </w:rPr>
              <w:t>PAD</w:t>
            </w:r>
          </w:p>
          <w:p w:rsidR="000610BF" w:rsidRPr="0056293F" w:rsidRDefault="000610BF" w:rsidP="00F02D05">
            <w:pPr>
              <w:pStyle w:val="ListParagraph"/>
              <w:numPr>
                <w:ilvl w:val="0"/>
                <w:numId w:val="17"/>
              </w:numPr>
              <w:ind w:left="940" w:right="353" w:hanging="270"/>
              <w:rPr>
                <w:rFonts w:asciiTheme="majorBidi" w:hAnsiTheme="majorBidi" w:cstheme="majorBidi"/>
              </w:rPr>
            </w:pPr>
            <w:r w:rsidRPr="0056293F">
              <w:rPr>
                <w:rFonts w:asciiTheme="majorBidi" w:hAnsiTheme="majorBidi" w:cstheme="majorBidi"/>
                <w:sz w:val="22"/>
                <w:szCs w:val="22"/>
              </w:rPr>
              <w:t>Date cible pour la Revue de l’Amélioration de la Qualité (QER), à laquelle l’étape PAD de l’ISDS sera préparée : le 31 janvier 2012</w:t>
            </w:r>
          </w:p>
          <w:p w:rsidR="000610BF" w:rsidRPr="0056293F" w:rsidRDefault="000610BF" w:rsidP="00F02D05">
            <w:pPr>
              <w:pStyle w:val="ListParagraph"/>
              <w:numPr>
                <w:ilvl w:val="0"/>
                <w:numId w:val="17"/>
              </w:numPr>
              <w:ind w:left="940" w:right="353" w:hanging="270"/>
              <w:rPr>
                <w:rFonts w:asciiTheme="majorBidi" w:hAnsiTheme="majorBidi" w:cstheme="majorBidi"/>
                <w:sz w:val="22"/>
                <w:szCs w:val="22"/>
              </w:rPr>
            </w:pPr>
            <w:r w:rsidRPr="0056293F">
              <w:rPr>
                <w:rFonts w:asciiTheme="majorBidi" w:hAnsiTheme="majorBidi" w:cstheme="majorBidi"/>
                <w:sz w:val="22"/>
                <w:szCs w:val="22"/>
              </w:rPr>
              <w:t>Pour les projets simples ne nécessitant pas de QER, la date cible pour la préparation de l’étape du PAD de l’ISDS est le 15 mars 2012</w:t>
            </w:r>
          </w:p>
          <w:p w:rsidR="00F02D05" w:rsidRPr="0056293F" w:rsidRDefault="000610BF" w:rsidP="00F02D05">
            <w:pPr>
              <w:pStyle w:val="ListParagraph"/>
              <w:numPr>
                <w:ilvl w:val="0"/>
                <w:numId w:val="17"/>
              </w:numPr>
              <w:ind w:left="940" w:right="353" w:hanging="270"/>
              <w:rPr>
                <w:rFonts w:asciiTheme="majorBidi" w:hAnsiTheme="majorBidi" w:cstheme="majorBidi"/>
                <w:sz w:val="22"/>
                <w:szCs w:val="22"/>
              </w:rPr>
            </w:pPr>
            <w:r w:rsidRPr="0056293F">
              <w:rPr>
                <w:rFonts w:asciiTheme="majorBidi" w:hAnsiTheme="majorBidi" w:cstheme="majorBidi"/>
                <w:sz w:val="22"/>
                <w:szCs w:val="22"/>
              </w:rPr>
              <w:t>Calendrier pour le lancement et la finalisation des études relatives aux sauvegardes susceptible d’être nécessaires. Les études spécifiques et leur calendrier seront précisés dans l’étape PAD de l’ISDS : janvier-février 2012</w:t>
            </w:r>
          </w:p>
          <w:p w:rsidR="00DF38CA" w:rsidRPr="009D39AE" w:rsidRDefault="00DF38CA" w:rsidP="009D39AE">
            <w:pPr>
              <w:rPr>
                <w:rFonts w:asciiTheme="majorBidi" w:hAnsiTheme="majorBidi" w:cstheme="majorBidi"/>
              </w:rPr>
            </w:pPr>
          </w:p>
        </w:tc>
      </w:tr>
    </w:tbl>
    <w:p w:rsidR="00D96E85" w:rsidRPr="00D96E85" w:rsidRDefault="00D96E85">
      <w:pPr>
        <w:rPr>
          <w:rFonts w:asciiTheme="majorBidi" w:hAnsiTheme="majorBidi" w:cstheme="majorBidi"/>
          <w:b/>
          <w:bCs/>
        </w:rPr>
      </w:pPr>
      <w:r>
        <w:rPr>
          <w:rFonts w:asciiTheme="majorBidi" w:hAnsiTheme="majorBidi" w:cstheme="majorBidi"/>
          <w:b/>
          <w:bCs/>
        </w:rPr>
        <w:lastRenderedPageBreak/>
        <w:t xml:space="preserve">IV. </w:t>
      </w:r>
      <w:r w:rsidR="001B6553">
        <w:rPr>
          <w:rFonts w:asciiTheme="majorBidi" w:hAnsiTheme="majorBidi" w:cstheme="majorBidi"/>
          <w:b/>
          <w:bCs/>
        </w:rPr>
        <w:tab/>
      </w:r>
      <w:r>
        <w:rPr>
          <w:rFonts w:asciiTheme="majorBidi" w:hAnsiTheme="majorBidi" w:cstheme="majorBidi"/>
          <w:b/>
          <w:bCs/>
        </w:rPr>
        <w:t>APPROBATIONS</w:t>
      </w:r>
    </w:p>
    <w:tbl>
      <w:tblPr>
        <w:tblW w:w="981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tblPr>
      <w:tblGrid>
        <w:gridCol w:w="3312"/>
        <w:gridCol w:w="4068"/>
        <w:gridCol w:w="2430"/>
      </w:tblGrid>
      <w:tr w:rsidR="00DF38CA" w:rsidRPr="0056293F" w:rsidTr="00FF60E9">
        <w:tc>
          <w:tcPr>
            <w:tcW w:w="331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i/>
                <w:iCs/>
              </w:rPr>
              <w:t>Signé et présenté par:</w:t>
            </w:r>
          </w:p>
        </w:tc>
        <w:tc>
          <w:tcPr>
            <w:tcW w:w="40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p>
        </w:tc>
      </w:tr>
      <w:tr w:rsidR="00DF38CA" w:rsidRPr="0056293F" w:rsidTr="00FF60E9">
        <w:tc>
          <w:tcPr>
            <w:tcW w:w="331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rPr>
              <w:t>Responsable de l’équipe de travail:</w:t>
            </w:r>
          </w:p>
        </w:tc>
        <w:tc>
          <w:tcPr>
            <w:tcW w:w="40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rPr>
              <w:t>Nom: Mohamed Medouar</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FF60E9">
            <w:pPr>
              <w:spacing w:after="0"/>
              <w:rPr>
                <w:rFonts w:asciiTheme="majorBidi" w:hAnsiTheme="majorBidi" w:cstheme="majorBidi"/>
              </w:rPr>
            </w:pPr>
            <w:r w:rsidRPr="0056293F">
              <w:rPr>
                <w:rFonts w:asciiTheme="majorBidi" w:hAnsiTheme="majorBidi" w:cstheme="majorBidi"/>
              </w:rPr>
              <w:t>Date: le 21 déc</w:t>
            </w:r>
            <w:r w:rsidR="00FF60E9" w:rsidRPr="0056293F">
              <w:rPr>
                <w:rFonts w:asciiTheme="majorBidi" w:hAnsiTheme="majorBidi" w:cstheme="majorBidi"/>
              </w:rPr>
              <w:t>.</w:t>
            </w:r>
            <w:r w:rsidRPr="0056293F">
              <w:rPr>
                <w:rFonts w:asciiTheme="majorBidi" w:hAnsiTheme="majorBidi" w:cstheme="majorBidi"/>
              </w:rPr>
              <w:t xml:space="preserve"> 2011</w:t>
            </w:r>
          </w:p>
        </w:tc>
      </w:tr>
      <w:tr w:rsidR="00DF38CA" w:rsidRPr="0056293F" w:rsidTr="00FF60E9">
        <w:tc>
          <w:tcPr>
            <w:tcW w:w="981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i/>
                <w:iCs/>
              </w:rPr>
              <w:t>Approuvé par :</w:t>
            </w:r>
          </w:p>
        </w:tc>
      </w:tr>
      <w:tr w:rsidR="00DF38CA" w:rsidRPr="0056293F" w:rsidTr="00FF60E9">
        <w:tc>
          <w:tcPr>
            <w:tcW w:w="331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rPr>
              <w:t>Coordinateur Régional des Sauvegardes:</w:t>
            </w:r>
          </w:p>
        </w:tc>
        <w:tc>
          <w:tcPr>
            <w:tcW w:w="40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FF60E9" w:rsidP="002A53D6">
            <w:pPr>
              <w:spacing w:after="0"/>
              <w:rPr>
                <w:rFonts w:asciiTheme="majorBidi" w:hAnsiTheme="majorBidi" w:cstheme="majorBidi"/>
              </w:rPr>
            </w:pPr>
            <w:r w:rsidRPr="0056293F">
              <w:rPr>
                <w:rFonts w:asciiTheme="majorBidi" w:hAnsiTheme="majorBidi" w:cstheme="majorBidi"/>
              </w:rPr>
              <w:t xml:space="preserve">Nom: Hocine </w:t>
            </w:r>
            <w:proofErr w:type="spellStart"/>
            <w:r w:rsidRPr="0056293F">
              <w:rPr>
                <w:rFonts w:asciiTheme="majorBidi" w:hAnsiTheme="majorBidi" w:cstheme="majorBidi"/>
              </w:rPr>
              <w:t>Chalal</w:t>
            </w:r>
            <w:proofErr w:type="spellEnd"/>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FF60E9">
            <w:pPr>
              <w:spacing w:after="0"/>
              <w:rPr>
                <w:rFonts w:asciiTheme="majorBidi" w:hAnsiTheme="majorBidi" w:cstheme="majorBidi"/>
              </w:rPr>
            </w:pPr>
            <w:r w:rsidRPr="0056293F">
              <w:rPr>
                <w:rFonts w:asciiTheme="majorBidi" w:hAnsiTheme="majorBidi" w:cstheme="majorBidi"/>
              </w:rPr>
              <w:t xml:space="preserve">Date: le </w:t>
            </w:r>
            <w:r w:rsidR="00FF60E9" w:rsidRPr="0056293F">
              <w:rPr>
                <w:rFonts w:asciiTheme="majorBidi" w:hAnsiTheme="majorBidi" w:cstheme="majorBidi"/>
              </w:rPr>
              <w:t>10 jan. 2012</w:t>
            </w:r>
          </w:p>
        </w:tc>
      </w:tr>
      <w:tr w:rsidR="00DF38CA" w:rsidRPr="0056293F" w:rsidTr="00FF60E9">
        <w:tc>
          <w:tcPr>
            <w:tcW w:w="981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rPr>
              <w:t xml:space="preserve">Commentaires   </w:t>
            </w:r>
          </w:p>
        </w:tc>
      </w:tr>
      <w:tr w:rsidR="00DF38CA" w:rsidRPr="0056293F" w:rsidTr="00FF60E9">
        <w:tc>
          <w:tcPr>
            <w:tcW w:w="331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rPr>
              <w:t>Responsable Secteur:</w:t>
            </w:r>
          </w:p>
        </w:tc>
        <w:tc>
          <w:tcPr>
            <w:tcW w:w="406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rPr>
              <w:t xml:space="preserve">Nom: Franck Bousquet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FF60E9">
            <w:pPr>
              <w:spacing w:after="0"/>
              <w:rPr>
                <w:rFonts w:asciiTheme="majorBidi" w:hAnsiTheme="majorBidi" w:cstheme="majorBidi"/>
              </w:rPr>
            </w:pPr>
            <w:r w:rsidRPr="0056293F">
              <w:rPr>
                <w:rFonts w:asciiTheme="majorBidi" w:hAnsiTheme="majorBidi" w:cstheme="majorBidi"/>
              </w:rPr>
              <w:t>Date: le 21 déc</w:t>
            </w:r>
            <w:r w:rsidR="00FF60E9" w:rsidRPr="0056293F">
              <w:rPr>
                <w:rFonts w:asciiTheme="majorBidi" w:hAnsiTheme="majorBidi" w:cstheme="majorBidi"/>
              </w:rPr>
              <w:t>.</w:t>
            </w:r>
            <w:r w:rsidRPr="0056293F">
              <w:rPr>
                <w:rFonts w:asciiTheme="majorBidi" w:hAnsiTheme="majorBidi" w:cstheme="majorBidi"/>
              </w:rPr>
              <w:t xml:space="preserve"> 2011</w:t>
            </w:r>
          </w:p>
        </w:tc>
      </w:tr>
      <w:tr w:rsidR="00DF38CA" w:rsidRPr="0056293F" w:rsidTr="00FF60E9">
        <w:tc>
          <w:tcPr>
            <w:tcW w:w="981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F38CA" w:rsidRPr="0056293F" w:rsidRDefault="00DF38CA" w:rsidP="002A53D6">
            <w:pPr>
              <w:spacing w:after="0"/>
              <w:rPr>
                <w:rFonts w:asciiTheme="majorBidi" w:hAnsiTheme="majorBidi" w:cstheme="majorBidi"/>
              </w:rPr>
            </w:pPr>
            <w:r w:rsidRPr="0056293F">
              <w:rPr>
                <w:rFonts w:asciiTheme="majorBidi" w:hAnsiTheme="majorBidi" w:cstheme="majorBidi"/>
              </w:rPr>
              <w:t xml:space="preserve">Commentaires: </w:t>
            </w:r>
          </w:p>
        </w:tc>
      </w:tr>
      <w:tr w:rsidR="00DF38CA" w:rsidRPr="0056293F" w:rsidTr="00FF60E9">
        <w:tc>
          <w:tcPr>
            <w:tcW w:w="9810" w:type="dxa"/>
            <w:gridSpan w:val="3"/>
            <w:tcBorders>
              <w:top w:val="nil"/>
              <w:left w:val="nil"/>
              <w:bottom w:val="nil"/>
              <w:right w:val="nil"/>
            </w:tcBorders>
            <w:shd w:val="clear" w:color="auto" w:fill="FFFFFF"/>
            <w:tcMar>
              <w:top w:w="50" w:type="dxa"/>
              <w:left w:w="50" w:type="dxa"/>
              <w:bottom w:w="50" w:type="dxa"/>
              <w:right w:w="50" w:type="dxa"/>
            </w:tcMar>
            <w:vAlign w:val="center"/>
          </w:tcPr>
          <w:p w:rsidR="00DF38CA" w:rsidRPr="0056293F" w:rsidRDefault="00DF38CA" w:rsidP="002A53D6">
            <w:pPr>
              <w:spacing w:after="0"/>
              <w:rPr>
                <w:rFonts w:asciiTheme="majorBidi" w:hAnsiTheme="majorBidi" w:cstheme="majorBidi"/>
                <w:sz w:val="16"/>
                <w:szCs w:val="16"/>
              </w:rPr>
            </w:pPr>
          </w:p>
        </w:tc>
      </w:tr>
      <w:bookmarkEnd w:id="1"/>
    </w:tbl>
    <w:p w:rsidR="00857DD2" w:rsidRPr="0056293F" w:rsidRDefault="00175ABA" w:rsidP="00F02D05">
      <w:pPr>
        <w:spacing w:after="0"/>
        <w:rPr>
          <w:rFonts w:asciiTheme="majorBidi" w:hAnsiTheme="majorBidi" w:cstheme="majorBidi"/>
        </w:rPr>
      </w:pPr>
    </w:p>
    <w:sectPr w:rsidR="00857DD2" w:rsidRPr="0056293F" w:rsidSect="00F4668A">
      <w:footerReference w:type="default" r:id="rId8"/>
      <w:pgSz w:w="12240" w:h="15840"/>
      <w:pgMar w:top="117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09E" w:rsidRDefault="00D0709E" w:rsidP="001E6F86">
      <w:pPr>
        <w:spacing w:after="0"/>
      </w:pPr>
      <w:r>
        <w:separator/>
      </w:r>
    </w:p>
  </w:endnote>
  <w:endnote w:type="continuationSeparator" w:id="0">
    <w:p w:rsidR="00D0709E" w:rsidRDefault="00D0709E" w:rsidP="001E6F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06624"/>
      <w:docPartObj>
        <w:docPartGallery w:val="Page Numbers (Bottom of Page)"/>
        <w:docPartUnique/>
      </w:docPartObj>
    </w:sdtPr>
    <w:sdtEndPr>
      <w:rPr>
        <w:rFonts w:asciiTheme="majorBidi" w:hAnsiTheme="majorBidi" w:cstheme="majorBidi"/>
      </w:rPr>
    </w:sdtEndPr>
    <w:sdtContent>
      <w:p w:rsidR="001E6F86" w:rsidRPr="0056293F" w:rsidRDefault="00120538">
        <w:pPr>
          <w:pStyle w:val="Footer"/>
          <w:jc w:val="center"/>
          <w:rPr>
            <w:rFonts w:asciiTheme="majorBidi" w:hAnsiTheme="majorBidi" w:cstheme="majorBidi"/>
          </w:rPr>
        </w:pPr>
        <w:r w:rsidRPr="0056293F">
          <w:rPr>
            <w:rFonts w:asciiTheme="majorBidi" w:hAnsiTheme="majorBidi" w:cstheme="majorBidi"/>
          </w:rPr>
          <w:fldChar w:fldCharType="begin"/>
        </w:r>
        <w:r w:rsidR="001E6F86" w:rsidRPr="0056293F">
          <w:rPr>
            <w:rFonts w:asciiTheme="majorBidi" w:hAnsiTheme="majorBidi" w:cstheme="majorBidi"/>
          </w:rPr>
          <w:instrText xml:space="preserve"> PAGE   \* MERGEFORMAT </w:instrText>
        </w:r>
        <w:r w:rsidRPr="0056293F">
          <w:rPr>
            <w:rFonts w:asciiTheme="majorBidi" w:hAnsiTheme="majorBidi" w:cstheme="majorBidi"/>
          </w:rPr>
          <w:fldChar w:fldCharType="separate"/>
        </w:r>
        <w:r w:rsidR="00175ABA">
          <w:rPr>
            <w:rFonts w:asciiTheme="majorBidi" w:hAnsiTheme="majorBidi" w:cstheme="majorBidi"/>
            <w:noProof/>
          </w:rPr>
          <w:t>1</w:t>
        </w:r>
        <w:r w:rsidRPr="0056293F">
          <w:rPr>
            <w:rFonts w:asciiTheme="majorBidi" w:hAnsiTheme="majorBidi" w:cstheme="majorBidi"/>
          </w:rPr>
          <w:fldChar w:fldCharType="end"/>
        </w:r>
      </w:p>
    </w:sdtContent>
  </w:sdt>
  <w:p w:rsidR="001E6F86" w:rsidRDefault="001E6F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09E" w:rsidRDefault="00D0709E" w:rsidP="001E6F86">
      <w:pPr>
        <w:spacing w:after="0"/>
      </w:pPr>
      <w:r>
        <w:separator/>
      </w:r>
    </w:p>
  </w:footnote>
  <w:footnote w:type="continuationSeparator" w:id="0">
    <w:p w:rsidR="00D0709E" w:rsidRDefault="00D0709E" w:rsidP="001E6F86">
      <w:pPr>
        <w:spacing w:after="0"/>
      </w:pPr>
      <w:r>
        <w:continuationSeparator/>
      </w:r>
    </w:p>
  </w:footnote>
  <w:footnote w:id="1">
    <w:p w:rsidR="009D39AE" w:rsidRPr="009D39AE" w:rsidRDefault="009D39AE">
      <w:pPr>
        <w:pStyle w:val="FootnoteText"/>
        <w:rPr>
          <w:lang w:val="en-US"/>
        </w:rPr>
      </w:pPr>
      <w:r>
        <w:rPr>
          <w:rStyle w:val="FootnoteReference"/>
        </w:rPr>
        <w:footnoteRef/>
      </w:r>
      <w:r>
        <w:t xml:space="preserve"> </w:t>
      </w:r>
      <w:r w:rsidRPr="0056293F">
        <w:rPr>
          <w:rFonts w:asciiTheme="majorBidi" w:hAnsiTheme="majorBidi" w:cstheme="majorBidi"/>
          <w:sz w:val="16"/>
          <w:szCs w:val="16"/>
        </w:rPr>
        <w:t>Rappel: La Politique de Divulgation de la Banque stipule que les documents relatifs à la sauvegarde soient divulgués avant évaluation  (i) au niveau d’</w:t>
      </w:r>
      <w:proofErr w:type="spellStart"/>
      <w:r w:rsidRPr="0056293F">
        <w:rPr>
          <w:rFonts w:asciiTheme="majorBidi" w:hAnsiTheme="majorBidi" w:cstheme="majorBidi"/>
          <w:sz w:val="16"/>
          <w:szCs w:val="16"/>
        </w:rPr>
        <w:t>InfoShop</w:t>
      </w:r>
      <w:proofErr w:type="spellEnd"/>
      <w:r w:rsidRPr="0056293F">
        <w:rPr>
          <w:rFonts w:asciiTheme="majorBidi" w:hAnsiTheme="majorBidi" w:cstheme="majorBidi"/>
          <w:sz w:val="16"/>
          <w:szCs w:val="16"/>
        </w:rPr>
        <w:t xml:space="preserve"> et (ii) dans le pays, dans des lieux accessibles au public ainsi qu’en une forme et une langue accessibles aux personnes ou groupes susceptibles d’être affectés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5B9A"/>
    <w:multiLevelType w:val="hybridMultilevel"/>
    <w:tmpl w:val="2B48DE9E"/>
    <w:lvl w:ilvl="0" w:tplc="3B1C0E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AF09AD"/>
    <w:multiLevelType w:val="hybridMultilevel"/>
    <w:tmpl w:val="B9A8E016"/>
    <w:lvl w:ilvl="0" w:tplc="19E8303C">
      <w:start w:val="1"/>
      <w:numFmt w:val="lowerLetter"/>
      <w:lvlText w:val="(%1)"/>
      <w:lvlJc w:val="left"/>
      <w:pPr>
        <w:ind w:left="1710" w:hanging="360"/>
      </w:pPr>
      <w:rPr>
        <w:rFonts w:hint="default"/>
      </w:rPr>
    </w:lvl>
    <w:lvl w:ilvl="1" w:tplc="040C0019" w:tentative="1">
      <w:start w:val="1"/>
      <w:numFmt w:val="lowerLetter"/>
      <w:lvlText w:val="%2."/>
      <w:lvlJc w:val="left"/>
      <w:pPr>
        <w:ind w:left="2430" w:hanging="360"/>
      </w:pPr>
    </w:lvl>
    <w:lvl w:ilvl="2" w:tplc="040C001B" w:tentative="1">
      <w:start w:val="1"/>
      <w:numFmt w:val="lowerRoman"/>
      <w:lvlText w:val="%3."/>
      <w:lvlJc w:val="right"/>
      <w:pPr>
        <w:ind w:left="3150" w:hanging="180"/>
      </w:pPr>
    </w:lvl>
    <w:lvl w:ilvl="3" w:tplc="040C000F" w:tentative="1">
      <w:start w:val="1"/>
      <w:numFmt w:val="decimal"/>
      <w:lvlText w:val="%4."/>
      <w:lvlJc w:val="left"/>
      <w:pPr>
        <w:ind w:left="3870" w:hanging="360"/>
      </w:pPr>
    </w:lvl>
    <w:lvl w:ilvl="4" w:tplc="040C0019" w:tentative="1">
      <w:start w:val="1"/>
      <w:numFmt w:val="lowerLetter"/>
      <w:lvlText w:val="%5."/>
      <w:lvlJc w:val="left"/>
      <w:pPr>
        <w:ind w:left="4590" w:hanging="360"/>
      </w:pPr>
    </w:lvl>
    <w:lvl w:ilvl="5" w:tplc="040C001B" w:tentative="1">
      <w:start w:val="1"/>
      <w:numFmt w:val="lowerRoman"/>
      <w:lvlText w:val="%6."/>
      <w:lvlJc w:val="right"/>
      <w:pPr>
        <w:ind w:left="5310" w:hanging="180"/>
      </w:pPr>
    </w:lvl>
    <w:lvl w:ilvl="6" w:tplc="040C000F" w:tentative="1">
      <w:start w:val="1"/>
      <w:numFmt w:val="decimal"/>
      <w:lvlText w:val="%7."/>
      <w:lvlJc w:val="left"/>
      <w:pPr>
        <w:ind w:left="6030" w:hanging="360"/>
      </w:pPr>
    </w:lvl>
    <w:lvl w:ilvl="7" w:tplc="040C0019" w:tentative="1">
      <w:start w:val="1"/>
      <w:numFmt w:val="lowerLetter"/>
      <w:lvlText w:val="%8."/>
      <w:lvlJc w:val="left"/>
      <w:pPr>
        <w:ind w:left="6750" w:hanging="360"/>
      </w:pPr>
    </w:lvl>
    <w:lvl w:ilvl="8" w:tplc="040C001B" w:tentative="1">
      <w:start w:val="1"/>
      <w:numFmt w:val="lowerRoman"/>
      <w:lvlText w:val="%9."/>
      <w:lvlJc w:val="right"/>
      <w:pPr>
        <w:ind w:left="7470" w:hanging="180"/>
      </w:pPr>
    </w:lvl>
  </w:abstractNum>
  <w:abstractNum w:abstractNumId="2">
    <w:nsid w:val="1D005139"/>
    <w:multiLevelType w:val="hybridMultilevel"/>
    <w:tmpl w:val="F0302850"/>
    <w:lvl w:ilvl="0" w:tplc="484E47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5A32F8"/>
    <w:multiLevelType w:val="hybridMultilevel"/>
    <w:tmpl w:val="491C04FC"/>
    <w:lvl w:ilvl="0" w:tplc="0409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26D14D47"/>
    <w:multiLevelType w:val="hybridMultilevel"/>
    <w:tmpl w:val="325EAD82"/>
    <w:lvl w:ilvl="0" w:tplc="06483D32">
      <w:start w:val="1"/>
      <w:numFmt w:val="upperLetter"/>
      <w:lvlText w:val="%1."/>
      <w:lvlJc w:val="left"/>
      <w:pPr>
        <w:ind w:left="440" w:hanging="360"/>
      </w:pPr>
      <w:rPr>
        <w:rFonts w:hint="default"/>
        <w:sz w:val="22"/>
      </w:rPr>
    </w:lvl>
    <w:lvl w:ilvl="1" w:tplc="040C0019" w:tentative="1">
      <w:start w:val="1"/>
      <w:numFmt w:val="lowerLetter"/>
      <w:lvlText w:val="%2."/>
      <w:lvlJc w:val="left"/>
      <w:pPr>
        <w:ind w:left="1160" w:hanging="360"/>
      </w:pPr>
    </w:lvl>
    <w:lvl w:ilvl="2" w:tplc="040C001B" w:tentative="1">
      <w:start w:val="1"/>
      <w:numFmt w:val="lowerRoman"/>
      <w:lvlText w:val="%3."/>
      <w:lvlJc w:val="right"/>
      <w:pPr>
        <w:ind w:left="1880" w:hanging="180"/>
      </w:pPr>
    </w:lvl>
    <w:lvl w:ilvl="3" w:tplc="040C000F" w:tentative="1">
      <w:start w:val="1"/>
      <w:numFmt w:val="decimal"/>
      <w:lvlText w:val="%4."/>
      <w:lvlJc w:val="left"/>
      <w:pPr>
        <w:ind w:left="2600" w:hanging="360"/>
      </w:pPr>
    </w:lvl>
    <w:lvl w:ilvl="4" w:tplc="040C0019" w:tentative="1">
      <w:start w:val="1"/>
      <w:numFmt w:val="lowerLetter"/>
      <w:lvlText w:val="%5."/>
      <w:lvlJc w:val="left"/>
      <w:pPr>
        <w:ind w:left="3320" w:hanging="360"/>
      </w:pPr>
    </w:lvl>
    <w:lvl w:ilvl="5" w:tplc="040C001B" w:tentative="1">
      <w:start w:val="1"/>
      <w:numFmt w:val="lowerRoman"/>
      <w:lvlText w:val="%6."/>
      <w:lvlJc w:val="right"/>
      <w:pPr>
        <w:ind w:left="4040" w:hanging="180"/>
      </w:pPr>
    </w:lvl>
    <w:lvl w:ilvl="6" w:tplc="040C000F" w:tentative="1">
      <w:start w:val="1"/>
      <w:numFmt w:val="decimal"/>
      <w:lvlText w:val="%7."/>
      <w:lvlJc w:val="left"/>
      <w:pPr>
        <w:ind w:left="4760" w:hanging="360"/>
      </w:pPr>
    </w:lvl>
    <w:lvl w:ilvl="7" w:tplc="040C0019" w:tentative="1">
      <w:start w:val="1"/>
      <w:numFmt w:val="lowerLetter"/>
      <w:lvlText w:val="%8."/>
      <w:lvlJc w:val="left"/>
      <w:pPr>
        <w:ind w:left="5480" w:hanging="360"/>
      </w:pPr>
    </w:lvl>
    <w:lvl w:ilvl="8" w:tplc="040C001B" w:tentative="1">
      <w:start w:val="1"/>
      <w:numFmt w:val="lowerRoman"/>
      <w:lvlText w:val="%9."/>
      <w:lvlJc w:val="right"/>
      <w:pPr>
        <w:ind w:left="6200" w:hanging="180"/>
      </w:pPr>
    </w:lvl>
  </w:abstractNum>
  <w:abstractNum w:abstractNumId="5">
    <w:nsid w:val="28271674"/>
    <w:multiLevelType w:val="hybridMultilevel"/>
    <w:tmpl w:val="8BE68B12"/>
    <w:lvl w:ilvl="0" w:tplc="04090019">
      <w:start w:val="1"/>
      <w:numFmt w:val="lowerLetter"/>
      <w:lvlText w:val="%1."/>
      <w:lvlJc w:val="left"/>
      <w:pPr>
        <w:ind w:left="720" w:hanging="360"/>
      </w:pPr>
    </w:lvl>
    <w:lvl w:ilvl="1" w:tplc="040C0019">
      <w:start w:val="1"/>
      <w:numFmt w:val="lowerLetter"/>
      <w:lvlText w:val="%2."/>
      <w:lvlJc w:val="left"/>
      <w:pPr>
        <w:ind w:left="1440" w:hanging="360"/>
      </w:pPr>
    </w:lvl>
    <w:lvl w:ilvl="2" w:tplc="7B66552C">
      <w:start w:val="3"/>
      <w:numFmt w:val="upperRoman"/>
      <w:lvlText w:val="%3."/>
      <w:lvlJc w:val="left"/>
      <w:pPr>
        <w:ind w:left="2700" w:hanging="720"/>
      </w:pPr>
      <w:rPr>
        <w:rFonts w:hint="default"/>
      </w:rPr>
    </w:lvl>
    <w:lvl w:ilvl="3" w:tplc="BEB0DF42">
      <w:start w:val="1"/>
      <w:numFmt w:val="low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D84692F"/>
    <w:multiLevelType w:val="hybridMultilevel"/>
    <w:tmpl w:val="D13C6B04"/>
    <w:lvl w:ilvl="0" w:tplc="0409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FA2715"/>
    <w:multiLevelType w:val="hybridMultilevel"/>
    <w:tmpl w:val="FC4696AC"/>
    <w:lvl w:ilvl="0" w:tplc="411ACD12">
      <w:start w:val="1"/>
      <w:numFmt w:val="decimal"/>
      <w:lvlText w:val="(%1)"/>
      <w:lvlJc w:val="left"/>
      <w:pPr>
        <w:ind w:left="1080" w:hanging="360"/>
      </w:pPr>
      <w:rPr>
        <w:rFonts w:hint="default"/>
      </w:rPr>
    </w:lvl>
    <w:lvl w:ilvl="1" w:tplc="ACDE4B84">
      <w:start w:val="1"/>
      <w:numFmt w:val="lowerLetter"/>
      <w:lvlText w:val="%2."/>
      <w:lvlJc w:val="left"/>
      <w:pPr>
        <w:ind w:left="1800" w:hanging="360"/>
      </w:pPr>
      <w:rPr>
        <w:lang w:val="fr-FR"/>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6529EB"/>
    <w:multiLevelType w:val="hybridMultilevel"/>
    <w:tmpl w:val="CC78BF7A"/>
    <w:lvl w:ilvl="0" w:tplc="04090019">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46295D6C"/>
    <w:multiLevelType w:val="hybridMultilevel"/>
    <w:tmpl w:val="78BAFAA6"/>
    <w:lvl w:ilvl="0" w:tplc="251C080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2507CD3"/>
    <w:multiLevelType w:val="hybridMultilevel"/>
    <w:tmpl w:val="1ADCEE38"/>
    <w:lvl w:ilvl="0" w:tplc="5B7068FA">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5567AE1"/>
    <w:multiLevelType w:val="hybridMultilevel"/>
    <w:tmpl w:val="E430B9CA"/>
    <w:lvl w:ilvl="0" w:tplc="732A8FEC">
      <w:start w:val="1"/>
      <w:numFmt w:val="lowerLetter"/>
      <w:lvlText w:val="(%1)"/>
      <w:lvlJc w:val="left"/>
      <w:pPr>
        <w:ind w:left="1830" w:hanging="111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62A408ED"/>
    <w:multiLevelType w:val="hybridMultilevel"/>
    <w:tmpl w:val="54A6CC10"/>
    <w:lvl w:ilvl="0" w:tplc="0409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64084B44"/>
    <w:multiLevelType w:val="hybridMultilevel"/>
    <w:tmpl w:val="FD28B5F2"/>
    <w:lvl w:ilvl="0" w:tplc="9CCA9392">
      <w:start w:val="1"/>
      <w:numFmt w:val="lowerLetter"/>
      <w:lvlText w:val="(%1)"/>
      <w:lvlJc w:val="left"/>
      <w:pPr>
        <w:ind w:left="1080" w:hanging="360"/>
      </w:pPr>
      <w:rPr>
        <w:rFonts w:hint="default"/>
        <w:lang w:val="fr-FR"/>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707172B0"/>
    <w:multiLevelType w:val="hybridMultilevel"/>
    <w:tmpl w:val="25381844"/>
    <w:lvl w:ilvl="0" w:tplc="040C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7A7D59C4"/>
    <w:multiLevelType w:val="hybridMultilevel"/>
    <w:tmpl w:val="0B32F602"/>
    <w:lvl w:ilvl="0" w:tplc="04090019">
      <w:start w:val="1"/>
      <w:numFmt w:val="lowerLetter"/>
      <w:lvlText w:val="%1."/>
      <w:lvlJc w:val="left"/>
      <w:pPr>
        <w:ind w:left="2020" w:hanging="360"/>
      </w:pPr>
    </w:lvl>
    <w:lvl w:ilvl="1" w:tplc="040C0019" w:tentative="1">
      <w:start w:val="1"/>
      <w:numFmt w:val="lowerLetter"/>
      <w:lvlText w:val="%2."/>
      <w:lvlJc w:val="left"/>
      <w:pPr>
        <w:ind w:left="2740" w:hanging="360"/>
      </w:pPr>
    </w:lvl>
    <w:lvl w:ilvl="2" w:tplc="040C001B" w:tentative="1">
      <w:start w:val="1"/>
      <w:numFmt w:val="lowerRoman"/>
      <w:lvlText w:val="%3."/>
      <w:lvlJc w:val="right"/>
      <w:pPr>
        <w:ind w:left="3460" w:hanging="180"/>
      </w:pPr>
    </w:lvl>
    <w:lvl w:ilvl="3" w:tplc="040C000F" w:tentative="1">
      <w:start w:val="1"/>
      <w:numFmt w:val="decimal"/>
      <w:lvlText w:val="%4."/>
      <w:lvlJc w:val="left"/>
      <w:pPr>
        <w:ind w:left="4180" w:hanging="360"/>
      </w:pPr>
    </w:lvl>
    <w:lvl w:ilvl="4" w:tplc="040C0019" w:tentative="1">
      <w:start w:val="1"/>
      <w:numFmt w:val="lowerLetter"/>
      <w:lvlText w:val="%5."/>
      <w:lvlJc w:val="left"/>
      <w:pPr>
        <w:ind w:left="4900" w:hanging="360"/>
      </w:pPr>
    </w:lvl>
    <w:lvl w:ilvl="5" w:tplc="040C001B" w:tentative="1">
      <w:start w:val="1"/>
      <w:numFmt w:val="lowerRoman"/>
      <w:lvlText w:val="%6."/>
      <w:lvlJc w:val="right"/>
      <w:pPr>
        <w:ind w:left="5620" w:hanging="180"/>
      </w:pPr>
    </w:lvl>
    <w:lvl w:ilvl="6" w:tplc="040C000F" w:tentative="1">
      <w:start w:val="1"/>
      <w:numFmt w:val="decimal"/>
      <w:lvlText w:val="%7."/>
      <w:lvlJc w:val="left"/>
      <w:pPr>
        <w:ind w:left="6340" w:hanging="360"/>
      </w:pPr>
    </w:lvl>
    <w:lvl w:ilvl="7" w:tplc="040C0019" w:tentative="1">
      <w:start w:val="1"/>
      <w:numFmt w:val="lowerLetter"/>
      <w:lvlText w:val="%8."/>
      <w:lvlJc w:val="left"/>
      <w:pPr>
        <w:ind w:left="7060" w:hanging="360"/>
      </w:pPr>
    </w:lvl>
    <w:lvl w:ilvl="8" w:tplc="040C001B" w:tentative="1">
      <w:start w:val="1"/>
      <w:numFmt w:val="lowerRoman"/>
      <w:lvlText w:val="%9."/>
      <w:lvlJc w:val="right"/>
      <w:pPr>
        <w:ind w:left="7780" w:hanging="180"/>
      </w:pPr>
    </w:lvl>
  </w:abstractNum>
  <w:abstractNum w:abstractNumId="16">
    <w:nsid w:val="7D7A0A26"/>
    <w:multiLevelType w:val="hybridMultilevel"/>
    <w:tmpl w:val="4ED255E0"/>
    <w:lvl w:ilvl="0" w:tplc="F1389A1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10"/>
  </w:num>
  <w:num w:numId="4">
    <w:abstractNumId w:val="1"/>
  </w:num>
  <w:num w:numId="5">
    <w:abstractNumId w:val="13"/>
  </w:num>
  <w:num w:numId="6">
    <w:abstractNumId w:val="0"/>
  </w:num>
  <w:num w:numId="7">
    <w:abstractNumId w:val="16"/>
  </w:num>
  <w:num w:numId="8">
    <w:abstractNumId w:val="2"/>
  </w:num>
  <w:num w:numId="9">
    <w:abstractNumId w:val="12"/>
  </w:num>
  <w:num w:numId="10">
    <w:abstractNumId w:val="5"/>
  </w:num>
  <w:num w:numId="11">
    <w:abstractNumId w:val="3"/>
  </w:num>
  <w:num w:numId="12">
    <w:abstractNumId w:val="11"/>
  </w:num>
  <w:num w:numId="13">
    <w:abstractNumId w:val="14"/>
  </w:num>
  <w:num w:numId="14">
    <w:abstractNumId w:val="8"/>
  </w:num>
  <w:num w:numId="15">
    <w:abstractNumId w:val="6"/>
  </w:num>
  <w:num w:numId="16">
    <w:abstractNumId w:val="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DF38CA"/>
    <w:rsid w:val="00004D21"/>
    <w:rsid w:val="000610BF"/>
    <w:rsid w:val="00120538"/>
    <w:rsid w:val="00122F39"/>
    <w:rsid w:val="00152DFD"/>
    <w:rsid w:val="00175ABA"/>
    <w:rsid w:val="001B6553"/>
    <w:rsid w:val="001E6F86"/>
    <w:rsid w:val="002A53D6"/>
    <w:rsid w:val="002D6F75"/>
    <w:rsid w:val="0038440A"/>
    <w:rsid w:val="004033A6"/>
    <w:rsid w:val="004D6160"/>
    <w:rsid w:val="0056293F"/>
    <w:rsid w:val="00684B30"/>
    <w:rsid w:val="00690DCF"/>
    <w:rsid w:val="00754A48"/>
    <w:rsid w:val="007A4093"/>
    <w:rsid w:val="0083171E"/>
    <w:rsid w:val="00835701"/>
    <w:rsid w:val="00842217"/>
    <w:rsid w:val="008D4043"/>
    <w:rsid w:val="008E6A19"/>
    <w:rsid w:val="009D39AE"/>
    <w:rsid w:val="00C277D2"/>
    <w:rsid w:val="00C4328B"/>
    <w:rsid w:val="00C64AA5"/>
    <w:rsid w:val="00C82072"/>
    <w:rsid w:val="00D0709E"/>
    <w:rsid w:val="00D41AC7"/>
    <w:rsid w:val="00D96E85"/>
    <w:rsid w:val="00DF38CA"/>
    <w:rsid w:val="00EA4219"/>
    <w:rsid w:val="00EC6295"/>
    <w:rsid w:val="00EE0432"/>
    <w:rsid w:val="00F02D05"/>
    <w:rsid w:val="00F4668A"/>
    <w:rsid w:val="00FC7B4B"/>
    <w:rsid w:val="00FF60E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19"/>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F38CA"/>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F38CA"/>
    <w:rPr>
      <w:rFonts w:ascii="Times New Roman" w:eastAsia="Times New Roman" w:hAnsi="Times New Roman" w:cs="Times New Roman"/>
      <w:sz w:val="20"/>
      <w:szCs w:val="20"/>
    </w:rPr>
  </w:style>
  <w:style w:type="character" w:styleId="FootnoteReference">
    <w:name w:val="footnote reference"/>
    <w:semiHidden/>
    <w:rsid w:val="00DF38CA"/>
    <w:rPr>
      <w:vertAlign w:val="superscript"/>
    </w:rPr>
  </w:style>
  <w:style w:type="character" w:styleId="CommentReference">
    <w:name w:val="annotation reference"/>
    <w:semiHidden/>
    <w:rsid w:val="00DF38CA"/>
    <w:rPr>
      <w:sz w:val="16"/>
      <w:szCs w:val="16"/>
    </w:rPr>
  </w:style>
  <w:style w:type="paragraph" w:styleId="CommentText">
    <w:name w:val="annotation text"/>
    <w:basedOn w:val="Normal"/>
    <w:link w:val="CommentTextChar"/>
    <w:semiHidden/>
    <w:rsid w:val="00DF38CA"/>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F38CA"/>
    <w:rPr>
      <w:rFonts w:ascii="Times New Roman" w:eastAsia="Times New Roman" w:hAnsi="Times New Roman" w:cs="Times New Roman"/>
      <w:sz w:val="20"/>
      <w:szCs w:val="20"/>
    </w:rPr>
  </w:style>
  <w:style w:type="character" w:styleId="Hyperlink">
    <w:name w:val="Hyperlink"/>
    <w:semiHidden/>
    <w:rsid w:val="00DF38CA"/>
    <w:rPr>
      <w:color w:val="0000FF"/>
      <w:u w:val="single"/>
    </w:rPr>
  </w:style>
  <w:style w:type="paragraph" w:styleId="ListParagraph">
    <w:name w:val="List Paragraph"/>
    <w:basedOn w:val="Normal"/>
    <w:uiPriority w:val="34"/>
    <w:qFormat/>
    <w:rsid w:val="00DF38CA"/>
    <w:pPr>
      <w:spacing w:after="0"/>
      <w:ind w:left="720"/>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F38CA"/>
    <w:rPr>
      <w:b/>
      <w:bCs/>
    </w:rPr>
  </w:style>
  <w:style w:type="character" w:customStyle="1" w:styleId="CommentSubjectChar">
    <w:name w:val="Comment Subject Char"/>
    <w:basedOn w:val="CommentTextChar"/>
    <w:link w:val="CommentSubject"/>
    <w:uiPriority w:val="99"/>
    <w:semiHidden/>
    <w:rsid w:val="00DF38C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F38CA"/>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F38CA"/>
    <w:rPr>
      <w:rFonts w:ascii="Tahoma" w:eastAsia="Times New Roman" w:hAnsi="Tahoma" w:cs="Tahoma"/>
      <w:sz w:val="16"/>
      <w:szCs w:val="16"/>
    </w:rPr>
  </w:style>
  <w:style w:type="character" w:customStyle="1" w:styleId="hps">
    <w:name w:val="hps"/>
    <w:basedOn w:val="DefaultParagraphFont"/>
    <w:rsid w:val="00DF38CA"/>
  </w:style>
  <w:style w:type="paragraph" w:styleId="Header">
    <w:name w:val="header"/>
    <w:basedOn w:val="Normal"/>
    <w:link w:val="HeaderChar"/>
    <w:uiPriority w:val="99"/>
    <w:semiHidden/>
    <w:unhideWhenUsed/>
    <w:rsid w:val="001E6F86"/>
    <w:pPr>
      <w:tabs>
        <w:tab w:val="center" w:pos="4513"/>
        <w:tab w:val="right" w:pos="9026"/>
      </w:tabs>
      <w:spacing w:after="0"/>
    </w:pPr>
  </w:style>
  <w:style w:type="character" w:customStyle="1" w:styleId="HeaderChar">
    <w:name w:val="Header Char"/>
    <w:basedOn w:val="DefaultParagraphFont"/>
    <w:link w:val="Header"/>
    <w:uiPriority w:val="99"/>
    <w:semiHidden/>
    <w:rsid w:val="001E6F86"/>
  </w:style>
  <w:style w:type="paragraph" w:styleId="Footer">
    <w:name w:val="footer"/>
    <w:basedOn w:val="Normal"/>
    <w:link w:val="FooterChar"/>
    <w:uiPriority w:val="99"/>
    <w:unhideWhenUsed/>
    <w:rsid w:val="001E6F86"/>
    <w:pPr>
      <w:tabs>
        <w:tab w:val="center" w:pos="4513"/>
        <w:tab w:val="right" w:pos="9026"/>
      </w:tabs>
      <w:spacing w:after="0"/>
    </w:pPr>
  </w:style>
  <w:style w:type="character" w:customStyle="1" w:styleId="FooterChar">
    <w:name w:val="Footer Char"/>
    <w:basedOn w:val="DefaultParagraphFont"/>
    <w:link w:val="Footer"/>
    <w:uiPriority w:val="99"/>
    <w:rsid w:val="001E6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F38CA"/>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F38CA"/>
    <w:rPr>
      <w:rFonts w:ascii="Times New Roman" w:eastAsia="Times New Roman" w:hAnsi="Times New Roman" w:cs="Times New Roman"/>
      <w:sz w:val="20"/>
      <w:szCs w:val="20"/>
    </w:rPr>
  </w:style>
  <w:style w:type="character" w:styleId="FootnoteReference">
    <w:name w:val="footnote reference"/>
    <w:semiHidden/>
    <w:rsid w:val="00DF38CA"/>
    <w:rPr>
      <w:vertAlign w:val="superscript"/>
    </w:rPr>
  </w:style>
  <w:style w:type="character" w:styleId="CommentReference">
    <w:name w:val="annotation reference"/>
    <w:semiHidden/>
    <w:rsid w:val="00DF38CA"/>
    <w:rPr>
      <w:sz w:val="16"/>
      <w:szCs w:val="16"/>
    </w:rPr>
  </w:style>
  <w:style w:type="paragraph" w:styleId="CommentText">
    <w:name w:val="annotation text"/>
    <w:basedOn w:val="Normal"/>
    <w:link w:val="CommentTextChar"/>
    <w:semiHidden/>
    <w:rsid w:val="00DF38CA"/>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F38CA"/>
    <w:rPr>
      <w:rFonts w:ascii="Times New Roman" w:eastAsia="Times New Roman" w:hAnsi="Times New Roman" w:cs="Times New Roman"/>
      <w:sz w:val="20"/>
      <w:szCs w:val="20"/>
    </w:rPr>
  </w:style>
  <w:style w:type="character" w:styleId="Hyperlink">
    <w:name w:val="Hyperlink"/>
    <w:semiHidden/>
    <w:rsid w:val="00DF38CA"/>
    <w:rPr>
      <w:color w:val="0000FF"/>
      <w:u w:val="single"/>
    </w:rPr>
  </w:style>
  <w:style w:type="paragraph" w:styleId="ListParagraph">
    <w:name w:val="List Paragraph"/>
    <w:basedOn w:val="Normal"/>
    <w:uiPriority w:val="34"/>
    <w:qFormat/>
    <w:rsid w:val="00DF38CA"/>
    <w:pPr>
      <w:spacing w:after="0"/>
      <w:ind w:left="720"/>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F38CA"/>
    <w:rPr>
      <w:b/>
      <w:bCs/>
    </w:rPr>
  </w:style>
  <w:style w:type="character" w:customStyle="1" w:styleId="CommentSubjectChar">
    <w:name w:val="Comment Subject Char"/>
    <w:basedOn w:val="CommentTextChar"/>
    <w:link w:val="CommentSubject"/>
    <w:uiPriority w:val="99"/>
    <w:semiHidden/>
    <w:rsid w:val="00DF38C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F38CA"/>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F38CA"/>
    <w:rPr>
      <w:rFonts w:ascii="Tahoma" w:eastAsia="Times New Roman" w:hAnsi="Tahoma" w:cs="Tahoma"/>
      <w:sz w:val="16"/>
      <w:szCs w:val="16"/>
    </w:rPr>
  </w:style>
  <w:style w:type="character" w:customStyle="1" w:styleId="hps">
    <w:name w:val="hps"/>
    <w:basedOn w:val="DefaultParagraphFont"/>
    <w:rsid w:val="00DF38C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7C11A-841B-4BF1-9C55-8330E8DC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dc:creator>
  <cp:lastModifiedBy>wb20953</cp:lastModifiedBy>
  <cp:revision>2</cp:revision>
  <cp:lastPrinted>2012-01-27T16:18:00Z</cp:lastPrinted>
  <dcterms:created xsi:type="dcterms:W3CDTF">2012-01-27T16:55:00Z</dcterms:created>
  <dcterms:modified xsi:type="dcterms:W3CDTF">2012-01-27T16:55:00Z</dcterms:modified>
</cp:coreProperties>
</file>